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BF8C4" w14:textId="77777777" w:rsidR="00EF47E6" w:rsidRPr="007B367A" w:rsidRDefault="00EF47E6" w:rsidP="00A77E6C">
      <w:pPr>
        <w:rPr>
          <w:rFonts w:cs="Arial"/>
          <w:b/>
          <w:szCs w:val="24"/>
        </w:rPr>
      </w:pPr>
      <w:r w:rsidRPr="007B367A">
        <w:rPr>
          <w:rFonts w:cs="Arial"/>
          <w:b/>
          <w:szCs w:val="24"/>
        </w:rPr>
        <w:t xml:space="preserve">TPSPB report – </w:t>
      </w:r>
      <w:r w:rsidR="004B2BE2" w:rsidRPr="007B367A">
        <w:rPr>
          <w:rFonts w:cs="Arial"/>
          <w:b/>
          <w:szCs w:val="24"/>
        </w:rPr>
        <w:t>August</w:t>
      </w:r>
      <w:r w:rsidRPr="007B367A">
        <w:rPr>
          <w:rFonts w:cs="Arial"/>
          <w:b/>
          <w:szCs w:val="24"/>
        </w:rPr>
        <w:t xml:space="preserve"> to </w:t>
      </w:r>
      <w:r w:rsidR="004B2BE2" w:rsidRPr="007B367A">
        <w:rPr>
          <w:rFonts w:cs="Arial"/>
          <w:b/>
          <w:szCs w:val="24"/>
        </w:rPr>
        <w:t>October</w:t>
      </w:r>
      <w:r w:rsidRPr="007B367A">
        <w:rPr>
          <w:rFonts w:cs="Arial"/>
          <w:b/>
          <w:szCs w:val="24"/>
        </w:rPr>
        <w:t xml:space="preserve"> 2018</w:t>
      </w:r>
    </w:p>
    <w:p w14:paraId="0CA355EA" w14:textId="77777777" w:rsidR="00EF47E6" w:rsidRPr="007B367A" w:rsidRDefault="00EF47E6" w:rsidP="00A77E6C">
      <w:pPr>
        <w:pStyle w:val="DeptBullets"/>
        <w:numPr>
          <w:ilvl w:val="0"/>
          <w:numId w:val="0"/>
        </w:numPr>
        <w:spacing w:after="0"/>
        <w:rPr>
          <w:rFonts w:cs="Arial"/>
          <w:b/>
          <w:szCs w:val="24"/>
        </w:rPr>
      </w:pPr>
    </w:p>
    <w:p w14:paraId="7123BC42" w14:textId="77777777" w:rsidR="00A77E6C" w:rsidRDefault="00EF47E6" w:rsidP="00A77E6C">
      <w:pPr>
        <w:pStyle w:val="DeptBullets"/>
        <w:numPr>
          <w:ilvl w:val="0"/>
          <w:numId w:val="0"/>
        </w:numPr>
        <w:spacing w:after="0"/>
        <w:rPr>
          <w:rFonts w:cs="Arial"/>
          <w:szCs w:val="24"/>
        </w:rPr>
      </w:pPr>
      <w:r w:rsidRPr="007B367A">
        <w:rPr>
          <w:rFonts w:cs="Arial"/>
          <w:szCs w:val="24"/>
        </w:rPr>
        <w:t>The purpose of this document is to advise the sub-committees and the TPS Pension Board (TPSPB) of recent key activities relating to the administration of the scheme to assist with its assurance role.  The report also aims to assist the Board in its strategic role by providing information on specific actions and projects that aim to ensure the administration continues to improve and best serve all stakeholders’ needs.</w:t>
      </w:r>
    </w:p>
    <w:p w14:paraId="02FA3068" w14:textId="77777777" w:rsidR="00A77E6C" w:rsidRDefault="00A77E6C" w:rsidP="00A77E6C">
      <w:pPr>
        <w:pStyle w:val="DeptBullets"/>
        <w:numPr>
          <w:ilvl w:val="0"/>
          <w:numId w:val="0"/>
        </w:numPr>
        <w:spacing w:after="0"/>
        <w:rPr>
          <w:rFonts w:cs="Arial"/>
          <w:szCs w:val="24"/>
        </w:rPr>
      </w:pPr>
    </w:p>
    <w:p w14:paraId="531FC625" w14:textId="63DE7E04" w:rsidR="00A77E6C" w:rsidRPr="007B367A" w:rsidRDefault="00E57146" w:rsidP="00A77E6C">
      <w:pPr>
        <w:pStyle w:val="DeptBullets"/>
        <w:numPr>
          <w:ilvl w:val="0"/>
          <w:numId w:val="0"/>
        </w:numPr>
        <w:spacing w:after="0"/>
        <w:rPr>
          <w:rFonts w:cs="Arial"/>
          <w:szCs w:val="24"/>
        </w:rPr>
      </w:pPr>
      <w:r>
        <w:rPr>
          <w:rFonts w:cs="Arial"/>
          <w:szCs w:val="24"/>
        </w:rPr>
        <w:t>T</w:t>
      </w:r>
      <w:r w:rsidR="00A77E6C">
        <w:rPr>
          <w:rFonts w:cs="Arial"/>
          <w:szCs w:val="24"/>
        </w:rPr>
        <w:t>he TPS contract year commences from 1October</w:t>
      </w:r>
      <w:r>
        <w:rPr>
          <w:rFonts w:cs="Arial"/>
          <w:szCs w:val="24"/>
        </w:rPr>
        <w:t xml:space="preserve"> so the </w:t>
      </w:r>
      <w:r w:rsidR="00A77E6C">
        <w:rPr>
          <w:rFonts w:cs="Arial"/>
          <w:szCs w:val="24"/>
        </w:rPr>
        <w:t>performance reported in this quarter spans both contract year 7 (1</w:t>
      </w:r>
      <w:r w:rsidR="00563116">
        <w:rPr>
          <w:rFonts w:cs="Arial"/>
          <w:szCs w:val="24"/>
        </w:rPr>
        <w:t xml:space="preserve"> </w:t>
      </w:r>
      <w:r w:rsidR="00A77E6C">
        <w:rPr>
          <w:rFonts w:cs="Arial"/>
          <w:szCs w:val="24"/>
        </w:rPr>
        <w:t>October 2017 to 30</w:t>
      </w:r>
      <w:r w:rsidR="00A77E6C" w:rsidRPr="00A77E6C">
        <w:rPr>
          <w:rFonts w:cs="Arial"/>
          <w:szCs w:val="24"/>
          <w:vertAlign w:val="superscript"/>
        </w:rPr>
        <w:t>th</w:t>
      </w:r>
      <w:r w:rsidR="00A77E6C">
        <w:rPr>
          <w:rFonts w:cs="Arial"/>
          <w:szCs w:val="24"/>
        </w:rPr>
        <w:t xml:space="preserve"> September 2018) and Contract Year 8; this will be highlighted in the report narratives.</w:t>
      </w:r>
    </w:p>
    <w:p w14:paraId="05015469" w14:textId="77777777" w:rsidR="00F80F6E" w:rsidRDefault="00F80F6E" w:rsidP="00761B0A">
      <w:pPr>
        <w:rPr>
          <w:rFonts w:cs="Arial"/>
          <w:b/>
          <w:szCs w:val="24"/>
        </w:rPr>
      </w:pPr>
    </w:p>
    <w:p w14:paraId="1F0FF7E5" w14:textId="77777777" w:rsidR="00F80F6E" w:rsidRDefault="00761B0A" w:rsidP="00F80F6E">
      <w:pPr>
        <w:rPr>
          <w:rFonts w:cs="Arial"/>
          <w:b/>
          <w:szCs w:val="24"/>
        </w:rPr>
      </w:pPr>
      <w:r>
        <w:rPr>
          <w:rFonts w:cs="Arial"/>
          <w:b/>
          <w:szCs w:val="24"/>
        </w:rPr>
        <w:t>Service update</w:t>
      </w:r>
    </w:p>
    <w:p w14:paraId="42A5C510" w14:textId="77777777" w:rsidR="00F80F6E" w:rsidRDefault="00F80F6E" w:rsidP="00F80F6E">
      <w:pPr>
        <w:pStyle w:val="ListParagraph"/>
        <w:ind w:left="284"/>
        <w:rPr>
          <w:rFonts w:cs="Arial"/>
          <w:szCs w:val="24"/>
        </w:rPr>
      </w:pPr>
    </w:p>
    <w:p w14:paraId="6C85CB7B" w14:textId="77777777" w:rsidR="00F80F6E" w:rsidRDefault="00F80F6E" w:rsidP="00F80F6E">
      <w:pPr>
        <w:pStyle w:val="ListParagraph"/>
        <w:numPr>
          <w:ilvl w:val="0"/>
          <w:numId w:val="6"/>
        </w:numPr>
        <w:ind w:left="284" w:hanging="426"/>
        <w:rPr>
          <w:rFonts w:cs="Arial"/>
          <w:szCs w:val="24"/>
        </w:rPr>
      </w:pPr>
      <w:r>
        <w:rPr>
          <w:rFonts w:cs="Arial"/>
          <w:szCs w:val="24"/>
        </w:rPr>
        <w:t xml:space="preserve">Teachers’ Pensions (TP) successfully achieved the 6 October deadline for the Annual Allowance (AA) exercise to issue Pension Saving Statements. </w:t>
      </w:r>
    </w:p>
    <w:p w14:paraId="63DC1143" w14:textId="77777777" w:rsidR="00761B0A" w:rsidRPr="00761B0A" w:rsidRDefault="00761B0A" w:rsidP="00761B0A">
      <w:pPr>
        <w:rPr>
          <w:rFonts w:cs="Arial"/>
          <w:szCs w:val="24"/>
        </w:rPr>
      </w:pPr>
    </w:p>
    <w:p w14:paraId="0C8F209E" w14:textId="77777777" w:rsidR="00761B0A" w:rsidRDefault="00761B0A" w:rsidP="00761B0A">
      <w:pPr>
        <w:pStyle w:val="ListParagraph"/>
        <w:numPr>
          <w:ilvl w:val="0"/>
          <w:numId w:val="6"/>
        </w:numPr>
        <w:ind w:left="284" w:hanging="426"/>
        <w:rPr>
          <w:rFonts w:cs="Arial"/>
          <w:szCs w:val="24"/>
        </w:rPr>
      </w:pPr>
      <w:r>
        <w:rPr>
          <w:rFonts w:cs="Arial"/>
          <w:szCs w:val="24"/>
        </w:rPr>
        <w:t>Excellent results were achieved with respect to the Summer Retirement Exercise, with all members paid as of 1 September 2018.  The total volume of retirements processed was 11,412.</w:t>
      </w:r>
    </w:p>
    <w:p w14:paraId="69E308BD" w14:textId="77777777" w:rsidR="00761B0A" w:rsidRDefault="00761B0A" w:rsidP="00761B0A">
      <w:pPr>
        <w:rPr>
          <w:rFonts w:cs="Arial"/>
          <w:b/>
          <w:szCs w:val="24"/>
        </w:rPr>
      </w:pPr>
    </w:p>
    <w:p w14:paraId="45D33578" w14:textId="77777777" w:rsidR="00761B0A" w:rsidRDefault="00761B0A" w:rsidP="00761B0A">
      <w:pPr>
        <w:rPr>
          <w:rFonts w:cs="Arial"/>
          <w:szCs w:val="24"/>
        </w:rPr>
      </w:pPr>
      <w:r w:rsidRPr="00761B0A">
        <w:rPr>
          <w:rFonts w:cs="Arial"/>
          <w:b/>
          <w:szCs w:val="24"/>
        </w:rPr>
        <w:t xml:space="preserve">Bereavement </w:t>
      </w:r>
    </w:p>
    <w:p w14:paraId="52B70B45" w14:textId="77777777" w:rsidR="00761B0A" w:rsidRPr="00761B0A" w:rsidRDefault="00761B0A" w:rsidP="00761B0A">
      <w:pPr>
        <w:rPr>
          <w:rFonts w:cs="Arial"/>
          <w:szCs w:val="24"/>
        </w:rPr>
      </w:pPr>
    </w:p>
    <w:p w14:paraId="53382544" w14:textId="2EDB22C2" w:rsidR="00EF47E6" w:rsidRPr="007B367A" w:rsidRDefault="00761B0A" w:rsidP="00A77E6C">
      <w:pPr>
        <w:pStyle w:val="ListParagraph"/>
        <w:numPr>
          <w:ilvl w:val="0"/>
          <w:numId w:val="6"/>
        </w:numPr>
        <w:ind w:left="284" w:hanging="426"/>
        <w:rPr>
          <w:rFonts w:cs="Arial"/>
          <w:szCs w:val="24"/>
        </w:rPr>
      </w:pPr>
      <w:r>
        <w:rPr>
          <w:rFonts w:cs="Arial"/>
          <w:szCs w:val="24"/>
        </w:rPr>
        <w:t xml:space="preserve">TP </w:t>
      </w:r>
      <w:r w:rsidR="00F75037">
        <w:rPr>
          <w:rFonts w:cs="Arial"/>
          <w:szCs w:val="24"/>
        </w:rPr>
        <w:t>is</w:t>
      </w:r>
      <w:r w:rsidR="00203EE7" w:rsidRPr="007B367A">
        <w:rPr>
          <w:rFonts w:cs="Arial"/>
          <w:szCs w:val="24"/>
        </w:rPr>
        <w:t xml:space="preserve"> </w:t>
      </w:r>
      <w:r w:rsidR="00E57146">
        <w:rPr>
          <w:rFonts w:cs="Arial"/>
          <w:szCs w:val="24"/>
        </w:rPr>
        <w:t>clearing</w:t>
      </w:r>
      <w:r w:rsidR="00203EE7" w:rsidRPr="007B367A">
        <w:rPr>
          <w:rFonts w:cs="Arial"/>
          <w:szCs w:val="24"/>
        </w:rPr>
        <w:t xml:space="preserve"> business as usual (BAU) cases in </w:t>
      </w:r>
      <w:r w:rsidR="0026321D">
        <w:rPr>
          <w:rFonts w:cs="Arial"/>
          <w:szCs w:val="24"/>
        </w:rPr>
        <w:t>line with SLA expectations</w:t>
      </w:r>
      <w:r w:rsidR="00203EE7" w:rsidRPr="007B367A">
        <w:rPr>
          <w:rFonts w:cs="Arial"/>
          <w:szCs w:val="24"/>
        </w:rPr>
        <w:t xml:space="preserve">.  There are </w:t>
      </w:r>
      <w:r w:rsidR="00531D25" w:rsidRPr="00531D25">
        <w:rPr>
          <w:rFonts w:cs="Arial"/>
          <w:szCs w:val="24"/>
        </w:rPr>
        <w:t>1,224</w:t>
      </w:r>
      <w:r w:rsidR="00203EE7" w:rsidRPr="00531D25">
        <w:rPr>
          <w:rFonts w:cs="Arial"/>
          <w:szCs w:val="24"/>
        </w:rPr>
        <w:t xml:space="preserve"> </w:t>
      </w:r>
      <w:r w:rsidR="00203EE7" w:rsidRPr="007B367A">
        <w:rPr>
          <w:rFonts w:cs="Arial"/>
          <w:szCs w:val="24"/>
        </w:rPr>
        <w:t xml:space="preserve">outstanding cases across the SLA; </w:t>
      </w:r>
      <w:r w:rsidR="00531D25">
        <w:rPr>
          <w:rFonts w:cs="Arial"/>
          <w:szCs w:val="24"/>
        </w:rPr>
        <w:t xml:space="preserve">650 </w:t>
      </w:r>
      <w:r w:rsidR="00E57146">
        <w:rPr>
          <w:rFonts w:cs="Arial"/>
          <w:szCs w:val="24"/>
        </w:rPr>
        <w:t xml:space="preserve">of those </w:t>
      </w:r>
      <w:r w:rsidR="00A61B28">
        <w:rPr>
          <w:rFonts w:cs="Arial"/>
          <w:szCs w:val="24"/>
        </w:rPr>
        <w:t xml:space="preserve">are </w:t>
      </w:r>
      <w:r w:rsidR="001F7D71">
        <w:rPr>
          <w:rFonts w:cs="Arial"/>
          <w:szCs w:val="24"/>
        </w:rPr>
        <w:t>cases</w:t>
      </w:r>
      <w:r w:rsidR="00A61B28">
        <w:rPr>
          <w:rFonts w:cs="Arial"/>
          <w:szCs w:val="24"/>
        </w:rPr>
        <w:t xml:space="preserve"> where we </w:t>
      </w:r>
      <w:r w:rsidR="001F7D71">
        <w:rPr>
          <w:rFonts w:cs="Arial"/>
          <w:szCs w:val="24"/>
        </w:rPr>
        <w:t>require</w:t>
      </w:r>
      <w:r w:rsidR="00203EE7" w:rsidRPr="007B367A">
        <w:rPr>
          <w:rFonts w:cs="Arial"/>
          <w:szCs w:val="24"/>
        </w:rPr>
        <w:t xml:space="preserve"> further information</w:t>
      </w:r>
      <w:r w:rsidR="00F75037">
        <w:rPr>
          <w:rFonts w:cs="Arial"/>
          <w:szCs w:val="24"/>
        </w:rPr>
        <w:t>,</w:t>
      </w:r>
      <w:r w:rsidR="00203EE7" w:rsidRPr="007B367A">
        <w:rPr>
          <w:rFonts w:cs="Arial"/>
          <w:szCs w:val="24"/>
        </w:rPr>
        <w:t xml:space="preserve"> </w:t>
      </w:r>
      <w:r w:rsidR="00A61B28">
        <w:rPr>
          <w:rFonts w:cs="Arial"/>
          <w:szCs w:val="24"/>
        </w:rPr>
        <w:t>which has been asked for</w:t>
      </w:r>
      <w:r w:rsidR="00203EE7" w:rsidRPr="007B367A">
        <w:rPr>
          <w:rFonts w:cs="Arial"/>
          <w:szCs w:val="24"/>
        </w:rPr>
        <w:t>, the</w:t>
      </w:r>
      <w:r w:rsidR="00A61B28">
        <w:rPr>
          <w:rFonts w:cs="Arial"/>
          <w:szCs w:val="24"/>
        </w:rPr>
        <w:t xml:space="preserve"> remainder have been reviewed through the triag</w:t>
      </w:r>
      <w:r w:rsidR="00203EE7" w:rsidRPr="007B367A">
        <w:rPr>
          <w:rFonts w:cs="Arial"/>
          <w:szCs w:val="24"/>
        </w:rPr>
        <w:t xml:space="preserve">e </w:t>
      </w:r>
      <w:r w:rsidR="00A61B28">
        <w:rPr>
          <w:rFonts w:cs="Arial"/>
          <w:szCs w:val="24"/>
        </w:rPr>
        <w:t>arrangements in place and are being dealt within on a priority order basis</w:t>
      </w:r>
      <w:r w:rsidR="00203EE7" w:rsidRPr="007B367A">
        <w:rPr>
          <w:rFonts w:cs="Arial"/>
          <w:szCs w:val="24"/>
        </w:rPr>
        <w:t xml:space="preserve">.  </w:t>
      </w:r>
      <w:r w:rsidR="00EF47E6" w:rsidRPr="007B367A">
        <w:rPr>
          <w:rFonts w:cs="Arial"/>
          <w:szCs w:val="24"/>
        </w:rPr>
        <w:t>TP.1.038 issue refers.</w:t>
      </w:r>
    </w:p>
    <w:p w14:paraId="2BFA7B52" w14:textId="77777777" w:rsidR="00203EE7" w:rsidRPr="007B367A" w:rsidRDefault="00203EE7" w:rsidP="00A77E6C">
      <w:pPr>
        <w:pStyle w:val="ListParagraph"/>
        <w:ind w:left="284"/>
        <w:rPr>
          <w:rFonts w:cs="Arial"/>
          <w:szCs w:val="24"/>
        </w:rPr>
      </w:pPr>
    </w:p>
    <w:p w14:paraId="4359B58E" w14:textId="77777777" w:rsidR="006C4C86" w:rsidRPr="007B367A" w:rsidRDefault="00203EE7" w:rsidP="00A77E6C">
      <w:pPr>
        <w:pStyle w:val="ListParagraph"/>
        <w:numPr>
          <w:ilvl w:val="0"/>
          <w:numId w:val="6"/>
        </w:numPr>
        <w:ind w:left="284"/>
        <w:rPr>
          <w:rFonts w:cs="Arial"/>
          <w:szCs w:val="24"/>
        </w:rPr>
      </w:pPr>
      <w:r w:rsidRPr="007B367A">
        <w:rPr>
          <w:rFonts w:cs="Arial"/>
          <w:szCs w:val="24"/>
        </w:rPr>
        <w:t xml:space="preserve">August, </w:t>
      </w:r>
      <w:r w:rsidR="00A61B28">
        <w:rPr>
          <w:rFonts w:cs="Arial"/>
          <w:szCs w:val="24"/>
        </w:rPr>
        <w:t xml:space="preserve">saw a further </w:t>
      </w:r>
      <w:r w:rsidRPr="007B367A">
        <w:rPr>
          <w:rFonts w:cs="Arial"/>
          <w:szCs w:val="24"/>
        </w:rPr>
        <w:t>4% incre</w:t>
      </w:r>
      <w:r w:rsidR="00567C76">
        <w:rPr>
          <w:rFonts w:cs="Arial"/>
          <w:szCs w:val="24"/>
        </w:rPr>
        <w:t xml:space="preserve">ase in death </w:t>
      </w:r>
      <w:r w:rsidR="00A61B28">
        <w:rPr>
          <w:rFonts w:cs="Arial"/>
          <w:szCs w:val="24"/>
        </w:rPr>
        <w:t>notification</w:t>
      </w:r>
      <w:r w:rsidR="00567C76">
        <w:rPr>
          <w:rFonts w:cs="Arial"/>
          <w:szCs w:val="24"/>
        </w:rPr>
        <w:t>s and</w:t>
      </w:r>
      <w:r w:rsidRPr="007B367A">
        <w:rPr>
          <w:rFonts w:cs="Arial"/>
          <w:szCs w:val="24"/>
        </w:rPr>
        <w:t xml:space="preserve"> </w:t>
      </w:r>
      <w:r w:rsidR="00C219AD">
        <w:rPr>
          <w:rFonts w:cs="Arial"/>
          <w:szCs w:val="24"/>
        </w:rPr>
        <w:t xml:space="preserve">based on historical </w:t>
      </w:r>
      <w:r w:rsidR="00A61B28">
        <w:rPr>
          <w:rFonts w:cs="Arial"/>
          <w:szCs w:val="24"/>
        </w:rPr>
        <w:t xml:space="preserve">trends this is likely to continue through the winter </w:t>
      </w:r>
      <w:r w:rsidR="00C219AD">
        <w:rPr>
          <w:rFonts w:cs="Arial"/>
          <w:szCs w:val="24"/>
        </w:rPr>
        <w:t>months</w:t>
      </w:r>
      <w:r w:rsidR="00A61B28">
        <w:rPr>
          <w:rFonts w:cs="Arial"/>
          <w:szCs w:val="24"/>
        </w:rPr>
        <w:t xml:space="preserve"> meaning activity here is likely to remain higher than expected</w:t>
      </w:r>
      <w:r w:rsidR="00567C76">
        <w:rPr>
          <w:rFonts w:cs="Arial"/>
          <w:szCs w:val="24"/>
        </w:rPr>
        <w:t>.</w:t>
      </w:r>
    </w:p>
    <w:p w14:paraId="6396EE56" w14:textId="77777777" w:rsidR="006C4C86" w:rsidRPr="007B367A" w:rsidRDefault="006C4C86" w:rsidP="00A77E6C">
      <w:pPr>
        <w:pStyle w:val="ListParagraph"/>
        <w:rPr>
          <w:rFonts w:cs="Arial"/>
          <w:szCs w:val="24"/>
        </w:rPr>
      </w:pPr>
    </w:p>
    <w:p w14:paraId="30424CB5" w14:textId="77777777" w:rsidR="00EF47E6" w:rsidRPr="007B367A" w:rsidRDefault="00A61B28" w:rsidP="00A77E6C">
      <w:pPr>
        <w:pStyle w:val="ListParagraph"/>
        <w:numPr>
          <w:ilvl w:val="0"/>
          <w:numId w:val="6"/>
        </w:numPr>
        <w:ind w:left="284"/>
        <w:rPr>
          <w:rFonts w:cs="Arial"/>
          <w:szCs w:val="24"/>
        </w:rPr>
      </w:pPr>
      <w:r>
        <w:rPr>
          <w:rFonts w:cs="Arial"/>
          <w:szCs w:val="24"/>
        </w:rPr>
        <w:t xml:space="preserve">Overall </w:t>
      </w:r>
      <w:r w:rsidR="006C4C86" w:rsidRPr="007B367A">
        <w:rPr>
          <w:rFonts w:cs="Arial"/>
          <w:szCs w:val="24"/>
        </w:rPr>
        <w:t>SLA performance i</w:t>
      </w:r>
      <w:r w:rsidR="00E57146">
        <w:rPr>
          <w:rFonts w:cs="Arial"/>
          <w:szCs w:val="24"/>
        </w:rPr>
        <w:t>s</w:t>
      </w:r>
      <w:r w:rsidR="006C4C86" w:rsidRPr="007B367A">
        <w:rPr>
          <w:rFonts w:cs="Arial"/>
          <w:szCs w:val="24"/>
        </w:rPr>
        <w:t xml:space="preserve"> generally good, with 4a </w:t>
      </w:r>
      <w:r w:rsidR="00EF47E6" w:rsidRPr="007B367A">
        <w:rPr>
          <w:rFonts w:cs="Arial"/>
          <w:szCs w:val="24"/>
        </w:rPr>
        <w:t>Death/Ill Health – initial contact/assessment of benefit</w:t>
      </w:r>
      <w:r w:rsidR="00E57146">
        <w:rPr>
          <w:rFonts w:cs="Arial"/>
          <w:szCs w:val="24"/>
        </w:rPr>
        <w:t xml:space="preserve"> -</w:t>
      </w:r>
      <w:r w:rsidR="006C4C86" w:rsidRPr="007B367A">
        <w:rPr>
          <w:rFonts w:cs="Arial"/>
          <w:szCs w:val="24"/>
        </w:rPr>
        <w:t xml:space="preserve"> achieving an average of </w:t>
      </w:r>
      <w:r w:rsidR="00531D25">
        <w:rPr>
          <w:rFonts w:cs="Arial"/>
          <w:szCs w:val="24"/>
        </w:rPr>
        <w:t>99.89</w:t>
      </w:r>
      <w:r w:rsidR="006C4C86" w:rsidRPr="00531D25">
        <w:rPr>
          <w:rFonts w:cs="Arial"/>
          <w:szCs w:val="24"/>
        </w:rPr>
        <w:t xml:space="preserve">% </w:t>
      </w:r>
      <w:r w:rsidR="006C4C86" w:rsidRPr="007B367A">
        <w:rPr>
          <w:rFonts w:cs="Arial"/>
          <w:szCs w:val="24"/>
        </w:rPr>
        <w:t xml:space="preserve">over the quarter. There are </w:t>
      </w:r>
      <w:r w:rsidR="00531D25">
        <w:rPr>
          <w:rFonts w:cs="Arial"/>
          <w:szCs w:val="24"/>
        </w:rPr>
        <w:t>6</w:t>
      </w:r>
      <w:r w:rsidR="006C4C86" w:rsidRPr="00531D25">
        <w:rPr>
          <w:rFonts w:cs="Arial"/>
          <w:szCs w:val="24"/>
        </w:rPr>
        <w:t xml:space="preserve"> </w:t>
      </w:r>
      <w:r w:rsidR="006C4C86" w:rsidRPr="007B367A">
        <w:rPr>
          <w:rFonts w:cs="Arial"/>
          <w:szCs w:val="24"/>
        </w:rPr>
        <w:t xml:space="preserve">outstanding cases, which are all awaiting further information </w:t>
      </w:r>
      <w:r w:rsidR="00E57146">
        <w:rPr>
          <w:rFonts w:cs="Arial"/>
          <w:szCs w:val="24"/>
        </w:rPr>
        <w:t xml:space="preserve">from a </w:t>
      </w:r>
      <w:r w:rsidR="00E57146" w:rsidRPr="007B367A">
        <w:rPr>
          <w:rFonts w:cs="Arial"/>
          <w:szCs w:val="24"/>
        </w:rPr>
        <w:t>3</w:t>
      </w:r>
      <w:r w:rsidR="00E57146" w:rsidRPr="007B367A">
        <w:rPr>
          <w:rFonts w:cs="Arial"/>
          <w:szCs w:val="24"/>
          <w:vertAlign w:val="superscript"/>
        </w:rPr>
        <w:t>rd</w:t>
      </w:r>
      <w:r w:rsidR="00E57146" w:rsidRPr="007B367A">
        <w:rPr>
          <w:rFonts w:cs="Arial"/>
          <w:szCs w:val="24"/>
        </w:rPr>
        <w:t xml:space="preserve"> party </w:t>
      </w:r>
      <w:r w:rsidR="006C4C86" w:rsidRPr="007B367A">
        <w:rPr>
          <w:rFonts w:cs="Arial"/>
          <w:szCs w:val="24"/>
        </w:rPr>
        <w:t>(</w:t>
      </w:r>
      <w:r w:rsidR="00E87051">
        <w:rPr>
          <w:rFonts w:cs="Arial"/>
          <w:szCs w:val="24"/>
        </w:rPr>
        <w:t>e.g.</w:t>
      </w:r>
      <w:r w:rsidR="00E57146">
        <w:rPr>
          <w:rFonts w:cs="Arial"/>
          <w:szCs w:val="24"/>
        </w:rPr>
        <w:t xml:space="preserve"> </w:t>
      </w:r>
      <w:r w:rsidR="006C4C86" w:rsidRPr="007B367A">
        <w:rPr>
          <w:rFonts w:cs="Arial"/>
          <w:szCs w:val="24"/>
        </w:rPr>
        <w:t xml:space="preserve">employer, spouse, </w:t>
      </w:r>
      <w:r w:rsidR="00E87051" w:rsidRPr="007B367A">
        <w:rPr>
          <w:rFonts w:cs="Arial"/>
          <w:szCs w:val="24"/>
        </w:rPr>
        <w:t>and probate</w:t>
      </w:r>
      <w:r w:rsidR="006C4C86" w:rsidRPr="007B367A">
        <w:rPr>
          <w:rFonts w:cs="Arial"/>
          <w:szCs w:val="24"/>
        </w:rPr>
        <w:t>).</w:t>
      </w:r>
      <w:r w:rsidR="00EF47E6" w:rsidRPr="007B367A">
        <w:rPr>
          <w:rFonts w:cs="Arial"/>
          <w:szCs w:val="24"/>
        </w:rPr>
        <w:t xml:space="preserve">  </w:t>
      </w:r>
    </w:p>
    <w:p w14:paraId="7A859211" w14:textId="77777777" w:rsidR="006C4C86" w:rsidRPr="007B367A" w:rsidRDefault="006C4C86" w:rsidP="00A77E6C">
      <w:pPr>
        <w:pStyle w:val="ListParagraph"/>
        <w:rPr>
          <w:rFonts w:cs="Arial"/>
          <w:szCs w:val="24"/>
        </w:rPr>
      </w:pPr>
    </w:p>
    <w:p w14:paraId="71419FF7" w14:textId="491337D3" w:rsidR="006C4C86" w:rsidRPr="007B367A" w:rsidRDefault="006C4C86" w:rsidP="00A77E6C">
      <w:pPr>
        <w:pStyle w:val="ListParagraph"/>
        <w:numPr>
          <w:ilvl w:val="0"/>
          <w:numId w:val="6"/>
        </w:numPr>
        <w:ind w:left="284"/>
        <w:rPr>
          <w:rFonts w:cs="Arial"/>
          <w:szCs w:val="24"/>
        </w:rPr>
      </w:pPr>
      <w:r w:rsidRPr="007B367A">
        <w:rPr>
          <w:rFonts w:cs="Arial"/>
          <w:szCs w:val="24"/>
        </w:rPr>
        <w:t xml:space="preserve">SLA4b </w:t>
      </w:r>
      <w:r w:rsidR="00EF47E6" w:rsidRPr="007B367A">
        <w:rPr>
          <w:rFonts w:cs="Arial"/>
          <w:szCs w:val="24"/>
        </w:rPr>
        <w:t>Death/Ill Health benefit payments (continuing entitlement)</w:t>
      </w:r>
      <w:r w:rsidRPr="007B367A">
        <w:rPr>
          <w:rFonts w:cs="Arial"/>
          <w:szCs w:val="24"/>
        </w:rPr>
        <w:t xml:space="preserve"> has achieved an average of </w:t>
      </w:r>
      <w:r w:rsidR="008F7480" w:rsidRPr="008F7480">
        <w:rPr>
          <w:rFonts w:cs="Arial"/>
          <w:szCs w:val="24"/>
        </w:rPr>
        <w:t>82.88%</w:t>
      </w:r>
      <w:r w:rsidRPr="008F7480">
        <w:rPr>
          <w:rFonts w:cs="Arial"/>
          <w:szCs w:val="24"/>
        </w:rPr>
        <w:t xml:space="preserve"> </w:t>
      </w:r>
      <w:r w:rsidRPr="007B367A">
        <w:rPr>
          <w:rFonts w:cs="Arial"/>
          <w:szCs w:val="24"/>
        </w:rPr>
        <w:t xml:space="preserve">over the quarter.  There are </w:t>
      </w:r>
      <w:r w:rsidR="008F7480">
        <w:rPr>
          <w:rFonts w:cs="Arial"/>
          <w:szCs w:val="24"/>
        </w:rPr>
        <w:t xml:space="preserve">278 outstanding cases, of </w:t>
      </w:r>
      <w:r w:rsidRPr="007B367A">
        <w:rPr>
          <w:rFonts w:cs="Arial"/>
          <w:szCs w:val="24"/>
        </w:rPr>
        <w:t xml:space="preserve">which  </w:t>
      </w:r>
      <w:r w:rsidR="008F7480">
        <w:rPr>
          <w:rFonts w:cs="Arial"/>
          <w:szCs w:val="24"/>
        </w:rPr>
        <w:t>104 are</w:t>
      </w:r>
      <w:r w:rsidRPr="007B367A">
        <w:rPr>
          <w:rFonts w:cs="Arial"/>
          <w:szCs w:val="24"/>
        </w:rPr>
        <w:t xml:space="preserve"> awaiting further information</w:t>
      </w:r>
      <w:r w:rsidR="00E57146" w:rsidRPr="00E57146">
        <w:rPr>
          <w:rFonts w:cs="Arial"/>
          <w:szCs w:val="24"/>
        </w:rPr>
        <w:t xml:space="preserve"> </w:t>
      </w:r>
      <w:r w:rsidR="00E57146">
        <w:rPr>
          <w:rFonts w:cs="Arial"/>
          <w:szCs w:val="24"/>
        </w:rPr>
        <w:t xml:space="preserve">from a </w:t>
      </w:r>
      <w:r w:rsidR="00E57146" w:rsidRPr="007B367A">
        <w:rPr>
          <w:rFonts w:cs="Arial"/>
          <w:szCs w:val="24"/>
        </w:rPr>
        <w:t>3</w:t>
      </w:r>
      <w:r w:rsidR="00E57146" w:rsidRPr="007B367A">
        <w:rPr>
          <w:rFonts w:cs="Arial"/>
          <w:szCs w:val="24"/>
          <w:vertAlign w:val="superscript"/>
        </w:rPr>
        <w:t>rd</w:t>
      </w:r>
      <w:r w:rsidR="00E57146" w:rsidRPr="007B367A">
        <w:rPr>
          <w:rFonts w:cs="Arial"/>
          <w:szCs w:val="24"/>
        </w:rPr>
        <w:t xml:space="preserve"> party</w:t>
      </w:r>
      <w:r w:rsidRPr="007B367A">
        <w:rPr>
          <w:rFonts w:cs="Arial"/>
          <w:szCs w:val="24"/>
        </w:rPr>
        <w:t>.</w:t>
      </w:r>
      <w:r w:rsidR="00F75037">
        <w:rPr>
          <w:rFonts w:cs="Arial"/>
          <w:szCs w:val="24"/>
        </w:rPr>
        <w:t xml:space="preserve">  TP is </w:t>
      </w:r>
      <w:r w:rsidR="00914BC2" w:rsidRPr="007B367A">
        <w:rPr>
          <w:rFonts w:cs="Arial"/>
          <w:szCs w:val="24"/>
        </w:rPr>
        <w:t>maintaining the BAU cases, but as aged cases are closed, these are impacting on SLA performance.</w:t>
      </w:r>
    </w:p>
    <w:p w14:paraId="7DA2C86E" w14:textId="77777777" w:rsidR="006C4C86" w:rsidRPr="007B367A" w:rsidRDefault="006C4C86" w:rsidP="00A77E6C">
      <w:pPr>
        <w:pStyle w:val="ListParagraph"/>
        <w:rPr>
          <w:rFonts w:cs="Arial"/>
          <w:szCs w:val="24"/>
        </w:rPr>
      </w:pPr>
    </w:p>
    <w:p w14:paraId="68F00DFB" w14:textId="77777777" w:rsidR="006C4C86" w:rsidRPr="008838C2" w:rsidRDefault="006C4C86" w:rsidP="00A77E6C">
      <w:pPr>
        <w:pStyle w:val="ListParagraph"/>
        <w:numPr>
          <w:ilvl w:val="0"/>
          <w:numId w:val="6"/>
        </w:numPr>
        <w:ind w:left="284"/>
        <w:rPr>
          <w:rFonts w:cs="Arial"/>
          <w:szCs w:val="24"/>
        </w:rPr>
      </w:pPr>
      <w:r w:rsidRPr="007B367A">
        <w:rPr>
          <w:rFonts w:cs="Arial"/>
          <w:szCs w:val="24"/>
        </w:rPr>
        <w:t>SLA</w:t>
      </w:r>
      <w:r w:rsidR="00EF47E6" w:rsidRPr="007B367A">
        <w:rPr>
          <w:rFonts w:cs="Arial"/>
          <w:szCs w:val="24"/>
        </w:rPr>
        <w:t>4c:  Death/Ill Health benefit payments (no continuing entitlement</w:t>
      </w:r>
      <w:r w:rsidR="00E57146">
        <w:rPr>
          <w:rFonts w:cs="Arial"/>
          <w:szCs w:val="24"/>
        </w:rPr>
        <w:t>)</w:t>
      </w:r>
      <w:r w:rsidRPr="007B367A">
        <w:rPr>
          <w:rFonts w:cs="Arial"/>
          <w:szCs w:val="24"/>
        </w:rPr>
        <w:t xml:space="preserve"> has achieved an average of </w:t>
      </w:r>
      <w:r w:rsidR="008838C2">
        <w:rPr>
          <w:rFonts w:cs="Arial"/>
          <w:szCs w:val="24"/>
        </w:rPr>
        <w:t>92.98</w:t>
      </w:r>
      <w:r w:rsidRPr="008838C2">
        <w:rPr>
          <w:rFonts w:cs="Arial"/>
          <w:szCs w:val="24"/>
        </w:rPr>
        <w:t xml:space="preserve">% over the quarter.  There are </w:t>
      </w:r>
      <w:r w:rsidR="008838C2">
        <w:rPr>
          <w:rFonts w:cs="Arial"/>
          <w:szCs w:val="24"/>
        </w:rPr>
        <w:t xml:space="preserve">940 outstanding cases, of </w:t>
      </w:r>
      <w:r w:rsidRPr="008838C2">
        <w:rPr>
          <w:rFonts w:cs="Arial"/>
          <w:szCs w:val="24"/>
        </w:rPr>
        <w:t>which</w:t>
      </w:r>
      <w:r w:rsidR="008838C2">
        <w:rPr>
          <w:rFonts w:cs="Arial"/>
          <w:szCs w:val="24"/>
        </w:rPr>
        <w:t>, 540</w:t>
      </w:r>
      <w:r w:rsidR="00E57146">
        <w:rPr>
          <w:rFonts w:cs="Arial"/>
          <w:szCs w:val="24"/>
        </w:rPr>
        <w:t xml:space="preserve"> </w:t>
      </w:r>
      <w:r w:rsidR="008838C2">
        <w:rPr>
          <w:rFonts w:cs="Arial"/>
          <w:szCs w:val="24"/>
        </w:rPr>
        <w:t>cases</w:t>
      </w:r>
      <w:r w:rsidRPr="008838C2">
        <w:rPr>
          <w:rFonts w:cs="Arial"/>
          <w:szCs w:val="24"/>
        </w:rPr>
        <w:t xml:space="preserve"> </w:t>
      </w:r>
      <w:r w:rsidR="00E87051" w:rsidRPr="008838C2">
        <w:rPr>
          <w:rFonts w:cs="Arial"/>
          <w:szCs w:val="24"/>
        </w:rPr>
        <w:t>are,</w:t>
      </w:r>
      <w:r w:rsidRPr="008838C2">
        <w:rPr>
          <w:rFonts w:cs="Arial"/>
          <w:szCs w:val="24"/>
        </w:rPr>
        <w:t xml:space="preserve"> awaiting further information</w:t>
      </w:r>
      <w:r w:rsidR="00E57146">
        <w:rPr>
          <w:rFonts w:cs="Arial"/>
          <w:szCs w:val="24"/>
        </w:rPr>
        <w:t xml:space="preserve"> from a </w:t>
      </w:r>
      <w:r w:rsidR="00E57146" w:rsidRPr="008838C2">
        <w:rPr>
          <w:rFonts w:cs="Arial"/>
          <w:szCs w:val="24"/>
        </w:rPr>
        <w:t>3</w:t>
      </w:r>
      <w:r w:rsidR="00E57146" w:rsidRPr="008838C2">
        <w:rPr>
          <w:rFonts w:cs="Arial"/>
          <w:szCs w:val="24"/>
          <w:vertAlign w:val="superscript"/>
        </w:rPr>
        <w:t>rd</w:t>
      </w:r>
      <w:r w:rsidR="00E57146" w:rsidRPr="008838C2">
        <w:rPr>
          <w:rFonts w:cs="Arial"/>
          <w:szCs w:val="24"/>
        </w:rPr>
        <w:t xml:space="preserve"> party</w:t>
      </w:r>
      <w:r w:rsidRPr="008838C2">
        <w:rPr>
          <w:rFonts w:cs="Arial"/>
          <w:szCs w:val="24"/>
        </w:rPr>
        <w:t>.</w:t>
      </w:r>
    </w:p>
    <w:p w14:paraId="5C555749" w14:textId="77777777" w:rsidR="007F6B5A" w:rsidRDefault="007F6B5A" w:rsidP="00A77E6C">
      <w:pPr>
        <w:ind w:left="360"/>
        <w:rPr>
          <w:rFonts w:cs="Arial"/>
          <w:b/>
          <w:szCs w:val="24"/>
        </w:rPr>
      </w:pPr>
    </w:p>
    <w:p w14:paraId="51026416" w14:textId="77777777" w:rsidR="00EF47E6" w:rsidRPr="007B367A" w:rsidRDefault="00A61B28" w:rsidP="00A77E6C">
      <w:pPr>
        <w:ind w:left="360"/>
        <w:rPr>
          <w:rFonts w:cs="Arial"/>
          <w:b/>
          <w:szCs w:val="24"/>
        </w:rPr>
      </w:pPr>
      <w:r>
        <w:rPr>
          <w:rFonts w:cs="Arial"/>
          <w:b/>
          <w:szCs w:val="24"/>
        </w:rPr>
        <w:t>Other i</w:t>
      </w:r>
      <w:r w:rsidR="00EF47E6" w:rsidRPr="007B367A">
        <w:rPr>
          <w:rFonts w:cs="Arial"/>
          <w:b/>
          <w:szCs w:val="24"/>
        </w:rPr>
        <w:t>mpact</w:t>
      </w:r>
      <w:r>
        <w:rPr>
          <w:rFonts w:cs="Arial"/>
          <w:b/>
          <w:szCs w:val="24"/>
        </w:rPr>
        <w:t>s</w:t>
      </w:r>
      <w:r w:rsidR="00EF47E6" w:rsidRPr="007B367A">
        <w:rPr>
          <w:rFonts w:cs="Arial"/>
          <w:b/>
          <w:szCs w:val="24"/>
        </w:rPr>
        <w:t xml:space="preserve"> of increase in members</w:t>
      </w:r>
    </w:p>
    <w:p w14:paraId="63C66E4A" w14:textId="77777777" w:rsidR="00E00D21" w:rsidRPr="00FB5347" w:rsidRDefault="00E00D21" w:rsidP="00FB5347">
      <w:pPr>
        <w:rPr>
          <w:rFonts w:cs="Arial"/>
          <w:szCs w:val="24"/>
        </w:rPr>
      </w:pPr>
    </w:p>
    <w:p w14:paraId="4E8205F7" w14:textId="5B7ECE23" w:rsidR="00FB5347" w:rsidRDefault="00E00D21" w:rsidP="0066666F">
      <w:pPr>
        <w:pStyle w:val="ListParagraph"/>
        <w:numPr>
          <w:ilvl w:val="0"/>
          <w:numId w:val="6"/>
        </w:numPr>
        <w:ind w:hanging="426"/>
        <w:rPr>
          <w:rFonts w:cs="Arial"/>
          <w:szCs w:val="24"/>
        </w:rPr>
      </w:pPr>
      <w:r w:rsidRPr="00FB5347">
        <w:rPr>
          <w:rFonts w:cs="Arial"/>
          <w:szCs w:val="24"/>
        </w:rPr>
        <w:t xml:space="preserve">TP </w:t>
      </w:r>
      <w:r w:rsidR="00F75037">
        <w:rPr>
          <w:rFonts w:cs="Arial"/>
          <w:szCs w:val="24"/>
        </w:rPr>
        <w:t>is</w:t>
      </w:r>
      <w:r w:rsidRPr="00FB5347">
        <w:rPr>
          <w:rFonts w:cs="Arial"/>
          <w:szCs w:val="24"/>
        </w:rPr>
        <w:t xml:space="preserve"> continuing to </w:t>
      </w:r>
      <w:r w:rsidR="00A61B28">
        <w:rPr>
          <w:rFonts w:cs="Arial"/>
          <w:szCs w:val="24"/>
        </w:rPr>
        <w:t>work through outstanding r</w:t>
      </w:r>
      <w:r w:rsidRPr="00FB5347">
        <w:rPr>
          <w:rFonts w:cs="Arial"/>
          <w:szCs w:val="24"/>
        </w:rPr>
        <w:t xml:space="preserve">evisions </w:t>
      </w:r>
      <w:r w:rsidR="00A61B28">
        <w:rPr>
          <w:rFonts w:cs="Arial"/>
          <w:szCs w:val="24"/>
        </w:rPr>
        <w:t>cases, prioritising those where the need for a</w:t>
      </w:r>
      <w:r w:rsidR="0066666F">
        <w:rPr>
          <w:rFonts w:cs="Arial"/>
          <w:szCs w:val="24"/>
        </w:rPr>
        <w:t xml:space="preserve">n amendment </w:t>
      </w:r>
      <w:r w:rsidR="00A61B28">
        <w:rPr>
          <w:rFonts w:cs="Arial"/>
          <w:szCs w:val="24"/>
        </w:rPr>
        <w:t xml:space="preserve">has </w:t>
      </w:r>
      <w:r w:rsidR="0066666F">
        <w:rPr>
          <w:rFonts w:cs="Arial"/>
          <w:szCs w:val="24"/>
        </w:rPr>
        <w:t xml:space="preserve">already </w:t>
      </w:r>
      <w:r w:rsidR="00A61B28">
        <w:rPr>
          <w:rFonts w:cs="Arial"/>
          <w:szCs w:val="24"/>
        </w:rPr>
        <w:t>be</w:t>
      </w:r>
      <w:r w:rsidRPr="00FB5347">
        <w:rPr>
          <w:rFonts w:cs="Arial"/>
          <w:szCs w:val="24"/>
        </w:rPr>
        <w:t>en identified</w:t>
      </w:r>
      <w:r w:rsidR="0066666F">
        <w:rPr>
          <w:rFonts w:cs="Arial"/>
          <w:szCs w:val="24"/>
        </w:rPr>
        <w:t xml:space="preserve">. </w:t>
      </w:r>
    </w:p>
    <w:p w14:paraId="6D2BC2F3" w14:textId="77777777" w:rsidR="0066666F" w:rsidRDefault="0066666F" w:rsidP="0066666F">
      <w:pPr>
        <w:pStyle w:val="ListParagraph"/>
        <w:ind w:left="360"/>
        <w:rPr>
          <w:rFonts w:cs="Arial"/>
          <w:szCs w:val="24"/>
        </w:rPr>
      </w:pPr>
    </w:p>
    <w:p w14:paraId="42E2C589" w14:textId="2622E6D9" w:rsidR="00B26A51" w:rsidRPr="00560544" w:rsidRDefault="00FB5347" w:rsidP="00FB5347">
      <w:pPr>
        <w:pStyle w:val="ListParagraph"/>
        <w:numPr>
          <w:ilvl w:val="0"/>
          <w:numId w:val="6"/>
        </w:numPr>
        <w:rPr>
          <w:rFonts w:cs="Arial"/>
        </w:rPr>
      </w:pPr>
      <w:r w:rsidRPr="00FB5347">
        <w:rPr>
          <w:rFonts w:cs="Arial"/>
        </w:rPr>
        <w:t xml:space="preserve">TP </w:t>
      </w:r>
      <w:r w:rsidR="00F75037">
        <w:rPr>
          <w:rFonts w:cs="Arial"/>
        </w:rPr>
        <w:t>is</w:t>
      </w:r>
      <w:r w:rsidR="0066666F">
        <w:rPr>
          <w:rFonts w:cs="Arial"/>
        </w:rPr>
        <w:t xml:space="preserve"> </w:t>
      </w:r>
      <w:r w:rsidRPr="00FB5347">
        <w:rPr>
          <w:rFonts w:cs="Arial"/>
        </w:rPr>
        <w:t>working o</w:t>
      </w:r>
      <w:r w:rsidR="0066666F">
        <w:rPr>
          <w:rFonts w:cs="Arial"/>
        </w:rPr>
        <w:t>n how best to address the</w:t>
      </w:r>
      <w:r w:rsidRPr="00FB5347">
        <w:rPr>
          <w:rFonts w:cs="Arial"/>
        </w:rPr>
        <w:t xml:space="preserve"> build</w:t>
      </w:r>
      <w:r w:rsidR="0066666F">
        <w:rPr>
          <w:rFonts w:cs="Arial"/>
        </w:rPr>
        <w:t xml:space="preserve">-up of cases in the </w:t>
      </w:r>
      <w:r w:rsidRPr="00FB5347">
        <w:rPr>
          <w:rFonts w:cs="Arial"/>
        </w:rPr>
        <w:t>correspondence area</w:t>
      </w:r>
      <w:r w:rsidR="0066666F">
        <w:rPr>
          <w:rFonts w:cs="Arial"/>
        </w:rPr>
        <w:t xml:space="preserve">.  They are looking to use IT functionality, i.e. character recognition </w:t>
      </w:r>
      <w:r w:rsidRPr="00FB5347">
        <w:rPr>
          <w:rFonts w:cs="Arial"/>
        </w:rPr>
        <w:t>functionality</w:t>
      </w:r>
      <w:r w:rsidR="0066666F">
        <w:rPr>
          <w:rFonts w:cs="Arial"/>
        </w:rPr>
        <w:t>, to prioritise the correspondence received by secure</w:t>
      </w:r>
      <w:r w:rsidRPr="00FB5347">
        <w:rPr>
          <w:rFonts w:cs="Arial"/>
        </w:rPr>
        <w:t xml:space="preserve"> </w:t>
      </w:r>
      <w:r w:rsidR="0066666F">
        <w:rPr>
          <w:rFonts w:cs="Arial"/>
        </w:rPr>
        <w:t xml:space="preserve">mail (email) and </w:t>
      </w:r>
      <w:r w:rsidRPr="00FB5347">
        <w:rPr>
          <w:rFonts w:cs="Arial"/>
        </w:rPr>
        <w:t xml:space="preserve">are conducting sampling to </w:t>
      </w:r>
      <w:r w:rsidR="0066666F">
        <w:rPr>
          <w:rFonts w:cs="Arial"/>
        </w:rPr>
        <w:t>determine exactly w</w:t>
      </w:r>
      <w:r w:rsidRPr="00FB5347">
        <w:rPr>
          <w:rFonts w:cs="Arial"/>
        </w:rPr>
        <w:t xml:space="preserve">hat </w:t>
      </w:r>
      <w:r w:rsidR="0066666F">
        <w:rPr>
          <w:rFonts w:cs="Arial"/>
        </w:rPr>
        <w:t xml:space="preserve">actions are needed in respect of </w:t>
      </w:r>
      <w:r w:rsidRPr="00FB5347">
        <w:rPr>
          <w:rFonts w:cs="Arial"/>
        </w:rPr>
        <w:t>the white mail backlog</w:t>
      </w:r>
      <w:r w:rsidR="0066666F">
        <w:rPr>
          <w:rFonts w:cs="Arial"/>
        </w:rPr>
        <w:t>.  The latter</w:t>
      </w:r>
      <w:r w:rsidRPr="00FB5347">
        <w:rPr>
          <w:rFonts w:cs="Arial"/>
        </w:rPr>
        <w:t xml:space="preserve"> has </w:t>
      </w:r>
      <w:r w:rsidR="0066666F">
        <w:rPr>
          <w:rFonts w:cs="Arial"/>
        </w:rPr>
        <w:t xml:space="preserve">already </w:t>
      </w:r>
      <w:r w:rsidRPr="00FB5347">
        <w:rPr>
          <w:rFonts w:cs="Arial"/>
        </w:rPr>
        <w:t xml:space="preserve">been </w:t>
      </w:r>
      <w:r w:rsidR="0066666F">
        <w:rPr>
          <w:rFonts w:cs="Arial"/>
        </w:rPr>
        <w:t>looked at as part of t</w:t>
      </w:r>
      <w:r w:rsidRPr="00FB5347">
        <w:rPr>
          <w:rFonts w:cs="Arial"/>
        </w:rPr>
        <w:t xml:space="preserve">he mail room </w:t>
      </w:r>
      <w:r w:rsidR="0066666F">
        <w:rPr>
          <w:rFonts w:cs="Arial"/>
        </w:rPr>
        <w:t>processes, which aims to pick out cases where there is likely to be an impact on benefits</w:t>
      </w:r>
      <w:r w:rsidRPr="00FB5347">
        <w:rPr>
          <w:rFonts w:cs="Arial"/>
        </w:rPr>
        <w:t xml:space="preserve"> </w:t>
      </w:r>
      <w:r>
        <w:rPr>
          <w:rFonts w:cs="Arial"/>
          <w:szCs w:val="24"/>
        </w:rPr>
        <w:t>(i</w:t>
      </w:r>
      <w:r w:rsidRPr="007B367A">
        <w:rPr>
          <w:rFonts w:cs="Arial"/>
          <w:szCs w:val="24"/>
        </w:rPr>
        <w:t>ssue TP.I.0037 refers).</w:t>
      </w:r>
    </w:p>
    <w:p w14:paraId="10C0E9EC" w14:textId="77777777" w:rsidR="00560544" w:rsidRPr="00560544" w:rsidRDefault="00560544" w:rsidP="00560544">
      <w:pPr>
        <w:pStyle w:val="ListParagraph"/>
        <w:rPr>
          <w:rFonts w:cs="Arial"/>
        </w:rPr>
      </w:pPr>
    </w:p>
    <w:p w14:paraId="53DAAB58" w14:textId="1CF7A2B4" w:rsidR="00560544" w:rsidRPr="00560544" w:rsidRDefault="00560544" w:rsidP="008B53EA">
      <w:pPr>
        <w:pStyle w:val="ListParagraph"/>
        <w:numPr>
          <w:ilvl w:val="0"/>
          <w:numId w:val="6"/>
        </w:numPr>
        <w:ind w:hanging="502"/>
        <w:rPr>
          <w:rFonts w:cs="Arial"/>
          <w:szCs w:val="24"/>
        </w:rPr>
      </w:pPr>
      <w:r>
        <w:rPr>
          <w:rFonts w:cs="Arial"/>
          <w:szCs w:val="24"/>
        </w:rPr>
        <w:t>T</w:t>
      </w:r>
      <w:r w:rsidRPr="00FB5347">
        <w:rPr>
          <w:rFonts w:cs="Arial"/>
          <w:szCs w:val="24"/>
        </w:rPr>
        <w:t xml:space="preserve">he </w:t>
      </w:r>
      <w:r>
        <w:rPr>
          <w:rFonts w:cs="Arial"/>
          <w:szCs w:val="24"/>
        </w:rPr>
        <w:t xml:space="preserve">Department continues to work with TP on the </w:t>
      </w:r>
      <w:r w:rsidRPr="00FB5347">
        <w:rPr>
          <w:rFonts w:cs="Arial"/>
          <w:szCs w:val="24"/>
        </w:rPr>
        <w:t>Contractual</w:t>
      </w:r>
      <w:r>
        <w:rPr>
          <w:rFonts w:cs="Arial"/>
          <w:szCs w:val="24"/>
        </w:rPr>
        <w:t xml:space="preserve"> Change </w:t>
      </w:r>
      <w:r w:rsidR="00E54F67">
        <w:rPr>
          <w:rFonts w:cs="Arial"/>
          <w:szCs w:val="24"/>
        </w:rPr>
        <w:t>Notice</w:t>
      </w:r>
      <w:r w:rsidRPr="00FB5347">
        <w:rPr>
          <w:rFonts w:cs="Arial"/>
          <w:szCs w:val="24"/>
        </w:rPr>
        <w:t xml:space="preserve"> </w:t>
      </w:r>
      <w:r>
        <w:rPr>
          <w:rFonts w:cs="Arial"/>
          <w:szCs w:val="24"/>
        </w:rPr>
        <w:t>(CCN) relating to increased member numbers – improved performance/resilience is something the Department is seeking as part of any agreement to the proposed CCN, and these are areas in which it is expected the additional funding would have a positive effect if agreed.</w:t>
      </w:r>
    </w:p>
    <w:p w14:paraId="06EC3A0C" w14:textId="77777777" w:rsidR="008F09EE" w:rsidRPr="008F09EE" w:rsidRDefault="008F09EE" w:rsidP="008F09EE">
      <w:pPr>
        <w:pStyle w:val="ListParagraph"/>
        <w:rPr>
          <w:rFonts w:cs="Arial"/>
        </w:rPr>
      </w:pPr>
    </w:p>
    <w:p w14:paraId="2F7B8121" w14:textId="77777777" w:rsidR="008F09EE" w:rsidRPr="008F09EE" w:rsidRDefault="008F09EE" w:rsidP="008F09EE">
      <w:pPr>
        <w:rPr>
          <w:rFonts w:cs="Arial"/>
          <w:b/>
        </w:rPr>
      </w:pPr>
      <w:r w:rsidRPr="008F09EE">
        <w:rPr>
          <w:rFonts w:cs="Arial"/>
          <w:b/>
        </w:rPr>
        <w:t>Retirement age profile</w:t>
      </w:r>
    </w:p>
    <w:p w14:paraId="30158D41" w14:textId="77777777" w:rsidR="00FB5347" w:rsidRPr="00FB5347" w:rsidRDefault="00FB5347" w:rsidP="00FB5347">
      <w:pPr>
        <w:rPr>
          <w:rFonts w:cs="Arial"/>
        </w:rPr>
      </w:pPr>
    </w:p>
    <w:p w14:paraId="45D8CE48" w14:textId="51A87EBD" w:rsidR="00B26A51" w:rsidRPr="00E00D21" w:rsidRDefault="00B26A51" w:rsidP="008B53EA">
      <w:pPr>
        <w:pStyle w:val="ListParagraph"/>
        <w:numPr>
          <w:ilvl w:val="0"/>
          <w:numId w:val="6"/>
        </w:numPr>
        <w:ind w:left="284" w:hanging="426"/>
        <w:rPr>
          <w:rFonts w:cs="Arial"/>
          <w:szCs w:val="24"/>
        </w:rPr>
      </w:pPr>
      <w:r>
        <w:rPr>
          <w:rFonts w:cs="Arial"/>
          <w:szCs w:val="24"/>
        </w:rPr>
        <w:t xml:space="preserve">As requested at the Service Delivery </w:t>
      </w:r>
      <w:r w:rsidR="0057744A">
        <w:rPr>
          <w:rFonts w:cs="Arial"/>
          <w:szCs w:val="24"/>
        </w:rPr>
        <w:t>subcommittee</w:t>
      </w:r>
      <w:r>
        <w:rPr>
          <w:rFonts w:cs="Arial"/>
          <w:szCs w:val="24"/>
        </w:rPr>
        <w:t xml:space="preserve"> in September, the following table demonstrates the </w:t>
      </w:r>
      <w:r w:rsidR="00560544">
        <w:rPr>
          <w:rFonts w:cs="Arial"/>
          <w:szCs w:val="24"/>
        </w:rPr>
        <w:t xml:space="preserve">changing profile of the </w:t>
      </w:r>
      <w:r w:rsidR="001D6007">
        <w:rPr>
          <w:rFonts w:cs="Arial"/>
          <w:szCs w:val="24"/>
        </w:rPr>
        <w:t xml:space="preserve">average </w:t>
      </w:r>
      <w:r>
        <w:rPr>
          <w:rFonts w:cs="Arial"/>
          <w:szCs w:val="24"/>
        </w:rPr>
        <w:t xml:space="preserve">age at retirement </w:t>
      </w:r>
      <w:r w:rsidR="001D6007">
        <w:rPr>
          <w:rFonts w:cs="Arial"/>
          <w:szCs w:val="24"/>
        </w:rPr>
        <w:t>for males and females</w:t>
      </w:r>
      <w:r w:rsidR="00560544">
        <w:rPr>
          <w:rFonts w:cs="Arial"/>
          <w:szCs w:val="24"/>
        </w:rPr>
        <w:t>, confirming that both groups a</w:t>
      </w:r>
      <w:r w:rsidR="00A762A2">
        <w:rPr>
          <w:rFonts w:cs="Arial"/>
          <w:szCs w:val="24"/>
        </w:rPr>
        <w:t xml:space="preserve">re retiring on average 6 months later than </w:t>
      </w:r>
      <w:r w:rsidR="00560544">
        <w:rPr>
          <w:rFonts w:cs="Arial"/>
          <w:szCs w:val="24"/>
        </w:rPr>
        <w:t>was the case 5 years ago</w:t>
      </w:r>
      <w:r w:rsidR="00A762A2">
        <w:rPr>
          <w:rFonts w:cs="Arial"/>
          <w:szCs w:val="24"/>
        </w:rPr>
        <w:t xml:space="preserve"> </w:t>
      </w:r>
      <w:r w:rsidR="00B5284E">
        <w:rPr>
          <w:rFonts w:cs="Arial"/>
          <w:szCs w:val="24"/>
        </w:rPr>
        <w:t>(SD3/260918 refers)</w:t>
      </w:r>
      <w:r w:rsidR="00560544">
        <w:rPr>
          <w:rFonts w:cs="Arial"/>
          <w:szCs w:val="24"/>
        </w:rPr>
        <w:t>.</w:t>
      </w:r>
    </w:p>
    <w:p w14:paraId="296E6791" w14:textId="77777777" w:rsidR="00B26A51" w:rsidRDefault="00B26A51" w:rsidP="008B53EA">
      <w:pPr>
        <w:ind w:left="284"/>
        <w:rPr>
          <w:rFonts w:ascii="Calibri" w:hAnsi="Calibri"/>
          <w:sz w:val="22"/>
        </w:rPr>
      </w:pPr>
    </w:p>
    <w:tbl>
      <w:tblPr>
        <w:tblW w:w="9629" w:type="dxa"/>
        <w:tblCellMar>
          <w:left w:w="0" w:type="dxa"/>
          <w:right w:w="0" w:type="dxa"/>
        </w:tblCellMar>
        <w:tblLook w:val="04A0" w:firstRow="1" w:lastRow="0" w:firstColumn="1" w:lastColumn="0" w:noHBand="0" w:noVBand="1"/>
      </w:tblPr>
      <w:tblGrid>
        <w:gridCol w:w="960"/>
        <w:gridCol w:w="4275"/>
        <w:gridCol w:w="4394"/>
      </w:tblGrid>
      <w:tr w:rsidR="00B26A51" w14:paraId="2F6C8C42" w14:textId="77777777" w:rsidTr="001D6007">
        <w:trPr>
          <w:trHeight w:val="6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B87DD20" w14:textId="77777777" w:rsidR="00B26A51" w:rsidRDefault="00B26A51">
            <w:pPr>
              <w:jc w:val="center"/>
            </w:pPr>
            <w:r>
              <w:t>Year</w:t>
            </w:r>
          </w:p>
        </w:tc>
        <w:tc>
          <w:tcPr>
            <w:tcW w:w="4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3AD7FC" w14:textId="77777777" w:rsidR="00B26A51" w:rsidRDefault="00B26A51">
            <w:pPr>
              <w:jc w:val="center"/>
            </w:pPr>
            <w:r>
              <w:t>Average age at pension commencement (Females)</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7CC3B3" w14:textId="77777777" w:rsidR="00B26A51" w:rsidRDefault="00B26A51">
            <w:pPr>
              <w:jc w:val="center"/>
            </w:pPr>
            <w:r>
              <w:t>Average age at pension commencement (Males)</w:t>
            </w:r>
          </w:p>
        </w:tc>
      </w:tr>
      <w:tr w:rsidR="00B26A51" w14:paraId="221B6224" w14:textId="77777777" w:rsidTr="001D6007">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4D9ED5" w14:textId="77777777" w:rsidR="00B26A51" w:rsidRDefault="00B26A51">
            <w:pPr>
              <w:jc w:val="center"/>
            </w:pPr>
            <w:r>
              <w:t>2013</w:t>
            </w:r>
          </w:p>
        </w:tc>
        <w:tc>
          <w:tcPr>
            <w:tcW w:w="4275" w:type="dxa"/>
            <w:tcBorders>
              <w:top w:val="nil"/>
              <w:left w:val="nil"/>
              <w:bottom w:val="single" w:sz="8" w:space="0" w:color="auto"/>
              <w:right w:val="single" w:sz="8" w:space="0" w:color="auto"/>
            </w:tcBorders>
            <w:noWrap/>
            <w:tcMar>
              <w:top w:w="0" w:type="dxa"/>
              <w:left w:w="108" w:type="dxa"/>
              <w:bottom w:w="0" w:type="dxa"/>
              <w:right w:w="108" w:type="dxa"/>
            </w:tcMar>
            <w:hideMark/>
          </w:tcPr>
          <w:p w14:paraId="26D34FEF" w14:textId="77777777" w:rsidR="00B26A51" w:rsidRDefault="00B26A51">
            <w:pPr>
              <w:jc w:val="center"/>
            </w:pPr>
            <w:r>
              <w:t>59.54</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14:paraId="13AE55B9" w14:textId="77777777" w:rsidR="00B26A51" w:rsidRDefault="00B26A51">
            <w:pPr>
              <w:jc w:val="center"/>
            </w:pPr>
            <w:r>
              <w:t>60.03</w:t>
            </w:r>
          </w:p>
        </w:tc>
      </w:tr>
      <w:tr w:rsidR="00B26A51" w14:paraId="7BC5CF4D" w14:textId="77777777" w:rsidTr="001D6007">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90C0F2" w14:textId="77777777" w:rsidR="00B26A51" w:rsidRDefault="00B26A51">
            <w:pPr>
              <w:jc w:val="center"/>
            </w:pPr>
            <w:r>
              <w:t>2014</w:t>
            </w:r>
          </w:p>
        </w:tc>
        <w:tc>
          <w:tcPr>
            <w:tcW w:w="4275" w:type="dxa"/>
            <w:tcBorders>
              <w:top w:val="nil"/>
              <w:left w:val="nil"/>
              <w:bottom w:val="single" w:sz="8" w:space="0" w:color="auto"/>
              <w:right w:val="single" w:sz="8" w:space="0" w:color="auto"/>
            </w:tcBorders>
            <w:noWrap/>
            <w:tcMar>
              <w:top w:w="0" w:type="dxa"/>
              <w:left w:w="108" w:type="dxa"/>
              <w:bottom w:w="0" w:type="dxa"/>
              <w:right w:w="108" w:type="dxa"/>
            </w:tcMar>
            <w:hideMark/>
          </w:tcPr>
          <w:p w14:paraId="3F46AA6D" w14:textId="77777777" w:rsidR="007B32DD" w:rsidRDefault="00B26A51" w:rsidP="007B32DD">
            <w:pPr>
              <w:jc w:val="center"/>
            </w:pPr>
            <w:r>
              <w:t>59.63</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14:paraId="1504FF60" w14:textId="77777777" w:rsidR="00B26A51" w:rsidRDefault="00B26A51">
            <w:pPr>
              <w:jc w:val="center"/>
            </w:pPr>
            <w:r>
              <w:t>60.10</w:t>
            </w:r>
          </w:p>
        </w:tc>
      </w:tr>
      <w:tr w:rsidR="00B26A51" w14:paraId="06F3A00E" w14:textId="77777777" w:rsidTr="001D6007">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AEBD79" w14:textId="77777777" w:rsidR="00B26A51" w:rsidRDefault="00B26A51">
            <w:pPr>
              <w:jc w:val="center"/>
            </w:pPr>
            <w:r>
              <w:t>2015</w:t>
            </w:r>
          </w:p>
        </w:tc>
        <w:tc>
          <w:tcPr>
            <w:tcW w:w="4275" w:type="dxa"/>
            <w:tcBorders>
              <w:top w:val="nil"/>
              <w:left w:val="nil"/>
              <w:bottom w:val="single" w:sz="8" w:space="0" w:color="auto"/>
              <w:right w:val="single" w:sz="8" w:space="0" w:color="auto"/>
            </w:tcBorders>
            <w:noWrap/>
            <w:tcMar>
              <w:top w:w="0" w:type="dxa"/>
              <w:left w:w="108" w:type="dxa"/>
              <w:bottom w:w="0" w:type="dxa"/>
              <w:right w:w="108" w:type="dxa"/>
            </w:tcMar>
            <w:hideMark/>
          </w:tcPr>
          <w:p w14:paraId="40A7B894" w14:textId="77777777" w:rsidR="00B26A51" w:rsidRDefault="00B26A51">
            <w:pPr>
              <w:jc w:val="center"/>
            </w:pPr>
            <w:r>
              <w:t>59.72</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14:paraId="7D60D5B6" w14:textId="77777777" w:rsidR="00B26A51" w:rsidRDefault="00B26A51">
            <w:pPr>
              <w:jc w:val="center"/>
            </w:pPr>
            <w:r>
              <w:t>60.20</w:t>
            </w:r>
          </w:p>
        </w:tc>
      </w:tr>
      <w:tr w:rsidR="00B26A51" w14:paraId="1C78EC42" w14:textId="77777777" w:rsidTr="001D6007">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4FF328" w14:textId="77777777" w:rsidR="00B26A51" w:rsidRDefault="00B26A51">
            <w:pPr>
              <w:jc w:val="center"/>
            </w:pPr>
            <w:r>
              <w:t>2016</w:t>
            </w:r>
          </w:p>
        </w:tc>
        <w:tc>
          <w:tcPr>
            <w:tcW w:w="4275" w:type="dxa"/>
            <w:tcBorders>
              <w:top w:val="nil"/>
              <w:left w:val="nil"/>
              <w:bottom w:val="single" w:sz="8" w:space="0" w:color="auto"/>
              <w:right w:val="single" w:sz="8" w:space="0" w:color="auto"/>
            </w:tcBorders>
            <w:noWrap/>
            <w:tcMar>
              <w:top w:w="0" w:type="dxa"/>
              <w:left w:w="108" w:type="dxa"/>
              <w:bottom w:w="0" w:type="dxa"/>
              <w:right w:w="108" w:type="dxa"/>
            </w:tcMar>
            <w:hideMark/>
          </w:tcPr>
          <w:p w14:paraId="5530169A" w14:textId="77777777" w:rsidR="00B26A51" w:rsidRDefault="00B26A51">
            <w:pPr>
              <w:jc w:val="center"/>
            </w:pPr>
            <w:r>
              <w:t>59.84</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14:paraId="30E00051" w14:textId="77777777" w:rsidR="00B26A51" w:rsidRDefault="00B26A51">
            <w:pPr>
              <w:jc w:val="center"/>
            </w:pPr>
            <w:r>
              <w:t>60.40</w:t>
            </w:r>
          </w:p>
        </w:tc>
      </w:tr>
      <w:tr w:rsidR="00B26A51" w14:paraId="56E27673" w14:textId="77777777" w:rsidTr="001D6007">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0C68BB" w14:textId="77777777" w:rsidR="00B26A51" w:rsidRDefault="00B26A51">
            <w:pPr>
              <w:jc w:val="center"/>
            </w:pPr>
            <w:r>
              <w:t>2017</w:t>
            </w:r>
          </w:p>
        </w:tc>
        <w:tc>
          <w:tcPr>
            <w:tcW w:w="4275" w:type="dxa"/>
            <w:tcBorders>
              <w:top w:val="nil"/>
              <w:left w:val="nil"/>
              <w:bottom w:val="single" w:sz="8" w:space="0" w:color="auto"/>
              <w:right w:val="single" w:sz="8" w:space="0" w:color="auto"/>
            </w:tcBorders>
            <w:noWrap/>
            <w:tcMar>
              <w:top w:w="0" w:type="dxa"/>
              <w:left w:w="108" w:type="dxa"/>
              <w:bottom w:w="0" w:type="dxa"/>
              <w:right w:w="108" w:type="dxa"/>
            </w:tcMar>
            <w:hideMark/>
          </w:tcPr>
          <w:p w14:paraId="051AB616" w14:textId="77777777" w:rsidR="00B26A51" w:rsidRDefault="00B26A51">
            <w:pPr>
              <w:jc w:val="center"/>
            </w:pPr>
            <w:r>
              <w:t>60.22</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14:paraId="6CC82FE6" w14:textId="77777777" w:rsidR="00B26A51" w:rsidRDefault="00B26A51">
            <w:pPr>
              <w:jc w:val="center"/>
            </w:pPr>
            <w:r>
              <w:t>60.65</w:t>
            </w:r>
          </w:p>
        </w:tc>
      </w:tr>
      <w:tr w:rsidR="00B26A51" w14:paraId="1A17A816" w14:textId="77777777" w:rsidTr="001D6007">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E70932" w14:textId="77777777" w:rsidR="00B26A51" w:rsidRDefault="00B26A51">
            <w:pPr>
              <w:jc w:val="center"/>
            </w:pPr>
            <w:r>
              <w:t>2018</w:t>
            </w:r>
          </w:p>
        </w:tc>
        <w:tc>
          <w:tcPr>
            <w:tcW w:w="4275" w:type="dxa"/>
            <w:tcBorders>
              <w:top w:val="nil"/>
              <w:left w:val="nil"/>
              <w:bottom w:val="single" w:sz="8" w:space="0" w:color="auto"/>
              <w:right w:val="single" w:sz="8" w:space="0" w:color="auto"/>
            </w:tcBorders>
            <w:noWrap/>
            <w:tcMar>
              <w:top w:w="0" w:type="dxa"/>
              <w:left w:w="108" w:type="dxa"/>
              <w:bottom w:w="0" w:type="dxa"/>
              <w:right w:w="108" w:type="dxa"/>
            </w:tcMar>
            <w:hideMark/>
          </w:tcPr>
          <w:p w14:paraId="6258A0D3" w14:textId="77777777" w:rsidR="00B26A51" w:rsidRDefault="00B26A51">
            <w:pPr>
              <w:jc w:val="center"/>
            </w:pPr>
            <w:r>
              <w:t>60.14</w:t>
            </w:r>
          </w:p>
        </w:tc>
        <w:tc>
          <w:tcPr>
            <w:tcW w:w="4394" w:type="dxa"/>
            <w:tcBorders>
              <w:top w:val="nil"/>
              <w:left w:val="nil"/>
              <w:bottom w:val="single" w:sz="8" w:space="0" w:color="auto"/>
              <w:right w:val="single" w:sz="8" w:space="0" w:color="auto"/>
            </w:tcBorders>
            <w:noWrap/>
            <w:tcMar>
              <w:top w:w="0" w:type="dxa"/>
              <w:left w:w="108" w:type="dxa"/>
              <w:bottom w:w="0" w:type="dxa"/>
              <w:right w:w="108" w:type="dxa"/>
            </w:tcMar>
            <w:hideMark/>
          </w:tcPr>
          <w:p w14:paraId="7D1E9A70" w14:textId="77777777" w:rsidR="00B26A51" w:rsidRDefault="00B26A51">
            <w:pPr>
              <w:jc w:val="center"/>
            </w:pPr>
            <w:r>
              <w:t>60.61</w:t>
            </w:r>
          </w:p>
        </w:tc>
      </w:tr>
    </w:tbl>
    <w:p w14:paraId="18980EF7" w14:textId="77777777" w:rsidR="00B5284E" w:rsidRDefault="00B5284E" w:rsidP="00A77E6C">
      <w:pPr>
        <w:rPr>
          <w:rFonts w:cs="Arial"/>
          <w:szCs w:val="24"/>
        </w:rPr>
      </w:pPr>
    </w:p>
    <w:p w14:paraId="1C82CB56" w14:textId="77777777" w:rsidR="00B83BF7" w:rsidRDefault="00B83BF7" w:rsidP="008B53EA">
      <w:pPr>
        <w:pStyle w:val="ListParagraph"/>
        <w:numPr>
          <w:ilvl w:val="0"/>
          <w:numId w:val="6"/>
        </w:numPr>
        <w:ind w:hanging="644"/>
        <w:rPr>
          <w:rFonts w:cs="Arial"/>
          <w:szCs w:val="24"/>
        </w:rPr>
      </w:pPr>
      <w:r>
        <w:rPr>
          <w:rFonts w:cs="Arial"/>
          <w:szCs w:val="24"/>
        </w:rPr>
        <w:t>This information has been fed into the OBR estimating process and work continues on better understanding the trend and adapting the OBR model appropriately.</w:t>
      </w:r>
    </w:p>
    <w:p w14:paraId="60BF5F28" w14:textId="77777777" w:rsidR="00B83BF7" w:rsidRDefault="00B83BF7" w:rsidP="00B83BF7">
      <w:pPr>
        <w:pStyle w:val="ListParagraph"/>
        <w:ind w:left="360"/>
        <w:rPr>
          <w:rFonts w:cs="Arial"/>
          <w:szCs w:val="24"/>
        </w:rPr>
      </w:pPr>
    </w:p>
    <w:p w14:paraId="28B27539" w14:textId="77777777" w:rsidR="00B97235" w:rsidRDefault="00B97235" w:rsidP="008B53EA">
      <w:pPr>
        <w:pStyle w:val="ListParagraph"/>
        <w:numPr>
          <w:ilvl w:val="0"/>
          <w:numId w:val="6"/>
        </w:numPr>
        <w:ind w:hanging="644"/>
        <w:rPr>
          <w:rFonts w:cs="Arial"/>
          <w:szCs w:val="24"/>
        </w:rPr>
      </w:pPr>
      <w:r w:rsidRPr="00396F55">
        <w:rPr>
          <w:rFonts w:cs="Arial"/>
          <w:szCs w:val="24"/>
        </w:rPr>
        <w:t xml:space="preserve">At the Service Delivery subcommittee in September, discussions </w:t>
      </w:r>
      <w:r w:rsidR="00B83BF7">
        <w:rPr>
          <w:rFonts w:cs="Arial"/>
          <w:szCs w:val="24"/>
        </w:rPr>
        <w:t xml:space="preserve">also took place on the prioritisation of cases and it was agreed the Department would provide an update on that.  </w:t>
      </w:r>
      <w:r w:rsidR="00B83BF7" w:rsidRPr="00396F55">
        <w:rPr>
          <w:rFonts w:cs="Arial"/>
          <w:szCs w:val="24"/>
        </w:rPr>
        <w:t xml:space="preserve">We can confirm that due to the increase in casework in bereavement, revisions and transfers, these are </w:t>
      </w:r>
      <w:r w:rsidR="00B83BF7">
        <w:rPr>
          <w:rFonts w:cs="Arial"/>
          <w:szCs w:val="24"/>
        </w:rPr>
        <w:t xml:space="preserve">being treated as </w:t>
      </w:r>
      <w:r w:rsidR="00B83BF7" w:rsidRPr="00396F55">
        <w:rPr>
          <w:rFonts w:cs="Arial"/>
          <w:szCs w:val="24"/>
        </w:rPr>
        <w:t>priority areas</w:t>
      </w:r>
      <w:r w:rsidR="00B83BF7">
        <w:rPr>
          <w:rFonts w:cs="Arial"/>
          <w:szCs w:val="24"/>
        </w:rPr>
        <w:t>.</w:t>
      </w:r>
      <w:r w:rsidR="00B83BF7" w:rsidRPr="00396F55">
        <w:rPr>
          <w:rFonts w:cs="Arial"/>
          <w:szCs w:val="24"/>
        </w:rPr>
        <w:t xml:space="preserve"> </w:t>
      </w:r>
      <w:r w:rsidR="00B83BF7">
        <w:rPr>
          <w:rFonts w:cs="Arial"/>
          <w:szCs w:val="24"/>
        </w:rPr>
        <w:t xml:space="preserve">This has impacted </w:t>
      </w:r>
      <w:r w:rsidR="00B83BF7" w:rsidRPr="00396F55">
        <w:rPr>
          <w:rFonts w:cs="Arial"/>
          <w:szCs w:val="24"/>
        </w:rPr>
        <w:t xml:space="preserve">activity </w:t>
      </w:r>
      <w:r w:rsidR="00B83BF7">
        <w:rPr>
          <w:rFonts w:cs="Arial"/>
          <w:szCs w:val="24"/>
        </w:rPr>
        <w:t xml:space="preserve">levels in some other areas, e.g. actions </w:t>
      </w:r>
      <w:r w:rsidR="00B83BF7" w:rsidRPr="00396F55">
        <w:rPr>
          <w:rFonts w:cs="Arial"/>
          <w:szCs w:val="24"/>
        </w:rPr>
        <w:t>to recoup member overpayments</w:t>
      </w:r>
      <w:r w:rsidR="00B83BF7">
        <w:rPr>
          <w:rFonts w:cs="Arial"/>
          <w:szCs w:val="24"/>
        </w:rPr>
        <w:t xml:space="preserve">, but that is being closely monitored </w:t>
      </w:r>
      <w:r w:rsidR="007732DA" w:rsidRPr="00396F55">
        <w:rPr>
          <w:rFonts w:cs="Arial"/>
          <w:szCs w:val="24"/>
        </w:rPr>
        <w:t>(</w:t>
      </w:r>
      <w:r w:rsidRPr="00396F55">
        <w:rPr>
          <w:rFonts w:cs="Arial"/>
          <w:szCs w:val="24"/>
        </w:rPr>
        <w:t>SD8/260918 refers</w:t>
      </w:r>
      <w:r w:rsidR="007732DA" w:rsidRPr="00396F55">
        <w:rPr>
          <w:rFonts w:cs="Arial"/>
          <w:szCs w:val="24"/>
        </w:rPr>
        <w:t>)</w:t>
      </w:r>
      <w:r w:rsidRPr="00396F55">
        <w:rPr>
          <w:rFonts w:cs="Arial"/>
          <w:szCs w:val="24"/>
        </w:rPr>
        <w:t xml:space="preserve">.  </w:t>
      </w:r>
    </w:p>
    <w:p w14:paraId="6147D090" w14:textId="77777777" w:rsidR="00396F55" w:rsidRPr="00396F55" w:rsidRDefault="00396F55" w:rsidP="00396F55">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EF47E6" w:rsidRPr="007B367A" w14:paraId="50F67AAD" w14:textId="77777777" w:rsidTr="00A521C3">
        <w:tc>
          <w:tcPr>
            <w:tcW w:w="7230" w:type="dxa"/>
          </w:tcPr>
          <w:p w14:paraId="1B1921BF" w14:textId="77777777" w:rsidR="00EF47E6" w:rsidRPr="0026321D" w:rsidRDefault="00EF47E6" w:rsidP="0026321D">
            <w:pPr>
              <w:ind w:left="284" w:hanging="218"/>
              <w:rPr>
                <w:rFonts w:cs="Arial"/>
                <w:b/>
                <w:color w:val="000000"/>
                <w:szCs w:val="24"/>
              </w:rPr>
            </w:pPr>
            <w:r w:rsidRPr="007B367A">
              <w:rPr>
                <w:rFonts w:cs="Arial"/>
                <w:b/>
                <w:color w:val="000000"/>
                <w:szCs w:val="24"/>
              </w:rPr>
              <w:t xml:space="preserve">SLAs &amp; KPIs </w:t>
            </w:r>
          </w:p>
        </w:tc>
        <w:tc>
          <w:tcPr>
            <w:tcW w:w="1134" w:type="dxa"/>
            <w:shd w:val="clear" w:color="auto" w:fill="FFC000"/>
          </w:tcPr>
          <w:p w14:paraId="2E305269" w14:textId="77777777" w:rsidR="00EF47E6" w:rsidRPr="007B367A" w:rsidRDefault="00EF47E6" w:rsidP="00B97235">
            <w:pPr>
              <w:ind w:left="284" w:hanging="218"/>
              <w:rPr>
                <w:rFonts w:cs="Arial"/>
                <w:color w:val="FFFF00"/>
                <w:szCs w:val="24"/>
                <w:highlight w:val="red"/>
              </w:rPr>
            </w:pPr>
            <w:r w:rsidRPr="007B367A">
              <w:rPr>
                <w:rFonts w:cs="Arial"/>
                <w:noProof/>
                <w:color w:val="00B050"/>
                <w:szCs w:val="24"/>
                <w:highlight w:val="red"/>
              </w:rPr>
              <mc:AlternateContent>
                <mc:Choice Requires="wps">
                  <w:drawing>
                    <wp:anchor distT="0" distB="0" distL="114300" distR="114300" simplePos="0" relativeHeight="251669504" behindDoc="0" locked="0" layoutInCell="1" allowOverlap="1" wp14:anchorId="5A21AA51" wp14:editId="588FCE8D">
                      <wp:simplePos x="0" y="0"/>
                      <wp:positionH relativeFrom="column">
                        <wp:posOffset>61287</wp:posOffset>
                      </wp:positionH>
                      <wp:positionV relativeFrom="paragraph">
                        <wp:posOffset>100990</wp:posOffset>
                      </wp:positionV>
                      <wp:extent cx="475699" cy="108511"/>
                      <wp:effectExtent l="38100" t="57150" r="19685" b="82550"/>
                      <wp:wrapNone/>
                      <wp:docPr id="6" name="Straight Arrow Connector 6"/>
                      <wp:cNvGraphicFramePr/>
                      <a:graphic xmlns:a="http://schemas.openxmlformats.org/drawingml/2006/main">
                        <a:graphicData uri="http://schemas.microsoft.com/office/word/2010/wordprocessingShape">
                          <wps:wsp>
                            <wps:cNvCnPr/>
                            <wps:spPr>
                              <a:xfrm flipV="1">
                                <a:off x="0" y="0"/>
                                <a:ext cx="475699" cy="10851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A0E35FD" id="_x0000_t32" coordsize="21600,21600" o:spt="32" o:oned="t" path="m,l21600,21600e" filled="f">
                      <v:path arrowok="t" fillok="f" o:connecttype="none"/>
                      <o:lock v:ext="edit" shapetype="t"/>
                    </v:shapetype>
                    <v:shape id="Straight Arrow Connector 6" o:spid="_x0000_s1026" type="#_x0000_t32" style="position:absolute;margin-left:4.85pt;margin-top:7.95pt;width:37.45pt;height:8.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qLLQIAAEsEAAAOAAAAZHJzL2Uyb0RvYy54bWysVMGO0zAQvSPxD5bvNGnZlm7UdIValguC&#10;ii5wnjpOYsmxrbHbtH/P2AlRgRuiB8sz45m89/zczdO10+wi0StrSj6f5ZxJI2ylTFPyby/Pb9ac&#10;+QCmAm2NLPlNev60ff1q07tCLmxrdSWR0RDji96VvA3BFVnmRSs78DPrpKFibbGDQCE2WYXQ0/RO&#10;Z4s8X2W9xcqhFdJ7yu6HIt+m+XUtRfhS114GpktO2EJaMa2nuGbbDRQNgmuVGGHAP6DoQBn66DRq&#10;DwHYGdVfozol0Hpbh5mwXWbrWgmZOBCbef4Hm2MLTiYuJI53k0z+/40Vny8HZKoq+YozAx1d0TEg&#10;qKYN7D2i7dnOGkMyWmSrqFbvfEFNO3PAMfLugJH6tcaO1Vq572SEJAbRY9ek9W3SWl4DE5R8eLdc&#10;PT5yJqg0z9fL+TxOz4YxcZxDHz5K27G4KbkfUU1whk/A5ZMPQ+Ovhths7LPSmvJQaMP6ki+WDznd&#10;vwDyWK0h0LZzxNqbhjPQDZlXBEyovdWqiu2x29/8TiO7APmHbFfZ/oUYcKbBByoQrfQbsf/WGvHs&#10;wbdDcyrFY1AEUPqDqVi4OZIbospjvzaxLpNviVcM7DlIPLZVz076jF+BMBOTyKVSURd6BENAWCLH&#10;FKENP1Rok3+i8okJNqeJSjo35EG7FgaMb9exe1DTD8fTlUwYUnQHL4tuGO4/7k62uiVbpDw5Np0f&#10;X1d8Evcx7e//A7Y/AQAA//8DAFBLAwQUAAYACAAAACEAFXTP5N0AAAAGAQAADwAAAGRycy9kb3du&#10;cmV2LnhtbEyOS0+DQBSF9yb+h8k1cWcHraWADI2pz42JfZi4HJgrkDJ3CDMt+O+9rnR5Hjnny1eT&#10;7cQJB986UnA9i0AgVc60VCvY756uEhA+aDK6c4QKvtHDqjg/y3Vm3EgbPG1DLXiEfKYVNCH0mZS+&#10;atBqP3M9EmdfbrA6sBxqaQY98rjt5E0UxdLqlvih0T2uG6wO26NV8Hx4tzJ5+YzLj3i/fnxdvI3L&#10;h1Spy4vp/g5EwCn8leEXn9GhYKbSHcl40SlIl1xke5GC4Di5jUGUCubzCGSRy//4xQ8AAAD//wMA&#10;UEsBAi0AFAAGAAgAAAAhALaDOJL+AAAA4QEAABMAAAAAAAAAAAAAAAAAAAAAAFtDb250ZW50X1R5&#10;cGVzXS54bWxQSwECLQAUAAYACAAAACEAOP0h/9YAAACUAQAACwAAAAAAAAAAAAAAAAAvAQAAX3Jl&#10;bHMvLnJlbHNQSwECLQAUAAYACAAAACEAxJNaiy0CAABLBAAADgAAAAAAAAAAAAAAAAAuAgAAZHJz&#10;L2Uyb0RvYy54bWxQSwECLQAUAAYACAAAACEAFXTP5N0AAAAGAQAADwAAAAAAAAAAAAAAAACHBAAA&#10;ZHJzL2Rvd25yZXYueG1sUEsFBgAAAAAEAAQA8wAAAJEFAAAAAA==&#10;" strokecolor="windowText" strokeweight="2pt">
                      <v:stroke endarrow="open"/>
                      <v:shadow on="t" color="black" opacity="24903f" origin=",.5" offset="0,.55556mm"/>
                    </v:shape>
                  </w:pict>
                </mc:Fallback>
              </mc:AlternateContent>
            </w:r>
          </w:p>
          <w:p w14:paraId="0ED65E90" w14:textId="77777777" w:rsidR="00EF47E6" w:rsidRPr="007B367A" w:rsidRDefault="00EF47E6" w:rsidP="00B97235">
            <w:pPr>
              <w:ind w:left="284" w:hanging="218"/>
              <w:rPr>
                <w:rFonts w:cs="Arial"/>
                <w:color w:val="00B050"/>
                <w:szCs w:val="24"/>
                <w:highlight w:val="red"/>
              </w:rPr>
            </w:pPr>
          </w:p>
        </w:tc>
      </w:tr>
    </w:tbl>
    <w:p w14:paraId="1ACD19D0" w14:textId="77777777" w:rsidR="00EF47E6" w:rsidRPr="007B367A" w:rsidRDefault="00EF47E6" w:rsidP="00B97235">
      <w:pPr>
        <w:ind w:left="284" w:hanging="218"/>
        <w:rPr>
          <w:rFonts w:cs="Arial"/>
          <w:szCs w:val="24"/>
        </w:rPr>
      </w:pPr>
    </w:p>
    <w:p w14:paraId="496407AB" w14:textId="77777777" w:rsidR="00EF47E6" w:rsidRPr="007B367A" w:rsidRDefault="00EF47E6" w:rsidP="008B53EA">
      <w:pPr>
        <w:pStyle w:val="ListParagraph"/>
        <w:numPr>
          <w:ilvl w:val="0"/>
          <w:numId w:val="6"/>
        </w:numPr>
        <w:ind w:left="284" w:hanging="568"/>
        <w:rPr>
          <w:rFonts w:cs="Arial"/>
          <w:szCs w:val="24"/>
        </w:rPr>
      </w:pPr>
      <w:r w:rsidRPr="007B367A">
        <w:rPr>
          <w:rFonts w:cs="Arial"/>
          <w:szCs w:val="24"/>
        </w:rPr>
        <w:t>The overall SLA and KPI performance in the quarter has remained stable notwithstanding the challenges still faced in bereavement (SLA4)</w:t>
      </w:r>
      <w:r w:rsidR="004E78F5">
        <w:rPr>
          <w:rFonts w:cs="Arial"/>
          <w:szCs w:val="24"/>
        </w:rPr>
        <w:t xml:space="preserve">; </w:t>
      </w:r>
      <w:r w:rsidRPr="007B367A">
        <w:rPr>
          <w:rFonts w:cs="Arial"/>
          <w:szCs w:val="24"/>
        </w:rPr>
        <w:t xml:space="preserve">transfers (SLA 5 &amp; 6) which is impacted as processing and completion of aged cases continues; Change of Entitlement (SLA 3); and correspondence (KPI 2). </w:t>
      </w:r>
    </w:p>
    <w:p w14:paraId="1D87136C" w14:textId="77777777" w:rsidR="00EF47E6" w:rsidRPr="007B367A" w:rsidRDefault="00EF47E6" w:rsidP="00A77E6C">
      <w:pPr>
        <w:ind w:left="426"/>
        <w:rPr>
          <w:rFonts w:cs="Arial"/>
          <w:szCs w:val="24"/>
        </w:rPr>
      </w:pPr>
    </w:p>
    <w:p w14:paraId="6200EA14" w14:textId="77777777" w:rsidR="00534C2C" w:rsidRDefault="00EF47E6" w:rsidP="00640E88">
      <w:pPr>
        <w:pStyle w:val="ListParagraph"/>
        <w:numPr>
          <w:ilvl w:val="0"/>
          <w:numId w:val="6"/>
        </w:numPr>
        <w:ind w:hanging="644"/>
        <w:rPr>
          <w:rFonts w:cs="Arial"/>
          <w:szCs w:val="24"/>
        </w:rPr>
      </w:pPr>
      <w:r w:rsidRPr="00DC1F4C">
        <w:rPr>
          <w:rFonts w:cs="Arial"/>
          <w:szCs w:val="24"/>
        </w:rPr>
        <w:t xml:space="preserve">Aged case revisions within SLA3 continue to be a priority. As at </w:t>
      </w:r>
      <w:r w:rsidR="00074F72" w:rsidRPr="00DC1F4C">
        <w:rPr>
          <w:rFonts w:cs="Arial"/>
          <w:szCs w:val="24"/>
        </w:rPr>
        <w:t>October</w:t>
      </w:r>
      <w:r w:rsidRPr="00DC1F4C">
        <w:rPr>
          <w:rFonts w:cs="Arial"/>
          <w:szCs w:val="24"/>
        </w:rPr>
        <w:t xml:space="preserve">, there are </w:t>
      </w:r>
      <w:r w:rsidR="00DC1F4C" w:rsidRPr="00DC1F4C">
        <w:rPr>
          <w:rFonts w:cs="Arial"/>
          <w:szCs w:val="24"/>
        </w:rPr>
        <w:t xml:space="preserve">16,201 </w:t>
      </w:r>
      <w:r w:rsidRPr="00DC1F4C">
        <w:rPr>
          <w:rFonts w:cs="Arial"/>
          <w:szCs w:val="24"/>
        </w:rPr>
        <w:t>revisions</w:t>
      </w:r>
      <w:r w:rsidR="00DC1F4C" w:rsidRPr="00DC1F4C">
        <w:rPr>
          <w:rFonts w:cs="Arial"/>
          <w:szCs w:val="24"/>
        </w:rPr>
        <w:t xml:space="preserve"> cases</w:t>
      </w:r>
      <w:r w:rsidRPr="00DC1F4C">
        <w:rPr>
          <w:rFonts w:cs="Arial"/>
          <w:szCs w:val="24"/>
        </w:rPr>
        <w:t xml:space="preserve"> outstanding</w:t>
      </w:r>
      <w:r w:rsidR="00DC1F4C" w:rsidRPr="00DC1F4C">
        <w:rPr>
          <w:rFonts w:cs="Arial"/>
          <w:szCs w:val="24"/>
        </w:rPr>
        <w:t>.</w:t>
      </w:r>
      <w:r w:rsidR="00DC1F4C">
        <w:rPr>
          <w:rFonts w:cs="Arial"/>
          <w:szCs w:val="24"/>
        </w:rPr>
        <w:t xml:space="preserve"> </w:t>
      </w:r>
      <w:r w:rsidR="00DC1F4C" w:rsidRPr="00DC1F4C">
        <w:rPr>
          <w:rFonts w:cs="Arial"/>
          <w:szCs w:val="24"/>
        </w:rPr>
        <w:t xml:space="preserve">Efforts have continued to be focused on completing </w:t>
      </w:r>
      <w:r w:rsidR="00B06841">
        <w:rPr>
          <w:rFonts w:cs="Arial"/>
          <w:szCs w:val="24"/>
        </w:rPr>
        <w:t xml:space="preserve">older and priority </w:t>
      </w:r>
      <w:r w:rsidR="00DC1F4C" w:rsidRPr="00DC1F4C">
        <w:rPr>
          <w:rFonts w:cs="Arial"/>
          <w:szCs w:val="24"/>
        </w:rPr>
        <w:t xml:space="preserve">cases </w:t>
      </w:r>
      <w:r w:rsidR="00B06841">
        <w:rPr>
          <w:rFonts w:cs="Arial"/>
          <w:szCs w:val="24"/>
        </w:rPr>
        <w:t>first</w:t>
      </w:r>
      <w:r w:rsidR="00DC1F4C" w:rsidRPr="00DC1F4C">
        <w:rPr>
          <w:rFonts w:cs="Arial"/>
          <w:szCs w:val="24"/>
        </w:rPr>
        <w:t>.</w:t>
      </w:r>
    </w:p>
    <w:p w14:paraId="5820E4EB" w14:textId="77777777" w:rsidR="003D182B" w:rsidRDefault="003D182B" w:rsidP="00640E88">
      <w:pPr>
        <w:ind w:left="360" w:hanging="644"/>
        <w:rPr>
          <w:rFonts w:cs="Arial"/>
          <w:b/>
          <w:szCs w:val="24"/>
        </w:rPr>
      </w:pPr>
    </w:p>
    <w:p w14:paraId="00FAFB8B" w14:textId="77777777" w:rsidR="001153C9" w:rsidRPr="00E31F26" w:rsidRDefault="001153C9" w:rsidP="00640E88">
      <w:pPr>
        <w:ind w:left="360" w:hanging="644"/>
        <w:rPr>
          <w:rFonts w:cs="Arial"/>
          <w:b/>
          <w:color w:val="FF0000"/>
          <w:szCs w:val="24"/>
        </w:rPr>
      </w:pPr>
      <w:r w:rsidRPr="007B367A">
        <w:rPr>
          <w:rFonts w:cs="Arial"/>
          <w:b/>
          <w:szCs w:val="24"/>
        </w:rPr>
        <w:t>Transfers In &amp; Out and</w:t>
      </w:r>
      <w:r w:rsidR="00721A2D" w:rsidRPr="007B367A">
        <w:rPr>
          <w:rFonts w:cs="Arial"/>
          <w:b/>
          <w:szCs w:val="24"/>
        </w:rPr>
        <w:t xml:space="preserve"> </w:t>
      </w:r>
      <w:r w:rsidRPr="007B367A">
        <w:rPr>
          <w:rFonts w:cs="Arial"/>
          <w:b/>
          <w:szCs w:val="24"/>
        </w:rPr>
        <w:t xml:space="preserve">Scheme </w:t>
      </w:r>
      <w:r w:rsidR="00721A2D" w:rsidRPr="007B367A">
        <w:rPr>
          <w:rFonts w:cs="Arial"/>
          <w:b/>
          <w:szCs w:val="24"/>
        </w:rPr>
        <w:t>Valuation</w:t>
      </w:r>
      <w:r w:rsidR="00D4620F">
        <w:rPr>
          <w:rFonts w:cs="Arial"/>
          <w:b/>
          <w:szCs w:val="24"/>
        </w:rPr>
        <w:t xml:space="preserve"> impact</w:t>
      </w:r>
      <w:r w:rsidR="00DF3708">
        <w:rPr>
          <w:rFonts w:cs="Arial"/>
          <w:b/>
          <w:szCs w:val="24"/>
        </w:rPr>
        <w:t>s</w:t>
      </w:r>
      <w:r w:rsidR="00E31F26">
        <w:rPr>
          <w:rFonts w:cs="Arial"/>
          <w:b/>
          <w:szCs w:val="24"/>
        </w:rPr>
        <w:t xml:space="preserve"> </w:t>
      </w:r>
    </w:p>
    <w:p w14:paraId="3790B3C0" w14:textId="77777777" w:rsidR="00157FF1" w:rsidRDefault="00157FF1" w:rsidP="00640E88">
      <w:pPr>
        <w:ind w:left="360" w:hanging="644"/>
        <w:rPr>
          <w:rFonts w:cs="Arial"/>
          <w:szCs w:val="24"/>
        </w:rPr>
      </w:pPr>
    </w:p>
    <w:p w14:paraId="454CA5B1" w14:textId="77777777" w:rsidR="00B06841" w:rsidRDefault="00157FF1" w:rsidP="00640E88">
      <w:pPr>
        <w:pStyle w:val="ListParagraph"/>
        <w:numPr>
          <w:ilvl w:val="0"/>
          <w:numId w:val="6"/>
        </w:numPr>
        <w:ind w:hanging="644"/>
        <w:rPr>
          <w:rFonts w:cs="Arial"/>
          <w:szCs w:val="24"/>
        </w:rPr>
      </w:pPr>
      <w:r w:rsidRPr="00157FF1">
        <w:rPr>
          <w:rFonts w:cs="Arial"/>
          <w:szCs w:val="24"/>
        </w:rPr>
        <w:t>Following the reduction of the discount rate announced in the Budget</w:t>
      </w:r>
      <w:r w:rsidR="00B06841">
        <w:rPr>
          <w:rFonts w:cs="Arial"/>
          <w:szCs w:val="24"/>
        </w:rPr>
        <w:t>,</w:t>
      </w:r>
      <w:r w:rsidRPr="00157FF1">
        <w:rPr>
          <w:rFonts w:cs="Arial"/>
          <w:szCs w:val="24"/>
        </w:rPr>
        <w:t xml:space="preserve"> on 29 October</w:t>
      </w:r>
      <w:r w:rsidR="00B06841">
        <w:rPr>
          <w:rFonts w:cs="Arial"/>
          <w:szCs w:val="24"/>
        </w:rPr>
        <w:t xml:space="preserve">, HMT </w:t>
      </w:r>
      <w:r w:rsidRPr="00157FF1">
        <w:rPr>
          <w:rFonts w:cs="Arial"/>
          <w:szCs w:val="24"/>
        </w:rPr>
        <w:t>place</w:t>
      </w:r>
      <w:r w:rsidR="00B06841">
        <w:rPr>
          <w:rFonts w:cs="Arial"/>
          <w:szCs w:val="24"/>
        </w:rPr>
        <w:t>d</w:t>
      </w:r>
      <w:r w:rsidRPr="00157FF1">
        <w:rPr>
          <w:rFonts w:cs="Arial"/>
          <w:szCs w:val="24"/>
        </w:rPr>
        <w:t xml:space="preserve"> an embargo on </w:t>
      </w:r>
      <w:r w:rsidR="00B06841">
        <w:rPr>
          <w:rFonts w:cs="Arial"/>
          <w:szCs w:val="24"/>
        </w:rPr>
        <w:t xml:space="preserve">the factors for </w:t>
      </w:r>
      <w:r>
        <w:rPr>
          <w:rFonts w:cs="Arial"/>
          <w:szCs w:val="24"/>
        </w:rPr>
        <w:t>Cash Equivalent Transfer Value</w:t>
      </w:r>
      <w:r w:rsidR="00B06841">
        <w:rPr>
          <w:rFonts w:cs="Arial"/>
          <w:szCs w:val="24"/>
        </w:rPr>
        <w:t>s</w:t>
      </w:r>
      <w:r>
        <w:rPr>
          <w:rFonts w:cs="Arial"/>
          <w:szCs w:val="24"/>
        </w:rPr>
        <w:t xml:space="preserve"> (</w:t>
      </w:r>
      <w:r w:rsidRPr="00157FF1">
        <w:rPr>
          <w:rFonts w:cs="Arial"/>
          <w:szCs w:val="24"/>
        </w:rPr>
        <w:t>CETV</w:t>
      </w:r>
      <w:r>
        <w:rPr>
          <w:rFonts w:cs="Arial"/>
          <w:szCs w:val="24"/>
        </w:rPr>
        <w:t>)</w:t>
      </w:r>
      <w:r w:rsidR="00B06841">
        <w:rPr>
          <w:rFonts w:cs="Arial"/>
          <w:szCs w:val="24"/>
        </w:rPr>
        <w:t xml:space="preserve"> – which are key to pe</w:t>
      </w:r>
      <w:r w:rsidRPr="00157FF1">
        <w:rPr>
          <w:rFonts w:cs="Arial"/>
          <w:szCs w:val="24"/>
        </w:rPr>
        <w:t xml:space="preserve">nsion </w:t>
      </w:r>
      <w:r w:rsidR="00B06841">
        <w:rPr>
          <w:rFonts w:cs="Arial"/>
          <w:szCs w:val="24"/>
        </w:rPr>
        <w:t>s</w:t>
      </w:r>
      <w:r w:rsidRPr="00157FF1">
        <w:rPr>
          <w:rFonts w:cs="Arial"/>
          <w:szCs w:val="24"/>
        </w:rPr>
        <w:t>har</w:t>
      </w:r>
      <w:r w:rsidR="00B06841">
        <w:rPr>
          <w:rFonts w:cs="Arial"/>
          <w:szCs w:val="24"/>
        </w:rPr>
        <w:t xml:space="preserve">ing </w:t>
      </w:r>
      <w:r w:rsidRPr="00157FF1">
        <w:rPr>
          <w:rFonts w:cs="Arial"/>
          <w:szCs w:val="24"/>
        </w:rPr>
        <w:t>and transfer</w:t>
      </w:r>
      <w:r w:rsidR="00B06841">
        <w:rPr>
          <w:rFonts w:cs="Arial"/>
          <w:szCs w:val="24"/>
        </w:rPr>
        <w:t xml:space="preserve"> </w:t>
      </w:r>
      <w:r w:rsidRPr="00157FF1">
        <w:rPr>
          <w:rFonts w:cs="Arial"/>
          <w:szCs w:val="24"/>
        </w:rPr>
        <w:t>calculations.</w:t>
      </w:r>
      <w:r w:rsidR="00B06841">
        <w:rPr>
          <w:rFonts w:cs="Arial"/>
          <w:szCs w:val="24"/>
        </w:rPr>
        <w:t xml:space="preserve">  This had impacted on progress in these areas but the revised factors have now been received from the Government Actuary’s Department and are</w:t>
      </w:r>
      <w:r w:rsidRPr="00157FF1">
        <w:rPr>
          <w:rFonts w:cs="Arial"/>
          <w:szCs w:val="24"/>
        </w:rPr>
        <w:t xml:space="preserve"> </w:t>
      </w:r>
      <w:r w:rsidR="00B06841">
        <w:rPr>
          <w:rFonts w:cs="Arial"/>
          <w:szCs w:val="24"/>
        </w:rPr>
        <w:t xml:space="preserve">being loaded into TP’s IT system ready for use.   </w:t>
      </w:r>
    </w:p>
    <w:p w14:paraId="287D4D8C" w14:textId="77777777" w:rsidR="00B06841" w:rsidRDefault="00B06841" w:rsidP="00B06841">
      <w:pPr>
        <w:pStyle w:val="ListParagraph"/>
        <w:ind w:left="360"/>
        <w:rPr>
          <w:rFonts w:cs="Arial"/>
          <w:szCs w:val="24"/>
        </w:rPr>
      </w:pPr>
    </w:p>
    <w:p w14:paraId="6A14A9F5" w14:textId="77777777" w:rsidR="00B06841" w:rsidRDefault="00B06841" w:rsidP="00563116">
      <w:pPr>
        <w:pStyle w:val="ListParagraph"/>
        <w:numPr>
          <w:ilvl w:val="0"/>
          <w:numId w:val="6"/>
        </w:numPr>
        <w:ind w:left="285" w:hanging="568"/>
        <w:rPr>
          <w:rFonts w:cs="Arial"/>
          <w:szCs w:val="24"/>
        </w:rPr>
      </w:pPr>
      <w:r w:rsidRPr="00B06841">
        <w:rPr>
          <w:rFonts w:cs="Arial"/>
          <w:szCs w:val="24"/>
        </w:rPr>
        <w:t xml:space="preserve">Suitable communications have taken place with affected </w:t>
      </w:r>
      <w:r w:rsidR="004F7A48" w:rsidRPr="00B06841">
        <w:rPr>
          <w:rFonts w:cs="Arial"/>
          <w:szCs w:val="24"/>
        </w:rPr>
        <w:t>members</w:t>
      </w:r>
      <w:r w:rsidRPr="00B06841">
        <w:rPr>
          <w:rFonts w:cs="Arial"/>
          <w:szCs w:val="24"/>
        </w:rPr>
        <w:t xml:space="preserve"> and once final testing has been completed outstanding cases will be actioned as quickly as possible</w:t>
      </w:r>
      <w:r w:rsidR="004F7A48" w:rsidRPr="00B06841">
        <w:rPr>
          <w:rFonts w:cs="Arial"/>
          <w:szCs w:val="24"/>
        </w:rPr>
        <w:t>.</w:t>
      </w:r>
      <w:r>
        <w:rPr>
          <w:rFonts w:cs="Arial"/>
          <w:szCs w:val="24"/>
        </w:rPr>
        <w:t xml:space="preserve">  Care will be taken to ensure members nor the scheme are unduly affected by the change in factors – in line with the way that </w:t>
      </w:r>
      <w:r w:rsidR="00964B06" w:rsidRPr="00B06841">
        <w:rPr>
          <w:rFonts w:cs="Arial"/>
          <w:szCs w:val="24"/>
        </w:rPr>
        <w:t xml:space="preserve">DfE and </w:t>
      </w:r>
      <w:r w:rsidR="00FE5CE9" w:rsidRPr="00B06841">
        <w:rPr>
          <w:rFonts w:cs="Arial"/>
          <w:szCs w:val="24"/>
        </w:rPr>
        <w:t>TP</w:t>
      </w:r>
      <w:r w:rsidR="00DA523D" w:rsidRPr="00B06841">
        <w:rPr>
          <w:rFonts w:cs="Arial"/>
          <w:szCs w:val="24"/>
        </w:rPr>
        <w:t xml:space="preserve"> have successfully managed s</w:t>
      </w:r>
      <w:r>
        <w:rPr>
          <w:rFonts w:cs="Arial"/>
          <w:szCs w:val="24"/>
        </w:rPr>
        <w:t>uch changes in th</w:t>
      </w:r>
      <w:r w:rsidR="00DA523D" w:rsidRPr="00B06841">
        <w:rPr>
          <w:rFonts w:cs="Arial"/>
          <w:szCs w:val="24"/>
        </w:rPr>
        <w:t xml:space="preserve">e </w:t>
      </w:r>
      <w:r>
        <w:rPr>
          <w:rFonts w:cs="Arial"/>
          <w:szCs w:val="24"/>
        </w:rPr>
        <w:t>p</w:t>
      </w:r>
      <w:r w:rsidR="00DA523D" w:rsidRPr="00B06841">
        <w:rPr>
          <w:rFonts w:cs="Arial"/>
          <w:szCs w:val="24"/>
        </w:rPr>
        <w:t>a</w:t>
      </w:r>
      <w:r>
        <w:rPr>
          <w:rFonts w:cs="Arial"/>
          <w:szCs w:val="24"/>
        </w:rPr>
        <w:t>s</w:t>
      </w:r>
      <w:r w:rsidR="00DA523D" w:rsidRPr="00B06841">
        <w:rPr>
          <w:rFonts w:cs="Arial"/>
          <w:szCs w:val="24"/>
        </w:rPr>
        <w:t>t.</w:t>
      </w:r>
    </w:p>
    <w:p w14:paraId="35C8FB63" w14:textId="77777777" w:rsidR="00B06841" w:rsidRPr="00B06841" w:rsidRDefault="00B06841" w:rsidP="00B06841">
      <w:pPr>
        <w:pStyle w:val="ListParagraph"/>
        <w:rPr>
          <w:rFonts w:cs="Arial"/>
          <w:szCs w:val="24"/>
        </w:rPr>
      </w:pPr>
    </w:p>
    <w:p w14:paraId="7A60E791" w14:textId="77777777" w:rsidR="003F6E2B" w:rsidRDefault="00B06841" w:rsidP="00A77E6C">
      <w:pPr>
        <w:pStyle w:val="ListParagraph"/>
        <w:numPr>
          <w:ilvl w:val="0"/>
          <w:numId w:val="6"/>
        </w:numPr>
        <w:ind w:left="285" w:hanging="568"/>
        <w:rPr>
          <w:rFonts w:cs="Arial"/>
          <w:szCs w:val="24"/>
        </w:rPr>
      </w:pPr>
      <w:r>
        <w:rPr>
          <w:rFonts w:cs="Arial"/>
          <w:szCs w:val="24"/>
        </w:rPr>
        <w:t>T</w:t>
      </w:r>
      <w:r w:rsidR="00EF47E6" w:rsidRPr="007B367A">
        <w:rPr>
          <w:rFonts w:cs="Arial"/>
          <w:szCs w:val="24"/>
        </w:rPr>
        <w:t xml:space="preserve">ransfers In and Out SLA performance </w:t>
      </w:r>
      <w:r w:rsidR="0055544B" w:rsidRPr="007B367A">
        <w:rPr>
          <w:rFonts w:cs="Arial"/>
          <w:szCs w:val="24"/>
        </w:rPr>
        <w:t>continues to be</w:t>
      </w:r>
      <w:r w:rsidR="00DA523D" w:rsidRPr="007B367A">
        <w:rPr>
          <w:rFonts w:cs="Arial"/>
          <w:szCs w:val="24"/>
        </w:rPr>
        <w:t xml:space="preserve"> monitored </w:t>
      </w:r>
      <w:r w:rsidR="00EF47E6" w:rsidRPr="007B367A">
        <w:rPr>
          <w:rFonts w:cs="Arial"/>
          <w:szCs w:val="24"/>
        </w:rPr>
        <w:t>closely</w:t>
      </w:r>
      <w:r w:rsidR="00DA523D" w:rsidRPr="007B367A">
        <w:rPr>
          <w:rFonts w:cs="Arial"/>
          <w:szCs w:val="24"/>
        </w:rPr>
        <w:t xml:space="preserve"> and</w:t>
      </w:r>
      <w:r>
        <w:rPr>
          <w:rFonts w:cs="Arial"/>
          <w:szCs w:val="24"/>
        </w:rPr>
        <w:t>,</w:t>
      </w:r>
      <w:r w:rsidR="00DA523D" w:rsidRPr="007B367A">
        <w:rPr>
          <w:rFonts w:cs="Arial"/>
          <w:szCs w:val="24"/>
        </w:rPr>
        <w:t xml:space="preserve"> notwithstanding the impact of the embargo period, </w:t>
      </w:r>
      <w:r w:rsidR="003F6E2B">
        <w:rPr>
          <w:rFonts w:cs="Arial"/>
          <w:szCs w:val="24"/>
        </w:rPr>
        <w:t xml:space="preserve">we </w:t>
      </w:r>
      <w:r w:rsidR="00DA523D" w:rsidRPr="007B367A">
        <w:rPr>
          <w:rFonts w:cs="Arial"/>
          <w:szCs w:val="24"/>
        </w:rPr>
        <w:t>expect the</w:t>
      </w:r>
      <w:r w:rsidR="00EF47E6" w:rsidRPr="007B367A">
        <w:rPr>
          <w:rFonts w:cs="Arial"/>
          <w:szCs w:val="24"/>
        </w:rPr>
        <w:t xml:space="preserve"> good general performance level with SLA5a </w:t>
      </w:r>
      <w:r w:rsidR="006860F5">
        <w:rPr>
          <w:rFonts w:cs="Arial"/>
          <w:szCs w:val="24"/>
        </w:rPr>
        <w:t>(</w:t>
      </w:r>
      <w:r w:rsidR="00EF47E6" w:rsidRPr="007B367A">
        <w:rPr>
          <w:rFonts w:cs="Arial"/>
          <w:szCs w:val="24"/>
        </w:rPr>
        <w:t xml:space="preserve">Transfers In – Member notification of Service </w:t>
      </w:r>
      <w:r w:rsidR="00652674" w:rsidRPr="007B367A">
        <w:rPr>
          <w:rFonts w:cs="Arial"/>
          <w:szCs w:val="24"/>
        </w:rPr>
        <w:t xml:space="preserve">Credit </w:t>
      </w:r>
      <w:r w:rsidR="00DA523D" w:rsidRPr="007B367A">
        <w:rPr>
          <w:rFonts w:cs="Arial"/>
          <w:szCs w:val="24"/>
        </w:rPr>
        <w:t>Transfer-in calculation</w:t>
      </w:r>
      <w:r w:rsidR="006860F5">
        <w:rPr>
          <w:rFonts w:cs="Arial"/>
          <w:szCs w:val="24"/>
        </w:rPr>
        <w:t>)</w:t>
      </w:r>
      <w:r w:rsidR="00DA523D" w:rsidRPr="007B367A">
        <w:rPr>
          <w:rFonts w:cs="Arial"/>
          <w:szCs w:val="24"/>
        </w:rPr>
        <w:t xml:space="preserve"> to continue</w:t>
      </w:r>
      <w:r w:rsidR="00EF47E6" w:rsidRPr="007B367A">
        <w:rPr>
          <w:rFonts w:cs="Arial"/>
          <w:szCs w:val="24"/>
        </w:rPr>
        <w:t xml:space="preserve">. </w:t>
      </w:r>
    </w:p>
    <w:p w14:paraId="72A0A760" w14:textId="77777777" w:rsidR="003F6E2B" w:rsidRPr="003F6E2B" w:rsidRDefault="003F6E2B" w:rsidP="003F6E2B">
      <w:pPr>
        <w:pStyle w:val="ListParagraph"/>
        <w:rPr>
          <w:rFonts w:cs="Arial"/>
          <w:szCs w:val="24"/>
        </w:rPr>
      </w:pPr>
    </w:p>
    <w:p w14:paraId="1841F7E7" w14:textId="77777777" w:rsidR="00EF47E6" w:rsidRPr="007B367A" w:rsidRDefault="003F6E2B" w:rsidP="00A77E6C">
      <w:pPr>
        <w:pStyle w:val="ListParagraph"/>
        <w:numPr>
          <w:ilvl w:val="0"/>
          <w:numId w:val="6"/>
        </w:numPr>
        <w:ind w:left="285" w:hanging="568"/>
        <w:rPr>
          <w:rFonts w:cs="Arial"/>
          <w:szCs w:val="24"/>
        </w:rPr>
      </w:pPr>
      <w:r>
        <w:rPr>
          <w:rFonts w:cs="Arial"/>
          <w:szCs w:val="24"/>
        </w:rPr>
        <w:t>H</w:t>
      </w:r>
      <w:r w:rsidR="00EF47E6" w:rsidRPr="007B367A">
        <w:rPr>
          <w:rFonts w:cs="Arial"/>
          <w:szCs w:val="24"/>
        </w:rPr>
        <w:t xml:space="preserve">owever, there are some areas that require attention, particularly:- </w:t>
      </w:r>
    </w:p>
    <w:p w14:paraId="35D00D4B" w14:textId="77777777" w:rsidR="00EF47E6" w:rsidRPr="007B367A" w:rsidRDefault="00EF47E6" w:rsidP="00694C80">
      <w:pPr>
        <w:pStyle w:val="ListParagraph"/>
        <w:widowControl/>
        <w:numPr>
          <w:ilvl w:val="0"/>
          <w:numId w:val="7"/>
        </w:numPr>
        <w:overflowPunct/>
        <w:autoSpaceDE/>
        <w:autoSpaceDN/>
        <w:adjustRightInd/>
        <w:ind w:left="993" w:hanging="426"/>
        <w:textAlignment w:val="auto"/>
        <w:rPr>
          <w:rFonts w:cs="Arial"/>
          <w:szCs w:val="24"/>
        </w:rPr>
      </w:pPr>
      <w:r w:rsidRPr="007B367A">
        <w:rPr>
          <w:rFonts w:cs="Arial"/>
          <w:szCs w:val="24"/>
        </w:rPr>
        <w:t xml:space="preserve">5b Transfers In – Payment Receipt: Member record updated.    </w:t>
      </w:r>
    </w:p>
    <w:p w14:paraId="099ACED1" w14:textId="77777777" w:rsidR="00EF47E6" w:rsidRDefault="00EF47E6" w:rsidP="00694C80">
      <w:pPr>
        <w:pStyle w:val="ListParagraph"/>
        <w:widowControl/>
        <w:numPr>
          <w:ilvl w:val="0"/>
          <w:numId w:val="7"/>
        </w:numPr>
        <w:overflowPunct/>
        <w:autoSpaceDE/>
        <w:autoSpaceDN/>
        <w:adjustRightInd/>
        <w:ind w:left="993" w:hanging="426"/>
        <w:textAlignment w:val="auto"/>
        <w:rPr>
          <w:rFonts w:cs="Arial"/>
          <w:szCs w:val="24"/>
        </w:rPr>
      </w:pPr>
      <w:r w:rsidRPr="007B367A">
        <w:rPr>
          <w:rFonts w:cs="Arial"/>
          <w:szCs w:val="24"/>
        </w:rPr>
        <w:t>6a Transfers Out – Receipt of Transfer Out request.</w:t>
      </w:r>
    </w:p>
    <w:p w14:paraId="12FCCFDE" w14:textId="77777777" w:rsidR="00FC0C3D" w:rsidRPr="00FC0C3D" w:rsidRDefault="00FC0C3D" w:rsidP="00FC0C3D">
      <w:pPr>
        <w:widowControl/>
        <w:overflowPunct/>
        <w:autoSpaceDE/>
        <w:autoSpaceDN/>
        <w:adjustRightInd/>
        <w:textAlignment w:val="auto"/>
        <w:rPr>
          <w:rFonts w:cs="Arial"/>
          <w:szCs w:val="24"/>
        </w:rPr>
      </w:pPr>
    </w:p>
    <w:p w14:paraId="07BF2402" w14:textId="10A04E41" w:rsidR="00652674" w:rsidRPr="007B367A" w:rsidRDefault="00652674" w:rsidP="00F0791E">
      <w:pPr>
        <w:pStyle w:val="ListParagraph"/>
        <w:numPr>
          <w:ilvl w:val="0"/>
          <w:numId w:val="6"/>
        </w:numPr>
        <w:ind w:left="284" w:hanging="568"/>
        <w:rPr>
          <w:rFonts w:cs="Arial"/>
          <w:szCs w:val="24"/>
        </w:rPr>
      </w:pPr>
      <w:r w:rsidRPr="007B367A">
        <w:rPr>
          <w:rFonts w:cs="Arial"/>
          <w:szCs w:val="24"/>
        </w:rPr>
        <w:t xml:space="preserve">In both cases, </w:t>
      </w:r>
      <w:r w:rsidR="00FE5CE9" w:rsidRPr="007B367A">
        <w:rPr>
          <w:rFonts w:cs="Arial"/>
          <w:szCs w:val="24"/>
        </w:rPr>
        <w:t>TP</w:t>
      </w:r>
      <w:r w:rsidRPr="007B367A">
        <w:rPr>
          <w:rFonts w:cs="Arial"/>
          <w:szCs w:val="24"/>
        </w:rPr>
        <w:t xml:space="preserve"> </w:t>
      </w:r>
      <w:r w:rsidR="00F75037">
        <w:rPr>
          <w:rFonts w:cs="Arial"/>
          <w:szCs w:val="24"/>
        </w:rPr>
        <w:t>is</w:t>
      </w:r>
      <w:r w:rsidRPr="007B367A">
        <w:rPr>
          <w:rFonts w:cs="Arial"/>
          <w:szCs w:val="24"/>
        </w:rPr>
        <w:t xml:space="preserve"> working on aged cases which will continue to impact on SLA performance.</w:t>
      </w:r>
    </w:p>
    <w:p w14:paraId="4AD52895" w14:textId="77777777" w:rsidR="00652674" w:rsidRPr="007B367A" w:rsidRDefault="00652674" w:rsidP="00A77E6C">
      <w:pPr>
        <w:rPr>
          <w:rFonts w:cs="Arial"/>
          <w:b/>
          <w:szCs w:val="24"/>
        </w:rPr>
      </w:pPr>
    </w:p>
    <w:tbl>
      <w:tblPr>
        <w:tblStyle w:val="TableGrid"/>
        <w:tblW w:w="0" w:type="auto"/>
        <w:tblInd w:w="108" w:type="dxa"/>
        <w:tblLook w:val="04A0" w:firstRow="1" w:lastRow="0" w:firstColumn="1" w:lastColumn="0" w:noHBand="0" w:noVBand="1"/>
      </w:tblPr>
      <w:tblGrid>
        <w:gridCol w:w="7230"/>
        <w:gridCol w:w="1134"/>
      </w:tblGrid>
      <w:tr w:rsidR="00652674" w:rsidRPr="007B367A" w14:paraId="7ED26D63" w14:textId="77777777" w:rsidTr="00C36FA6">
        <w:tc>
          <w:tcPr>
            <w:tcW w:w="7230" w:type="dxa"/>
            <w:tcBorders>
              <w:top w:val="single" w:sz="4" w:space="0" w:color="auto"/>
              <w:left w:val="single" w:sz="4" w:space="0" w:color="auto"/>
              <w:bottom w:val="single" w:sz="4" w:space="0" w:color="auto"/>
              <w:right w:val="single" w:sz="4" w:space="0" w:color="auto"/>
            </w:tcBorders>
            <w:shd w:val="clear" w:color="auto" w:fill="auto"/>
          </w:tcPr>
          <w:p w14:paraId="6E82BD62" w14:textId="77777777" w:rsidR="00652674" w:rsidRPr="007B367A" w:rsidRDefault="00652674" w:rsidP="00A77E6C">
            <w:pPr>
              <w:rPr>
                <w:rFonts w:cs="Arial"/>
                <w:b/>
                <w:szCs w:val="24"/>
              </w:rPr>
            </w:pPr>
            <w:r w:rsidRPr="007B367A">
              <w:rPr>
                <w:rFonts w:cs="Arial"/>
                <w:b/>
                <w:color w:val="000000"/>
                <w:szCs w:val="24"/>
              </w:rPr>
              <w:t xml:space="preserve">Outcome measures </w:t>
            </w:r>
            <w:r w:rsidR="0004395A">
              <w:rPr>
                <w:rFonts w:cs="Arial"/>
                <w:b/>
                <w:color w:val="000000"/>
                <w:szCs w:val="24"/>
              </w:rPr>
              <w:t xml:space="preserve"> </w:t>
            </w:r>
          </w:p>
          <w:p w14:paraId="28A84FF7" w14:textId="77777777" w:rsidR="00A57959" w:rsidRPr="007B367A" w:rsidRDefault="00A57959" w:rsidP="00A77E6C">
            <w:pPr>
              <w:rPr>
                <w:rFonts w:cs="Arial"/>
                <w:b/>
                <w:szCs w:val="24"/>
              </w:rPr>
            </w:pPr>
          </w:p>
        </w:tc>
        <w:tc>
          <w:tcPr>
            <w:tcW w:w="1134" w:type="dxa"/>
            <w:tcBorders>
              <w:left w:val="single" w:sz="4" w:space="0" w:color="auto"/>
            </w:tcBorders>
            <w:shd w:val="clear" w:color="auto" w:fill="00B050"/>
          </w:tcPr>
          <w:p w14:paraId="5C1077D7" w14:textId="77777777" w:rsidR="00652674" w:rsidRPr="007B367A" w:rsidRDefault="00652674" w:rsidP="00A77E6C">
            <w:pPr>
              <w:rPr>
                <w:rFonts w:cs="Arial"/>
                <w:color w:val="FFC000"/>
                <w:szCs w:val="24"/>
              </w:rPr>
            </w:pPr>
            <w:r w:rsidRPr="007B367A">
              <w:rPr>
                <w:rFonts w:cs="Arial"/>
                <w:noProof/>
                <w:color w:val="00B050"/>
                <w:szCs w:val="24"/>
              </w:rPr>
              <mc:AlternateContent>
                <mc:Choice Requires="wps">
                  <w:drawing>
                    <wp:anchor distT="0" distB="0" distL="114300" distR="114300" simplePos="0" relativeHeight="251671552" behindDoc="0" locked="0" layoutInCell="1" allowOverlap="1" wp14:anchorId="1FF3CAFF" wp14:editId="66BF4EF5">
                      <wp:simplePos x="0" y="0"/>
                      <wp:positionH relativeFrom="column">
                        <wp:posOffset>87630</wp:posOffset>
                      </wp:positionH>
                      <wp:positionV relativeFrom="paragraph">
                        <wp:posOffset>175895</wp:posOffset>
                      </wp:positionV>
                      <wp:extent cx="350520" cy="0"/>
                      <wp:effectExtent l="0" t="76200" r="30480" b="152400"/>
                      <wp:wrapNone/>
                      <wp:docPr id="5" name="Straight Arrow Connector 5"/>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48C5784" id="Straight Arrow Connector 5" o:spid="_x0000_s1026" type="#_x0000_t32" style="position:absolute;margin-left:6.9pt;margin-top:13.85pt;width:27.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vTHgIAADwEAAAOAAAAZHJzL2Uyb0RvYy54bWysU8GO0zAQvSPxD5bvNGmXolXVdIValguC&#10;ii7iPLWdxJJjW2O3af+esZNmC9wQOTgej2fmvTfj9dOlM+ysMGhnKz6flZwpK5zUtqn4j5fnd4+c&#10;hQhWgnFWVfyqAn/avH2z7v1KLVzrjFTIKIkNq95XvI3Rr4oiiFZ1EGbOK0vO2mEHkUxsConQU/bO&#10;FIuy/FD0DqVHJ1QIdLobnHyT89e1EvFbXQcVmak4YYt5xbwe01ps1rBqEHyrxQgD/gFFB9pS0SnV&#10;DiKwE+q/UnVaoAuujjPhusLVtRYqcyA28/IPNocWvMpcSJzgJ5nC/0srvp73yLSs+JIzCx216BAR&#10;dNNG9hHR9WzrrCUZHbJlUqv3YUVBW7vH0Qp+j4n6pcYu/YkUu2SFr5PC6hKZoMOHZblcUB/EzVW8&#10;xnkM8bNyHUubiocRxlR/ngWG85cQqTIF3gJSUeuetTG5m8ayvuKL5fsyFQIaqtpApG3niWawDWdg&#10;GppWETGnDM5omcJTonANW4PsDDQwNGfS9S8EnjMDIZKDGOUvSUEQfgtNeHYQ2iE4u4b5iqDNJytZ&#10;vHrSF5KsY7yxqabKg0q8snynqPDQyp4dzQm/A2EmJomL1EkXmvrBICyJY7bQxZ86tnlgkuiZCTbH&#10;iUq+N5yD8S0MGB8eU/RIZbieabkbhmzdwStS+4eGp93RyWueg3xOI5rvj88pvYF7m/b3j37zCwAA&#10;//8DAFBLAwQUAAYACAAAACEAInYgRNoAAAAHAQAADwAAAGRycy9kb3ducmV2LnhtbEyPy07DMBBF&#10;90j9B2sqsaMORSQQ4lS8pW4qEfgANx6S0Hgcxc6jfD2DWJTl0R3deybbzLYVI/a+caTgchWBQCqd&#10;aahS8PH+cnEDwgdNRreOUMERPWzyxVmmU+MmesOxCJXgEvKpVlCH0KVS+rJGq/3KdUicfbre6sDY&#10;V9L0euJy28p1FMXS6oZ4odYdPtZYHorBKvi2T/Rsx+vX4WuMt9Pu4RgdkkKp8+V8fwci4BxOx/Cr&#10;z+qQs9PeDWS8aJmv2DwoWCcJCM7jW35t/8cyz+R///wHAAD//wMAUEsBAi0AFAAGAAgAAAAhALaD&#10;OJL+AAAA4QEAABMAAAAAAAAAAAAAAAAAAAAAAFtDb250ZW50X1R5cGVzXS54bWxQSwECLQAUAAYA&#10;CAAAACEAOP0h/9YAAACUAQAACwAAAAAAAAAAAAAAAAAvAQAAX3JlbHMvLnJlbHNQSwECLQAUAAYA&#10;CAAAACEAGfOr0x4CAAA8BAAADgAAAAAAAAAAAAAAAAAuAgAAZHJzL2Uyb0RvYy54bWxQSwECLQAU&#10;AAYACAAAACEAInYgRNoAAAAHAQAADwAAAAAAAAAAAAAAAAB4BAAAZHJzL2Rvd25yZXYueG1sUEsF&#10;BgAAAAAEAAQA8wAAAH8FAAAAAA==&#10;" strokecolor="windowText" strokeweight="2pt">
                      <v:stroke endarrow="open"/>
                      <v:shadow on="t" color="black" opacity="24903f" origin=",.5" offset="0,.55556mm"/>
                    </v:shape>
                  </w:pict>
                </mc:Fallback>
              </mc:AlternateContent>
            </w:r>
          </w:p>
        </w:tc>
      </w:tr>
    </w:tbl>
    <w:p w14:paraId="69BB5996" w14:textId="77777777" w:rsidR="00652674" w:rsidRPr="007B367A" w:rsidRDefault="00652674" w:rsidP="00A77E6C">
      <w:pPr>
        <w:rPr>
          <w:rFonts w:cs="Arial"/>
          <w:b/>
          <w:szCs w:val="24"/>
        </w:rPr>
      </w:pPr>
    </w:p>
    <w:p w14:paraId="5368BB9D" w14:textId="17AE525D" w:rsidR="00EF47E6" w:rsidRPr="007B367A" w:rsidRDefault="00F0791E" w:rsidP="00F0791E">
      <w:pPr>
        <w:pStyle w:val="ListParagraph"/>
        <w:numPr>
          <w:ilvl w:val="0"/>
          <w:numId w:val="6"/>
        </w:numPr>
        <w:tabs>
          <w:tab w:val="left" w:pos="142"/>
        </w:tabs>
        <w:ind w:left="284" w:hanging="568"/>
        <w:rPr>
          <w:rFonts w:cs="Arial"/>
          <w:b/>
          <w:szCs w:val="24"/>
        </w:rPr>
      </w:pPr>
      <w:r>
        <w:rPr>
          <w:rFonts w:cs="Arial"/>
          <w:szCs w:val="24"/>
        </w:rPr>
        <w:t xml:space="preserve">  </w:t>
      </w:r>
      <w:r w:rsidR="00EF47E6" w:rsidRPr="007B367A">
        <w:rPr>
          <w:rFonts w:cs="Arial"/>
          <w:szCs w:val="24"/>
        </w:rPr>
        <w:t xml:space="preserve">In the period, </w:t>
      </w:r>
      <w:r w:rsidR="0010574F">
        <w:rPr>
          <w:rFonts w:cs="Arial"/>
          <w:szCs w:val="24"/>
        </w:rPr>
        <w:t>23,023</w:t>
      </w:r>
      <w:r w:rsidR="00D62CC3" w:rsidRPr="007B367A">
        <w:rPr>
          <w:rFonts w:cs="Arial"/>
          <w:szCs w:val="24"/>
        </w:rPr>
        <w:t xml:space="preserve"> </w:t>
      </w:r>
      <w:r w:rsidR="00EF47E6" w:rsidRPr="007B367A">
        <w:rPr>
          <w:rFonts w:cs="Arial"/>
          <w:szCs w:val="24"/>
        </w:rPr>
        <w:t xml:space="preserve">items of feedback were received from members and </w:t>
      </w:r>
      <w:r w:rsidR="0010574F">
        <w:rPr>
          <w:rFonts w:cs="Arial"/>
          <w:szCs w:val="24"/>
        </w:rPr>
        <w:t>1,439</w:t>
      </w:r>
      <w:r w:rsidR="00D62CC3" w:rsidRPr="007B367A">
        <w:rPr>
          <w:rFonts w:cs="Arial"/>
          <w:szCs w:val="24"/>
        </w:rPr>
        <w:t xml:space="preserve"> </w:t>
      </w:r>
      <w:r w:rsidR="00EF47E6" w:rsidRPr="007B367A">
        <w:rPr>
          <w:rFonts w:cs="Arial"/>
          <w:szCs w:val="24"/>
        </w:rPr>
        <w:t xml:space="preserve">items of feedback were received from employers.  </w:t>
      </w:r>
    </w:p>
    <w:p w14:paraId="73F253FE" w14:textId="77777777" w:rsidR="00EF47E6" w:rsidRPr="007B367A" w:rsidRDefault="00EF47E6" w:rsidP="00F0791E">
      <w:pPr>
        <w:pStyle w:val="ListParagraph"/>
        <w:ind w:hanging="568"/>
        <w:rPr>
          <w:rFonts w:cs="Arial"/>
          <w:b/>
          <w:szCs w:val="24"/>
        </w:rPr>
      </w:pPr>
    </w:p>
    <w:p w14:paraId="328D2EEF" w14:textId="77777777" w:rsidR="00DD4B28" w:rsidRDefault="00EF47E6" w:rsidP="00F0791E">
      <w:pPr>
        <w:pStyle w:val="ListParagraph"/>
        <w:numPr>
          <w:ilvl w:val="0"/>
          <w:numId w:val="6"/>
        </w:numPr>
        <w:ind w:left="284" w:hanging="568"/>
        <w:rPr>
          <w:rFonts w:cs="Arial"/>
          <w:szCs w:val="24"/>
        </w:rPr>
      </w:pPr>
      <w:r w:rsidRPr="007B367A">
        <w:rPr>
          <w:rFonts w:cs="Arial"/>
          <w:szCs w:val="24"/>
        </w:rPr>
        <w:t>Achievement against targets are set out in the table</w:t>
      </w:r>
      <w:r w:rsidR="003D174D">
        <w:rPr>
          <w:rFonts w:cs="Arial"/>
          <w:szCs w:val="24"/>
        </w:rPr>
        <w:t>s</w:t>
      </w:r>
      <w:r w:rsidRPr="007B367A">
        <w:rPr>
          <w:rFonts w:cs="Arial"/>
          <w:szCs w:val="24"/>
        </w:rPr>
        <w:t xml:space="preserve"> below </w:t>
      </w:r>
      <w:r w:rsidR="00815A3E" w:rsidRPr="007B367A">
        <w:rPr>
          <w:rFonts w:cs="Arial"/>
          <w:szCs w:val="24"/>
        </w:rPr>
        <w:t>for contract year 7 (1</w:t>
      </w:r>
      <w:r w:rsidR="00815A3E" w:rsidRPr="007B367A">
        <w:rPr>
          <w:rFonts w:cs="Arial"/>
          <w:szCs w:val="24"/>
          <w:vertAlign w:val="superscript"/>
        </w:rPr>
        <w:t>st</w:t>
      </w:r>
      <w:r w:rsidR="00815A3E" w:rsidRPr="007B367A">
        <w:rPr>
          <w:rFonts w:cs="Arial"/>
          <w:szCs w:val="24"/>
        </w:rPr>
        <w:t xml:space="preserve"> October 2017 to 30</w:t>
      </w:r>
      <w:r w:rsidR="00815A3E" w:rsidRPr="007B367A">
        <w:rPr>
          <w:rFonts w:cs="Arial"/>
          <w:szCs w:val="24"/>
          <w:vertAlign w:val="superscript"/>
        </w:rPr>
        <w:t>th</w:t>
      </w:r>
      <w:r w:rsidR="00815A3E" w:rsidRPr="007B367A">
        <w:rPr>
          <w:rFonts w:cs="Arial"/>
          <w:szCs w:val="24"/>
        </w:rPr>
        <w:t xml:space="preserve"> September 2018) and contract year 8 (October 2018) separately.</w:t>
      </w:r>
      <w:r w:rsidRPr="003D174D">
        <w:rPr>
          <w:rFonts w:cs="Arial"/>
          <w:szCs w:val="24"/>
        </w:rPr>
        <w:t xml:space="preserve">  </w:t>
      </w:r>
    </w:p>
    <w:p w14:paraId="6D4E63CF" w14:textId="77777777" w:rsidR="007732DA" w:rsidRPr="007732DA" w:rsidRDefault="007732DA" w:rsidP="007732DA">
      <w:pPr>
        <w:pStyle w:val="ListParagraph"/>
        <w:rPr>
          <w:rFonts w:cs="Arial"/>
          <w:szCs w:val="24"/>
        </w:rPr>
      </w:pPr>
    </w:p>
    <w:tbl>
      <w:tblPr>
        <w:tblStyle w:val="TableGrid"/>
        <w:tblW w:w="9209" w:type="dxa"/>
        <w:tblLook w:val="04A0" w:firstRow="1" w:lastRow="0" w:firstColumn="1" w:lastColumn="0" w:noHBand="0" w:noVBand="1"/>
      </w:tblPr>
      <w:tblGrid>
        <w:gridCol w:w="1257"/>
        <w:gridCol w:w="3435"/>
        <w:gridCol w:w="2249"/>
        <w:gridCol w:w="2268"/>
      </w:tblGrid>
      <w:tr w:rsidR="00EF47E6" w:rsidRPr="007B367A" w14:paraId="6C0A6F89" w14:textId="77777777" w:rsidTr="00A521C3">
        <w:tc>
          <w:tcPr>
            <w:tcW w:w="1257" w:type="dxa"/>
          </w:tcPr>
          <w:p w14:paraId="7357E5FF" w14:textId="77777777" w:rsidR="00EF47E6" w:rsidRPr="007B367A" w:rsidRDefault="00EF47E6" w:rsidP="00A77E6C">
            <w:pPr>
              <w:rPr>
                <w:rFonts w:cs="Arial"/>
                <w:b/>
                <w:szCs w:val="24"/>
              </w:rPr>
            </w:pPr>
            <w:r w:rsidRPr="007B367A">
              <w:rPr>
                <w:rFonts w:cs="Arial"/>
                <w:b/>
                <w:szCs w:val="24"/>
              </w:rPr>
              <w:t>Outcome Measure</w:t>
            </w:r>
          </w:p>
        </w:tc>
        <w:tc>
          <w:tcPr>
            <w:tcW w:w="3435" w:type="dxa"/>
          </w:tcPr>
          <w:p w14:paraId="0E1F53C3" w14:textId="77777777" w:rsidR="00EF47E6" w:rsidRPr="007B367A" w:rsidRDefault="00EF47E6" w:rsidP="00A77E6C">
            <w:pPr>
              <w:rPr>
                <w:rFonts w:cs="Arial"/>
                <w:b/>
                <w:szCs w:val="24"/>
              </w:rPr>
            </w:pPr>
            <w:r w:rsidRPr="007B367A">
              <w:rPr>
                <w:rFonts w:cs="Arial"/>
                <w:b/>
                <w:szCs w:val="24"/>
              </w:rPr>
              <w:t>Description</w:t>
            </w:r>
          </w:p>
          <w:p w14:paraId="62DD1783" w14:textId="77777777" w:rsidR="00FE5CE9" w:rsidRPr="007B367A" w:rsidRDefault="00FE5CE9" w:rsidP="00A77E6C">
            <w:pPr>
              <w:rPr>
                <w:rFonts w:cs="Arial"/>
                <w:b/>
                <w:szCs w:val="24"/>
              </w:rPr>
            </w:pPr>
          </w:p>
        </w:tc>
        <w:tc>
          <w:tcPr>
            <w:tcW w:w="2249" w:type="dxa"/>
          </w:tcPr>
          <w:p w14:paraId="56DBD4DB" w14:textId="77777777" w:rsidR="00EF47E6" w:rsidRPr="007B367A" w:rsidRDefault="00EF47E6" w:rsidP="00AA2E89">
            <w:pPr>
              <w:jc w:val="center"/>
              <w:rPr>
                <w:rFonts w:cs="Arial"/>
                <w:b/>
                <w:szCs w:val="24"/>
                <w:highlight w:val="yellow"/>
              </w:rPr>
            </w:pPr>
            <w:r w:rsidRPr="007B367A">
              <w:rPr>
                <w:rFonts w:cs="Arial"/>
                <w:b/>
                <w:szCs w:val="24"/>
              </w:rPr>
              <w:t>Achievement Year 7</w:t>
            </w:r>
          </w:p>
        </w:tc>
        <w:tc>
          <w:tcPr>
            <w:tcW w:w="2268" w:type="dxa"/>
          </w:tcPr>
          <w:p w14:paraId="4A81AE59" w14:textId="77777777" w:rsidR="00EF47E6" w:rsidRPr="007B367A" w:rsidRDefault="00EF47E6" w:rsidP="00AA2E89">
            <w:pPr>
              <w:jc w:val="center"/>
              <w:rPr>
                <w:rFonts w:cs="Arial"/>
                <w:b/>
                <w:szCs w:val="24"/>
                <w:highlight w:val="yellow"/>
              </w:rPr>
            </w:pPr>
            <w:r w:rsidRPr="007B367A">
              <w:rPr>
                <w:rFonts w:cs="Arial"/>
                <w:b/>
                <w:szCs w:val="24"/>
              </w:rPr>
              <w:t>Year 7 target</w:t>
            </w:r>
          </w:p>
        </w:tc>
      </w:tr>
      <w:tr w:rsidR="00EF47E6" w:rsidRPr="007B367A" w14:paraId="63D376CB" w14:textId="77777777" w:rsidTr="00A521C3">
        <w:tc>
          <w:tcPr>
            <w:tcW w:w="1257" w:type="dxa"/>
          </w:tcPr>
          <w:p w14:paraId="6765C77D" w14:textId="77777777" w:rsidR="00EF47E6" w:rsidRPr="007B367A" w:rsidRDefault="00EF47E6" w:rsidP="00A77E6C">
            <w:pPr>
              <w:rPr>
                <w:rFonts w:cs="Arial"/>
                <w:szCs w:val="24"/>
              </w:rPr>
            </w:pPr>
            <w:r w:rsidRPr="007B367A">
              <w:rPr>
                <w:rFonts w:cs="Arial"/>
                <w:szCs w:val="24"/>
              </w:rPr>
              <w:t>2</w:t>
            </w:r>
          </w:p>
        </w:tc>
        <w:tc>
          <w:tcPr>
            <w:tcW w:w="3435" w:type="dxa"/>
          </w:tcPr>
          <w:p w14:paraId="46A2F5D4" w14:textId="77777777" w:rsidR="00EF47E6" w:rsidRPr="007B367A" w:rsidRDefault="00EF47E6" w:rsidP="00A77E6C">
            <w:pPr>
              <w:rPr>
                <w:rFonts w:cs="Arial"/>
                <w:szCs w:val="24"/>
              </w:rPr>
            </w:pPr>
            <w:r w:rsidRPr="007B367A">
              <w:rPr>
                <w:rFonts w:cs="Arial"/>
                <w:szCs w:val="24"/>
              </w:rPr>
              <w:t>Members understand the value of their Teachers’ Pension</w:t>
            </w:r>
          </w:p>
          <w:p w14:paraId="74BDA3AC" w14:textId="77777777" w:rsidR="00EF47E6" w:rsidRPr="007B367A" w:rsidRDefault="00EF47E6" w:rsidP="00A77E6C">
            <w:pPr>
              <w:rPr>
                <w:rFonts w:cs="Arial"/>
                <w:b/>
                <w:szCs w:val="24"/>
              </w:rPr>
            </w:pPr>
            <w:r w:rsidRPr="007B367A">
              <w:rPr>
                <w:rFonts w:cs="Arial"/>
                <w:b/>
                <w:szCs w:val="24"/>
              </w:rPr>
              <w:t>Engagement</w:t>
            </w:r>
          </w:p>
        </w:tc>
        <w:tc>
          <w:tcPr>
            <w:tcW w:w="2249" w:type="dxa"/>
          </w:tcPr>
          <w:p w14:paraId="2A3CFFA3" w14:textId="77777777" w:rsidR="00101D83" w:rsidRDefault="00101D83" w:rsidP="00AA2E89">
            <w:pPr>
              <w:jc w:val="center"/>
              <w:rPr>
                <w:rFonts w:cs="Arial"/>
                <w:szCs w:val="24"/>
              </w:rPr>
            </w:pPr>
          </w:p>
          <w:p w14:paraId="0127D753" w14:textId="77777777" w:rsidR="00EF47E6" w:rsidRPr="007B367A" w:rsidRDefault="00DD4B28" w:rsidP="00AA2E89">
            <w:pPr>
              <w:jc w:val="center"/>
              <w:rPr>
                <w:rFonts w:cs="Arial"/>
                <w:szCs w:val="24"/>
              </w:rPr>
            </w:pPr>
            <w:r w:rsidRPr="007B367A">
              <w:rPr>
                <w:rFonts w:cs="Arial"/>
                <w:szCs w:val="24"/>
              </w:rPr>
              <w:t>97.7</w:t>
            </w:r>
            <w:r w:rsidR="00EF47E6" w:rsidRPr="007B367A">
              <w:rPr>
                <w:rFonts w:cs="Arial"/>
                <w:szCs w:val="24"/>
              </w:rPr>
              <w:t>%</w:t>
            </w:r>
          </w:p>
        </w:tc>
        <w:tc>
          <w:tcPr>
            <w:tcW w:w="2268" w:type="dxa"/>
          </w:tcPr>
          <w:p w14:paraId="707C4D16" w14:textId="77777777" w:rsidR="00101D83" w:rsidRDefault="00101D83" w:rsidP="00AA2E89">
            <w:pPr>
              <w:jc w:val="center"/>
              <w:rPr>
                <w:rFonts w:cs="Arial"/>
                <w:szCs w:val="24"/>
              </w:rPr>
            </w:pPr>
          </w:p>
          <w:p w14:paraId="6BA63F33" w14:textId="77777777" w:rsidR="00EF47E6" w:rsidRPr="007B367A" w:rsidRDefault="00EF47E6" w:rsidP="00AA2E89">
            <w:pPr>
              <w:jc w:val="center"/>
              <w:rPr>
                <w:rFonts w:cs="Arial"/>
                <w:szCs w:val="24"/>
              </w:rPr>
            </w:pPr>
            <w:r w:rsidRPr="007B367A">
              <w:rPr>
                <w:rFonts w:cs="Arial"/>
                <w:szCs w:val="24"/>
              </w:rPr>
              <w:t>92%</w:t>
            </w:r>
          </w:p>
        </w:tc>
      </w:tr>
      <w:tr w:rsidR="00EF47E6" w:rsidRPr="007B367A" w14:paraId="554C6EE2" w14:textId="77777777" w:rsidTr="00A521C3">
        <w:tc>
          <w:tcPr>
            <w:tcW w:w="1257" w:type="dxa"/>
          </w:tcPr>
          <w:p w14:paraId="42813FE8" w14:textId="77777777" w:rsidR="00EF47E6" w:rsidRPr="007B367A" w:rsidRDefault="00EF47E6" w:rsidP="00A77E6C">
            <w:pPr>
              <w:rPr>
                <w:rFonts w:cs="Arial"/>
                <w:szCs w:val="24"/>
              </w:rPr>
            </w:pPr>
            <w:r w:rsidRPr="007B367A">
              <w:rPr>
                <w:rFonts w:cs="Arial"/>
                <w:szCs w:val="24"/>
              </w:rPr>
              <w:t>3</w:t>
            </w:r>
          </w:p>
        </w:tc>
        <w:tc>
          <w:tcPr>
            <w:tcW w:w="3435" w:type="dxa"/>
          </w:tcPr>
          <w:p w14:paraId="737D9247" w14:textId="77777777" w:rsidR="00EF47E6" w:rsidRPr="007B367A" w:rsidRDefault="00EF47E6" w:rsidP="00A77E6C">
            <w:pPr>
              <w:rPr>
                <w:rFonts w:cs="Arial"/>
                <w:szCs w:val="24"/>
              </w:rPr>
            </w:pPr>
            <w:r w:rsidRPr="007B367A">
              <w:rPr>
                <w:rFonts w:cs="Arial"/>
                <w:szCs w:val="24"/>
              </w:rPr>
              <w:t>Members are actively planning for their retirement</w:t>
            </w:r>
          </w:p>
          <w:p w14:paraId="33619652" w14:textId="77777777" w:rsidR="00EF47E6" w:rsidRPr="007B367A" w:rsidRDefault="00EF47E6" w:rsidP="00A77E6C">
            <w:pPr>
              <w:rPr>
                <w:rFonts w:cs="Arial"/>
                <w:b/>
                <w:szCs w:val="24"/>
              </w:rPr>
            </w:pPr>
            <w:r w:rsidRPr="007B367A">
              <w:rPr>
                <w:rFonts w:cs="Arial"/>
                <w:b/>
                <w:szCs w:val="24"/>
              </w:rPr>
              <w:t>Engagement</w:t>
            </w:r>
          </w:p>
        </w:tc>
        <w:tc>
          <w:tcPr>
            <w:tcW w:w="2249" w:type="dxa"/>
          </w:tcPr>
          <w:p w14:paraId="41D08A40" w14:textId="77777777" w:rsidR="00101D83" w:rsidRDefault="00101D83" w:rsidP="00AA2E89">
            <w:pPr>
              <w:jc w:val="center"/>
              <w:rPr>
                <w:rFonts w:cs="Arial"/>
                <w:szCs w:val="24"/>
              </w:rPr>
            </w:pPr>
          </w:p>
          <w:p w14:paraId="78549782" w14:textId="77777777" w:rsidR="00EF47E6" w:rsidRPr="007B367A" w:rsidRDefault="00DD4B28" w:rsidP="00AA2E89">
            <w:pPr>
              <w:jc w:val="center"/>
              <w:rPr>
                <w:rFonts w:cs="Arial"/>
                <w:szCs w:val="24"/>
              </w:rPr>
            </w:pPr>
            <w:r w:rsidRPr="007B367A">
              <w:rPr>
                <w:rFonts w:cs="Arial"/>
                <w:szCs w:val="24"/>
              </w:rPr>
              <w:t>86.6</w:t>
            </w:r>
            <w:r w:rsidR="00EF47E6" w:rsidRPr="007B367A">
              <w:rPr>
                <w:rFonts w:cs="Arial"/>
                <w:szCs w:val="24"/>
              </w:rPr>
              <w:t>%</w:t>
            </w:r>
          </w:p>
        </w:tc>
        <w:tc>
          <w:tcPr>
            <w:tcW w:w="2268" w:type="dxa"/>
          </w:tcPr>
          <w:p w14:paraId="60454365" w14:textId="77777777" w:rsidR="00101D83" w:rsidRDefault="00101D83" w:rsidP="00AA2E89">
            <w:pPr>
              <w:jc w:val="center"/>
              <w:rPr>
                <w:rFonts w:cs="Arial"/>
                <w:szCs w:val="24"/>
              </w:rPr>
            </w:pPr>
          </w:p>
          <w:p w14:paraId="5C376C8E" w14:textId="77777777" w:rsidR="00EF47E6" w:rsidRPr="007B367A" w:rsidRDefault="00EF47E6" w:rsidP="00AA2E89">
            <w:pPr>
              <w:jc w:val="center"/>
              <w:rPr>
                <w:rFonts w:cs="Arial"/>
                <w:szCs w:val="24"/>
              </w:rPr>
            </w:pPr>
            <w:r w:rsidRPr="007B367A">
              <w:rPr>
                <w:rFonts w:cs="Arial"/>
                <w:szCs w:val="24"/>
              </w:rPr>
              <w:t>86%</w:t>
            </w:r>
          </w:p>
        </w:tc>
      </w:tr>
      <w:tr w:rsidR="00EF47E6" w:rsidRPr="007B367A" w14:paraId="6B80B9A8" w14:textId="77777777" w:rsidTr="00A521C3">
        <w:tc>
          <w:tcPr>
            <w:tcW w:w="1257" w:type="dxa"/>
          </w:tcPr>
          <w:p w14:paraId="7046B222" w14:textId="77777777" w:rsidR="00EF47E6" w:rsidRPr="007B367A" w:rsidRDefault="00EF47E6" w:rsidP="00A77E6C">
            <w:pPr>
              <w:rPr>
                <w:rFonts w:cs="Arial"/>
                <w:szCs w:val="24"/>
              </w:rPr>
            </w:pPr>
            <w:r w:rsidRPr="007B367A">
              <w:rPr>
                <w:rFonts w:cs="Arial"/>
                <w:szCs w:val="24"/>
              </w:rPr>
              <w:t>5</w:t>
            </w:r>
          </w:p>
        </w:tc>
        <w:tc>
          <w:tcPr>
            <w:tcW w:w="3435" w:type="dxa"/>
          </w:tcPr>
          <w:p w14:paraId="632CC0FB" w14:textId="77777777" w:rsidR="00EF47E6" w:rsidRPr="007B367A" w:rsidRDefault="00EF47E6" w:rsidP="00A77E6C">
            <w:pPr>
              <w:rPr>
                <w:rFonts w:cs="Arial"/>
                <w:szCs w:val="24"/>
              </w:rPr>
            </w:pPr>
            <w:r w:rsidRPr="007B367A">
              <w:rPr>
                <w:rFonts w:cs="Arial"/>
                <w:szCs w:val="24"/>
              </w:rPr>
              <w:t>Members regularly receive information about their pension and are satisfied with its quality</w:t>
            </w:r>
          </w:p>
          <w:p w14:paraId="46F43620" w14:textId="77777777" w:rsidR="00EF47E6" w:rsidRPr="007B367A" w:rsidRDefault="00EF47E6" w:rsidP="00A77E6C">
            <w:pPr>
              <w:rPr>
                <w:rFonts w:cs="Arial"/>
                <w:b/>
                <w:szCs w:val="24"/>
              </w:rPr>
            </w:pPr>
            <w:r w:rsidRPr="007B367A">
              <w:rPr>
                <w:rFonts w:cs="Arial"/>
                <w:b/>
                <w:szCs w:val="24"/>
              </w:rPr>
              <w:t>Service Delivery</w:t>
            </w:r>
          </w:p>
        </w:tc>
        <w:tc>
          <w:tcPr>
            <w:tcW w:w="2249" w:type="dxa"/>
          </w:tcPr>
          <w:p w14:paraId="21CD3468" w14:textId="77777777" w:rsidR="00101D83" w:rsidRDefault="00101D83" w:rsidP="00AA2E89">
            <w:pPr>
              <w:jc w:val="center"/>
              <w:rPr>
                <w:rFonts w:cs="Arial"/>
                <w:szCs w:val="24"/>
              </w:rPr>
            </w:pPr>
          </w:p>
          <w:p w14:paraId="586037E5" w14:textId="77777777" w:rsidR="00101D83" w:rsidRDefault="00101D83" w:rsidP="00AA2E89">
            <w:pPr>
              <w:jc w:val="center"/>
              <w:rPr>
                <w:rFonts w:cs="Arial"/>
                <w:szCs w:val="24"/>
              </w:rPr>
            </w:pPr>
          </w:p>
          <w:p w14:paraId="7E4D3C48" w14:textId="77777777" w:rsidR="00EF47E6" w:rsidRPr="007B367A" w:rsidRDefault="00DD4B28" w:rsidP="00AA2E89">
            <w:pPr>
              <w:jc w:val="center"/>
              <w:rPr>
                <w:rFonts w:cs="Arial"/>
                <w:szCs w:val="24"/>
              </w:rPr>
            </w:pPr>
            <w:r w:rsidRPr="007B367A">
              <w:rPr>
                <w:rFonts w:cs="Arial"/>
                <w:szCs w:val="24"/>
              </w:rPr>
              <w:t>70.6</w:t>
            </w:r>
            <w:r w:rsidR="00EF47E6" w:rsidRPr="007B367A">
              <w:rPr>
                <w:rFonts w:cs="Arial"/>
                <w:szCs w:val="24"/>
              </w:rPr>
              <w:t>%</w:t>
            </w:r>
          </w:p>
        </w:tc>
        <w:tc>
          <w:tcPr>
            <w:tcW w:w="2268" w:type="dxa"/>
          </w:tcPr>
          <w:p w14:paraId="740E8C2A" w14:textId="77777777" w:rsidR="00101D83" w:rsidRDefault="00101D83" w:rsidP="00AA2E89">
            <w:pPr>
              <w:jc w:val="center"/>
              <w:rPr>
                <w:rFonts w:cs="Arial"/>
                <w:szCs w:val="24"/>
              </w:rPr>
            </w:pPr>
          </w:p>
          <w:p w14:paraId="6D242AC1" w14:textId="77777777" w:rsidR="00101D83" w:rsidRDefault="00101D83" w:rsidP="00AA2E89">
            <w:pPr>
              <w:jc w:val="center"/>
              <w:rPr>
                <w:rFonts w:cs="Arial"/>
                <w:szCs w:val="24"/>
              </w:rPr>
            </w:pPr>
          </w:p>
          <w:p w14:paraId="1F8925ED" w14:textId="77777777" w:rsidR="00EF47E6" w:rsidRPr="007B367A" w:rsidRDefault="00EF47E6" w:rsidP="00AA2E89">
            <w:pPr>
              <w:jc w:val="center"/>
              <w:rPr>
                <w:rFonts w:cs="Arial"/>
                <w:szCs w:val="24"/>
              </w:rPr>
            </w:pPr>
            <w:r w:rsidRPr="007B367A">
              <w:rPr>
                <w:rFonts w:cs="Arial"/>
                <w:szCs w:val="24"/>
              </w:rPr>
              <w:t>78%</w:t>
            </w:r>
          </w:p>
        </w:tc>
      </w:tr>
      <w:tr w:rsidR="00EF47E6" w:rsidRPr="007B367A" w14:paraId="5B290920" w14:textId="77777777" w:rsidTr="00A95736">
        <w:tc>
          <w:tcPr>
            <w:tcW w:w="1257" w:type="dxa"/>
            <w:tcBorders>
              <w:bottom w:val="single" w:sz="4" w:space="0" w:color="auto"/>
            </w:tcBorders>
          </w:tcPr>
          <w:p w14:paraId="445F4397" w14:textId="77777777" w:rsidR="00EF47E6" w:rsidRPr="007B367A" w:rsidRDefault="00EF47E6" w:rsidP="00A77E6C">
            <w:pPr>
              <w:rPr>
                <w:rFonts w:cs="Arial"/>
                <w:szCs w:val="24"/>
              </w:rPr>
            </w:pPr>
            <w:r w:rsidRPr="007B367A">
              <w:rPr>
                <w:rFonts w:cs="Arial"/>
                <w:szCs w:val="24"/>
              </w:rPr>
              <w:t>6</w:t>
            </w:r>
          </w:p>
        </w:tc>
        <w:tc>
          <w:tcPr>
            <w:tcW w:w="3435" w:type="dxa"/>
            <w:tcBorders>
              <w:bottom w:val="single" w:sz="4" w:space="0" w:color="auto"/>
            </w:tcBorders>
          </w:tcPr>
          <w:p w14:paraId="15B0BE84" w14:textId="77777777" w:rsidR="00EF47E6" w:rsidRPr="007B367A" w:rsidRDefault="00EF47E6" w:rsidP="00A77E6C">
            <w:pPr>
              <w:rPr>
                <w:rFonts w:cs="Arial"/>
                <w:szCs w:val="24"/>
              </w:rPr>
            </w:pPr>
            <w:r w:rsidRPr="007B367A">
              <w:rPr>
                <w:rFonts w:cs="Arial"/>
                <w:szCs w:val="24"/>
              </w:rPr>
              <w:t>Members who contact the TPS about their pension are satisfied with the timeliness and quality of the response</w:t>
            </w:r>
          </w:p>
          <w:p w14:paraId="38898C72" w14:textId="77777777" w:rsidR="00EF47E6" w:rsidRPr="007B367A" w:rsidRDefault="00EF47E6" w:rsidP="00A77E6C">
            <w:pPr>
              <w:rPr>
                <w:rFonts w:cs="Arial"/>
                <w:b/>
                <w:szCs w:val="24"/>
              </w:rPr>
            </w:pPr>
            <w:r w:rsidRPr="007B367A">
              <w:rPr>
                <w:rFonts w:cs="Arial"/>
                <w:b/>
                <w:szCs w:val="24"/>
              </w:rPr>
              <w:t>Service Delivery</w:t>
            </w:r>
          </w:p>
        </w:tc>
        <w:tc>
          <w:tcPr>
            <w:tcW w:w="2249" w:type="dxa"/>
            <w:tcBorders>
              <w:bottom w:val="single" w:sz="4" w:space="0" w:color="auto"/>
            </w:tcBorders>
          </w:tcPr>
          <w:p w14:paraId="0FDDB7A0" w14:textId="77777777" w:rsidR="00101D83" w:rsidRDefault="00101D83" w:rsidP="00AA2E89">
            <w:pPr>
              <w:jc w:val="center"/>
              <w:rPr>
                <w:rFonts w:cs="Arial"/>
                <w:szCs w:val="24"/>
              </w:rPr>
            </w:pPr>
          </w:p>
          <w:p w14:paraId="47DA302B" w14:textId="77777777" w:rsidR="00101D83" w:rsidRDefault="00101D83" w:rsidP="00AA2E89">
            <w:pPr>
              <w:jc w:val="center"/>
              <w:rPr>
                <w:rFonts w:cs="Arial"/>
                <w:szCs w:val="24"/>
              </w:rPr>
            </w:pPr>
          </w:p>
          <w:p w14:paraId="1876C08F" w14:textId="77777777" w:rsidR="00EF47E6" w:rsidRPr="007B367A" w:rsidRDefault="00DD4B28" w:rsidP="00AA2E89">
            <w:pPr>
              <w:jc w:val="center"/>
              <w:rPr>
                <w:rFonts w:cs="Arial"/>
                <w:szCs w:val="24"/>
              </w:rPr>
            </w:pPr>
            <w:r w:rsidRPr="007B367A">
              <w:rPr>
                <w:rFonts w:cs="Arial"/>
                <w:szCs w:val="24"/>
              </w:rPr>
              <w:t>69.2</w:t>
            </w:r>
            <w:r w:rsidR="00EF47E6" w:rsidRPr="007B367A">
              <w:rPr>
                <w:rFonts w:cs="Arial"/>
                <w:szCs w:val="24"/>
              </w:rPr>
              <w:t>%</w:t>
            </w:r>
          </w:p>
        </w:tc>
        <w:tc>
          <w:tcPr>
            <w:tcW w:w="2268" w:type="dxa"/>
            <w:tcBorders>
              <w:bottom w:val="single" w:sz="4" w:space="0" w:color="auto"/>
            </w:tcBorders>
          </w:tcPr>
          <w:p w14:paraId="1EC5E6BF" w14:textId="77777777" w:rsidR="00101D83" w:rsidRDefault="00101D83" w:rsidP="00AA2E89">
            <w:pPr>
              <w:jc w:val="center"/>
              <w:rPr>
                <w:rFonts w:cs="Arial"/>
                <w:szCs w:val="24"/>
              </w:rPr>
            </w:pPr>
          </w:p>
          <w:p w14:paraId="2931FB17" w14:textId="77777777" w:rsidR="00101D83" w:rsidRDefault="00101D83" w:rsidP="00AA2E89">
            <w:pPr>
              <w:jc w:val="center"/>
              <w:rPr>
                <w:rFonts w:cs="Arial"/>
                <w:szCs w:val="24"/>
              </w:rPr>
            </w:pPr>
          </w:p>
          <w:p w14:paraId="7D7A62B1" w14:textId="77777777" w:rsidR="00EF47E6" w:rsidRPr="007B367A" w:rsidRDefault="00EF47E6" w:rsidP="00AA2E89">
            <w:pPr>
              <w:jc w:val="center"/>
              <w:rPr>
                <w:rFonts w:cs="Arial"/>
                <w:szCs w:val="24"/>
              </w:rPr>
            </w:pPr>
            <w:r w:rsidRPr="007B367A">
              <w:rPr>
                <w:rFonts w:cs="Arial"/>
                <w:szCs w:val="24"/>
              </w:rPr>
              <w:t>78%</w:t>
            </w:r>
          </w:p>
        </w:tc>
      </w:tr>
      <w:tr w:rsidR="00EF47E6" w:rsidRPr="007B367A" w14:paraId="0E6BF055" w14:textId="77777777" w:rsidTr="00A95736">
        <w:tc>
          <w:tcPr>
            <w:tcW w:w="1257" w:type="dxa"/>
            <w:tcBorders>
              <w:top w:val="single" w:sz="4" w:space="0" w:color="auto"/>
              <w:left w:val="single" w:sz="4" w:space="0" w:color="auto"/>
              <w:bottom w:val="single" w:sz="4" w:space="0" w:color="auto"/>
              <w:right w:val="single" w:sz="4" w:space="0" w:color="auto"/>
            </w:tcBorders>
          </w:tcPr>
          <w:p w14:paraId="504FEEF6" w14:textId="77777777" w:rsidR="00EF47E6" w:rsidRPr="007B367A" w:rsidRDefault="00EF47E6" w:rsidP="00A77E6C">
            <w:pPr>
              <w:rPr>
                <w:rFonts w:cs="Arial"/>
                <w:szCs w:val="24"/>
              </w:rPr>
            </w:pPr>
            <w:r w:rsidRPr="007B367A">
              <w:rPr>
                <w:rFonts w:cs="Arial"/>
                <w:szCs w:val="24"/>
              </w:rPr>
              <w:t>7</w:t>
            </w:r>
          </w:p>
        </w:tc>
        <w:tc>
          <w:tcPr>
            <w:tcW w:w="3435" w:type="dxa"/>
            <w:tcBorders>
              <w:top w:val="single" w:sz="4" w:space="0" w:color="auto"/>
              <w:left w:val="single" w:sz="4" w:space="0" w:color="auto"/>
              <w:bottom w:val="single" w:sz="4" w:space="0" w:color="auto"/>
              <w:right w:val="single" w:sz="4" w:space="0" w:color="auto"/>
            </w:tcBorders>
          </w:tcPr>
          <w:p w14:paraId="258F2125" w14:textId="77777777" w:rsidR="00EF47E6" w:rsidRPr="007B367A" w:rsidRDefault="00EF47E6" w:rsidP="00A77E6C">
            <w:pPr>
              <w:rPr>
                <w:rFonts w:cs="Arial"/>
                <w:szCs w:val="24"/>
              </w:rPr>
            </w:pPr>
            <w:r w:rsidRPr="007B367A">
              <w:rPr>
                <w:rFonts w:cs="Arial"/>
                <w:szCs w:val="24"/>
              </w:rPr>
              <w:t>Recently retired members are satisfied with the support they receive from Teachers’ Pensions as they planned retirement.</w:t>
            </w:r>
          </w:p>
          <w:p w14:paraId="7EF750BE" w14:textId="77777777" w:rsidR="00EF47E6" w:rsidRPr="007B367A" w:rsidRDefault="00EF47E6" w:rsidP="00A77E6C">
            <w:pPr>
              <w:rPr>
                <w:rFonts w:cs="Arial"/>
                <w:b/>
                <w:szCs w:val="24"/>
              </w:rPr>
            </w:pPr>
            <w:r w:rsidRPr="007B367A">
              <w:rPr>
                <w:rFonts w:cs="Arial"/>
                <w:b/>
                <w:szCs w:val="24"/>
              </w:rPr>
              <w:t>Service Delivery</w:t>
            </w:r>
          </w:p>
        </w:tc>
        <w:tc>
          <w:tcPr>
            <w:tcW w:w="2249" w:type="dxa"/>
            <w:tcBorders>
              <w:top w:val="single" w:sz="4" w:space="0" w:color="auto"/>
              <w:left w:val="single" w:sz="4" w:space="0" w:color="auto"/>
              <w:bottom w:val="single" w:sz="4" w:space="0" w:color="auto"/>
              <w:right w:val="single" w:sz="4" w:space="0" w:color="auto"/>
            </w:tcBorders>
          </w:tcPr>
          <w:p w14:paraId="70E19416" w14:textId="77777777" w:rsidR="00101D83" w:rsidRDefault="00101D83" w:rsidP="00AA2E89">
            <w:pPr>
              <w:jc w:val="center"/>
              <w:rPr>
                <w:rFonts w:cs="Arial"/>
                <w:szCs w:val="24"/>
              </w:rPr>
            </w:pPr>
          </w:p>
          <w:p w14:paraId="18FB14FE" w14:textId="77777777" w:rsidR="00101D83" w:rsidRDefault="00101D83" w:rsidP="00AA2E89">
            <w:pPr>
              <w:jc w:val="center"/>
              <w:rPr>
                <w:rFonts w:cs="Arial"/>
                <w:szCs w:val="24"/>
              </w:rPr>
            </w:pPr>
          </w:p>
          <w:p w14:paraId="736117A2" w14:textId="77777777" w:rsidR="00EF47E6" w:rsidRPr="007B367A" w:rsidRDefault="00DD4B28" w:rsidP="00AA2E89">
            <w:pPr>
              <w:jc w:val="center"/>
              <w:rPr>
                <w:rFonts w:cs="Arial"/>
                <w:szCs w:val="24"/>
              </w:rPr>
            </w:pPr>
            <w:r w:rsidRPr="007B367A">
              <w:rPr>
                <w:rFonts w:cs="Arial"/>
                <w:szCs w:val="24"/>
              </w:rPr>
              <w:t>71.3</w:t>
            </w:r>
            <w:r w:rsidR="00EF47E6" w:rsidRPr="007B367A">
              <w:rPr>
                <w:rFonts w:cs="Arial"/>
                <w:szCs w:val="24"/>
              </w:rPr>
              <w:t>%</w:t>
            </w:r>
          </w:p>
        </w:tc>
        <w:tc>
          <w:tcPr>
            <w:tcW w:w="2268" w:type="dxa"/>
            <w:tcBorders>
              <w:top w:val="single" w:sz="4" w:space="0" w:color="auto"/>
              <w:left w:val="single" w:sz="4" w:space="0" w:color="auto"/>
              <w:bottom w:val="single" w:sz="4" w:space="0" w:color="auto"/>
              <w:right w:val="single" w:sz="4" w:space="0" w:color="auto"/>
            </w:tcBorders>
          </w:tcPr>
          <w:p w14:paraId="6ED48701" w14:textId="77777777" w:rsidR="00101D83" w:rsidRDefault="00101D83" w:rsidP="00AA2E89">
            <w:pPr>
              <w:jc w:val="center"/>
              <w:rPr>
                <w:rFonts w:cs="Arial"/>
                <w:szCs w:val="24"/>
              </w:rPr>
            </w:pPr>
          </w:p>
          <w:p w14:paraId="6A4C1398" w14:textId="77777777" w:rsidR="00101D83" w:rsidRDefault="00101D83" w:rsidP="00AA2E89">
            <w:pPr>
              <w:jc w:val="center"/>
              <w:rPr>
                <w:rFonts w:cs="Arial"/>
                <w:szCs w:val="24"/>
              </w:rPr>
            </w:pPr>
          </w:p>
          <w:p w14:paraId="03988D28" w14:textId="77777777" w:rsidR="00EF47E6" w:rsidRPr="007B367A" w:rsidRDefault="00EF47E6" w:rsidP="00101D83">
            <w:pPr>
              <w:jc w:val="center"/>
              <w:rPr>
                <w:rFonts w:cs="Arial"/>
                <w:szCs w:val="24"/>
              </w:rPr>
            </w:pPr>
            <w:r w:rsidRPr="007B367A">
              <w:rPr>
                <w:rFonts w:cs="Arial"/>
                <w:szCs w:val="24"/>
              </w:rPr>
              <w:t>80%</w:t>
            </w:r>
          </w:p>
        </w:tc>
      </w:tr>
      <w:tr w:rsidR="00EF47E6" w:rsidRPr="007B367A" w14:paraId="0D6D03D6" w14:textId="77777777" w:rsidTr="00A95736">
        <w:tc>
          <w:tcPr>
            <w:tcW w:w="1257" w:type="dxa"/>
            <w:tcBorders>
              <w:top w:val="single" w:sz="4" w:space="0" w:color="auto"/>
              <w:left w:val="single" w:sz="4" w:space="0" w:color="auto"/>
              <w:bottom w:val="single" w:sz="4" w:space="0" w:color="auto"/>
              <w:right w:val="single" w:sz="4" w:space="0" w:color="auto"/>
            </w:tcBorders>
          </w:tcPr>
          <w:p w14:paraId="5DEF9437" w14:textId="77777777" w:rsidR="00EF47E6" w:rsidRPr="007B367A" w:rsidRDefault="00EF47E6" w:rsidP="00A77E6C">
            <w:pPr>
              <w:rPr>
                <w:rFonts w:cs="Arial"/>
                <w:szCs w:val="24"/>
              </w:rPr>
            </w:pPr>
            <w:r w:rsidRPr="007B367A">
              <w:rPr>
                <w:rFonts w:cs="Arial"/>
                <w:szCs w:val="24"/>
              </w:rPr>
              <w:t>9</w:t>
            </w:r>
          </w:p>
        </w:tc>
        <w:tc>
          <w:tcPr>
            <w:tcW w:w="3435" w:type="dxa"/>
            <w:tcBorders>
              <w:top w:val="single" w:sz="4" w:space="0" w:color="auto"/>
              <w:left w:val="single" w:sz="4" w:space="0" w:color="auto"/>
              <w:bottom w:val="single" w:sz="4" w:space="0" w:color="auto"/>
              <w:right w:val="single" w:sz="4" w:space="0" w:color="auto"/>
            </w:tcBorders>
          </w:tcPr>
          <w:p w14:paraId="4B15E9AE" w14:textId="77777777" w:rsidR="00EF47E6" w:rsidRPr="007B367A" w:rsidRDefault="00EF47E6" w:rsidP="00A77E6C">
            <w:pPr>
              <w:rPr>
                <w:rFonts w:cs="Arial"/>
                <w:szCs w:val="24"/>
              </w:rPr>
            </w:pPr>
            <w:r w:rsidRPr="007B367A">
              <w:rPr>
                <w:rFonts w:cs="Arial"/>
                <w:szCs w:val="24"/>
              </w:rPr>
              <w:t>Employers are satisfied with the service they receive from the Teachers' Pension Scheme</w:t>
            </w:r>
          </w:p>
          <w:p w14:paraId="22B2A10A" w14:textId="77777777" w:rsidR="00EF47E6" w:rsidRPr="007B367A" w:rsidRDefault="00EF47E6" w:rsidP="00A77E6C">
            <w:pPr>
              <w:rPr>
                <w:rFonts w:cs="Arial"/>
                <w:szCs w:val="24"/>
              </w:rPr>
            </w:pPr>
            <w:r w:rsidRPr="007B367A">
              <w:rPr>
                <w:rFonts w:cs="Arial"/>
                <w:b/>
                <w:szCs w:val="24"/>
              </w:rPr>
              <w:t>Service Delivery</w:t>
            </w:r>
            <w:r w:rsidRPr="007B367A">
              <w:rPr>
                <w:rFonts w:cs="Arial"/>
                <w:szCs w:val="24"/>
              </w:rPr>
              <w:t>.</w:t>
            </w:r>
          </w:p>
        </w:tc>
        <w:tc>
          <w:tcPr>
            <w:tcW w:w="2249" w:type="dxa"/>
            <w:tcBorders>
              <w:top w:val="single" w:sz="4" w:space="0" w:color="auto"/>
              <w:left w:val="single" w:sz="4" w:space="0" w:color="auto"/>
              <w:bottom w:val="single" w:sz="4" w:space="0" w:color="auto"/>
              <w:right w:val="single" w:sz="4" w:space="0" w:color="auto"/>
            </w:tcBorders>
          </w:tcPr>
          <w:p w14:paraId="39D8B488" w14:textId="77777777" w:rsidR="00101D83" w:rsidRDefault="00101D83" w:rsidP="00AA2E89">
            <w:pPr>
              <w:jc w:val="center"/>
              <w:rPr>
                <w:rFonts w:cs="Arial"/>
                <w:szCs w:val="24"/>
              </w:rPr>
            </w:pPr>
          </w:p>
          <w:p w14:paraId="49928C37" w14:textId="77777777" w:rsidR="00101D83" w:rsidRDefault="00101D83" w:rsidP="00AA2E89">
            <w:pPr>
              <w:jc w:val="center"/>
              <w:rPr>
                <w:rFonts w:cs="Arial"/>
                <w:szCs w:val="24"/>
              </w:rPr>
            </w:pPr>
          </w:p>
          <w:p w14:paraId="1619E669" w14:textId="77777777" w:rsidR="00EF47E6" w:rsidRPr="007B367A" w:rsidRDefault="00DD4B28" w:rsidP="00AA2E89">
            <w:pPr>
              <w:jc w:val="center"/>
              <w:rPr>
                <w:rFonts w:cs="Arial"/>
                <w:szCs w:val="24"/>
              </w:rPr>
            </w:pPr>
            <w:r w:rsidRPr="007B367A">
              <w:rPr>
                <w:rFonts w:cs="Arial"/>
                <w:szCs w:val="24"/>
              </w:rPr>
              <w:t>90.7</w:t>
            </w:r>
            <w:r w:rsidR="00EF47E6" w:rsidRPr="007B367A">
              <w:rPr>
                <w:rFonts w:cs="Arial"/>
                <w:szCs w:val="24"/>
              </w:rPr>
              <w:t>%</w:t>
            </w:r>
          </w:p>
        </w:tc>
        <w:tc>
          <w:tcPr>
            <w:tcW w:w="2268" w:type="dxa"/>
            <w:tcBorders>
              <w:top w:val="single" w:sz="4" w:space="0" w:color="auto"/>
              <w:left w:val="single" w:sz="4" w:space="0" w:color="auto"/>
              <w:bottom w:val="single" w:sz="4" w:space="0" w:color="auto"/>
              <w:right w:val="single" w:sz="4" w:space="0" w:color="auto"/>
            </w:tcBorders>
          </w:tcPr>
          <w:p w14:paraId="7AA9081B" w14:textId="77777777" w:rsidR="00101D83" w:rsidRDefault="00101D83" w:rsidP="00AA2E89">
            <w:pPr>
              <w:jc w:val="center"/>
              <w:rPr>
                <w:rFonts w:cs="Arial"/>
                <w:szCs w:val="24"/>
              </w:rPr>
            </w:pPr>
          </w:p>
          <w:p w14:paraId="41A8FC54" w14:textId="77777777" w:rsidR="00101D83" w:rsidRDefault="00101D83" w:rsidP="00AA2E89">
            <w:pPr>
              <w:jc w:val="center"/>
              <w:rPr>
                <w:rFonts w:cs="Arial"/>
                <w:szCs w:val="24"/>
              </w:rPr>
            </w:pPr>
          </w:p>
          <w:p w14:paraId="0AE4FA8F" w14:textId="77777777" w:rsidR="00EF47E6" w:rsidRPr="007B367A" w:rsidRDefault="00EF47E6" w:rsidP="00AA2E89">
            <w:pPr>
              <w:jc w:val="center"/>
              <w:rPr>
                <w:rFonts w:cs="Arial"/>
                <w:szCs w:val="24"/>
              </w:rPr>
            </w:pPr>
            <w:r w:rsidRPr="007B367A">
              <w:rPr>
                <w:rFonts w:cs="Arial"/>
                <w:szCs w:val="24"/>
              </w:rPr>
              <w:t>80%</w:t>
            </w:r>
          </w:p>
        </w:tc>
      </w:tr>
      <w:tr w:rsidR="00EF47E6" w:rsidRPr="007B367A" w14:paraId="699D254A" w14:textId="77777777" w:rsidTr="00A95736">
        <w:tc>
          <w:tcPr>
            <w:tcW w:w="1257" w:type="dxa"/>
            <w:tcBorders>
              <w:top w:val="single" w:sz="4" w:space="0" w:color="auto"/>
              <w:left w:val="single" w:sz="4" w:space="0" w:color="auto"/>
              <w:bottom w:val="single" w:sz="4" w:space="0" w:color="auto"/>
              <w:right w:val="single" w:sz="4" w:space="0" w:color="auto"/>
            </w:tcBorders>
          </w:tcPr>
          <w:p w14:paraId="2A38F1F3" w14:textId="77777777" w:rsidR="00EF47E6" w:rsidRPr="007B367A" w:rsidRDefault="00EF47E6" w:rsidP="00A77E6C">
            <w:pPr>
              <w:rPr>
                <w:rFonts w:cs="Arial"/>
                <w:szCs w:val="24"/>
              </w:rPr>
            </w:pPr>
            <w:r w:rsidRPr="007B367A">
              <w:rPr>
                <w:rFonts w:cs="Arial"/>
                <w:szCs w:val="24"/>
              </w:rPr>
              <w:t>10</w:t>
            </w:r>
          </w:p>
        </w:tc>
        <w:tc>
          <w:tcPr>
            <w:tcW w:w="3435" w:type="dxa"/>
            <w:tcBorders>
              <w:top w:val="single" w:sz="4" w:space="0" w:color="auto"/>
              <w:left w:val="single" w:sz="4" w:space="0" w:color="auto"/>
              <w:bottom w:val="single" w:sz="4" w:space="0" w:color="auto"/>
              <w:right w:val="single" w:sz="4" w:space="0" w:color="auto"/>
            </w:tcBorders>
          </w:tcPr>
          <w:p w14:paraId="65A6BC82" w14:textId="77777777" w:rsidR="00EF47E6" w:rsidRPr="007B367A" w:rsidRDefault="00EF47E6" w:rsidP="00A77E6C">
            <w:pPr>
              <w:rPr>
                <w:rFonts w:cs="Arial"/>
                <w:szCs w:val="24"/>
              </w:rPr>
            </w:pPr>
            <w:r w:rsidRPr="007B367A">
              <w:rPr>
                <w:rFonts w:cs="Arial"/>
                <w:szCs w:val="24"/>
              </w:rPr>
              <w:t>Employers receive timely and accurate responses from the Teachers' Pension Scheme.</w:t>
            </w:r>
          </w:p>
          <w:p w14:paraId="489AC122" w14:textId="77777777" w:rsidR="0004395A" w:rsidRDefault="00EF47E6" w:rsidP="00A77E6C">
            <w:pPr>
              <w:rPr>
                <w:rFonts w:cs="Arial"/>
                <w:b/>
                <w:szCs w:val="24"/>
              </w:rPr>
            </w:pPr>
            <w:r w:rsidRPr="007B367A">
              <w:rPr>
                <w:rFonts w:cs="Arial"/>
                <w:b/>
                <w:szCs w:val="24"/>
              </w:rPr>
              <w:t>Service Delivery</w:t>
            </w:r>
          </w:p>
          <w:p w14:paraId="73F0237E" w14:textId="77777777" w:rsidR="00A95736" w:rsidRPr="007B367A" w:rsidRDefault="00A95736" w:rsidP="00A77E6C">
            <w:pPr>
              <w:rPr>
                <w:rFonts w:cs="Arial"/>
                <w:b/>
                <w:szCs w:val="24"/>
              </w:rPr>
            </w:pPr>
          </w:p>
        </w:tc>
        <w:tc>
          <w:tcPr>
            <w:tcW w:w="2249" w:type="dxa"/>
            <w:tcBorders>
              <w:top w:val="single" w:sz="4" w:space="0" w:color="auto"/>
              <w:left w:val="single" w:sz="4" w:space="0" w:color="auto"/>
              <w:bottom w:val="single" w:sz="4" w:space="0" w:color="auto"/>
              <w:right w:val="single" w:sz="4" w:space="0" w:color="auto"/>
            </w:tcBorders>
          </w:tcPr>
          <w:p w14:paraId="5E8E996C" w14:textId="77777777" w:rsidR="00101D83" w:rsidRDefault="00101D83" w:rsidP="00AA2E89">
            <w:pPr>
              <w:jc w:val="center"/>
              <w:rPr>
                <w:rFonts w:cs="Arial"/>
                <w:szCs w:val="24"/>
              </w:rPr>
            </w:pPr>
          </w:p>
          <w:p w14:paraId="1FA0BFCB" w14:textId="77777777" w:rsidR="00EF47E6" w:rsidRPr="007B367A" w:rsidRDefault="00DD4B28" w:rsidP="00AA2E89">
            <w:pPr>
              <w:jc w:val="center"/>
              <w:rPr>
                <w:rFonts w:cs="Arial"/>
                <w:szCs w:val="24"/>
              </w:rPr>
            </w:pPr>
            <w:r w:rsidRPr="007B367A">
              <w:rPr>
                <w:rFonts w:cs="Arial"/>
                <w:szCs w:val="24"/>
              </w:rPr>
              <w:t>80.8</w:t>
            </w:r>
            <w:r w:rsidR="00EF47E6" w:rsidRPr="007B367A">
              <w:rPr>
                <w:rFonts w:cs="Arial"/>
                <w:szCs w:val="24"/>
              </w:rPr>
              <w:t>%</w:t>
            </w:r>
          </w:p>
        </w:tc>
        <w:tc>
          <w:tcPr>
            <w:tcW w:w="2268" w:type="dxa"/>
            <w:tcBorders>
              <w:top w:val="single" w:sz="4" w:space="0" w:color="auto"/>
              <w:left w:val="single" w:sz="4" w:space="0" w:color="auto"/>
              <w:bottom w:val="single" w:sz="4" w:space="0" w:color="auto"/>
              <w:right w:val="single" w:sz="4" w:space="0" w:color="auto"/>
            </w:tcBorders>
          </w:tcPr>
          <w:p w14:paraId="74EA9660" w14:textId="77777777" w:rsidR="00101D83" w:rsidRDefault="00101D83" w:rsidP="00AA2E89">
            <w:pPr>
              <w:jc w:val="center"/>
              <w:rPr>
                <w:rFonts w:cs="Arial"/>
                <w:szCs w:val="24"/>
              </w:rPr>
            </w:pPr>
          </w:p>
          <w:p w14:paraId="6697D397" w14:textId="77777777" w:rsidR="00EF47E6" w:rsidRPr="007B367A" w:rsidRDefault="00EF47E6" w:rsidP="00AA2E89">
            <w:pPr>
              <w:jc w:val="center"/>
              <w:rPr>
                <w:rFonts w:cs="Arial"/>
                <w:szCs w:val="24"/>
              </w:rPr>
            </w:pPr>
            <w:r w:rsidRPr="007B367A">
              <w:rPr>
                <w:rFonts w:cs="Arial"/>
                <w:szCs w:val="24"/>
              </w:rPr>
              <w:t>80%</w:t>
            </w:r>
          </w:p>
        </w:tc>
      </w:tr>
      <w:tr w:rsidR="00557150" w:rsidRPr="007B367A" w14:paraId="34BB6A4E" w14:textId="77777777" w:rsidTr="00A95736">
        <w:tc>
          <w:tcPr>
            <w:tcW w:w="1257" w:type="dxa"/>
            <w:tcBorders>
              <w:top w:val="single" w:sz="4" w:space="0" w:color="auto"/>
            </w:tcBorders>
          </w:tcPr>
          <w:p w14:paraId="4CAC7521" w14:textId="77777777" w:rsidR="00557150" w:rsidRPr="007B367A" w:rsidRDefault="00557150" w:rsidP="00A77E6C">
            <w:pPr>
              <w:rPr>
                <w:rFonts w:cs="Arial"/>
                <w:b/>
                <w:szCs w:val="24"/>
              </w:rPr>
            </w:pPr>
            <w:r w:rsidRPr="007B367A">
              <w:rPr>
                <w:rFonts w:cs="Arial"/>
                <w:b/>
                <w:szCs w:val="24"/>
              </w:rPr>
              <w:t>Outcome Measure</w:t>
            </w:r>
          </w:p>
        </w:tc>
        <w:tc>
          <w:tcPr>
            <w:tcW w:w="3435" w:type="dxa"/>
            <w:tcBorders>
              <w:top w:val="single" w:sz="4" w:space="0" w:color="auto"/>
            </w:tcBorders>
          </w:tcPr>
          <w:p w14:paraId="0F164663" w14:textId="77777777" w:rsidR="00557150" w:rsidRPr="007B367A" w:rsidRDefault="00557150" w:rsidP="00A77E6C">
            <w:pPr>
              <w:rPr>
                <w:rFonts w:cs="Arial"/>
                <w:b/>
                <w:szCs w:val="24"/>
              </w:rPr>
            </w:pPr>
            <w:r w:rsidRPr="007B367A">
              <w:rPr>
                <w:rFonts w:cs="Arial"/>
                <w:b/>
                <w:szCs w:val="24"/>
              </w:rPr>
              <w:t>Description</w:t>
            </w:r>
          </w:p>
        </w:tc>
        <w:tc>
          <w:tcPr>
            <w:tcW w:w="2249" w:type="dxa"/>
            <w:tcBorders>
              <w:top w:val="single" w:sz="4" w:space="0" w:color="auto"/>
            </w:tcBorders>
          </w:tcPr>
          <w:p w14:paraId="6496FDCF" w14:textId="77777777" w:rsidR="00101D83" w:rsidRPr="00101D83" w:rsidRDefault="00B95223" w:rsidP="00101D83">
            <w:pPr>
              <w:jc w:val="center"/>
              <w:rPr>
                <w:rFonts w:cs="Arial"/>
                <w:b/>
                <w:szCs w:val="24"/>
              </w:rPr>
            </w:pPr>
            <w:r w:rsidRPr="007B367A">
              <w:rPr>
                <w:rFonts w:cs="Arial"/>
                <w:b/>
                <w:szCs w:val="24"/>
              </w:rPr>
              <w:t>Achievement Year 8</w:t>
            </w:r>
          </w:p>
        </w:tc>
        <w:tc>
          <w:tcPr>
            <w:tcW w:w="2268" w:type="dxa"/>
            <w:tcBorders>
              <w:top w:val="single" w:sz="4" w:space="0" w:color="auto"/>
            </w:tcBorders>
          </w:tcPr>
          <w:p w14:paraId="0F93D0BC" w14:textId="77777777" w:rsidR="00557150" w:rsidRPr="007B367A" w:rsidRDefault="00B95223" w:rsidP="00AA2E89">
            <w:pPr>
              <w:jc w:val="center"/>
              <w:rPr>
                <w:rFonts w:cs="Arial"/>
                <w:b/>
                <w:szCs w:val="24"/>
                <w:highlight w:val="yellow"/>
              </w:rPr>
            </w:pPr>
            <w:r w:rsidRPr="007B367A">
              <w:rPr>
                <w:rFonts w:cs="Arial"/>
                <w:b/>
                <w:szCs w:val="24"/>
              </w:rPr>
              <w:t>Year 8</w:t>
            </w:r>
            <w:r w:rsidR="00557150" w:rsidRPr="007B367A">
              <w:rPr>
                <w:rFonts w:cs="Arial"/>
                <w:b/>
                <w:szCs w:val="24"/>
              </w:rPr>
              <w:t xml:space="preserve"> target</w:t>
            </w:r>
          </w:p>
        </w:tc>
      </w:tr>
      <w:tr w:rsidR="00557150" w:rsidRPr="007B367A" w14:paraId="28374FF3" w14:textId="77777777" w:rsidTr="00A521C3">
        <w:tc>
          <w:tcPr>
            <w:tcW w:w="1257" w:type="dxa"/>
          </w:tcPr>
          <w:p w14:paraId="14E9FA0C" w14:textId="77777777" w:rsidR="00557150" w:rsidRPr="007B367A" w:rsidRDefault="00557150" w:rsidP="00A77E6C">
            <w:pPr>
              <w:rPr>
                <w:rFonts w:cs="Arial"/>
                <w:szCs w:val="24"/>
              </w:rPr>
            </w:pPr>
            <w:r w:rsidRPr="007B367A">
              <w:rPr>
                <w:rFonts w:cs="Arial"/>
                <w:szCs w:val="24"/>
              </w:rPr>
              <w:t>2</w:t>
            </w:r>
          </w:p>
        </w:tc>
        <w:tc>
          <w:tcPr>
            <w:tcW w:w="3435" w:type="dxa"/>
          </w:tcPr>
          <w:p w14:paraId="6F2A4B50" w14:textId="77777777" w:rsidR="00557150" w:rsidRPr="007B367A" w:rsidRDefault="00557150" w:rsidP="00A77E6C">
            <w:pPr>
              <w:rPr>
                <w:rFonts w:cs="Arial"/>
                <w:szCs w:val="24"/>
              </w:rPr>
            </w:pPr>
            <w:r w:rsidRPr="007B367A">
              <w:rPr>
                <w:rFonts w:cs="Arial"/>
                <w:szCs w:val="24"/>
              </w:rPr>
              <w:t>Members understand the value of their Teachers’ Pension</w:t>
            </w:r>
          </w:p>
          <w:p w14:paraId="44983BAA" w14:textId="77777777" w:rsidR="00557150" w:rsidRPr="007B367A" w:rsidRDefault="00557150" w:rsidP="00A77E6C">
            <w:pPr>
              <w:rPr>
                <w:rFonts w:cs="Arial"/>
                <w:b/>
                <w:szCs w:val="24"/>
              </w:rPr>
            </w:pPr>
            <w:r w:rsidRPr="007B367A">
              <w:rPr>
                <w:rFonts w:cs="Arial"/>
                <w:b/>
                <w:szCs w:val="24"/>
              </w:rPr>
              <w:t>Engagement</w:t>
            </w:r>
          </w:p>
        </w:tc>
        <w:tc>
          <w:tcPr>
            <w:tcW w:w="2249" w:type="dxa"/>
          </w:tcPr>
          <w:p w14:paraId="1F35CF7D" w14:textId="77777777" w:rsidR="00101D83" w:rsidRDefault="00101D83" w:rsidP="00AA2E89">
            <w:pPr>
              <w:jc w:val="center"/>
              <w:rPr>
                <w:rFonts w:cs="Arial"/>
                <w:szCs w:val="24"/>
              </w:rPr>
            </w:pPr>
          </w:p>
          <w:p w14:paraId="6E65A302" w14:textId="77777777" w:rsidR="00557150" w:rsidRPr="007B367A" w:rsidRDefault="00A856F8" w:rsidP="00AA2E89">
            <w:pPr>
              <w:jc w:val="center"/>
              <w:rPr>
                <w:rFonts w:cs="Arial"/>
                <w:szCs w:val="24"/>
              </w:rPr>
            </w:pPr>
            <w:r>
              <w:rPr>
                <w:rFonts w:cs="Arial"/>
                <w:szCs w:val="24"/>
              </w:rPr>
              <w:t>97.6</w:t>
            </w:r>
            <w:r w:rsidR="00557150" w:rsidRPr="007B367A">
              <w:rPr>
                <w:rFonts w:cs="Arial"/>
                <w:szCs w:val="24"/>
              </w:rPr>
              <w:t>%</w:t>
            </w:r>
          </w:p>
        </w:tc>
        <w:tc>
          <w:tcPr>
            <w:tcW w:w="2268" w:type="dxa"/>
          </w:tcPr>
          <w:p w14:paraId="4C2B7132" w14:textId="77777777" w:rsidR="00101D83" w:rsidRDefault="00101D83" w:rsidP="00AA2E89">
            <w:pPr>
              <w:jc w:val="center"/>
              <w:rPr>
                <w:rFonts w:cs="Arial"/>
                <w:szCs w:val="24"/>
              </w:rPr>
            </w:pPr>
          </w:p>
          <w:p w14:paraId="39A2738A" w14:textId="77777777" w:rsidR="00557150" w:rsidRPr="007B367A" w:rsidRDefault="00557150" w:rsidP="00AA2E89">
            <w:pPr>
              <w:jc w:val="center"/>
              <w:rPr>
                <w:rFonts w:cs="Arial"/>
                <w:szCs w:val="24"/>
              </w:rPr>
            </w:pPr>
            <w:r w:rsidRPr="007B367A">
              <w:rPr>
                <w:rFonts w:cs="Arial"/>
                <w:szCs w:val="24"/>
              </w:rPr>
              <w:t>92%</w:t>
            </w:r>
          </w:p>
        </w:tc>
      </w:tr>
      <w:tr w:rsidR="00557150" w:rsidRPr="007B367A" w14:paraId="4C8AB835" w14:textId="77777777" w:rsidTr="00A521C3">
        <w:tc>
          <w:tcPr>
            <w:tcW w:w="1257" w:type="dxa"/>
          </w:tcPr>
          <w:p w14:paraId="6D02D672" w14:textId="77777777" w:rsidR="00557150" w:rsidRPr="007B367A" w:rsidRDefault="00557150" w:rsidP="00A77E6C">
            <w:pPr>
              <w:rPr>
                <w:rFonts w:cs="Arial"/>
                <w:szCs w:val="24"/>
              </w:rPr>
            </w:pPr>
            <w:r w:rsidRPr="007B367A">
              <w:rPr>
                <w:rFonts w:cs="Arial"/>
                <w:szCs w:val="24"/>
              </w:rPr>
              <w:t>3</w:t>
            </w:r>
          </w:p>
        </w:tc>
        <w:tc>
          <w:tcPr>
            <w:tcW w:w="3435" w:type="dxa"/>
          </w:tcPr>
          <w:p w14:paraId="20E9C3F5" w14:textId="77777777" w:rsidR="00557150" w:rsidRPr="007B367A" w:rsidRDefault="00557150" w:rsidP="00A77E6C">
            <w:pPr>
              <w:rPr>
                <w:rFonts w:cs="Arial"/>
                <w:szCs w:val="24"/>
              </w:rPr>
            </w:pPr>
            <w:r w:rsidRPr="007B367A">
              <w:rPr>
                <w:rFonts w:cs="Arial"/>
                <w:szCs w:val="24"/>
              </w:rPr>
              <w:t>Members are actively planning for their retirement</w:t>
            </w:r>
          </w:p>
          <w:p w14:paraId="430F6140" w14:textId="77777777" w:rsidR="00557150" w:rsidRPr="007B367A" w:rsidRDefault="00557150" w:rsidP="00A77E6C">
            <w:pPr>
              <w:rPr>
                <w:rFonts w:cs="Arial"/>
                <w:b/>
                <w:szCs w:val="24"/>
              </w:rPr>
            </w:pPr>
            <w:r w:rsidRPr="007B367A">
              <w:rPr>
                <w:rFonts w:cs="Arial"/>
                <w:b/>
                <w:szCs w:val="24"/>
              </w:rPr>
              <w:t>Engagement</w:t>
            </w:r>
          </w:p>
        </w:tc>
        <w:tc>
          <w:tcPr>
            <w:tcW w:w="2249" w:type="dxa"/>
          </w:tcPr>
          <w:p w14:paraId="4012A686" w14:textId="77777777" w:rsidR="00101D83" w:rsidRDefault="00101D83" w:rsidP="00AA2E89">
            <w:pPr>
              <w:jc w:val="center"/>
              <w:rPr>
                <w:rFonts w:cs="Arial"/>
                <w:szCs w:val="24"/>
              </w:rPr>
            </w:pPr>
          </w:p>
          <w:p w14:paraId="268B2717" w14:textId="77777777" w:rsidR="00557150" w:rsidRPr="007B367A" w:rsidRDefault="00A856F8" w:rsidP="00AA2E89">
            <w:pPr>
              <w:jc w:val="center"/>
              <w:rPr>
                <w:rFonts w:cs="Arial"/>
                <w:szCs w:val="24"/>
              </w:rPr>
            </w:pPr>
            <w:r>
              <w:rPr>
                <w:rFonts w:cs="Arial"/>
                <w:szCs w:val="24"/>
              </w:rPr>
              <w:t>86.9</w:t>
            </w:r>
            <w:r w:rsidR="00557150" w:rsidRPr="007B367A">
              <w:rPr>
                <w:rFonts w:cs="Arial"/>
                <w:szCs w:val="24"/>
              </w:rPr>
              <w:t>%</w:t>
            </w:r>
          </w:p>
        </w:tc>
        <w:tc>
          <w:tcPr>
            <w:tcW w:w="2268" w:type="dxa"/>
          </w:tcPr>
          <w:p w14:paraId="436770FA" w14:textId="77777777" w:rsidR="00101D83" w:rsidRDefault="00101D83" w:rsidP="00AA2E89">
            <w:pPr>
              <w:jc w:val="center"/>
              <w:rPr>
                <w:rFonts w:cs="Arial"/>
                <w:szCs w:val="24"/>
              </w:rPr>
            </w:pPr>
          </w:p>
          <w:p w14:paraId="7265F591" w14:textId="77777777" w:rsidR="00557150" w:rsidRPr="007B367A" w:rsidRDefault="00557150" w:rsidP="00101D83">
            <w:pPr>
              <w:jc w:val="center"/>
              <w:rPr>
                <w:rFonts w:cs="Arial"/>
                <w:szCs w:val="24"/>
              </w:rPr>
            </w:pPr>
            <w:r w:rsidRPr="007B367A">
              <w:rPr>
                <w:rFonts w:cs="Arial"/>
                <w:szCs w:val="24"/>
              </w:rPr>
              <w:t>8</w:t>
            </w:r>
            <w:r w:rsidR="00B95223" w:rsidRPr="007B367A">
              <w:rPr>
                <w:rFonts w:cs="Arial"/>
                <w:szCs w:val="24"/>
              </w:rPr>
              <w:t>7</w:t>
            </w:r>
            <w:r w:rsidRPr="007B367A">
              <w:rPr>
                <w:rFonts w:cs="Arial"/>
                <w:szCs w:val="24"/>
              </w:rPr>
              <w:t>%</w:t>
            </w:r>
          </w:p>
        </w:tc>
      </w:tr>
      <w:tr w:rsidR="00557150" w:rsidRPr="007B367A" w14:paraId="2CC63447" w14:textId="77777777" w:rsidTr="00A521C3">
        <w:tc>
          <w:tcPr>
            <w:tcW w:w="1257" w:type="dxa"/>
          </w:tcPr>
          <w:p w14:paraId="00C99EE7" w14:textId="77777777" w:rsidR="00557150" w:rsidRPr="007B367A" w:rsidRDefault="00557150" w:rsidP="00A77E6C">
            <w:pPr>
              <w:rPr>
                <w:rFonts w:cs="Arial"/>
                <w:szCs w:val="24"/>
              </w:rPr>
            </w:pPr>
            <w:r w:rsidRPr="007B367A">
              <w:rPr>
                <w:rFonts w:cs="Arial"/>
                <w:szCs w:val="24"/>
              </w:rPr>
              <w:t>5</w:t>
            </w:r>
          </w:p>
        </w:tc>
        <w:tc>
          <w:tcPr>
            <w:tcW w:w="3435" w:type="dxa"/>
          </w:tcPr>
          <w:p w14:paraId="51E1A8A2" w14:textId="77777777" w:rsidR="00557150" w:rsidRPr="007B367A" w:rsidRDefault="00557150" w:rsidP="00A77E6C">
            <w:pPr>
              <w:rPr>
                <w:rFonts w:cs="Arial"/>
                <w:szCs w:val="24"/>
              </w:rPr>
            </w:pPr>
            <w:r w:rsidRPr="007B367A">
              <w:rPr>
                <w:rFonts w:cs="Arial"/>
                <w:szCs w:val="24"/>
              </w:rPr>
              <w:t>Members regularly receive information about their pension and are satisfied with its quality</w:t>
            </w:r>
          </w:p>
          <w:p w14:paraId="590F28D7" w14:textId="77777777" w:rsidR="00A95736" w:rsidRPr="007B367A" w:rsidRDefault="00557150" w:rsidP="00A77E6C">
            <w:pPr>
              <w:rPr>
                <w:rFonts w:cs="Arial"/>
                <w:b/>
                <w:szCs w:val="24"/>
              </w:rPr>
            </w:pPr>
            <w:r w:rsidRPr="007B367A">
              <w:rPr>
                <w:rFonts w:cs="Arial"/>
                <w:b/>
                <w:szCs w:val="24"/>
              </w:rPr>
              <w:t>Service Delivery</w:t>
            </w:r>
          </w:p>
        </w:tc>
        <w:tc>
          <w:tcPr>
            <w:tcW w:w="2249" w:type="dxa"/>
          </w:tcPr>
          <w:p w14:paraId="359EAB2E" w14:textId="77777777" w:rsidR="00101D83" w:rsidRDefault="00101D83" w:rsidP="00AA2E89">
            <w:pPr>
              <w:jc w:val="center"/>
              <w:rPr>
                <w:rFonts w:cs="Arial"/>
                <w:szCs w:val="24"/>
              </w:rPr>
            </w:pPr>
          </w:p>
          <w:p w14:paraId="2319CCD8" w14:textId="77777777" w:rsidR="00101D83" w:rsidRDefault="00101D83" w:rsidP="00AA2E89">
            <w:pPr>
              <w:jc w:val="center"/>
              <w:rPr>
                <w:rFonts w:cs="Arial"/>
                <w:szCs w:val="24"/>
              </w:rPr>
            </w:pPr>
          </w:p>
          <w:p w14:paraId="2FD438BC" w14:textId="77777777" w:rsidR="00557150" w:rsidRPr="007B367A" w:rsidRDefault="00A856F8" w:rsidP="00AA2E89">
            <w:pPr>
              <w:jc w:val="center"/>
              <w:rPr>
                <w:rFonts w:cs="Arial"/>
                <w:szCs w:val="24"/>
              </w:rPr>
            </w:pPr>
            <w:r>
              <w:rPr>
                <w:rFonts w:cs="Arial"/>
                <w:szCs w:val="24"/>
              </w:rPr>
              <w:t>72.5</w:t>
            </w:r>
            <w:r w:rsidR="00557150" w:rsidRPr="007B367A">
              <w:rPr>
                <w:rFonts w:cs="Arial"/>
                <w:szCs w:val="24"/>
              </w:rPr>
              <w:t>%</w:t>
            </w:r>
          </w:p>
        </w:tc>
        <w:tc>
          <w:tcPr>
            <w:tcW w:w="2268" w:type="dxa"/>
          </w:tcPr>
          <w:p w14:paraId="7B915BF6" w14:textId="77777777" w:rsidR="00101D83" w:rsidRDefault="00101D83" w:rsidP="00AA2E89">
            <w:pPr>
              <w:jc w:val="center"/>
              <w:rPr>
                <w:rFonts w:cs="Arial"/>
                <w:szCs w:val="24"/>
              </w:rPr>
            </w:pPr>
          </w:p>
          <w:p w14:paraId="1281DA24" w14:textId="77777777" w:rsidR="00101D83" w:rsidRDefault="00101D83" w:rsidP="00AA2E89">
            <w:pPr>
              <w:jc w:val="center"/>
              <w:rPr>
                <w:rFonts w:cs="Arial"/>
                <w:szCs w:val="24"/>
              </w:rPr>
            </w:pPr>
          </w:p>
          <w:p w14:paraId="1A9A4E9A" w14:textId="77777777" w:rsidR="00557150" w:rsidRPr="007B367A" w:rsidRDefault="00557150" w:rsidP="00AA2E89">
            <w:pPr>
              <w:jc w:val="center"/>
              <w:rPr>
                <w:rFonts w:cs="Arial"/>
                <w:szCs w:val="24"/>
              </w:rPr>
            </w:pPr>
            <w:r w:rsidRPr="007B367A">
              <w:rPr>
                <w:rFonts w:cs="Arial"/>
                <w:szCs w:val="24"/>
              </w:rPr>
              <w:t>78%</w:t>
            </w:r>
          </w:p>
        </w:tc>
      </w:tr>
      <w:tr w:rsidR="00557150" w:rsidRPr="007B367A" w14:paraId="1CFEF54E" w14:textId="77777777" w:rsidTr="00A521C3">
        <w:tc>
          <w:tcPr>
            <w:tcW w:w="1257" w:type="dxa"/>
          </w:tcPr>
          <w:p w14:paraId="4AD04276" w14:textId="77777777" w:rsidR="00557150" w:rsidRPr="007B367A" w:rsidRDefault="00557150" w:rsidP="00A77E6C">
            <w:pPr>
              <w:rPr>
                <w:rFonts w:cs="Arial"/>
                <w:szCs w:val="24"/>
              </w:rPr>
            </w:pPr>
            <w:r w:rsidRPr="007B367A">
              <w:rPr>
                <w:rFonts w:cs="Arial"/>
                <w:szCs w:val="24"/>
              </w:rPr>
              <w:t>6</w:t>
            </w:r>
          </w:p>
        </w:tc>
        <w:tc>
          <w:tcPr>
            <w:tcW w:w="3435" w:type="dxa"/>
          </w:tcPr>
          <w:p w14:paraId="32928B53" w14:textId="77777777" w:rsidR="00557150" w:rsidRPr="007B367A" w:rsidRDefault="00557150" w:rsidP="00A77E6C">
            <w:pPr>
              <w:rPr>
                <w:rFonts w:cs="Arial"/>
                <w:szCs w:val="24"/>
              </w:rPr>
            </w:pPr>
            <w:r w:rsidRPr="007B367A">
              <w:rPr>
                <w:rFonts w:cs="Arial"/>
                <w:szCs w:val="24"/>
              </w:rPr>
              <w:t>Members who contact the TPS about their pension are satisfied with the timeliness and quality of the response</w:t>
            </w:r>
          </w:p>
          <w:p w14:paraId="3AF7BC8E" w14:textId="77777777" w:rsidR="00557150" w:rsidRPr="007B367A" w:rsidRDefault="00557150" w:rsidP="00A77E6C">
            <w:pPr>
              <w:rPr>
                <w:rFonts w:cs="Arial"/>
                <w:b/>
                <w:szCs w:val="24"/>
              </w:rPr>
            </w:pPr>
            <w:r w:rsidRPr="007B367A">
              <w:rPr>
                <w:rFonts w:cs="Arial"/>
                <w:b/>
                <w:szCs w:val="24"/>
              </w:rPr>
              <w:t>Service Delivery</w:t>
            </w:r>
          </w:p>
        </w:tc>
        <w:tc>
          <w:tcPr>
            <w:tcW w:w="2249" w:type="dxa"/>
          </w:tcPr>
          <w:p w14:paraId="4D095F6A" w14:textId="77777777" w:rsidR="00101D83" w:rsidRDefault="00101D83" w:rsidP="00AA2E89">
            <w:pPr>
              <w:jc w:val="center"/>
              <w:rPr>
                <w:rFonts w:cs="Arial"/>
                <w:szCs w:val="24"/>
              </w:rPr>
            </w:pPr>
          </w:p>
          <w:p w14:paraId="7B9E3873" w14:textId="77777777" w:rsidR="00101D83" w:rsidRDefault="00101D83" w:rsidP="00AA2E89">
            <w:pPr>
              <w:jc w:val="center"/>
              <w:rPr>
                <w:rFonts w:cs="Arial"/>
                <w:szCs w:val="24"/>
              </w:rPr>
            </w:pPr>
          </w:p>
          <w:p w14:paraId="7FE896E6" w14:textId="77777777" w:rsidR="00557150" w:rsidRPr="007B367A" w:rsidRDefault="00A856F8" w:rsidP="00AA2E89">
            <w:pPr>
              <w:jc w:val="center"/>
              <w:rPr>
                <w:rFonts w:cs="Arial"/>
                <w:szCs w:val="24"/>
              </w:rPr>
            </w:pPr>
            <w:r>
              <w:rPr>
                <w:rFonts w:cs="Arial"/>
                <w:szCs w:val="24"/>
              </w:rPr>
              <w:t>73.8</w:t>
            </w:r>
            <w:r w:rsidR="00557150" w:rsidRPr="007B367A">
              <w:rPr>
                <w:rFonts w:cs="Arial"/>
                <w:szCs w:val="24"/>
              </w:rPr>
              <w:t>%</w:t>
            </w:r>
          </w:p>
        </w:tc>
        <w:tc>
          <w:tcPr>
            <w:tcW w:w="2268" w:type="dxa"/>
          </w:tcPr>
          <w:p w14:paraId="18F1F0F7" w14:textId="77777777" w:rsidR="00101D83" w:rsidRDefault="00101D83" w:rsidP="00AA2E89">
            <w:pPr>
              <w:jc w:val="center"/>
              <w:rPr>
                <w:rFonts w:cs="Arial"/>
                <w:szCs w:val="24"/>
              </w:rPr>
            </w:pPr>
          </w:p>
          <w:p w14:paraId="14B5ED81" w14:textId="77777777" w:rsidR="00101D83" w:rsidRDefault="00101D83" w:rsidP="00AA2E89">
            <w:pPr>
              <w:jc w:val="center"/>
              <w:rPr>
                <w:rFonts w:cs="Arial"/>
                <w:szCs w:val="24"/>
              </w:rPr>
            </w:pPr>
          </w:p>
          <w:p w14:paraId="22652311" w14:textId="77777777" w:rsidR="00557150" w:rsidRPr="007B367A" w:rsidRDefault="00557150" w:rsidP="00AA2E89">
            <w:pPr>
              <w:jc w:val="center"/>
              <w:rPr>
                <w:rFonts w:cs="Arial"/>
                <w:szCs w:val="24"/>
              </w:rPr>
            </w:pPr>
            <w:r w:rsidRPr="007B367A">
              <w:rPr>
                <w:rFonts w:cs="Arial"/>
                <w:szCs w:val="24"/>
              </w:rPr>
              <w:t>78%</w:t>
            </w:r>
          </w:p>
        </w:tc>
      </w:tr>
      <w:tr w:rsidR="00557150" w:rsidRPr="007B367A" w14:paraId="33BEEAF6" w14:textId="77777777" w:rsidTr="00A521C3">
        <w:tc>
          <w:tcPr>
            <w:tcW w:w="1257" w:type="dxa"/>
          </w:tcPr>
          <w:p w14:paraId="7C1578AA" w14:textId="77777777" w:rsidR="00557150" w:rsidRPr="007B367A" w:rsidRDefault="00557150" w:rsidP="00A77E6C">
            <w:pPr>
              <w:rPr>
                <w:rFonts w:cs="Arial"/>
                <w:szCs w:val="24"/>
              </w:rPr>
            </w:pPr>
            <w:r w:rsidRPr="007B367A">
              <w:rPr>
                <w:rFonts w:cs="Arial"/>
                <w:szCs w:val="24"/>
              </w:rPr>
              <w:t>7</w:t>
            </w:r>
          </w:p>
        </w:tc>
        <w:tc>
          <w:tcPr>
            <w:tcW w:w="3435" w:type="dxa"/>
          </w:tcPr>
          <w:p w14:paraId="5EC30EF6" w14:textId="77777777" w:rsidR="00557150" w:rsidRPr="007B367A" w:rsidRDefault="00557150" w:rsidP="00A77E6C">
            <w:pPr>
              <w:rPr>
                <w:rFonts w:cs="Arial"/>
                <w:szCs w:val="24"/>
              </w:rPr>
            </w:pPr>
            <w:r w:rsidRPr="007B367A">
              <w:rPr>
                <w:rFonts w:cs="Arial"/>
                <w:szCs w:val="24"/>
              </w:rPr>
              <w:t>Recently retired members are satisfied with the support they receive from Teachers’ Pensions as they planned retirement.</w:t>
            </w:r>
          </w:p>
          <w:p w14:paraId="7C21E149" w14:textId="77777777" w:rsidR="00557150" w:rsidRPr="007B367A" w:rsidRDefault="00557150" w:rsidP="00A77E6C">
            <w:pPr>
              <w:rPr>
                <w:rFonts w:cs="Arial"/>
                <w:b/>
                <w:szCs w:val="24"/>
              </w:rPr>
            </w:pPr>
            <w:r w:rsidRPr="007B367A">
              <w:rPr>
                <w:rFonts w:cs="Arial"/>
                <w:b/>
                <w:szCs w:val="24"/>
              </w:rPr>
              <w:t>Service Delivery</w:t>
            </w:r>
          </w:p>
        </w:tc>
        <w:tc>
          <w:tcPr>
            <w:tcW w:w="2249" w:type="dxa"/>
          </w:tcPr>
          <w:p w14:paraId="3ACC9944" w14:textId="77777777" w:rsidR="00101D83" w:rsidRDefault="00101D83" w:rsidP="00AA2E89">
            <w:pPr>
              <w:jc w:val="center"/>
              <w:rPr>
                <w:rFonts w:cs="Arial"/>
                <w:szCs w:val="24"/>
              </w:rPr>
            </w:pPr>
          </w:p>
          <w:p w14:paraId="5620A755" w14:textId="77777777" w:rsidR="00101D83" w:rsidRDefault="00101D83" w:rsidP="00AA2E89">
            <w:pPr>
              <w:jc w:val="center"/>
              <w:rPr>
                <w:rFonts w:cs="Arial"/>
                <w:szCs w:val="24"/>
              </w:rPr>
            </w:pPr>
          </w:p>
          <w:p w14:paraId="3DC05BB8" w14:textId="77777777" w:rsidR="00557150" w:rsidRPr="007B367A" w:rsidRDefault="00A856F8" w:rsidP="00AA2E89">
            <w:pPr>
              <w:jc w:val="center"/>
              <w:rPr>
                <w:rFonts w:cs="Arial"/>
                <w:szCs w:val="24"/>
              </w:rPr>
            </w:pPr>
            <w:r>
              <w:rPr>
                <w:rFonts w:cs="Arial"/>
                <w:szCs w:val="24"/>
              </w:rPr>
              <w:t>79.3</w:t>
            </w:r>
            <w:r w:rsidR="00557150" w:rsidRPr="007B367A">
              <w:rPr>
                <w:rFonts w:cs="Arial"/>
                <w:szCs w:val="24"/>
              </w:rPr>
              <w:t>%</w:t>
            </w:r>
          </w:p>
        </w:tc>
        <w:tc>
          <w:tcPr>
            <w:tcW w:w="2268" w:type="dxa"/>
          </w:tcPr>
          <w:p w14:paraId="178B74A4" w14:textId="77777777" w:rsidR="00101D83" w:rsidRDefault="00101D83" w:rsidP="00AA2E89">
            <w:pPr>
              <w:jc w:val="center"/>
              <w:rPr>
                <w:rFonts w:cs="Arial"/>
                <w:szCs w:val="24"/>
              </w:rPr>
            </w:pPr>
          </w:p>
          <w:p w14:paraId="5C068667" w14:textId="77777777" w:rsidR="00101D83" w:rsidRDefault="00101D83" w:rsidP="00AA2E89">
            <w:pPr>
              <w:jc w:val="center"/>
              <w:rPr>
                <w:rFonts w:cs="Arial"/>
                <w:szCs w:val="24"/>
              </w:rPr>
            </w:pPr>
          </w:p>
          <w:p w14:paraId="015EFA8F" w14:textId="77777777" w:rsidR="00557150" w:rsidRPr="007B367A" w:rsidRDefault="00557150" w:rsidP="00101D83">
            <w:pPr>
              <w:jc w:val="center"/>
              <w:rPr>
                <w:rFonts w:cs="Arial"/>
                <w:szCs w:val="24"/>
              </w:rPr>
            </w:pPr>
            <w:r w:rsidRPr="007B367A">
              <w:rPr>
                <w:rFonts w:cs="Arial"/>
                <w:szCs w:val="24"/>
              </w:rPr>
              <w:t>80%</w:t>
            </w:r>
          </w:p>
        </w:tc>
      </w:tr>
      <w:tr w:rsidR="00557150" w:rsidRPr="007B367A" w14:paraId="05E17FA3" w14:textId="77777777" w:rsidTr="00A521C3">
        <w:tc>
          <w:tcPr>
            <w:tcW w:w="1257" w:type="dxa"/>
          </w:tcPr>
          <w:p w14:paraId="3E489CE3" w14:textId="77777777" w:rsidR="00557150" w:rsidRPr="007B367A" w:rsidRDefault="00557150" w:rsidP="00A77E6C">
            <w:pPr>
              <w:rPr>
                <w:rFonts w:cs="Arial"/>
                <w:szCs w:val="24"/>
              </w:rPr>
            </w:pPr>
            <w:r w:rsidRPr="007B367A">
              <w:rPr>
                <w:rFonts w:cs="Arial"/>
                <w:szCs w:val="24"/>
              </w:rPr>
              <w:t>9</w:t>
            </w:r>
          </w:p>
        </w:tc>
        <w:tc>
          <w:tcPr>
            <w:tcW w:w="3435" w:type="dxa"/>
          </w:tcPr>
          <w:p w14:paraId="02B77451" w14:textId="77777777" w:rsidR="00557150" w:rsidRPr="007B367A" w:rsidRDefault="00557150" w:rsidP="00A77E6C">
            <w:pPr>
              <w:rPr>
                <w:rFonts w:cs="Arial"/>
                <w:szCs w:val="24"/>
              </w:rPr>
            </w:pPr>
            <w:r w:rsidRPr="007B367A">
              <w:rPr>
                <w:rFonts w:cs="Arial"/>
                <w:szCs w:val="24"/>
              </w:rPr>
              <w:t>Employers are satisfied with the service they receive from the Teachers' Pension Scheme</w:t>
            </w:r>
          </w:p>
          <w:p w14:paraId="52F5F9ED" w14:textId="77777777" w:rsidR="00557150" w:rsidRPr="007B367A" w:rsidRDefault="00557150" w:rsidP="00A77E6C">
            <w:pPr>
              <w:rPr>
                <w:rFonts w:cs="Arial"/>
                <w:szCs w:val="24"/>
              </w:rPr>
            </w:pPr>
            <w:r w:rsidRPr="007B367A">
              <w:rPr>
                <w:rFonts w:cs="Arial"/>
                <w:b/>
                <w:szCs w:val="24"/>
              </w:rPr>
              <w:t>Service Delivery</w:t>
            </w:r>
            <w:r w:rsidRPr="007B367A">
              <w:rPr>
                <w:rFonts w:cs="Arial"/>
                <w:szCs w:val="24"/>
              </w:rPr>
              <w:t>.</w:t>
            </w:r>
          </w:p>
        </w:tc>
        <w:tc>
          <w:tcPr>
            <w:tcW w:w="2249" w:type="dxa"/>
          </w:tcPr>
          <w:p w14:paraId="4181E346" w14:textId="77777777" w:rsidR="00101D83" w:rsidRDefault="00101D83" w:rsidP="00AA2E89">
            <w:pPr>
              <w:jc w:val="center"/>
              <w:rPr>
                <w:rFonts w:cs="Arial"/>
                <w:szCs w:val="24"/>
              </w:rPr>
            </w:pPr>
          </w:p>
          <w:p w14:paraId="2EF8CDAC" w14:textId="77777777" w:rsidR="00101D83" w:rsidRDefault="00101D83" w:rsidP="00AA2E89">
            <w:pPr>
              <w:jc w:val="center"/>
              <w:rPr>
                <w:rFonts w:cs="Arial"/>
                <w:szCs w:val="24"/>
              </w:rPr>
            </w:pPr>
          </w:p>
          <w:p w14:paraId="19F6FFC7" w14:textId="77777777" w:rsidR="00557150" w:rsidRPr="007B367A" w:rsidRDefault="00A856F8" w:rsidP="00AA2E89">
            <w:pPr>
              <w:jc w:val="center"/>
              <w:rPr>
                <w:rFonts w:cs="Arial"/>
                <w:szCs w:val="24"/>
              </w:rPr>
            </w:pPr>
            <w:r>
              <w:rPr>
                <w:rFonts w:cs="Arial"/>
                <w:szCs w:val="24"/>
              </w:rPr>
              <w:t>97</w:t>
            </w:r>
            <w:r w:rsidR="00557150" w:rsidRPr="007B367A">
              <w:rPr>
                <w:rFonts w:cs="Arial"/>
                <w:szCs w:val="24"/>
              </w:rPr>
              <w:t>%</w:t>
            </w:r>
          </w:p>
        </w:tc>
        <w:tc>
          <w:tcPr>
            <w:tcW w:w="2268" w:type="dxa"/>
          </w:tcPr>
          <w:p w14:paraId="33BF22ED" w14:textId="77777777" w:rsidR="00101D83" w:rsidRDefault="00101D83" w:rsidP="00AA2E89">
            <w:pPr>
              <w:jc w:val="center"/>
              <w:rPr>
                <w:rFonts w:cs="Arial"/>
                <w:szCs w:val="24"/>
              </w:rPr>
            </w:pPr>
          </w:p>
          <w:p w14:paraId="46ABA953" w14:textId="77777777" w:rsidR="00101D83" w:rsidRDefault="00101D83" w:rsidP="00AA2E89">
            <w:pPr>
              <w:jc w:val="center"/>
              <w:rPr>
                <w:rFonts w:cs="Arial"/>
                <w:szCs w:val="24"/>
              </w:rPr>
            </w:pPr>
          </w:p>
          <w:p w14:paraId="428BBD14" w14:textId="77777777" w:rsidR="00557150" w:rsidRPr="007B367A" w:rsidRDefault="00557150" w:rsidP="00AA2E89">
            <w:pPr>
              <w:jc w:val="center"/>
              <w:rPr>
                <w:rFonts w:cs="Arial"/>
                <w:szCs w:val="24"/>
              </w:rPr>
            </w:pPr>
            <w:r w:rsidRPr="007B367A">
              <w:rPr>
                <w:rFonts w:cs="Arial"/>
                <w:szCs w:val="24"/>
              </w:rPr>
              <w:t>80%</w:t>
            </w:r>
          </w:p>
        </w:tc>
      </w:tr>
      <w:tr w:rsidR="00557150" w:rsidRPr="007B367A" w14:paraId="430DC014" w14:textId="77777777" w:rsidTr="00A521C3">
        <w:tc>
          <w:tcPr>
            <w:tcW w:w="1257" w:type="dxa"/>
          </w:tcPr>
          <w:p w14:paraId="36EA3BC0" w14:textId="77777777" w:rsidR="00557150" w:rsidRPr="007B367A" w:rsidRDefault="00557150" w:rsidP="00A77E6C">
            <w:pPr>
              <w:rPr>
                <w:rFonts w:cs="Arial"/>
                <w:szCs w:val="24"/>
              </w:rPr>
            </w:pPr>
            <w:r w:rsidRPr="007B367A">
              <w:rPr>
                <w:rFonts w:cs="Arial"/>
                <w:szCs w:val="24"/>
              </w:rPr>
              <w:t>10</w:t>
            </w:r>
          </w:p>
        </w:tc>
        <w:tc>
          <w:tcPr>
            <w:tcW w:w="3435" w:type="dxa"/>
          </w:tcPr>
          <w:p w14:paraId="5302FCAE" w14:textId="77777777" w:rsidR="00557150" w:rsidRPr="007B367A" w:rsidRDefault="00557150" w:rsidP="00A77E6C">
            <w:pPr>
              <w:rPr>
                <w:rFonts w:cs="Arial"/>
                <w:szCs w:val="24"/>
              </w:rPr>
            </w:pPr>
            <w:r w:rsidRPr="007B367A">
              <w:rPr>
                <w:rFonts w:cs="Arial"/>
                <w:szCs w:val="24"/>
              </w:rPr>
              <w:t>Employers receive timely and accurate responses from the Teachers' Pension Scheme.</w:t>
            </w:r>
          </w:p>
          <w:p w14:paraId="34A48770" w14:textId="77777777" w:rsidR="000D5813" w:rsidRPr="007B367A" w:rsidRDefault="00557150" w:rsidP="00A77E6C">
            <w:pPr>
              <w:rPr>
                <w:rFonts w:cs="Arial"/>
                <w:b/>
                <w:szCs w:val="24"/>
              </w:rPr>
            </w:pPr>
            <w:r w:rsidRPr="007B367A">
              <w:rPr>
                <w:rFonts w:cs="Arial"/>
                <w:b/>
                <w:szCs w:val="24"/>
              </w:rPr>
              <w:t>Service Delivery</w:t>
            </w:r>
          </w:p>
        </w:tc>
        <w:tc>
          <w:tcPr>
            <w:tcW w:w="2249" w:type="dxa"/>
          </w:tcPr>
          <w:p w14:paraId="26ECA091" w14:textId="77777777" w:rsidR="00101D83" w:rsidRDefault="00101D83" w:rsidP="00AA2E89">
            <w:pPr>
              <w:jc w:val="center"/>
              <w:rPr>
                <w:rFonts w:cs="Arial"/>
                <w:szCs w:val="24"/>
              </w:rPr>
            </w:pPr>
          </w:p>
          <w:p w14:paraId="5ED89C16" w14:textId="77777777" w:rsidR="00557150" w:rsidRPr="007B367A" w:rsidRDefault="00A856F8" w:rsidP="00AA2E89">
            <w:pPr>
              <w:jc w:val="center"/>
              <w:rPr>
                <w:rFonts w:cs="Arial"/>
                <w:szCs w:val="24"/>
              </w:rPr>
            </w:pPr>
            <w:r>
              <w:rPr>
                <w:rFonts w:cs="Arial"/>
                <w:szCs w:val="24"/>
              </w:rPr>
              <w:t>88.2</w:t>
            </w:r>
            <w:r w:rsidR="00557150" w:rsidRPr="007B367A">
              <w:rPr>
                <w:rFonts w:cs="Arial"/>
                <w:szCs w:val="24"/>
              </w:rPr>
              <w:t>%</w:t>
            </w:r>
          </w:p>
        </w:tc>
        <w:tc>
          <w:tcPr>
            <w:tcW w:w="2268" w:type="dxa"/>
          </w:tcPr>
          <w:p w14:paraId="36E8E7C9" w14:textId="77777777" w:rsidR="00101D83" w:rsidRDefault="00101D83" w:rsidP="00AA2E89">
            <w:pPr>
              <w:jc w:val="center"/>
              <w:rPr>
                <w:rFonts w:cs="Arial"/>
                <w:szCs w:val="24"/>
              </w:rPr>
            </w:pPr>
          </w:p>
          <w:p w14:paraId="2010E429" w14:textId="77777777" w:rsidR="00557150" w:rsidRPr="007B367A" w:rsidRDefault="00557150" w:rsidP="00AA2E89">
            <w:pPr>
              <w:jc w:val="center"/>
              <w:rPr>
                <w:rFonts w:cs="Arial"/>
                <w:szCs w:val="24"/>
              </w:rPr>
            </w:pPr>
            <w:r w:rsidRPr="007B367A">
              <w:rPr>
                <w:rFonts w:cs="Arial"/>
                <w:szCs w:val="24"/>
              </w:rPr>
              <w:t>80%</w:t>
            </w:r>
          </w:p>
        </w:tc>
      </w:tr>
    </w:tbl>
    <w:p w14:paraId="018E882D" w14:textId="77777777" w:rsidR="00E35BD7" w:rsidRDefault="00E35BD7" w:rsidP="00A77E6C">
      <w:pPr>
        <w:rPr>
          <w:rFonts w:cs="Arial"/>
          <w:szCs w:val="24"/>
        </w:rPr>
      </w:pPr>
    </w:p>
    <w:p w14:paraId="540ACFB5" w14:textId="77777777" w:rsidR="00ED6941" w:rsidRPr="007B367A" w:rsidRDefault="00ED6941" w:rsidP="00A77E6C">
      <w:pPr>
        <w:rPr>
          <w:rFonts w:cs="Arial"/>
          <w:szCs w:val="24"/>
        </w:rPr>
      </w:pPr>
    </w:p>
    <w:p w14:paraId="3DCF36C9" w14:textId="77777777" w:rsidR="0021049E" w:rsidRPr="0021049E" w:rsidRDefault="00EF47E6" w:rsidP="0021049E">
      <w:pPr>
        <w:pStyle w:val="ListParagraph"/>
        <w:numPr>
          <w:ilvl w:val="0"/>
          <w:numId w:val="6"/>
        </w:numPr>
        <w:ind w:left="142"/>
        <w:rPr>
          <w:rFonts w:cs="Arial"/>
          <w:b/>
          <w:szCs w:val="24"/>
        </w:rPr>
      </w:pPr>
      <w:r w:rsidRPr="007B367A">
        <w:rPr>
          <w:rFonts w:cs="Arial"/>
          <w:szCs w:val="24"/>
        </w:rPr>
        <w:t>OM11 results for contract year 7</w:t>
      </w:r>
      <w:r w:rsidR="00EF2026">
        <w:rPr>
          <w:rFonts w:cs="Arial"/>
          <w:szCs w:val="24"/>
        </w:rPr>
        <w:t>, 1</w:t>
      </w:r>
      <w:r w:rsidR="00EF2026" w:rsidRPr="00EF2026">
        <w:rPr>
          <w:rFonts w:cs="Arial"/>
          <w:szCs w:val="24"/>
          <w:vertAlign w:val="superscript"/>
        </w:rPr>
        <w:t>st</w:t>
      </w:r>
      <w:r w:rsidR="00EF2026">
        <w:rPr>
          <w:rFonts w:cs="Arial"/>
          <w:szCs w:val="24"/>
        </w:rPr>
        <w:t xml:space="preserve"> </w:t>
      </w:r>
      <w:r w:rsidR="00CE648F" w:rsidRPr="007B367A">
        <w:rPr>
          <w:rFonts w:cs="Arial"/>
          <w:szCs w:val="24"/>
        </w:rPr>
        <w:t>October 2017 to 3</w:t>
      </w:r>
      <w:r w:rsidR="00CE648F">
        <w:rPr>
          <w:rFonts w:cs="Arial"/>
          <w:szCs w:val="24"/>
        </w:rPr>
        <w:t>0</w:t>
      </w:r>
      <w:r w:rsidR="00CE648F" w:rsidRPr="007B367A">
        <w:rPr>
          <w:rFonts w:cs="Arial"/>
          <w:szCs w:val="24"/>
          <w:vertAlign w:val="superscript"/>
        </w:rPr>
        <w:t>th</w:t>
      </w:r>
      <w:r w:rsidR="00CE648F" w:rsidRPr="007B367A">
        <w:rPr>
          <w:rFonts w:cs="Arial"/>
          <w:szCs w:val="24"/>
        </w:rPr>
        <w:t xml:space="preserve"> September 2018</w:t>
      </w:r>
    </w:p>
    <w:p w14:paraId="51758EC4" w14:textId="77777777" w:rsidR="0021049E" w:rsidRPr="0021049E" w:rsidRDefault="0021049E" w:rsidP="0080223C">
      <w:pPr>
        <w:pStyle w:val="ListParagraph"/>
        <w:ind w:left="142"/>
        <w:rPr>
          <w:rFonts w:cs="Arial"/>
          <w:b/>
          <w:szCs w:val="24"/>
        </w:rPr>
      </w:pPr>
    </w:p>
    <w:p w14:paraId="25F2D590" w14:textId="77777777" w:rsidR="0021049E" w:rsidRPr="003F4A81" w:rsidRDefault="0021049E" w:rsidP="0021049E">
      <w:pPr>
        <w:rPr>
          <w:rFonts w:cs="Arial"/>
          <w:b/>
          <w:szCs w:val="24"/>
        </w:rPr>
      </w:pPr>
      <w:r>
        <w:rPr>
          <w:noProof/>
          <w:lang w:eastAsia="en-GB"/>
        </w:rPr>
        <w:drawing>
          <wp:inline distT="0" distB="0" distL="0" distR="0" wp14:anchorId="5445014B" wp14:editId="764F707C">
            <wp:extent cx="5730240" cy="3790950"/>
            <wp:effectExtent l="0" t="0" r="3810" b="0"/>
            <wp:docPr id="18" name="Picture 18" descr="cid:image001.png@01D45F17.C97AE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45F17.C97AEC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8651" cy="3796514"/>
                    </a:xfrm>
                    <a:prstGeom prst="rect">
                      <a:avLst/>
                    </a:prstGeom>
                    <a:noFill/>
                    <a:ln>
                      <a:noFill/>
                    </a:ln>
                  </pic:spPr>
                </pic:pic>
              </a:graphicData>
            </a:graphic>
          </wp:inline>
        </w:drawing>
      </w:r>
    </w:p>
    <w:p w14:paraId="1119E51A" w14:textId="41F87834" w:rsidR="00694C80" w:rsidRDefault="00694C80" w:rsidP="00694C80">
      <w:pPr>
        <w:pStyle w:val="ListParagraph"/>
        <w:ind w:left="360"/>
        <w:rPr>
          <w:rFonts w:cs="Arial"/>
          <w:b/>
          <w:szCs w:val="24"/>
        </w:rPr>
      </w:pPr>
    </w:p>
    <w:p w14:paraId="74284AF7" w14:textId="43D0F8A8" w:rsidR="00694C80" w:rsidRDefault="00694C80" w:rsidP="00694C80">
      <w:pPr>
        <w:pStyle w:val="ListParagraph"/>
        <w:ind w:left="360"/>
        <w:rPr>
          <w:rFonts w:cs="Arial"/>
          <w:b/>
          <w:szCs w:val="24"/>
        </w:rPr>
      </w:pPr>
    </w:p>
    <w:p w14:paraId="42E02A1C" w14:textId="733500E2" w:rsidR="00694C80" w:rsidRDefault="00694C80" w:rsidP="00694C80">
      <w:pPr>
        <w:pStyle w:val="ListParagraph"/>
        <w:ind w:left="360"/>
        <w:rPr>
          <w:rFonts w:cs="Arial"/>
          <w:b/>
          <w:szCs w:val="24"/>
        </w:rPr>
      </w:pPr>
    </w:p>
    <w:p w14:paraId="536FDC0E" w14:textId="2F589B12" w:rsidR="00694C80" w:rsidRDefault="00694C80" w:rsidP="00694C80">
      <w:pPr>
        <w:pStyle w:val="ListParagraph"/>
        <w:ind w:left="360"/>
        <w:rPr>
          <w:rFonts w:cs="Arial"/>
          <w:b/>
          <w:szCs w:val="24"/>
        </w:rPr>
      </w:pPr>
    </w:p>
    <w:p w14:paraId="7541D382" w14:textId="380D7F54" w:rsidR="00694C80" w:rsidRDefault="00694C80" w:rsidP="00694C80">
      <w:pPr>
        <w:pStyle w:val="ListParagraph"/>
        <w:ind w:left="360"/>
        <w:rPr>
          <w:rFonts w:cs="Arial"/>
          <w:b/>
          <w:szCs w:val="24"/>
        </w:rPr>
      </w:pPr>
    </w:p>
    <w:p w14:paraId="78DA84D1" w14:textId="5F9D0D74" w:rsidR="00694C80" w:rsidRDefault="00694C80" w:rsidP="00694C80">
      <w:pPr>
        <w:pStyle w:val="ListParagraph"/>
        <w:ind w:left="360"/>
        <w:rPr>
          <w:rFonts w:cs="Arial"/>
          <w:b/>
          <w:szCs w:val="24"/>
        </w:rPr>
      </w:pPr>
    </w:p>
    <w:p w14:paraId="2719F49B" w14:textId="69531C74" w:rsidR="00694C80" w:rsidRDefault="00694C80" w:rsidP="00694C80">
      <w:pPr>
        <w:pStyle w:val="ListParagraph"/>
        <w:ind w:left="360"/>
        <w:rPr>
          <w:rFonts w:cs="Arial"/>
          <w:b/>
          <w:szCs w:val="24"/>
        </w:rPr>
      </w:pPr>
    </w:p>
    <w:p w14:paraId="347777A4" w14:textId="00AAC048" w:rsidR="00694C80" w:rsidRDefault="00694C80" w:rsidP="00694C80">
      <w:pPr>
        <w:pStyle w:val="ListParagraph"/>
        <w:ind w:left="360"/>
        <w:rPr>
          <w:rFonts w:cs="Arial"/>
          <w:b/>
          <w:szCs w:val="24"/>
        </w:rPr>
      </w:pPr>
    </w:p>
    <w:p w14:paraId="319F45BA" w14:textId="4CB18860" w:rsidR="00694C80" w:rsidRDefault="00694C80" w:rsidP="00694C80">
      <w:pPr>
        <w:pStyle w:val="ListParagraph"/>
        <w:ind w:left="360"/>
        <w:rPr>
          <w:rFonts w:cs="Arial"/>
          <w:b/>
          <w:szCs w:val="24"/>
        </w:rPr>
      </w:pPr>
    </w:p>
    <w:p w14:paraId="51C9BA11" w14:textId="31EDB783" w:rsidR="00694C80" w:rsidRDefault="00694C80" w:rsidP="00694C80">
      <w:pPr>
        <w:pStyle w:val="ListParagraph"/>
        <w:ind w:left="360"/>
        <w:rPr>
          <w:rFonts w:cs="Arial"/>
          <w:b/>
          <w:szCs w:val="24"/>
        </w:rPr>
      </w:pPr>
    </w:p>
    <w:p w14:paraId="07A5F875" w14:textId="2FA16612" w:rsidR="00694C80" w:rsidRDefault="00694C80" w:rsidP="00694C80">
      <w:pPr>
        <w:pStyle w:val="ListParagraph"/>
        <w:ind w:left="360"/>
        <w:rPr>
          <w:rFonts w:cs="Arial"/>
          <w:b/>
          <w:szCs w:val="24"/>
        </w:rPr>
      </w:pPr>
    </w:p>
    <w:p w14:paraId="5DD58506" w14:textId="7D887696" w:rsidR="00694C80" w:rsidRDefault="00694C80" w:rsidP="00694C80">
      <w:pPr>
        <w:pStyle w:val="ListParagraph"/>
        <w:ind w:left="360"/>
        <w:rPr>
          <w:rFonts w:cs="Arial"/>
          <w:b/>
          <w:szCs w:val="24"/>
        </w:rPr>
      </w:pPr>
    </w:p>
    <w:p w14:paraId="773A504D" w14:textId="77777777" w:rsidR="00F75037" w:rsidRDefault="00F75037" w:rsidP="00694C80">
      <w:pPr>
        <w:pStyle w:val="ListParagraph"/>
        <w:ind w:left="360"/>
        <w:rPr>
          <w:rFonts w:cs="Arial"/>
          <w:b/>
          <w:szCs w:val="24"/>
        </w:rPr>
      </w:pPr>
    </w:p>
    <w:p w14:paraId="4757123C" w14:textId="77777777" w:rsidR="00694C80" w:rsidRPr="00694C80" w:rsidRDefault="00694C80" w:rsidP="00694C80">
      <w:pPr>
        <w:pStyle w:val="ListParagraph"/>
        <w:ind w:left="360"/>
        <w:rPr>
          <w:rFonts w:cs="Arial"/>
          <w:b/>
          <w:szCs w:val="24"/>
        </w:rPr>
      </w:pPr>
    </w:p>
    <w:p w14:paraId="6FF7BF6A" w14:textId="23F535B3" w:rsidR="00E35BD7" w:rsidRPr="00DA3E82" w:rsidRDefault="00EF2026" w:rsidP="00E35BD7">
      <w:pPr>
        <w:pStyle w:val="ListParagraph"/>
        <w:numPr>
          <w:ilvl w:val="0"/>
          <w:numId w:val="6"/>
        </w:numPr>
        <w:rPr>
          <w:rFonts w:cs="Arial"/>
          <w:b/>
          <w:szCs w:val="24"/>
        </w:rPr>
      </w:pPr>
      <w:r w:rsidRPr="00DA3E82">
        <w:rPr>
          <w:rFonts w:cs="Arial"/>
          <w:szCs w:val="24"/>
        </w:rPr>
        <w:t xml:space="preserve">OM11 results for contract year </w:t>
      </w:r>
      <w:r w:rsidR="00DA3E82" w:rsidRPr="00DA3E82">
        <w:rPr>
          <w:rFonts w:cs="Arial"/>
          <w:szCs w:val="24"/>
        </w:rPr>
        <w:t>8</w:t>
      </w:r>
      <w:r w:rsidR="00DA3E82">
        <w:rPr>
          <w:noProof/>
          <w:lang w:eastAsia="en-GB"/>
        </w:rPr>
        <w:drawing>
          <wp:inline distT="0" distB="0" distL="0" distR="0" wp14:anchorId="609B47DF" wp14:editId="4021158C">
            <wp:extent cx="5314950" cy="4095750"/>
            <wp:effectExtent l="0" t="0" r="0" b="0"/>
            <wp:docPr id="14" name="Picture 14" descr="cid:image008.png@01D48598.98EAB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png@01D48598.98EAB9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16850" cy="4097214"/>
                    </a:xfrm>
                    <a:prstGeom prst="rect">
                      <a:avLst/>
                    </a:prstGeom>
                    <a:noFill/>
                    <a:ln>
                      <a:noFill/>
                    </a:ln>
                  </pic:spPr>
                </pic:pic>
              </a:graphicData>
            </a:graphic>
          </wp:inline>
        </w:drawing>
      </w:r>
    </w:p>
    <w:p w14:paraId="0E773800" w14:textId="77777777" w:rsidR="0021049E" w:rsidRPr="0021049E" w:rsidRDefault="00EF47E6" w:rsidP="00E35BD7">
      <w:pPr>
        <w:pStyle w:val="ListParagraph"/>
        <w:numPr>
          <w:ilvl w:val="0"/>
          <w:numId w:val="6"/>
        </w:numPr>
        <w:rPr>
          <w:rFonts w:cs="Arial"/>
          <w:b/>
          <w:szCs w:val="24"/>
        </w:rPr>
      </w:pPr>
      <w:r w:rsidRPr="007B367A">
        <w:rPr>
          <w:rFonts w:cs="Arial"/>
          <w:szCs w:val="24"/>
        </w:rPr>
        <w:t>OM</w:t>
      </w:r>
      <w:r w:rsidR="00945602">
        <w:rPr>
          <w:rFonts w:cs="Arial"/>
          <w:szCs w:val="24"/>
        </w:rPr>
        <w:t xml:space="preserve">14 </w:t>
      </w:r>
      <w:r w:rsidR="00C82743">
        <w:rPr>
          <w:rFonts w:cs="Arial"/>
          <w:szCs w:val="24"/>
        </w:rPr>
        <w:t xml:space="preserve">(MPO registrations) </w:t>
      </w:r>
      <w:r w:rsidR="00945602">
        <w:rPr>
          <w:rFonts w:cs="Arial"/>
          <w:szCs w:val="24"/>
        </w:rPr>
        <w:t>results for contract year 7: 1</w:t>
      </w:r>
      <w:r w:rsidR="00945602" w:rsidRPr="00945602">
        <w:rPr>
          <w:rFonts w:cs="Arial"/>
          <w:szCs w:val="24"/>
          <w:vertAlign w:val="superscript"/>
        </w:rPr>
        <w:t>st</w:t>
      </w:r>
      <w:r w:rsidR="00945602">
        <w:rPr>
          <w:rFonts w:cs="Arial"/>
          <w:szCs w:val="24"/>
        </w:rPr>
        <w:t xml:space="preserve"> </w:t>
      </w:r>
      <w:r w:rsidRPr="007B367A">
        <w:rPr>
          <w:rFonts w:cs="Arial"/>
          <w:szCs w:val="24"/>
        </w:rPr>
        <w:t>October 2017 to 3</w:t>
      </w:r>
      <w:r w:rsidR="00E8770A">
        <w:rPr>
          <w:rFonts w:cs="Arial"/>
          <w:szCs w:val="24"/>
        </w:rPr>
        <w:t>0</w:t>
      </w:r>
      <w:r w:rsidRPr="007B367A">
        <w:rPr>
          <w:rFonts w:cs="Arial"/>
          <w:szCs w:val="24"/>
          <w:vertAlign w:val="superscript"/>
        </w:rPr>
        <w:t>th</w:t>
      </w:r>
      <w:r w:rsidRPr="007B367A">
        <w:rPr>
          <w:rFonts w:cs="Arial"/>
          <w:szCs w:val="24"/>
        </w:rPr>
        <w:t xml:space="preserve"> September 2018</w:t>
      </w:r>
    </w:p>
    <w:p w14:paraId="0EAC2076" w14:textId="77777777" w:rsidR="0021049E" w:rsidRPr="0021049E" w:rsidRDefault="0021049E" w:rsidP="0021049E">
      <w:pPr>
        <w:rPr>
          <w:rFonts w:cs="Arial"/>
          <w:b/>
          <w:szCs w:val="24"/>
        </w:rPr>
      </w:pPr>
    </w:p>
    <w:p w14:paraId="7C65F4C7" w14:textId="77777777" w:rsidR="0021049E" w:rsidRPr="0021049E" w:rsidRDefault="0021049E" w:rsidP="0021049E">
      <w:pPr>
        <w:rPr>
          <w:rFonts w:cs="Arial"/>
          <w:b/>
          <w:szCs w:val="24"/>
        </w:rPr>
      </w:pPr>
      <w:r>
        <w:rPr>
          <w:rFonts w:cs="Arial"/>
          <w:noProof/>
          <w:color w:val="000000"/>
          <w:lang w:eastAsia="en-GB"/>
        </w:rPr>
        <w:drawing>
          <wp:inline distT="0" distB="0" distL="0" distR="0" wp14:anchorId="5044660A" wp14:editId="6B0B60BA">
            <wp:extent cx="6475598" cy="2323465"/>
            <wp:effectExtent l="0" t="0" r="1905" b="635"/>
            <wp:docPr id="17" name="Picture 17" descr="cid:image003.png@01D480DE.17184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80DE.17184A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539672" cy="2346455"/>
                    </a:xfrm>
                    <a:prstGeom prst="rect">
                      <a:avLst/>
                    </a:prstGeom>
                    <a:noFill/>
                    <a:ln>
                      <a:noFill/>
                    </a:ln>
                  </pic:spPr>
                </pic:pic>
              </a:graphicData>
            </a:graphic>
          </wp:inline>
        </w:drawing>
      </w:r>
    </w:p>
    <w:p w14:paraId="6E6C730C" w14:textId="77777777" w:rsidR="002324A2" w:rsidRPr="007B367A" w:rsidRDefault="002324A2" w:rsidP="00A77E6C">
      <w:pPr>
        <w:rPr>
          <w:rFonts w:cs="Arial"/>
          <w:b/>
          <w:szCs w:val="24"/>
        </w:rPr>
      </w:pPr>
    </w:p>
    <w:p w14:paraId="51867DD5" w14:textId="77777777" w:rsidR="009520B2" w:rsidRPr="009520B2" w:rsidRDefault="009520B2" w:rsidP="009520B2">
      <w:pPr>
        <w:pStyle w:val="ListParagraph"/>
        <w:widowControl/>
        <w:numPr>
          <w:ilvl w:val="0"/>
          <w:numId w:val="6"/>
        </w:numPr>
        <w:overflowPunct/>
        <w:autoSpaceDE/>
        <w:autoSpaceDN/>
        <w:adjustRightInd/>
        <w:rPr>
          <w:szCs w:val="24"/>
        </w:rPr>
      </w:pPr>
      <w:r w:rsidRPr="009520B2">
        <w:rPr>
          <w:szCs w:val="24"/>
        </w:rPr>
        <w:t xml:space="preserve">Outcome Measure 14 targets are based on a % of </w:t>
      </w:r>
      <w:r w:rsidRPr="009520B2">
        <w:rPr>
          <w:szCs w:val="24"/>
          <w:u w:val="single"/>
        </w:rPr>
        <w:t xml:space="preserve">Active and Pensioner members </w:t>
      </w:r>
      <w:r w:rsidR="00C82743">
        <w:rPr>
          <w:szCs w:val="24"/>
          <w:u w:val="single"/>
        </w:rPr>
        <w:t xml:space="preserve">registered on MPO </w:t>
      </w:r>
      <w:r w:rsidRPr="009520B2">
        <w:rPr>
          <w:szCs w:val="24"/>
        </w:rPr>
        <w:t>for each contract year. The targets for each contract year are:</w:t>
      </w:r>
    </w:p>
    <w:p w14:paraId="2F963291" w14:textId="77777777" w:rsidR="009520B2" w:rsidRPr="009520B2" w:rsidRDefault="009520B2" w:rsidP="00694C80">
      <w:pPr>
        <w:pStyle w:val="ListParagraph"/>
        <w:numPr>
          <w:ilvl w:val="0"/>
          <w:numId w:val="36"/>
        </w:numPr>
        <w:rPr>
          <w:szCs w:val="24"/>
        </w:rPr>
      </w:pPr>
      <w:r w:rsidRPr="009520B2">
        <w:rPr>
          <w:szCs w:val="24"/>
        </w:rPr>
        <w:t xml:space="preserve">Contract Year          6      7      </w:t>
      </w:r>
      <w:r w:rsidRPr="009520B2">
        <w:rPr>
          <w:szCs w:val="24"/>
          <w:u w:val="single"/>
        </w:rPr>
        <w:t xml:space="preserve">8 </w:t>
      </w:r>
      <w:r w:rsidRPr="009520B2">
        <w:rPr>
          <w:szCs w:val="24"/>
        </w:rPr>
        <w:t>      9     10                        </w:t>
      </w:r>
    </w:p>
    <w:p w14:paraId="301EA484" w14:textId="77777777" w:rsidR="009520B2" w:rsidRPr="009520B2" w:rsidRDefault="009520B2" w:rsidP="00694C80">
      <w:pPr>
        <w:pStyle w:val="ListParagraph"/>
        <w:numPr>
          <w:ilvl w:val="0"/>
          <w:numId w:val="36"/>
        </w:numPr>
        <w:rPr>
          <w:szCs w:val="24"/>
        </w:rPr>
      </w:pPr>
      <w:r w:rsidRPr="009520B2">
        <w:rPr>
          <w:szCs w:val="24"/>
        </w:rPr>
        <w:t xml:space="preserve">Percent                   35    45    </w:t>
      </w:r>
      <w:r w:rsidRPr="009520B2">
        <w:rPr>
          <w:szCs w:val="24"/>
          <w:u w:val="single"/>
        </w:rPr>
        <w:t xml:space="preserve">52 </w:t>
      </w:r>
      <w:r w:rsidRPr="009520B2">
        <w:rPr>
          <w:szCs w:val="24"/>
        </w:rPr>
        <w:t>   59     62</w:t>
      </w:r>
    </w:p>
    <w:p w14:paraId="229A2C81" w14:textId="77777777" w:rsidR="00B06190" w:rsidRPr="0026321D" w:rsidRDefault="00B06190" w:rsidP="0026321D">
      <w:pPr>
        <w:rPr>
          <w:szCs w:val="24"/>
        </w:rPr>
      </w:pPr>
    </w:p>
    <w:p w14:paraId="0FAA0E75" w14:textId="77777777" w:rsidR="00EF47E6" w:rsidRPr="009520B2" w:rsidRDefault="00EF47E6" w:rsidP="00A77E6C">
      <w:pPr>
        <w:pStyle w:val="ListParagraph"/>
        <w:ind w:left="142"/>
        <w:rPr>
          <w:rFonts w:cs="Arial"/>
          <w:b/>
          <w:szCs w:val="24"/>
        </w:rPr>
      </w:pPr>
      <w:r w:rsidRPr="009520B2">
        <w:rPr>
          <w:rFonts w:cs="Arial"/>
          <w:b/>
          <w:szCs w:val="24"/>
        </w:rPr>
        <w:t>Teachers</w:t>
      </w:r>
      <w:r w:rsidR="00064D01">
        <w:rPr>
          <w:rFonts w:cs="Arial"/>
          <w:b/>
          <w:szCs w:val="24"/>
        </w:rPr>
        <w:t>’</w:t>
      </w:r>
      <w:r w:rsidRPr="009520B2">
        <w:rPr>
          <w:rFonts w:cs="Arial"/>
          <w:b/>
          <w:szCs w:val="24"/>
        </w:rPr>
        <w:t xml:space="preserve"> Pensions contract centre</w:t>
      </w:r>
      <w:r w:rsidR="00221E7A" w:rsidRPr="009520B2">
        <w:rPr>
          <w:rFonts w:cs="Arial"/>
          <w:b/>
          <w:szCs w:val="24"/>
        </w:rPr>
        <w:t xml:space="preserve"> </w:t>
      </w:r>
    </w:p>
    <w:p w14:paraId="09F95DD2" w14:textId="77777777" w:rsidR="00EF47E6" w:rsidRPr="007B367A" w:rsidRDefault="00EF47E6" w:rsidP="00A77E6C">
      <w:pPr>
        <w:pStyle w:val="ListParagraph"/>
        <w:ind w:left="142"/>
        <w:rPr>
          <w:rFonts w:cs="Arial"/>
          <w:szCs w:val="24"/>
        </w:rPr>
      </w:pPr>
    </w:p>
    <w:p w14:paraId="3E91076C" w14:textId="26600054" w:rsidR="00F537BB" w:rsidRPr="007B367A" w:rsidRDefault="00F537BB" w:rsidP="00A77E6C">
      <w:pPr>
        <w:pStyle w:val="ListParagraph"/>
        <w:numPr>
          <w:ilvl w:val="0"/>
          <w:numId w:val="6"/>
        </w:numPr>
        <w:ind w:left="142"/>
        <w:rPr>
          <w:rFonts w:cs="Arial"/>
          <w:szCs w:val="24"/>
        </w:rPr>
      </w:pPr>
      <w:r w:rsidRPr="007B367A">
        <w:rPr>
          <w:rFonts w:cs="Arial"/>
          <w:szCs w:val="24"/>
        </w:rPr>
        <w:t>TP ha</w:t>
      </w:r>
      <w:r w:rsidR="00F75037">
        <w:rPr>
          <w:rFonts w:cs="Arial"/>
          <w:szCs w:val="24"/>
        </w:rPr>
        <w:t>s</w:t>
      </w:r>
      <w:r w:rsidRPr="007B367A">
        <w:rPr>
          <w:rFonts w:cs="Arial"/>
          <w:szCs w:val="24"/>
        </w:rPr>
        <w:t xml:space="preserve"> implemented a new resource scheduling model which deploys more staff at the beginning of the week (particularly Monday) to accommodate increased member contact.  This has worked extremely well leading to quicker response times on Monday</w:t>
      </w:r>
      <w:r w:rsidR="00064D01">
        <w:rPr>
          <w:rFonts w:cs="Arial"/>
          <w:szCs w:val="24"/>
        </w:rPr>
        <w:t>s</w:t>
      </w:r>
      <w:r w:rsidRPr="007B367A">
        <w:rPr>
          <w:rFonts w:cs="Arial"/>
          <w:szCs w:val="24"/>
        </w:rPr>
        <w:t>.</w:t>
      </w:r>
    </w:p>
    <w:p w14:paraId="5CD694AC" w14:textId="77777777" w:rsidR="00F537BB" w:rsidRPr="007B367A" w:rsidRDefault="00F537BB" w:rsidP="00A77E6C">
      <w:pPr>
        <w:rPr>
          <w:rFonts w:cs="Arial"/>
          <w:szCs w:val="24"/>
        </w:rPr>
      </w:pPr>
    </w:p>
    <w:p w14:paraId="2F126D8A" w14:textId="77777777" w:rsidR="00296FD3" w:rsidRDefault="00716251" w:rsidP="00A77E6C">
      <w:pPr>
        <w:pStyle w:val="ListParagraph"/>
        <w:numPr>
          <w:ilvl w:val="0"/>
          <w:numId w:val="6"/>
        </w:numPr>
        <w:ind w:left="142"/>
        <w:rPr>
          <w:rFonts w:cs="Arial"/>
          <w:szCs w:val="24"/>
        </w:rPr>
      </w:pPr>
      <w:r w:rsidRPr="007B367A">
        <w:rPr>
          <w:rFonts w:cs="Arial"/>
          <w:szCs w:val="24"/>
        </w:rPr>
        <w:t>The current position is that contact centre performance remains stable.  In August</w:t>
      </w:r>
      <w:r w:rsidR="00F230D4">
        <w:rPr>
          <w:rFonts w:cs="Arial"/>
          <w:szCs w:val="24"/>
        </w:rPr>
        <w:t>, queue time (Darlington) was 11</w:t>
      </w:r>
      <w:r w:rsidRPr="007B367A">
        <w:rPr>
          <w:rFonts w:cs="Arial"/>
          <w:szCs w:val="24"/>
        </w:rPr>
        <w:t xml:space="preserve"> seconds.  In September, queue time (Darlington) was </w:t>
      </w:r>
      <w:r w:rsidR="00F230D4">
        <w:rPr>
          <w:rFonts w:cs="Arial"/>
          <w:szCs w:val="24"/>
        </w:rPr>
        <w:t>15</w:t>
      </w:r>
      <w:r w:rsidRPr="007B367A">
        <w:rPr>
          <w:rFonts w:cs="Arial"/>
          <w:szCs w:val="24"/>
        </w:rPr>
        <w:t xml:space="preserve"> seconds, and in October, queu</w:t>
      </w:r>
      <w:r w:rsidR="00851F5E">
        <w:rPr>
          <w:rFonts w:cs="Arial"/>
          <w:szCs w:val="24"/>
        </w:rPr>
        <w:t xml:space="preserve">e time (Darlington) was </w:t>
      </w:r>
      <w:r w:rsidR="00F230D4">
        <w:rPr>
          <w:rFonts w:cs="Arial"/>
          <w:szCs w:val="24"/>
        </w:rPr>
        <w:t>12</w:t>
      </w:r>
      <w:r w:rsidR="00443C01">
        <w:rPr>
          <w:rFonts w:cs="Arial"/>
          <w:szCs w:val="24"/>
        </w:rPr>
        <w:t xml:space="preserve"> </w:t>
      </w:r>
      <w:r w:rsidR="00851F5E">
        <w:rPr>
          <w:rFonts w:cs="Arial"/>
          <w:szCs w:val="24"/>
        </w:rPr>
        <w:t>seconds</w:t>
      </w:r>
      <w:r w:rsidRPr="007B367A">
        <w:rPr>
          <w:rFonts w:cs="Arial"/>
          <w:szCs w:val="24"/>
        </w:rPr>
        <w:t xml:space="preserve">.  </w:t>
      </w:r>
    </w:p>
    <w:p w14:paraId="710125EA" w14:textId="77777777" w:rsidR="00296FD3" w:rsidRPr="00296FD3" w:rsidRDefault="00296FD3" w:rsidP="00296FD3">
      <w:pPr>
        <w:pStyle w:val="ListParagraph"/>
        <w:rPr>
          <w:rFonts w:cs="Arial"/>
          <w:szCs w:val="24"/>
        </w:rPr>
      </w:pPr>
    </w:p>
    <w:p w14:paraId="54187998" w14:textId="77777777" w:rsidR="00681733" w:rsidRPr="007B367A" w:rsidRDefault="00716251" w:rsidP="00A77E6C">
      <w:pPr>
        <w:pStyle w:val="ListParagraph"/>
        <w:numPr>
          <w:ilvl w:val="0"/>
          <w:numId w:val="6"/>
        </w:numPr>
        <w:ind w:left="142"/>
        <w:rPr>
          <w:rFonts w:cs="Arial"/>
          <w:szCs w:val="24"/>
        </w:rPr>
      </w:pPr>
      <w:r w:rsidRPr="007B367A">
        <w:rPr>
          <w:rFonts w:cs="Arial"/>
          <w:szCs w:val="24"/>
        </w:rPr>
        <w:t xml:space="preserve">The </w:t>
      </w:r>
      <w:r w:rsidR="000245A5">
        <w:rPr>
          <w:rFonts w:cs="Arial"/>
          <w:szCs w:val="24"/>
        </w:rPr>
        <w:t xml:space="preserve">call </w:t>
      </w:r>
      <w:r w:rsidRPr="007B367A">
        <w:rPr>
          <w:rFonts w:cs="Arial"/>
          <w:szCs w:val="24"/>
        </w:rPr>
        <w:t xml:space="preserve">Average Handling Time averaged 6.2 minutes, attributed to the complexity of the scheme </w:t>
      </w:r>
      <w:r w:rsidR="00681733" w:rsidRPr="007B367A">
        <w:rPr>
          <w:rFonts w:cs="Arial"/>
          <w:szCs w:val="24"/>
        </w:rPr>
        <w:t>and member</w:t>
      </w:r>
      <w:r w:rsidR="00D20C7C" w:rsidRPr="007B367A">
        <w:rPr>
          <w:rFonts w:cs="Arial"/>
          <w:szCs w:val="24"/>
        </w:rPr>
        <w:t xml:space="preserve"> enquiries related to this, however, Outcome Measures performance confirms that member experience is good with high satisfaction levels.</w:t>
      </w:r>
    </w:p>
    <w:p w14:paraId="49FD9229" w14:textId="77777777" w:rsidR="00681733" w:rsidRPr="007B367A" w:rsidRDefault="00681733" w:rsidP="00A77E6C">
      <w:pPr>
        <w:pStyle w:val="ListParagraph"/>
        <w:ind w:left="142"/>
        <w:rPr>
          <w:rFonts w:cs="Arial"/>
          <w:szCs w:val="24"/>
        </w:rPr>
      </w:pPr>
    </w:p>
    <w:p w14:paraId="1FDD15D9" w14:textId="77777777" w:rsidR="00C67095" w:rsidRPr="009A3F05" w:rsidRDefault="00681733" w:rsidP="00502E80">
      <w:pPr>
        <w:pStyle w:val="ListParagraph"/>
        <w:numPr>
          <w:ilvl w:val="0"/>
          <w:numId w:val="6"/>
        </w:numPr>
        <w:ind w:left="142"/>
        <w:rPr>
          <w:rFonts w:cs="Arial"/>
          <w:szCs w:val="24"/>
        </w:rPr>
      </w:pPr>
      <w:r w:rsidRPr="009A3F05">
        <w:rPr>
          <w:rFonts w:cs="Arial"/>
          <w:szCs w:val="24"/>
        </w:rPr>
        <w:t>The performance measures are set out in the table below (with data for the last quarter)</w:t>
      </w:r>
      <w:r w:rsidR="00A311ED" w:rsidRPr="009A3F05">
        <w:rPr>
          <w:rFonts w:cs="Arial"/>
          <w:szCs w:val="24"/>
        </w:rPr>
        <w:t xml:space="preserve"> SD6/260918 refers</w:t>
      </w:r>
      <w:r w:rsidR="009A3F05">
        <w:rPr>
          <w:rFonts w:cs="Arial"/>
          <w:szCs w:val="24"/>
        </w:rPr>
        <w:t>.</w:t>
      </w:r>
    </w:p>
    <w:p w14:paraId="7F9BEF55" w14:textId="77777777" w:rsidR="003469AC" w:rsidRDefault="003469AC" w:rsidP="009224B4">
      <w:pPr>
        <w:pStyle w:val="ListParagraph"/>
        <w:rPr>
          <w:szCs w:val="24"/>
        </w:rPr>
      </w:pPr>
    </w:p>
    <w:tbl>
      <w:tblPr>
        <w:tblStyle w:val="TableGrid"/>
        <w:tblW w:w="9351" w:type="dxa"/>
        <w:tblLayout w:type="fixed"/>
        <w:tblLook w:val="04A0" w:firstRow="1" w:lastRow="0" w:firstColumn="1" w:lastColumn="0" w:noHBand="0" w:noVBand="1"/>
      </w:tblPr>
      <w:tblGrid>
        <w:gridCol w:w="1838"/>
        <w:gridCol w:w="1276"/>
        <w:gridCol w:w="1276"/>
        <w:gridCol w:w="1417"/>
        <w:gridCol w:w="1134"/>
        <w:gridCol w:w="1134"/>
        <w:gridCol w:w="1276"/>
      </w:tblGrid>
      <w:tr w:rsidR="009224B4" w14:paraId="11D9B829" w14:textId="77777777" w:rsidTr="005774A8">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9975A" w14:textId="77777777" w:rsidR="009224B4" w:rsidRDefault="009224B4" w:rsidP="005774A8">
            <w:pPr>
              <w:rPr>
                <w:rFonts w:cs="Arial"/>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01AC1" w14:textId="77777777" w:rsidR="009224B4" w:rsidRDefault="009224B4" w:rsidP="005774A8">
            <w:pPr>
              <w:jc w:val="center"/>
              <w:rPr>
                <w:rFonts w:cs="Arial"/>
                <w:b/>
                <w:szCs w:val="24"/>
              </w:rPr>
            </w:pPr>
            <w:r>
              <w:rPr>
                <w:rFonts w:cs="Arial"/>
                <w:b/>
                <w:szCs w:val="24"/>
              </w:rPr>
              <w:t>May</w:t>
            </w:r>
          </w:p>
          <w:p w14:paraId="2FBF4DC2" w14:textId="77777777" w:rsidR="009224B4" w:rsidRDefault="009224B4" w:rsidP="005774A8">
            <w:pPr>
              <w:jc w:val="center"/>
              <w:rPr>
                <w:rFonts w:cs="Arial"/>
                <w:b/>
                <w:szCs w:val="24"/>
              </w:rPr>
            </w:pPr>
            <w:r>
              <w:rPr>
                <w:rFonts w:cs="Arial"/>
                <w:b/>
                <w:szCs w:val="24"/>
              </w:rPr>
              <w:t>18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6D7AD" w14:textId="77777777" w:rsidR="009224B4" w:rsidRDefault="009224B4" w:rsidP="005774A8">
            <w:pPr>
              <w:jc w:val="center"/>
              <w:rPr>
                <w:rFonts w:cs="Arial"/>
                <w:b/>
                <w:szCs w:val="24"/>
              </w:rPr>
            </w:pPr>
            <w:r>
              <w:rPr>
                <w:rFonts w:cs="Arial"/>
                <w:b/>
                <w:szCs w:val="24"/>
              </w:rPr>
              <w:t xml:space="preserve">June </w:t>
            </w:r>
          </w:p>
          <w:p w14:paraId="5C5CFDA2" w14:textId="77777777" w:rsidR="009224B4" w:rsidRDefault="009224B4" w:rsidP="005774A8">
            <w:pPr>
              <w:jc w:val="center"/>
              <w:rPr>
                <w:rFonts w:cs="Arial"/>
                <w:b/>
                <w:szCs w:val="24"/>
              </w:rPr>
            </w:pPr>
            <w:r>
              <w:rPr>
                <w:rFonts w:cs="Arial"/>
                <w:b/>
                <w:szCs w:val="24"/>
              </w:rPr>
              <w:t>18</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7B1E5E" w14:textId="77777777" w:rsidR="009224B4" w:rsidRDefault="009224B4" w:rsidP="005774A8">
            <w:pPr>
              <w:jc w:val="center"/>
              <w:rPr>
                <w:rFonts w:cs="Arial"/>
                <w:b/>
                <w:szCs w:val="24"/>
              </w:rPr>
            </w:pPr>
            <w:r>
              <w:rPr>
                <w:rFonts w:cs="Arial"/>
                <w:b/>
                <w:szCs w:val="24"/>
              </w:rPr>
              <w:t>July</w:t>
            </w:r>
          </w:p>
          <w:p w14:paraId="6C48F947" w14:textId="77777777" w:rsidR="009224B4" w:rsidRDefault="009224B4" w:rsidP="005774A8">
            <w:pPr>
              <w:jc w:val="center"/>
              <w:rPr>
                <w:rFonts w:cs="Arial"/>
                <w:b/>
                <w:szCs w:val="24"/>
              </w:rPr>
            </w:pPr>
            <w:r>
              <w:rPr>
                <w:rFonts w:cs="Arial"/>
                <w:b/>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8FFFD2" w14:textId="77777777" w:rsidR="009224B4" w:rsidRDefault="009224B4" w:rsidP="005774A8">
            <w:pPr>
              <w:jc w:val="center"/>
              <w:rPr>
                <w:rFonts w:cs="Arial"/>
                <w:b/>
                <w:szCs w:val="24"/>
              </w:rPr>
            </w:pPr>
            <w:r>
              <w:rPr>
                <w:rFonts w:cs="Arial"/>
                <w:b/>
                <w:szCs w:val="24"/>
              </w:rPr>
              <w:t>Aug</w:t>
            </w:r>
          </w:p>
          <w:p w14:paraId="1D55EBD7" w14:textId="77777777" w:rsidR="009224B4" w:rsidRDefault="009224B4" w:rsidP="005774A8">
            <w:pPr>
              <w:jc w:val="center"/>
              <w:rPr>
                <w:rFonts w:cs="Arial"/>
                <w:b/>
                <w:szCs w:val="24"/>
              </w:rPr>
            </w:pPr>
            <w:r>
              <w:rPr>
                <w:rFonts w:cs="Arial"/>
                <w:b/>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4554B3" w14:textId="77777777" w:rsidR="009224B4" w:rsidRDefault="009224B4" w:rsidP="005774A8">
            <w:pPr>
              <w:jc w:val="center"/>
              <w:rPr>
                <w:rFonts w:cs="Arial"/>
                <w:b/>
                <w:szCs w:val="24"/>
              </w:rPr>
            </w:pPr>
            <w:r>
              <w:rPr>
                <w:rFonts w:cs="Arial"/>
                <w:b/>
                <w:szCs w:val="24"/>
              </w:rPr>
              <w:t xml:space="preserve">Sept </w:t>
            </w:r>
          </w:p>
          <w:p w14:paraId="72CF1657" w14:textId="77777777" w:rsidR="009224B4" w:rsidRDefault="009224B4" w:rsidP="005774A8">
            <w:pPr>
              <w:jc w:val="center"/>
              <w:rPr>
                <w:rFonts w:cs="Arial"/>
                <w:b/>
                <w:szCs w:val="24"/>
              </w:rPr>
            </w:pPr>
            <w:r>
              <w:rPr>
                <w:rFonts w:cs="Arial"/>
                <w:b/>
                <w:szCs w:val="24"/>
              </w:rPr>
              <w:t>18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98F41B" w14:textId="77777777" w:rsidR="009224B4" w:rsidRDefault="009224B4" w:rsidP="005774A8">
            <w:pPr>
              <w:jc w:val="center"/>
              <w:rPr>
                <w:rFonts w:cs="Arial"/>
                <w:b/>
                <w:szCs w:val="24"/>
              </w:rPr>
            </w:pPr>
            <w:r>
              <w:rPr>
                <w:rFonts w:cs="Arial"/>
                <w:b/>
                <w:szCs w:val="24"/>
              </w:rPr>
              <w:t>Oct</w:t>
            </w:r>
          </w:p>
          <w:p w14:paraId="3FD963E2" w14:textId="77777777" w:rsidR="009224B4" w:rsidRDefault="009224B4" w:rsidP="005774A8">
            <w:pPr>
              <w:jc w:val="center"/>
              <w:rPr>
                <w:rFonts w:cs="Arial"/>
                <w:b/>
                <w:szCs w:val="24"/>
              </w:rPr>
            </w:pPr>
            <w:r>
              <w:rPr>
                <w:rFonts w:cs="Arial"/>
                <w:b/>
                <w:szCs w:val="24"/>
              </w:rPr>
              <w:t>18</w:t>
            </w:r>
          </w:p>
        </w:tc>
      </w:tr>
      <w:tr w:rsidR="009224B4" w14:paraId="08F88B21" w14:textId="77777777" w:rsidTr="005774A8">
        <w:tc>
          <w:tcPr>
            <w:tcW w:w="1838" w:type="dxa"/>
            <w:tcBorders>
              <w:top w:val="single" w:sz="4" w:space="0" w:color="auto"/>
              <w:left w:val="single" w:sz="4" w:space="0" w:color="auto"/>
              <w:bottom w:val="single" w:sz="4" w:space="0" w:color="auto"/>
              <w:right w:val="single" w:sz="4" w:space="0" w:color="auto"/>
            </w:tcBorders>
            <w:hideMark/>
          </w:tcPr>
          <w:p w14:paraId="687AB550" w14:textId="77777777" w:rsidR="009224B4" w:rsidRDefault="009224B4" w:rsidP="005774A8">
            <w:pPr>
              <w:rPr>
                <w:rFonts w:cs="Arial"/>
                <w:szCs w:val="24"/>
              </w:rPr>
            </w:pPr>
            <w:r>
              <w:rPr>
                <w:rFonts w:cs="Arial"/>
                <w:szCs w:val="24"/>
              </w:rPr>
              <w:t>Calls Answered</w:t>
            </w:r>
          </w:p>
        </w:tc>
        <w:tc>
          <w:tcPr>
            <w:tcW w:w="1276" w:type="dxa"/>
            <w:tcBorders>
              <w:top w:val="single" w:sz="4" w:space="0" w:color="auto"/>
              <w:left w:val="single" w:sz="4" w:space="0" w:color="auto"/>
              <w:bottom w:val="single" w:sz="4" w:space="0" w:color="auto"/>
              <w:right w:val="single" w:sz="4" w:space="0" w:color="auto"/>
            </w:tcBorders>
            <w:hideMark/>
          </w:tcPr>
          <w:p w14:paraId="468AB5A6" w14:textId="77777777" w:rsidR="009224B4" w:rsidRDefault="009224B4" w:rsidP="005774A8">
            <w:pPr>
              <w:jc w:val="center"/>
              <w:rPr>
                <w:rFonts w:cs="Arial"/>
                <w:szCs w:val="24"/>
              </w:rPr>
            </w:pPr>
            <w:r>
              <w:rPr>
                <w:rFonts w:cs="Arial"/>
                <w:szCs w:val="24"/>
              </w:rPr>
              <w:t>34308</w:t>
            </w:r>
          </w:p>
        </w:tc>
        <w:tc>
          <w:tcPr>
            <w:tcW w:w="1276" w:type="dxa"/>
            <w:tcBorders>
              <w:top w:val="single" w:sz="4" w:space="0" w:color="auto"/>
              <w:left w:val="single" w:sz="4" w:space="0" w:color="auto"/>
              <w:bottom w:val="single" w:sz="4" w:space="0" w:color="auto"/>
              <w:right w:val="single" w:sz="4" w:space="0" w:color="auto"/>
            </w:tcBorders>
            <w:hideMark/>
          </w:tcPr>
          <w:p w14:paraId="5267773F" w14:textId="77777777" w:rsidR="009224B4" w:rsidRDefault="009224B4" w:rsidP="005774A8">
            <w:pPr>
              <w:jc w:val="center"/>
              <w:rPr>
                <w:rFonts w:cs="Arial"/>
                <w:szCs w:val="24"/>
              </w:rPr>
            </w:pPr>
            <w:r>
              <w:rPr>
                <w:rFonts w:cs="Arial"/>
                <w:szCs w:val="24"/>
              </w:rPr>
              <w:t>32249</w:t>
            </w:r>
          </w:p>
        </w:tc>
        <w:tc>
          <w:tcPr>
            <w:tcW w:w="1417" w:type="dxa"/>
            <w:tcBorders>
              <w:top w:val="single" w:sz="4" w:space="0" w:color="auto"/>
              <w:left w:val="single" w:sz="4" w:space="0" w:color="auto"/>
              <w:bottom w:val="single" w:sz="4" w:space="0" w:color="auto"/>
              <w:right w:val="single" w:sz="4" w:space="0" w:color="auto"/>
            </w:tcBorders>
            <w:hideMark/>
          </w:tcPr>
          <w:p w14:paraId="665692D6" w14:textId="77777777" w:rsidR="009224B4" w:rsidRDefault="009224B4" w:rsidP="005774A8">
            <w:pPr>
              <w:jc w:val="center"/>
              <w:rPr>
                <w:rFonts w:cs="Arial"/>
                <w:szCs w:val="24"/>
              </w:rPr>
            </w:pPr>
            <w:r>
              <w:rPr>
                <w:rFonts w:cs="Arial"/>
                <w:szCs w:val="24"/>
              </w:rPr>
              <w:t>31520</w:t>
            </w:r>
          </w:p>
        </w:tc>
        <w:tc>
          <w:tcPr>
            <w:tcW w:w="1134" w:type="dxa"/>
            <w:tcBorders>
              <w:top w:val="single" w:sz="4" w:space="0" w:color="auto"/>
              <w:left w:val="single" w:sz="4" w:space="0" w:color="auto"/>
              <w:bottom w:val="single" w:sz="4" w:space="0" w:color="auto"/>
              <w:right w:val="single" w:sz="4" w:space="0" w:color="auto"/>
            </w:tcBorders>
          </w:tcPr>
          <w:p w14:paraId="224C0B9D" w14:textId="77777777" w:rsidR="009224B4" w:rsidRDefault="009224B4" w:rsidP="005774A8">
            <w:pPr>
              <w:jc w:val="center"/>
              <w:rPr>
                <w:rFonts w:cs="Arial"/>
                <w:szCs w:val="24"/>
              </w:rPr>
            </w:pPr>
            <w:r>
              <w:rPr>
                <w:rFonts w:cs="Arial"/>
                <w:szCs w:val="24"/>
              </w:rPr>
              <w:t>31938</w:t>
            </w:r>
          </w:p>
        </w:tc>
        <w:tc>
          <w:tcPr>
            <w:tcW w:w="1134" w:type="dxa"/>
            <w:tcBorders>
              <w:top w:val="single" w:sz="4" w:space="0" w:color="auto"/>
              <w:left w:val="single" w:sz="4" w:space="0" w:color="auto"/>
              <w:bottom w:val="single" w:sz="4" w:space="0" w:color="auto"/>
              <w:right w:val="single" w:sz="4" w:space="0" w:color="auto"/>
            </w:tcBorders>
          </w:tcPr>
          <w:p w14:paraId="5A6640C7" w14:textId="77777777" w:rsidR="009224B4" w:rsidRDefault="009224B4" w:rsidP="005774A8">
            <w:pPr>
              <w:jc w:val="center"/>
              <w:rPr>
                <w:rFonts w:cs="Arial"/>
                <w:szCs w:val="24"/>
              </w:rPr>
            </w:pPr>
            <w:r>
              <w:rPr>
                <w:rFonts w:cs="Arial"/>
                <w:szCs w:val="24"/>
              </w:rPr>
              <w:t>27744</w:t>
            </w:r>
          </w:p>
        </w:tc>
        <w:tc>
          <w:tcPr>
            <w:tcW w:w="1276" w:type="dxa"/>
            <w:tcBorders>
              <w:top w:val="single" w:sz="4" w:space="0" w:color="auto"/>
              <w:left w:val="single" w:sz="4" w:space="0" w:color="auto"/>
              <w:bottom w:val="single" w:sz="4" w:space="0" w:color="auto"/>
              <w:right w:val="single" w:sz="4" w:space="0" w:color="auto"/>
            </w:tcBorders>
          </w:tcPr>
          <w:p w14:paraId="1FCFFBB8" w14:textId="77777777" w:rsidR="009224B4" w:rsidRDefault="009224B4" w:rsidP="005774A8">
            <w:pPr>
              <w:jc w:val="center"/>
              <w:rPr>
                <w:rFonts w:cs="Arial"/>
                <w:szCs w:val="24"/>
              </w:rPr>
            </w:pPr>
            <w:r>
              <w:rPr>
                <w:rFonts w:cs="Arial"/>
                <w:szCs w:val="24"/>
              </w:rPr>
              <w:t>31916</w:t>
            </w:r>
          </w:p>
        </w:tc>
      </w:tr>
      <w:tr w:rsidR="009224B4" w14:paraId="0CAE3DED" w14:textId="77777777" w:rsidTr="005774A8">
        <w:tc>
          <w:tcPr>
            <w:tcW w:w="1838" w:type="dxa"/>
            <w:tcBorders>
              <w:top w:val="single" w:sz="4" w:space="0" w:color="auto"/>
              <w:left w:val="single" w:sz="4" w:space="0" w:color="auto"/>
              <w:bottom w:val="single" w:sz="4" w:space="0" w:color="auto"/>
              <w:right w:val="single" w:sz="4" w:space="0" w:color="auto"/>
            </w:tcBorders>
            <w:hideMark/>
          </w:tcPr>
          <w:p w14:paraId="41FE16D4" w14:textId="77777777" w:rsidR="009224B4" w:rsidRDefault="009224B4" w:rsidP="005774A8">
            <w:pPr>
              <w:rPr>
                <w:rFonts w:cs="Arial"/>
                <w:szCs w:val="24"/>
              </w:rPr>
            </w:pPr>
            <w:r>
              <w:rPr>
                <w:rFonts w:cs="Arial"/>
                <w:szCs w:val="24"/>
              </w:rPr>
              <w:t>Calls answered %</w:t>
            </w:r>
          </w:p>
        </w:tc>
        <w:tc>
          <w:tcPr>
            <w:tcW w:w="1276" w:type="dxa"/>
            <w:tcBorders>
              <w:top w:val="single" w:sz="4" w:space="0" w:color="auto"/>
              <w:left w:val="single" w:sz="4" w:space="0" w:color="auto"/>
              <w:bottom w:val="single" w:sz="4" w:space="0" w:color="auto"/>
              <w:right w:val="single" w:sz="4" w:space="0" w:color="auto"/>
            </w:tcBorders>
            <w:hideMark/>
          </w:tcPr>
          <w:p w14:paraId="4BBE9270" w14:textId="77777777" w:rsidR="009224B4" w:rsidRDefault="009224B4" w:rsidP="005774A8">
            <w:pPr>
              <w:jc w:val="center"/>
              <w:rPr>
                <w:rFonts w:cs="Arial"/>
                <w:szCs w:val="24"/>
              </w:rPr>
            </w:pPr>
            <w:r>
              <w:rPr>
                <w:rFonts w:cs="Arial"/>
                <w:szCs w:val="24"/>
              </w:rPr>
              <w:t>97.4%</w:t>
            </w:r>
          </w:p>
        </w:tc>
        <w:tc>
          <w:tcPr>
            <w:tcW w:w="1276" w:type="dxa"/>
            <w:tcBorders>
              <w:top w:val="single" w:sz="4" w:space="0" w:color="auto"/>
              <w:left w:val="single" w:sz="4" w:space="0" w:color="auto"/>
              <w:bottom w:val="single" w:sz="4" w:space="0" w:color="auto"/>
              <w:right w:val="single" w:sz="4" w:space="0" w:color="auto"/>
            </w:tcBorders>
            <w:hideMark/>
          </w:tcPr>
          <w:p w14:paraId="6904C134" w14:textId="77777777" w:rsidR="009224B4" w:rsidRDefault="009224B4" w:rsidP="005774A8">
            <w:pPr>
              <w:jc w:val="center"/>
              <w:rPr>
                <w:rFonts w:cs="Arial"/>
                <w:szCs w:val="24"/>
              </w:rPr>
            </w:pPr>
            <w:r>
              <w:rPr>
                <w:rFonts w:cs="Arial"/>
                <w:szCs w:val="24"/>
              </w:rPr>
              <w:t>98.3%</w:t>
            </w:r>
          </w:p>
        </w:tc>
        <w:tc>
          <w:tcPr>
            <w:tcW w:w="1417" w:type="dxa"/>
            <w:tcBorders>
              <w:top w:val="single" w:sz="4" w:space="0" w:color="auto"/>
              <w:left w:val="single" w:sz="4" w:space="0" w:color="auto"/>
              <w:bottom w:val="single" w:sz="4" w:space="0" w:color="auto"/>
              <w:right w:val="single" w:sz="4" w:space="0" w:color="auto"/>
            </w:tcBorders>
            <w:hideMark/>
          </w:tcPr>
          <w:p w14:paraId="7674E505" w14:textId="77777777" w:rsidR="009224B4" w:rsidRDefault="009224B4" w:rsidP="005774A8">
            <w:pPr>
              <w:jc w:val="center"/>
              <w:rPr>
                <w:rFonts w:cs="Arial"/>
                <w:szCs w:val="24"/>
              </w:rPr>
            </w:pPr>
            <w:r>
              <w:rPr>
                <w:rFonts w:cs="Arial"/>
                <w:szCs w:val="24"/>
              </w:rPr>
              <w:t>97.2%</w:t>
            </w:r>
          </w:p>
        </w:tc>
        <w:tc>
          <w:tcPr>
            <w:tcW w:w="1134" w:type="dxa"/>
            <w:tcBorders>
              <w:top w:val="single" w:sz="4" w:space="0" w:color="auto"/>
              <w:left w:val="single" w:sz="4" w:space="0" w:color="auto"/>
              <w:bottom w:val="single" w:sz="4" w:space="0" w:color="auto"/>
              <w:right w:val="single" w:sz="4" w:space="0" w:color="auto"/>
            </w:tcBorders>
          </w:tcPr>
          <w:p w14:paraId="7D82D7B1" w14:textId="77777777" w:rsidR="009224B4" w:rsidRDefault="009224B4" w:rsidP="005774A8">
            <w:pPr>
              <w:jc w:val="center"/>
              <w:rPr>
                <w:rFonts w:cs="Arial"/>
                <w:szCs w:val="24"/>
              </w:rPr>
            </w:pPr>
            <w:r>
              <w:rPr>
                <w:rFonts w:cs="Arial"/>
                <w:szCs w:val="24"/>
              </w:rPr>
              <w:t>97.5%</w:t>
            </w:r>
          </w:p>
        </w:tc>
        <w:tc>
          <w:tcPr>
            <w:tcW w:w="1134" w:type="dxa"/>
            <w:tcBorders>
              <w:top w:val="single" w:sz="4" w:space="0" w:color="auto"/>
              <w:left w:val="single" w:sz="4" w:space="0" w:color="auto"/>
              <w:bottom w:val="single" w:sz="4" w:space="0" w:color="auto"/>
              <w:right w:val="single" w:sz="4" w:space="0" w:color="auto"/>
            </w:tcBorders>
          </w:tcPr>
          <w:p w14:paraId="1F998A47" w14:textId="77777777" w:rsidR="009224B4" w:rsidRDefault="009224B4" w:rsidP="005774A8">
            <w:pPr>
              <w:jc w:val="center"/>
              <w:rPr>
                <w:rFonts w:cs="Arial"/>
                <w:szCs w:val="24"/>
              </w:rPr>
            </w:pPr>
            <w:r>
              <w:rPr>
                <w:rFonts w:cs="Arial"/>
                <w:szCs w:val="24"/>
              </w:rPr>
              <w:t>96.3%</w:t>
            </w:r>
          </w:p>
        </w:tc>
        <w:tc>
          <w:tcPr>
            <w:tcW w:w="1276" w:type="dxa"/>
            <w:tcBorders>
              <w:top w:val="single" w:sz="4" w:space="0" w:color="auto"/>
              <w:left w:val="single" w:sz="4" w:space="0" w:color="auto"/>
              <w:bottom w:val="single" w:sz="4" w:space="0" w:color="auto"/>
              <w:right w:val="single" w:sz="4" w:space="0" w:color="auto"/>
            </w:tcBorders>
          </w:tcPr>
          <w:p w14:paraId="605A8BB3" w14:textId="77777777" w:rsidR="009224B4" w:rsidRDefault="009224B4" w:rsidP="005774A8">
            <w:pPr>
              <w:jc w:val="center"/>
              <w:rPr>
                <w:rFonts w:cs="Arial"/>
                <w:szCs w:val="24"/>
              </w:rPr>
            </w:pPr>
            <w:r>
              <w:rPr>
                <w:rFonts w:cs="Arial"/>
                <w:szCs w:val="24"/>
              </w:rPr>
              <w:t>96.3%</w:t>
            </w:r>
          </w:p>
        </w:tc>
      </w:tr>
      <w:tr w:rsidR="009224B4" w14:paraId="422DEE85" w14:textId="77777777" w:rsidTr="005774A8">
        <w:tc>
          <w:tcPr>
            <w:tcW w:w="1838" w:type="dxa"/>
            <w:tcBorders>
              <w:top w:val="single" w:sz="4" w:space="0" w:color="auto"/>
              <w:left w:val="single" w:sz="4" w:space="0" w:color="auto"/>
              <w:bottom w:val="single" w:sz="4" w:space="0" w:color="auto"/>
              <w:right w:val="single" w:sz="4" w:space="0" w:color="auto"/>
            </w:tcBorders>
            <w:hideMark/>
          </w:tcPr>
          <w:p w14:paraId="138A7628" w14:textId="77777777" w:rsidR="009224B4" w:rsidRDefault="009224B4" w:rsidP="005774A8">
            <w:pPr>
              <w:rPr>
                <w:rFonts w:cs="Arial"/>
                <w:szCs w:val="24"/>
              </w:rPr>
            </w:pPr>
            <w:r>
              <w:rPr>
                <w:rFonts w:cs="Arial"/>
                <w:szCs w:val="24"/>
              </w:rPr>
              <w:t>Average handling time</w:t>
            </w:r>
          </w:p>
          <w:p w14:paraId="41E393D4" w14:textId="77777777" w:rsidR="00F230D4" w:rsidRDefault="009224B4" w:rsidP="005774A8">
            <w:pPr>
              <w:rPr>
                <w:rFonts w:cs="Arial"/>
                <w:szCs w:val="24"/>
              </w:rPr>
            </w:pPr>
            <w:r>
              <w:rPr>
                <w:rFonts w:cs="Arial"/>
                <w:szCs w:val="24"/>
              </w:rPr>
              <w:t>(seconds)</w:t>
            </w:r>
          </w:p>
        </w:tc>
        <w:tc>
          <w:tcPr>
            <w:tcW w:w="1276" w:type="dxa"/>
            <w:tcBorders>
              <w:top w:val="single" w:sz="4" w:space="0" w:color="auto"/>
              <w:left w:val="single" w:sz="4" w:space="0" w:color="auto"/>
              <w:bottom w:val="single" w:sz="4" w:space="0" w:color="auto"/>
              <w:right w:val="single" w:sz="4" w:space="0" w:color="auto"/>
            </w:tcBorders>
            <w:hideMark/>
          </w:tcPr>
          <w:p w14:paraId="52AB07CD" w14:textId="77777777" w:rsidR="009224B4" w:rsidRDefault="009224B4" w:rsidP="005774A8">
            <w:pPr>
              <w:jc w:val="center"/>
              <w:rPr>
                <w:rFonts w:cs="Arial"/>
                <w:szCs w:val="24"/>
              </w:rPr>
            </w:pPr>
            <w:r>
              <w:rPr>
                <w:rFonts w:cs="Arial"/>
                <w:szCs w:val="24"/>
              </w:rPr>
              <w:t>363</w:t>
            </w:r>
          </w:p>
        </w:tc>
        <w:tc>
          <w:tcPr>
            <w:tcW w:w="1276" w:type="dxa"/>
            <w:tcBorders>
              <w:top w:val="single" w:sz="4" w:space="0" w:color="auto"/>
              <w:left w:val="single" w:sz="4" w:space="0" w:color="auto"/>
              <w:bottom w:val="single" w:sz="4" w:space="0" w:color="auto"/>
              <w:right w:val="single" w:sz="4" w:space="0" w:color="auto"/>
            </w:tcBorders>
            <w:hideMark/>
          </w:tcPr>
          <w:p w14:paraId="065730DF" w14:textId="77777777" w:rsidR="009224B4" w:rsidRDefault="009224B4" w:rsidP="005774A8">
            <w:pPr>
              <w:jc w:val="center"/>
              <w:rPr>
                <w:rFonts w:cs="Arial"/>
                <w:szCs w:val="24"/>
              </w:rPr>
            </w:pPr>
            <w:r>
              <w:rPr>
                <w:rFonts w:cs="Arial"/>
                <w:szCs w:val="24"/>
              </w:rPr>
              <w:t>360</w:t>
            </w:r>
          </w:p>
        </w:tc>
        <w:tc>
          <w:tcPr>
            <w:tcW w:w="1417" w:type="dxa"/>
            <w:tcBorders>
              <w:top w:val="single" w:sz="4" w:space="0" w:color="auto"/>
              <w:left w:val="single" w:sz="4" w:space="0" w:color="auto"/>
              <w:bottom w:val="single" w:sz="4" w:space="0" w:color="auto"/>
              <w:right w:val="single" w:sz="4" w:space="0" w:color="auto"/>
            </w:tcBorders>
            <w:hideMark/>
          </w:tcPr>
          <w:p w14:paraId="59FA95FB" w14:textId="77777777" w:rsidR="009224B4" w:rsidRDefault="009224B4" w:rsidP="005774A8">
            <w:pPr>
              <w:jc w:val="center"/>
              <w:rPr>
                <w:rFonts w:cs="Arial"/>
                <w:szCs w:val="24"/>
              </w:rPr>
            </w:pPr>
            <w:r>
              <w:rPr>
                <w:rFonts w:cs="Arial"/>
                <w:szCs w:val="24"/>
              </w:rPr>
              <w:t>360</w:t>
            </w:r>
          </w:p>
        </w:tc>
        <w:tc>
          <w:tcPr>
            <w:tcW w:w="1134" w:type="dxa"/>
            <w:tcBorders>
              <w:top w:val="single" w:sz="4" w:space="0" w:color="auto"/>
              <w:left w:val="single" w:sz="4" w:space="0" w:color="auto"/>
              <w:bottom w:val="single" w:sz="4" w:space="0" w:color="auto"/>
              <w:right w:val="single" w:sz="4" w:space="0" w:color="auto"/>
            </w:tcBorders>
          </w:tcPr>
          <w:p w14:paraId="7D589625" w14:textId="77777777" w:rsidR="009224B4" w:rsidRDefault="009224B4" w:rsidP="005774A8">
            <w:pPr>
              <w:jc w:val="center"/>
              <w:rPr>
                <w:rFonts w:cs="Arial"/>
                <w:szCs w:val="24"/>
              </w:rPr>
            </w:pPr>
            <w:r>
              <w:rPr>
                <w:rFonts w:cs="Arial"/>
                <w:szCs w:val="24"/>
              </w:rPr>
              <w:t>373</w:t>
            </w:r>
          </w:p>
        </w:tc>
        <w:tc>
          <w:tcPr>
            <w:tcW w:w="1134" w:type="dxa"/>
            <w:tcBorders>
              <w:top w:val="single" w:sz="4" w:space="0" w:color="auto"/>
              <w:left w:val="single" w:sz="4" w:space="0" w:color="auto"/>
              <w:bottom w:val="single" w:sz="4" w:space="0" w:color="auto"/>
              <w:right w:val="single" w:sz="4" w:space="0" w:color="auto"/>
            </w:tcBorders>
          </w:tcPr>
          <w:p w14:paraId="4A851316" w14:textId="77777777" w:rsidR="009224B4" w:rsidRDefault="009224B4" w:rsidP="005774A8">
            <w:pPr>
              <w:jc w:val="center"/>
              <w:rPr>
                <w:rFonts w:cs="Arial"/>
                <w:szCs w:val="24"/>
              </w:rPr>
            </w:pPr>
            <w:r>
              <w:rPr>
                <w:rFonts w:cs="Arial"/>
                <w:szCs w:val="24"/>
              </w:rPr>
              <w:t>374</w:t>
            </w:r>
          </w:p>
        </w:tc>
        <w:tc>
          <w:tcPr>
            <w:tcW w:w="1276" w:type="dxa"/>
            <w:tcBorders>
              <w:top w:val="single" w:sz="4" w:space="0" w:color="auto"/>
              <w:left w:val="single" w:sz="4" w:space="0" w:color="auto"/>
              <w:bottom w:val="single" w:sz="4" w:space="0" w:color="auto"/>
              <w:right w:val="single" w:sz="4" w:space="0" w:color="auto"/>
            </w:tcBorders>
          </w:tcPr>
          <w:p w14:paraId="6E3A0064" w14:textId="77777777" w:rsidR="009224B4" w:rsidRDefault="009224B4" w:rsidP="005774A8">
            <w:pPr>
              <w:jc w:val="center"/>
              <w:rPr>
                <w:rFonts w:cs="Arial"/>
                <w:szCs w:val="24"/>
              </w:rPr>
            </w:pPr>
            <w:r>
              <w:rPr>
                <w:rFonts w:cs="Arial"/>
                <w:szCs w:val="24"/>
              </w:rPr>
              <w:t>371</w:t>
            </w:r>
          </w:p>
        </w:tc>
      </w:tr>
      <w:tr w:rsidR="009224B4" w14:paraId="44924C51" w14:textId="77777777" w:rsidTr="005774A8">
        <w:tc>
          <w:tcPr>
            <w:tcW w:w="1838" w:type="dxa"/>
            <w:tcBorders>
              <w:top w:val="single" w:sz="4" w:space="0" w:color="auto"/>
              <w:left w:val="single" w:sz="4" w:space="0" w:color="auto"/>
              <w:bottom w:val="single" w:sz="4" w:space="0" w:color="auto"/>
              <w:right w:val="single" w:sz="4" w:space="0" w:color="auto"/>
            </w:tcBorders>
            <w:hideMark/>
          </w:tcPr>
          <w:p w14:paraId="77243742" w14:textId="77777777" w:rsidR="009224B4" w:rsidRDefault="009224B4" w:rsidP="005774A8">
            <w:pPr>
              <w:rPr>
                <w:rFonts w:cs="Arial"/>
                <w:szCs w:val="24"/>
              </w:rPr>
            </w:pPr>
            <w:r>
              <w:rPr>
                <w:rFonts w:cs="Arial"/>
                <w:szCs w:val="24"/>
              </w:rPr>
              <w:t>Average queue time</w:t>
            </w:r>
          </w:p>
          <w:p w14:paraId="4368E21A" w14:textId="77777777" w:rsidR="009224B4" w:rsidRDefault="009224B4" w:rsidP="005774A8">
            <w:pPr>
              <w:rPr>
                <w:rFonts w:cs="Arial"/>
                <w:szCs w:val="24"/>
              </w:rPr>
            </w:pPr>
            <w:r>
              <w:rPr>
                <w:rFonts w:cs="Arial"/>
                <w:szCs w:val="24"/>
              </w:rPr>
              <w:t>(seconds)</w:t>
            </w:r>
          </w:p>
        </w:tc>
        <w:tc>
          <w:tcPr>
            <w:tcW w:w="1276" w:type="dxa"/>
            <w:tcBorders>
              <w:top w:val="single" w:sz="4" w:space="0" w:color="auto"/>
              <w:left w:val="single" w:sz="4" w:space="0" w:color="auto"/>
              <w:bottom w:val="single" w:sz="4" w:space="0" w:color="auto"/>
              <w:right w:val="single" w:sz="4" w:space="0" w:color="auto"/>
            </w:tcBorders>
            <w:hideMark/>
          </w:tcPr>
          <w:p w14:paraId="29B6D47E" w14:textId="77777777" w:rsidR="009224B4" w:rsidRDefault="009224B4" w:rsidP="005774A8">
            <w:pPr>
              <w:jc w:val="center"/>
              <w:rPr>
                <w:rFonts w:cs="Arial"/>
                <w:szCs w:val="24"/>
              </w:rPr>
            </w:pPr>
            <w:r>
              <w:rPr>
                <w:rFonts w:cs="Arial"/>
                <w:szCs w:val="24"/>
              </w:rPr>
              <w:t>36</w:t>
            </w:r>
          </w:p>
        </w:tc>
        <w:tc>
          <w:tcPr>
            <w:tcW w:w="1276" w:type="dxa"/>
            <w:tcBorders>
              <w:top w:val="single" w:sz="4" w:space="0" w:color="auto"/>
              <w:left w:val="single" w:sz="4" w:space="0" w:color="auto"/>
              <w:bottom w:val="single" w:sz="4" w:space="0" w:color="auto"/>
              <w:right w:val="single" w:sz="4" w:space="0" w:color="auto"/>
            </w:tcBorders>
            <w:hideMark/>
          </w:tcPr>
          <w:p w14:paraId="66029F77" w14:textId="77777777" w:rsidR="009224B4" w:rsidRDefault="009224B4" w:rsidP="005774A8">
            <w:pPr>
              <w:jc w:val="center"/>
              <w:rPr>
                <w:rFonts w:cs="Arial"/>
                <w:szCs w:val="24"/>
              </w:rPr>
            </w:pPr>
            <w:r>
              <w:rPr>
                <w:rFonts w:cs="Arial"/>
                <w:szCs w:val="24"/>
              </w:rPr>
              <w:t>22</w:t>
            </w:r>
          </w:p>
        </w:tc>
        <w:tc>
          <w:tcPr>
            <w:tcW w:w="1417" w:type="dxa"/>
            <w:tcBorders>
              <w:top w:val="single" w:sz="4" w:space="0" w:color="auto"/>
              <w:left w:val="single" w:sz="4" w:space="0" w:color="auto"/>
              <w:bottom w:val="single" w:sz="4" w:space="0" w:color="auto"/>
              <w:right w:val="single" w:sz="4" w:space="0" w:color="auto"/>
            </w:tcBorders>
            <w:hideMark/>
          </w:tcPr>
          <w:p w14:paraId="0DAC9331" w14:textId="77777777" w:rsidR="009224B4" w:rsidRPr="001E6AF1" w:rsidRDefault="009224B4" w:rsidP="005774A8">
            <w:pPr>
              <w:jc w:val="center"/>
              <w:rPr>
                <w:rFonts w:cs="Arial"/>
                <w:szCs w:val="24"/>
              </w:rPr>
            </w:pPr>
            <w:r w:rsidRPr="001E6AF1">
              <w:rPr>
                <w:rFonts w:cs="Arial"/>
                <w:szCs w:val="24"/>
              </w:rPr>
              <w:t>11</w:t>
            </w:r>
          </w:p>
          <w:p w14:paraId="3097750D" w14:textId="77777777" w:rsidR="009224B4" w:rsidRDefault="009224B4" w:rsidP="005774A8">
            <w:pPr>
              <w:jc w:val="center"/>
              <w:rPr>
                <w:rFonts w:cs="Arial"/>
                <w:szCs w:val="24"/>
              </w:rPr>
            </w:pPr>
          </w:p>
        </w:tc>
        <w:tc>
          <w:tcPr>
            <w:tcW w:w="1134" w:type="dxa"/>
            <w:tcBorders>
              <w:top w:val="single" w:sz="4" w:space="0" w:color="auto"/>
              <w:left w:val="single" w:sz="4" w:space="0" w:color="auto"/>
              <w:bottom w:val="single" w:sz="4" w:space="0" w:color="auto"/>
              <w:right w:val="single" w:sz="4" w:space="0" w:color="auto"/>
            </w:tcBorders>
          </w:tcPr>
          <w:p w14:paraId="3D723AAE" w14:textId="77777777" w:rsidR="009224B4" w:rsidRDefault="009224B4" w:rsidP="005774A8">
            <w:pPr>
              <w:jc w:val="center"/>
              <w:rPr>
                <w:rFonts w:cs="Arial"/>
                <w:szCs w:val="24"/>
              </w:rPr>
            </w:pPr>
            <w:r>
              <w:rPr>
                <w:rFonts w:cs="Arial"/>
                <w:szCs w:val="24"/>
              </w:rPr>
              <w:t>11</w:t>
            </w:r>
          </w:p>
        </w:tc>
        <w:tc>
          <w:tcPr>
            <w:tcW w:w="1134" w:type="dxa"/>
            <w:tcBorders>
              <w:top w:val="single" w:sz="4" w:space="0" w:color="auto"/>
              <w:left w:val="single" w:sz="4" w:space="0" w:color="auto"/>
              <w:bottom w:val="single" w:sz="4" w:space="0" w:color="auto"/>
              <w:right w:val="single" w:sz="4" w:space="0" w:color="auto"/>
            </w:tcBorders>
          </w:tcPr>
          <w:p w14:paraId="6241FF93" w14:textId="77777777" w:rsidR="009224B4" w:rsidRDefault="009224B4" w:rsidP="005774A8">
            <w:pPr>
              <w:jc w:val="center"/>
              <w:rPr>
                <w:rFonts w:cs="Arial"/>
                <w:szCs w:val="24"/>
              </w:rPr>
            </w:pPr>
            <w:r>
              <w:rPr>
                <w:rFonts w:cs="Arial"/>
                <w:szCs w:val="24"/>
              </w:rPr>
              <w:t>15</w:t>
            </w:r>
          </w:p>
        </w:tc>
        <w:tc>
          <w:tcPr>
            <w:tcW w:w="1276" w:type="dxa"/>
            <w:tcBorders>
              <w:top w:val="single" w:sz="4" w:space="0" w:color="auto"/>
              <w:left w:val="single" w:sz="4" w:space="0" w:color="auto"/>
              <w:bottom w:val="single" w:sz="4" w:space="0" w:color="auto"/>
              <w:right w:val="single" w:sz="4" w:space="0" w:color="auto"/>
            </w:tcBorders>
          </w:tcPr>
          <w:p w14:paraId="18F6867E" w14:textId="77777777" w:rsidR="009224B4" w:rsidRDefault="009224B4" w:rsidP="005774A8">
            <w:pPr>
              <w:jc w:val="center"/>
              <w:rPr>
                <w:rFonts w:cs="Arial"/>
                <w:szCs w:val="24"/>
              </w:rPr>
            </w:pPr>
            <w:r>
              <w:rPr>
                <w:rFonts w:cs="Arial"/>
                <w:szCs w:val="24"/>
              </w:rPr>
              <w:t>12</w:t>
            </w:r>
          </w:p>
        </w:tc>
      </w:tr>
      <w:tr w:rsidR="009224B4" w14:paraId="0E5A11FB" w14:textId="77777777" w:rsidTr="005774A8">
        <w:tc>
          <w:tcPr>
            <w:tcW w:w="1838" w:type="dxa"/>
            <w:tcBorders>
              <w:top w:val="single" w:sz="4" w:space="0" w:color="auto"/>
              <w:left w:val="single" w:sz="4" w:space="0" w:color="auto"/>
              <w:bottom w:val="single" w:sz="4" w:space="0" w:color="auto"/>
              <w:right w:val="single" w:sz="4" w:space="0" w:color="auto"/>
            </w:tcBorders>
            <w:hideMark/>
          </w:tcPr>
          <w:p w14:paraId="3B869046" w14:textId="77777777" w:rsidR="009224B4" w:rsidRDefault="009224B4" w:rsidP="005774A8">
            <w:pPr>
              <w:rPr>
                <w:rFonts w:cs="Arial"/>
                <w:szCs w:val="24"/>
              </w:rPr>
            </w:pPr>
            <w:r>
              <w:rPr>
                <w:rFonts w:cs="Arial"/>
                <w:szCs w:val="24"/>
              </w:rPr>
              <w:t>Average speed of answer</w:t>
            </w:r>
          </w:p>
          <w:p w14:paraId="3459A6E5" w14:textId="77777777" w:rsidR="009224B4" w:rsidRDefault="009224B4" w:rsidP="005774A8">
            <w:pPr>
              <w:rPr>
                <w:rFonts w:cs="Arial"/>
                <w:szCs w:val="24"/>
              </w:rPr>
            </w:pPr>
            <w:r>
              <w:rPr>
                <w:rFonts w:cs="Arial"/>
                <w:szCs w:val="24"/>
              </w:rPr>
              <w:t xml:space="preserve">(seconds) </w:t>
            </w:r>
          </w:p>
        </w:tc>
        <w:tc>
          <w:tcPr>
            <w:tcW w:w="1276" w:type="dxa"/>
            <w:tcBorders>
              <w:top w:val="single" w:sz="4" w:space="0" w:color="auto"/>
              <w:left w:val="single" w:sz="4" w:space="0" w:color="auto"/>
              <w:bottom w:val="single" w:sz="4" w:space="0" w:color="auto"/>
              <w:right w:val="single" w:sz="4" w:space="0" w:color="auto"/>
            </w:tcBorders>
            <w:hideMark/>
          </w:tcPr>
          <w:p w14:paraId="6E647462" w14:textId="77777777" w:rsidR="009224B4" w:rsidRDefault="009224B4" w:rsidP="005774A8">
            <w:pPr>
              <w:jc w:val="center"/>
              <w:rPr>
                <w:rFonts w:cs="Arial"/>
                <w:szCs w:val="24"/>
              </w:rPr>
            </w:pPr>
            <w:r>
              <w:rPr>
                <w:rFonts w:cs="Arial"/>
                <w:szCs w:val="24"/>
              </w:rPr>
              <w:t>37</w:t>
            </w:r>
          </w:p>
        </w:tc>
        <w:tc>
          <w:tcPr>
            <w:tcW w:w="1276" w:type="dxa"/>
            <w:tcBorders>
              <w:top w:val="single" w:sz="4" w:space="0" w:color="auto"/>
              <w:left w:val="single" w:sz="4" w:space="0" w:color="auto"/>
              <w:bottom w:val="single" w:sz="4" w:space="0" w:color="auto"/>
              <w:right w:val="single" w:sz="4" w:space="0" w:color="auto"/>
            </w:tcBorders>
            <w:hideMark/>
          </w:tcPr>
          <w:p w14:paraId="1ED1C199" w14:textId="77777777" w:rsidR="009224B4" w:rsidRDefault="009224B4" w:rsidP="005774A8">
            <w:pPr>
              <w:jc w:val="center"/>
              <w:rPr>
                <w:rFonts w:cs="Arial"/>
                <w:szCs w:val="24"/>
              </w:rPr>
            </w:pPr>
            <w:r>
              <w:rPr>
                <w:rFonts w:cs="Arial"/>
                <w:szCs w:val="24"/>
              </w:rPr>
              <w:t>23</w:t>
            </w:r>
          </w:p>
        </w:tc>
        <w:tc>
          <w:tcPr>
            <w:tcW w:w="1417" w:type="dxa"/>
            <w:tcBorders>
              <w:top w:val="single" w:sz="4" w:space="0" w:color="auto"/>
              <w:left w:val="single" w:sz="4" w:space="0" w:color="auto"/>
              <w:bottom w:val="single" w:sz="4" w:space="0" w:color="auto"/>
              <w:right w:val="single" w:sz="4" w:space="0" w:color="auto"/>
            </w:tcBorders>
            <w:hideMark/>
          </w:tcPr>
          <w:p w14:paraId="6FFCD6EE" w14:textId="77777777" w:rsidR="009224B4" w:rsidRDefault="009224B4" w:rsidP="005774A8">
            <w:pPr>
              <w:jc w:val="center"/>
              <w:rPr>
                <w:rFonts w:cs="Arial"/>
                <w:szCs w:val="24"/>
              </w:rPr>
            </w:pPr>
            <w:r>
              <w:rPr>
                <w:rFonts w:cs="Arial"/>
                <w:szCs w:val="24"/>
              </w:rPr>
              <w:t>31</w:t>
            </w:r>
          </w:p>
          <w:p w14:paraId="51CE6C2F" w14:textId="77777777" w:rsidR="009224B4" w:rsidRDefault="009224B4" w:rsidP="005774A8">
            <w:pPr>
              <w:jc w:val="center"/>
              <w:rPr>
                <w:rFonts w:cs="Arial"/>
                <w:szCs w:val="24"/>
              </w:rPr>
            </w:pPr>
          </w:p>
        </w:tc>
        <w:tc>
          <w:tcPr>
            <w:tcW w:w="1134" w:type="dxa"/>
            <w:tcBorders>
              <w:top w:val="single" w:sz="4" w:space="0" w:color="auto"/>
              <w:left w:val="single" w:sz="4" w:space="0" w:color="auto"/>
              <w:bottom w:val="single" w:sz="4" w:space="0" w:color="auto"/>
              <w:right w:val="single" w:sz="4" w:space="0" w:color="auto"/>
            </w:tcBorders>
          </w:tcPr>
          <w:p w14:paraId="77192D80" w14:textId="77777777" w:rsidR="009224B4" w:rsidRDefault="009224B4" w:rsidP="005774A8">
            <w:pPr>
              <w:jc w:val="center"/>
              <w:rPr>
                <w:rFonts w:cs="Arial"/>
                <w:szCs w:val="24"/>
              </w:rPr>
            </w:pPr>
            <w:r>
              <w:rPr>
                <w:rFonts w:cs="Arial"/>
                <w:szCs w:val="24"/>
              </w:rPr>
              <w:t>31</w:t>
            </w:r>
          </w:p>
        </w:tc>
        <w:tc>
          <w:tcPr>
            <w:tcW w:w="1134" w:type="dxa"/>
            <w:tcBorders>
              <w:top w:val="single" w:sz="4" w:space="0" w:color="auto"/>
              <w:left w:val="single" w:sz="4" w:space="0" w:color="auto"/>
              <w:bottom w:val="single" w:sz="4" w:space="0" w:color="auto"/>
              <w:right w:val="single" w:sz="4" w:space="0" w:color="auto"/>
            </w:tcBorders>
          </w:tcPr>
          <w:p w14:paraId="1BF36CF5" w14:textId="77777777" w:rsidR="009224B4" w:rsidRDefault="009224B4" w:rsidP="005774A8">
            <w:pPr>
              <w:jc w:val="center"/>
              <w:rPr>
                <w:rFonts w:cs="Arial"/>
                <w:szCs w:val="24"/>
              </w:rPr>
            </w:pPr>
            <w:r>
              <w:rPr>
                <w:rFonts w:cs="Arial"/>
                <w:szCs w:val="24"/>
              </w:rPr>
              <w:t>43</w:t>
            </w:r>
          </w:p>
        </w:tc>
        <w:tc>
          <w:tcPr>
            <w:tcW w:w="1276" w:type="dxa"/>
            <w:tcBorders>
              <w:top w:val="single" w:sz="4" w:space="0" w:color="auto"/>
              <w:left w:val="single" w:sz="4" w:space="0" w:color="auto"/>
              <w:bottom w:val="single" w:sz="4" w:space="0" w:color="auto"/>
              <w:right w:val="single" w:sz="4" w:space="0" w:color="auto"/>
            </w:tcBorders>
          </w:tcPr>
          <w:p w14:paraId="64A7A461" w14:textId="77777777" w:rsidR="009224B4" w:rsidRDefault="009224B4" w:rsidP="005774A8">
            <w:pPr>
              <w:jc w:val="center"/>
              <w:rPr>
                <w:rFonts w:cs="Arial"/>
                <w:szCs w:val="24"/>
              </w:rPr>
            </w:pPr>
            <w:r>
              <w:rPr>
                <w:rFonts w:cs="Arial"/>
                <w:szCs w:val="24"/>
              </w:rPr>
              <w:t>40</w:t>
            </w:r>
          </w:p>
        </w:tc>
      </w:tr>
      <w:tr w:rsidR="009224B4" w14:paraId="5952496C" w14:textId="77777777" w:rsidTr="005774A8">
        <w:tc>
          <w:tcPr>
            <w:tcW w:w="1838" w:type="dxa"/>
            <w:tcBorders>
              <w:top w:val="single" w:sz="4" w:space="0" w:color="auto"/>
              <w:left w:val="single" w:sz="4" w:space="0" w:color="auto"/>
              <w:bottom w:val="single" w:sz="4" w:space="0" w:color="auto"/>
              <w:right w:val="single" w:sz="4" w:space="0" w:color="auto"/>
            </w:tcBorders>
            <w:hideMark/>
          </w:tcPr>
          <w:p w14:paraId="30707D83" w14:textId="77777777" w:rsidR="009224B4" w:rsidRDefault="009224B4" w:rsidP="005774A8">
            <w:pPr>
              <w:rPr>
                <w:rFonts w:cs="Arial"/>
                <w:szCs w:val="24"/>
              </w:rPr>
            </w:pPr>
            <w:r>
              <w:rPr>
                <w:rFonts w:cs="Arial"/>
                <w:szCs w:val="24"/>
              </w:rPr>
              <w:t>Telephony complaints</w:t>
            </w:r>
          </w:p>
        </w:tc>
        <w:tc>
          <w:tcPr>
            <w:tcW w:w="1276" w:type="dxa"/>
            <w:tcBorders>
              <w:top w:val="single" w:sz="4" w:space="0" w:color="auto"/>
              <w:left w:val="single" w:sz="4" w:space="0" w:color="auto"/>
              <w:bottom w:val="single" w:sz="4" w:space="0" w:color="auto"/>
              <w:right w:val="single" w:sz="4" w:space="0" w:color="auto"/>
            </w:tcBorders>
            <w:hideMark/>
          </w:tcPr>
          <w:p w14:paraId="668BCE53" w14:textId="77777777" w:rsidR="009224B4" w:rsidRDefault="009224B4" w:rsidP="005774A8">
            <w:pPr>
              <w:jc w:val="center"/>
              <w:rPr>
                <w:rFonts w:cs="Arial"/>
                <w:szCs w:val="24"/>
              </w:rPr>
            </w:pPr>
            <w:r>
              <w:rPr>
                <w:rFonts w:cs="Arial"/>
                <w:szCs w:val="24"/>
              </w:rPr>
              <w:t>16</w:t>
            </w:r>
          </w:p>
        </w:tc>
        <w:tc>
          <w:tcPr>
            <w:tcW w:w="1276" w:type="dxa"/>
            <w:tcBorders>
              <w:top w:val="single" w:sz="4" w:space="0" w:color="auto"/>
              <w:left w:val="single" w:sz="4" w:space="0" w:color="auto"/>
              <w:bottom w:val="single" w:sz="4" w:space="0" w:color="auto"/>
              <w:right w:val="single" w:sz="4" w:space="0" w:color="auto"/>
            </w:tcBorders>
            <w:hideMark/>
          </w:tcPr>
          <w:p w14:paraId="1C7727C9" w14:textId="77777777" w:rsidR="009224B4" w:rsidRDefault="009224B4" w:rsidP="005774A8">
            <w:pPr>
              <w:jc w:val="center"/>
              <w:rPr>
                <w:rFonts w:cs="Arial"/>
                <w:szCs w:val="24"/>
              </w:rPr>
            </w:pPr>
            <w:r>
              <w:rPr>
                <w:rFonts w:cs="Arial"/>
                <w:szCs w:val="24"/>
              </w:rPr>
              <w:t>23</w:t>
            </w:r>
          </w:p>
        </w:tc>
        <w:tc>
          <w:tcPr>
            <w:tcW w:w="1417" w:type="dxa"/>
            <w:tcBorders>
              <w:top w:val="single" w:sz="4" w:space="0" w:color="auto"/>
              <w:left w:val="single" w:sz="4" w:space="0" w:color="auto"/>
              <w:bottom w:val="single" w:sz="4" w:space="0" w:color="auto"/>
              <w:right w:val="single" w:sz="4" w:space="0" w:color="auto"/>
            </w:tcBorders>
            <w:hideMark/>
          </w:tcPr>
          <w:p w14:paraId="223E177F" w14:textId="77777777" w:rsidR="009224B4" w:rsidRDefault="009224B4" w:rsidP="003469AC">
            <w:pPr>
              <w:jc w:val="center"/>
              <w:rPr>
                <w:rFonts w:cs="Arial"/>
                <w:szCs w:val="24"/>
              </w:rPr>
            </w:pPr>
            <w:r>
              <w:rPr>
                <w:rFonts w:cs="Arial"/>
                <w:szCs w:val="24"/>
              </w:rPr>
              <w:t>10</w:t>
            </w:r>
          </w:p>
        </w:tc>
        <w:tc>
          <w:tcPr>
            <w:tcW w:w="1134" w:type="dxa"/>
            <w:tcBorders>
              <w:top w:val="single" w:sz="4" w:space="0" w:color="auto"/>
              <w:left w:val="single" w:sz="4" w:space="0" w:color="auto"/>
              <w:bottom w:val="single" w:sz="4" w:space="0" w:color="auto"/>
              <w:right w:val="single" w:sz="4" w:space="0" w:color="auto"/>
            </w:tcBorders>
          </w:tcPr>
          <w:p w14:paraId="431835EF" w14:textId="77777777" w:rsidR="009224B4" w:rsidRDefault="009224B4" w:rsidP="005774A8">
            <w:pPr>
              <w:jc w:val="center"/>
              <w:rPr>
                <w:rFonts w:cs="Arial"/>
                <w:szCs w:val="24"/>
              </w:rPr>
            </w:pPr>
            <w:r>
              <w:rPr>
                <w:rFonts w:cs="Arial"/>
                <w:szCs w:val="24"/>
              </w:rPr>
              <w:t>15</w:t>
            </w:r>
          </w:p>
        </w:tc>
        <w:tc>
          <w:tcPr>
            <w:tcW w:w="1134" w:type="dxa"/>
            <w:tcBorders>
              <w:top w:val="single" w:sz="4" w:space="0" w:color="auto"/>
              <w:left w:val="single" w:sz="4" w:space="0" w:color="auto"/>
              <w:bottom w:val="single" w:sz="4" w:space="0" w:color="auto"/>
              <w:right w:val="single" w:sz="4" w:space="0" w:color="auto"/>
            </w:tcBorders>
          </w:tcPr>
          <w:p w14:paraId="12D9E0A7" w14:textId="77777777" w:rsidR="009224B4" w:rsidRDefault="009224B4" w:rsidP="005774A8">
            <w:pPr>
              <w:jc w:val="center"/>
              <w:rPr>
                <w:rFonts w:cs="Arial"/>
                <w:szCs w:val="24"/>
              </w:rPr>
            </w:pPr>
            <w:r>
              <w:rPr>
                <w:rFonts w:cs="Arial"/>
                <w:szCs w:val="24"/>
              </w:rPr>
              <w:t>21</w:t>
            </w:r>
          </w:p>
        </w:tc>
        <w:tc>
          <w:tcPr>
            <w:tcW w:w="1276" w:type="dxa"/>
            <w:tcBorders>
              <w:top w:val="single" w:sz="4" w:space="0" w:color="auto"/>
              <w:left w:val="single" w:sz="4" w:space="0" w:color="auto"/>
              <w:bottom w:val="single" w:sz="4" w:space="0" w:color="auto"/>
              <w:right w:val="single" w:sz="4" w:space="0" w:color="auto"/>
            </w:tcBorders>
          </w:tcPr>
          <w:p w14:paraId="4B8C1D71" w14:textId="77777777" w:rsidR="009224B4" w:rsidRDefault="009224B4" w:rsidP="005774A8">
            <w:pPr>
              <w:jc w:val="center"/>
              <w:rPr>
                <w:rFonts w:cs="Arial"/>
                <w:szCs w:val="24"/>
              </w:rPr>
            </w:pPr>
            <w:r>
              <w:rPr>
                <w:rFonts w:cs="Arial"/>
                <w:szCs w:val="24"/>
              </w:rPr>
              <w:t>24</w:t>
            </w:r>
          </w:p>
        </w:tc>
      </w:tr>
      <w:tr w:rsidR="009224B4" w14:paraId="70D803A8" w14:textId="77777777" w:rsidTr="005774A8">
        <w:tc>
          <w:tcPr>
            <w:tcW w:w="1838" w:type="dxa"/>
            <w:tcBorders>
              <w:top w:val="single" w:sz="4" w:space="0" w:color="auto"/>
              <w:left w:val="single" w:sz="4" w:space="0" w:color="auto"/>
              <w:bottom w:val="single" w:sz="4" w:space="0" w:color="auto"/>
              <w:right w:val="single" w:sz="4" w:space="0" w:color="auto"/>
            </w:tcBorders>
            <w:hideMark/>
          </w:tcPr>
          <w:p w14:paraId="44D7981D" w14:textId="77777777" w:rsidR="009224B4" w:rsidRDefault="008C1CE8" w:rsidP="005774A8">
            <w:pPr>
              <w:rPr>
                <w:rFonts w:cs="Arial"/>
                <w:szCs w:val="24"/>
              </w:rPr>
            </w:pPr>
            <w:r>
              <w:rPr>
                <w:rFonts w:cs="Arial"/>
                <w:szCs w:val="24"/>
              </w:rPr>
              <w:t>Outcome 6</w:t>
            </w:r>
          </w:p>
          <w:p w14:paraId="1DF36F3F" w14:textId="77777777" w:rsidR="009224B4" w:rsidRDefault="009224B4" w:rsidP="005774A8">
            <w:pPr>
              <w:rPr>
                <w:rFonts w:cs="Arial"/>
                <w:szCs w:val="24"/>
              </w:rPr>
            </w:pPr>
            <w:r>
              <w:rPr>
                <w:rFonts w:cs="Arial"/>
                <w:szCs w:val="24"/>
              </w:rPr>
              <w:t>Satisfied</w:t>
            </w:r>
          </w:p>
        </w:tc>
        <w:tc>
          <w:tcPr>
            <w:tcW w:w="1276" w:type="dxa"/>
            <w:tcBorders>
              <w:top w:val="single" w:sz="4" w:space="0" w:color="auto"/>
              <w:left w:val="single" w:sz="4" w:space="0" w:color="auto"/>
              <w:bottom w:val="single" w:sz="4" w:space="0" w:color="auto"/>
              <w:right w:val="single" w:sz="4" w:space="0" w:color="auto"/>
            </w:tcBorders>
            <w:hideMark/>
          </w:tcPr>
          <w:p w14:paraId="1EFF8E25" w14:textId="77777777" w:rsidR="009224B4" w:rsidRDefault="009224B4" w:rsidP="005774A8">
            <w:pPr>
              <w:jc w:val="center"/>
              <w:rPr>
                <w:rFonts w:cs="Arial"/>
                <w:szCs w:val="24"/>
              </w:rPr>
            </w:pPr>
            <w:r>
              <w:rPr>
                <w:rFonts w:cs="Arial"/>
                <w:szCs w:val="24"/>
              </w:rPr>
              <w:t>72.27%</w:t>
            </w:r>
          </w:p>
          <w:p w14:paraId="4CFCD524" w14:textId="77777777" w:rsidR="00A2307D" w:rsidRDefault="00A2307D" w:rsidP="005774A8">
            <w:pPr>
              <w:jc w:val="center"/>
              <w:rPr>
                <w:rFonts w:cs="Arial"/>
                <w:szCs w:val="24"/>
              </w:rPr>
            </w:pPr>
          </w:p>
        </w:tc>
        <w:tc>
          <w:tcPr>
            <w:tcW w:w="1276" w:type="dxa"/>
            <w:tcBorders>
              <w:top w:val="single" w:sz="4" w:space="0" w:color="auto"/>
              <w:left w:val="single" w:sz="4" w:space="0" w:color="auto"/>
              <w:bottom w:val="single" w:sz="4" w:space="0" w:color="auto"/>
              <w:right w:val="single" w:sz="4" w:space="0" w:color="auto"/>
            </w:tcBorders>
            <w:hideMark/>
          </w:tcPr>
          <w:p w14:paraId="1A89ACA8" w14:textId="77777777" w:rsidR="009224B4" w:rsidRDefault="009224B4" w:rsidP="005774A8">
            <w:pPr>
              <w:jc w:val="center"/>
              <w:rPr>
                <w:rFonts w:cs="Arial"/>
                <w:szCs w:val="24"/>
              </w:rPr>
            </w:pPr>
            <w:r>
              <w:rPr>
                <w:rFonts w:cs="Arial"/>
                <w:szCs w:val="24"/>
              </w:rPr>
              <w:t>2.80%</w:t>
            </w:r>
          </w:p>
        </w:tc>
        <w:tc>
          <w:tcPr>
            <w:tcW w:w="1417" w:type="dxa"/>
            <w:tcBorders>
              <w:top w:val="single" w:sz="4" w:space="0" w:color="auto"/>
              <w:left w:val="single" w:sz="4" w:space="0" w:color="auto"/>
              <w:bottom w:val="single" w:sz="4" w:space="0" w:color="auto"/>
              <w:right w:val="single" w:sz="4" w:space="0" w:color="auto"/>
            </w:tcBorders>
            <w:hideMark/>
          </w:tcPr>
          <w:p w14:paraId="2EB1760F" w14:textId="77777777" w:rsidR="009224B4" w:rsidRDefault="009224B4" w:rsidP="005774A8">
            <w:pPr>
              <w:jc w:val="center"/>
              <w:rPr>
                <w:rFonts w:cs="Arial"/>
                <w:szCs w:val="24"/>
              </w:rPr>
            </w:pPr>
            <w:r>
              <w:rPr>
                <w:rFonts w:cs="Arial"/>
                <w:szCs w:val="24"/>
              </w:rPr>
              <w:t>70.45%</w:t>
            </w:r>
          </w:p>
        </w:tc>
        <w:tc>
          <w:tcPr>
            <w:tcW w:w="1134" w:type="dxa"/>
            <w:tcBorders>
              <w:top w:val="single" w:sz="4" w:space="0" w:color="auto"/>
              <w:left w:val="single" w:sz="4" w:space="0" w:color="auto"/>
              <w:bottom w:val="single" w:sz="4" w:space="0" w:color="auto"/>
              <w:right w:val="single" w:sz="4" w:space="0" w:color="auto"/>
            </w:tcBorders>
          </w:tcPr>
          <w:p w14:paraId="690AECCC" w14:textId="77777777" w:rsidR="009224B4" w:rsidRDefault="009224B4" w:rsidP="005774A8">
            <w:pPr>
              <w:jc w:val="center"/>
              <w:rPr>
                <w:rFonts w:cs="Arial"/>
                <w:szCs w:val="24"/>
              </w:rPr>
            </w:pPr>
            <w:r>
              <w:rPr>
                <w:rFonts w:cs="Arial"/>
                <w:szCs w:val="24"/>
              </w:rPr>
              <w:t>72.65%</w:t>
            </w:r>
          </w:p>
        </w:tc>
        <w:tc>
          <w:tcPr>
            <w:tcW w:w="1134" w:type="dxa"/>
            <w:tcBorders>
              <w:top w:val="single" w:sz="4" w:space="0" w:color="auto"/>
              <w:left w:val="single" w:sz="4" w:space="0" w:color="auto"/>
              <w:bottom w:val="single" w:sz="4" w:space="0" w:color="auto"/>
              <w:right w:val="single" w:sz="4" w:space="0" w:color="auto"/>
            </w:tcBorders>
          </w:tcPr>
          <w:p w14:paraId="632B35A9" w14:textId="77777777" w:rsidR="009224B4" w:rsidRDefault="009224B4" w:rsidP="005774A8">
            <w:pPr>
              <w:jc w:val="center"/>
              <w:rPr>
                <w:rFonts w:cs="Arial"/>
                <w:szCs w:val="24"/>
              </w:rPr>
            </w:pPr>
            <w:r>
              <w:rPr>
                <w:rFonts w:cs="Arial"/>
                <w:szCs w:val="24"/>
              </w:rPr>
              <w:t>76.77%</w:t>
            </w:r>
          </w:p>
        </w:tc>
        <w:tc>
          <w:tcPr>
            <w:tcW w:w="1276" w:type="dxa"/>
            <w:tcBorders>
              <w:top w:val="single" w:sz="4" w:space="0" w:color="auto"/>
              <w:left w:val="single" w:sz="4" w:space="0" w:color="auto"/>
              <w:bottom w:val="single" w:sz="4" w:space="0" w:color="auto"/>
              <w:right w:val="single" w:sz="4" w:space="0" w:color="auto"/>
            </w:tcBorders>
          </w:tcPr>
          <w:p w14:paraId="0BB66F49" w14:textId="77777777" w:rsidR="009224B4" w:rsidRDefault="009224B4" w:rsidP="005774A8">
            <w:pPr>
              <w:jc w:val="center"/>
              <w:rPr>
                <w:rFonts w:cs="Arial"/>
                <w:szCs w:val="24"/>
              </w:rPr>
            </w:pPr>
            <w:r>
              <w:rPr>
                <w:rFonts w:cs="Arial"/>
                <w:szCs w:val="24"/>
              </w:rPr>
              <w:t>76.07%</w:t>
            </w:r>
          </w:p>
        </w:tc>
      </w:tr>
    </w:tbl>
    <w:p w14:paraId="2A113074" w14:textId="77777777" w:rsidR="003469AC" w:rsidRPr="007B367A" w:rsidRDefault="003469AC" w:rsidP="009224B4">
      <w:pPr>
        <w:rPr>
          <w:rFonts w:cs="Arial"/>
          <w:szCs w:val="24"/>
        </w:rPr>
      </w:pPr>
    </w:p>
    <w:p w14:paraId="1FAE4E9D" w14:textId="77777777" w:rsidR="001E3EF0" w:rsidRDefault="001E3EF0" w:rsidP="00A77E6C">
      <w:pPr>
        <w:pStyle w:val="ListParagraph"/>
        <w:ind w:left="0"/>
        <w:rPr>
          <w:rFonts w:cs="Arial"/>
          <w:szCs w:val="24"/>
        </w:rPr>
      </w:pPr>
    </w:p>
    <w:p w14:paraId="707CA5AF" w14:textId="4EBF65B9" w:rsidR="00EF47E6" w:rsidRPr="007B367A" w:rsidRDefault="00694C80" w:rsidP="00A77E6C">
      <w:pPr>
        <w:pStyle w:val="ListParagraph"/>
        <w:ind w:left="0"/>
        <w:rPr>
          <w:rFonts w:cs="Arial"/>
          <w:szCs w:val="24"/>
        </w:rPr>
      </w:pPr>
      <w:r>
        <w:rPr>
          <w:rFonts w:cs="Arial"/>
          <w:szCs w:val="24"/>
        </w:rPr>
        <w:t>31</w:t>
      </w:r>
      <w:r w:rsidR="002D6DF1" w:rsidRPr="007B367A">
        <w:rPr>
          <w:rFonts w:cs="Arial"/>
          <w:szCs w:val="24"/>
        </w:rPr>
        <w:t xml:space="preserve">. </w:t>
      </w:r>
      <w:r w:rsidR="00EF47E6" w:rsidRPr="007B367A">
        <w:rPr>
          <w:rFonts w:cs="Arial"/>
          <w:szCs w:val="24"/>
        </w:rPr>
        <w:t xml:space="preserve">The table below details the telephony performance metrics over the last 12 months.   </w:t>
      </w:r>
    </w:p>
    <w:p w14:paraId="78ED18B7" w14:textId="77777777" w:rsidR="00EF47E6" w:rsidRPr="007B367A" w:rsidRDefault="00EF47E6" w:rsidP="00A77E6C">
      <w:pPr>
        <w:rPr>
          <w:rFonts w:cs="Arial"/>
          <w:szCs w:val="24"/>
        </w:rPr>
      </w:pPr>
    </w:p>
    <w:p w14:paraId="3ADA2548" w14:textId="77777777" w:rsidR="00EF47E6" w:rsidRPr="007B367A" w:rsidRDefault="00EF47E6" w:rsidP="00A77E6C">
      <w:pPr>
        <w:rPr>
          <w:rFonts w:cs="Arial"/>
          <w:color w:val="FF0000"/>
          <w:szCs w:val="24"/>
        </w:rPr>
        <w:sectPr w:rsidR="00EF47E6" w:rsidRPr="007B367A" w:rsidSect="00A521C3">
          <w:headerReference w:type="default" r:id="rId13"/>
          <w:footerReference w:type="default" r:id="rId14"/>
          <w:pgSz w:w="11906" w:h="16838"/>
          <w:pgMar w:top="1440" w:right="1418" w:bottom="1134" w:left="1440" w:header="709" w:footer="709" w:gutter="0"/>
          <w:cols w:space="708"/>
          <w:docGrid w:linePitch="360"/>
        </w:sectPr>
      </w:pPr>
    </w:p>
    <w:p w14:paraId="5DD51E49" w14:textId="16974DDD" w:rsidR="00EF47E6" w:rsidRPr="00694C80" w:rsidRDefault="00EF47E6" w:rsidP="00694C80">
      <w:pPr>
        <w:pStyle w:val="ListParagraph"/>
        <w:numPr>
          <w:ilvl w:val="0"/>
          <w:numId w:val="40"/>
        </w:numPr>
        <w:rPr>
          <w:rFonts w:cs="Arial"/>
          <w:szCs w:val="24"/>
        </w:rPr>
      </w:pPr>
      <w:r w:rsidRPr="00694C80">
        <w:rPr>
          <w:rFonts w:cs="Arial"/>
          <w:szCs w:val="24"/>
        </w:rPr>
        <w:t>Performance Metrics for last 12 months</w:t>
      </w:r>
      <w:r w:rsidR="00CF09BC" w:rsidRPr="00694C80">
        <w:rPr>
          <w:rFonts w:cs="Arial"/>
          <w:szCs w:val="24"/>
        </w:rPr>
        <w:t xml:space="preserve"> </w:t>
      </w:r>
    </w:p>
    <w:p w14:paraId="53F7BC45" w14:textId="77777777" w:rsidR="00007524" w:rsidRDefault="00007524" w:rsidP="00A77E6C">
      <w:pPr>
        <w:rPr>
          <w:rFonts w:cs="Arial"/>
          <w:szCs w:val="24"/>
        </w:rPr>
      </w:pPr>
    </w:p>
    <w:p w14:paraId="61FE9687" w14:textId="77777777" w:rsidR="009224B4" w:rsidRDefault="009224B4" w:rsidP="009224B4">
      <w:pPr>
        <w:rPr>
          <w:rFonts w:cs="Arial"/>
          <w:szCs w:val="24"/>
        </w:rPr>
      </w:pPr>
    </w:p>
    <w:tbl>
      <w:tblPr>
        <w:tblStyle w:val="TableGrid"/>
        <w:tblW w:w="0" w:type="auto"/>
        <w:tblLook w:val="04A0" w:firstRow="1" w:lastRow="0" w:firstColumn="1" w:lastColumn="0" w:noHBand="0" w:noVBand="1"/>
      </w:tblPr>
      <w:tblGrid>
        <w:gridCol w:w="1505"/>
        <w:gridCol w:w="1030"/>
        <w:gridCol w:w="1030"/>
        <w:gridCol w:w="1030"/>
        <w:gridCol w:w="1030"/>
        <w:gridCol w:w="1030"/>
        <w:gridCol w:w="1030"/>
        <w:gridCol w:w="1244"/>
        <w:gridCol w:w="1030"/>
        <w:gridCol w:w="1030"/>
        <w:gridCol w:w="1030"/>
        <w:gridCol w:w="1030"/>
        <w:gridCol w:w="1030"/>
      </w:tblGrid>
      <w:tr w:rsidR="009224B4" w14:paraId="25F020DB" w14:textId="77777777" w:rsidTr="005774A8">
        <w:tc>
          <w:tcPr>
            <w:tcW w:w="1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1B5B8" w14:textId="77777777" w:rsidR="009224B4" w:rsidRDefault="009224B4" w:rsidP="005774A8">
            <w:pPr>
              <w:rPr>
                <w:rFonts w:cs="Arial"/>
                <w:b/>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055DA3" w14:textId="77777777" w:rsidR="009224B4" w:rsidRDefault="009224B4" w:rsidP="005774A8">
            <w:pPr>
              <w:jc w:val="center"/>
              <w:rPr>
                <w:rFonts w:cs="Arial"/>
                <w:b/>
                <w:szCs w:val="24"/>
              </w:rPr>
            </w:pPr>
            <w:r>
              <w:rPr>
                <w:rFonts w:cs="Arial"/>
                <w:b/>
                <w:szCs w:val="24"/>
              </w:rPr>
              <w:t xml:space="preserve">Nov </w:t>
            </w:r>
          </w:p>
          <w:p w14:paraId="4CE6118D" w14:textId="77777777" w:rsidR="009224B4" w:rsidRDefault="009224B4" w:rsidP="005774A8">
            <w:pPr>
              <w:jc w:val="center"/>
              <w:rPr>
                <w:rFonts w:cs="Arial"/>
                <w:b/>
                <w:szCs w:val="24"/>
              </w:rPr>
            </w:pPr>
            <w:r>
              <w:rPr>
                <w:rFonts w:cs="Arial"/>
                <w:b/>
                <w:szCs w:val="24"/>
              </w:rPr>
              <w:t>17</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C382C" w14:textId="77777777" w:rsidR="009224B4" w:rsidRDefault="009224B4" w:rsidP="005774A8">
            <w:pPr>
              <w:jc w:val="center"/>
              <w:rPr>
                <w:rFonts w:cs="Arial"/>
                <w:b/>
                <w:szCs w:val="24"/>
              </w:rPr>
            </w:pPr>
            <w:r>
              <w:rPr>
                <w:rFonts w:cs="Arial"/>
                <w:b/>
                <w:szCs w:val="24"/>
              </w:rPr>
              <w:t xml:space="preserve">Dec </w:t>
            </w:r>
          </w:p>
          <w:p w14:paraId="6E43C3AD" w14:textId="77777777" w:rsidR="009224B4" w:rsidRDefault="009224B4" w:rsidP="005774A8">
            <w:pPr>
              <w:jc w:val="center"/>
              <w:rPr>
                <w:rFonts w:cs="Arial"/>
                <w:b/>
                <w:szCs w:val="24"/>
              </w:rPr>
            </w:pPr>
            <w:r>
              <w:rPr>
                <w:rFonts w:cs="Arial"/>
                <w:b/>
                <w:szCs w:val="24"/>
              </w:rPr>
              <w:t>17</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B6BFEE" w14:textId="77777777" w:rsidR="009224B4" w:rsidRDefault="009224B4" w:rsidP="005774A8">
            <w:pPr>
              <w:jc w:val="center"/>
              <w:rPr>
                <w:rFonts w:cs="Arial"/>
                <w:b/>
                <w:szCs w:val="24"/>
              </w:rPr>
            </w:pPr>
            <w:r>
              <w:rPr>
                <w:rFonts w:cs="Arial"/>
                <w:b/>
                <w:szCs w:val="24"/>
              </w:rPr>
              <w:t>Jan</w:t>
            </w:r>
          </w:p>
          <w:p w14:paraId="55EDDF82" w14:textId="77777777" w:rsidR="009224B4" w:rsidRDefault="009224B4" w:rsidP="005774A8">
            <w:pPr>
              <w:jc w:val="center"/>
              <w:rPr>
                <w:rFonts w:cs="Arial"/>
                <w:b/>
                <w:szCs w:val="24"/>
              </w:rPr>
            </w:pPr>
            <w:r>
              <w:rPr>
                <w:rFonts w:cs="Arial"/>
                <w:b/>
                <w:szCs w:val="24"/>
              </w:rPr>
              <w:t>18</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A45419" w14:textId="77777777" w:rsidR="009224B4" w:rsidRDefault="009224B4" w:rsidP="005774A8">
            <w:pPr>
              <w:jc w:val="center"/>
              <w:rPr>
                <w:rFonts w:cs="Arial"/>
                <w:b/>
                <w:szCs w:val="24"/>
              </w:rPr>
            </w:pPr>
            <w:r>
              <w:rPr>
                <w:rFonts w:cs="Arial"/>
                <w:b/>
                <w:szCs w:val="24"/>
              </w:rPr>
              <w:t xml:space="preserve">Feb </w:t>
            </w:r>
          </w:p>
          <w:p w14:paraId="383AFCB4" w14:textId="77777777" w:rsidR="009224B4" w:rsidRDefault="009224B4" w:rsidP="005774A8">
            <w:pPr>
              <w:jc w:val="center"/>
              <w:rPr>
                <w:rFonts w:cs="Arial"/>
                <w:b/>
                <w:szCs w:val="24"/>
              </w:rPr>
            </w:pPr>
            <w:r>
              <w:rPr>
                <w:rFonts w:cs="Arial"/>
                <w:b/>
                <w:szCs w:val="24"/>
              </w:rPr>
              <w:t>18</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FD5304" w14:textId="77777777" w:rsidR="009224B4" w:rsidRDefault="009224B4" w:rsidP="005774A8">
            <w:pPr>
              <w:jc w:val="center"/>
              <w:rPr>
                <w:rFonts w:cs="Arial"/>
                <w:b/>
                <w:szCs w:val="24"/>
              </w:rPr>
            </w:pPr>
            <w:r>
              <w:rPr>
                <w:rFonts w:cs="Arial"/>
                <w:b/>
                <w:szCs w:val="24"/>
              </w:rPr>
              <w:t>March 18</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6A130" w14:textId="77777777" w:rsidR="009224B4" w:rsidRDefault="009224B4" w:rsidP="005774A8">
            <w:pPr>
              <w:jc w:val="center"/>
              <w:rPr>
                <w:rFonts w:cs="Arial"/>
                <w:b/>
                <w:szCs w:val="24"/>
              </w:rPr>
            </w:pPr>
            <w:r>
              <w:rPr>
                <w:rFonts w:cs="Arial"/>
                <w:b/>
                <w:szCs w:val="24"/>
              </w:rPr>
              <w:t xml:space="preserve">April </w:t>
            </w:r>
          </w:p>
          <w:p w14:paraId="7A427504" w14:textId="77777777" w:rsidR="009224B4" w:rsidRDefault="009224B4" w:rsidP="005774A8">
            <w:pPr>
              <w:jc w:val="center"/>
              <w:rPr>
                <w:rFonts w:cs="Arial"/>
                <w:b/>
                <w:szCs w:val="24"/>
              </w:rPr>
            </w:pPr>
            <w:r>
              <w:rPr>
                <w:rFonts w:cs="Arial"/>
                <w:b/>
                <w:szCs w:val="24"/>
              </w:rPr>
              <w:t>18</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01EB3" w14:textId="77777777" w:rsidR="009224B4" w:rsidRDefault="009224B4" w:rsidP="005774A8">
            <w:pPr>
              <w:jc w:val="center"/>
              <w:rPr>
                <w:rFonts w:cs="Arial"/>
                <w:b/>
                <w:szCs w:val="24"/>
              </w:rPr>
            </w:pPr>
            <w:r>
              <w:rPr>
                <w:rFonts w:cs="Arial"/>
                <w:b/>
                <w:szCs w:val="24"/>
              </w:rPr>
              <w:t xml:space="preserve">May </w:t>
            </w:r>
          </w:p>
          <w:p w14:paraId="4DF6A9CB" w14:textId="77777777" w:rsidR="009224B4" w:rsidRDefault="009224B4" w:rsidP="005774A8">
            <w:pPr>
              <w:jc w:val="center"/>
              <w:rPr>
                <w:rFonts w:cs="Arial"/>
                <w:b/>
                <w:szCs w:val="24"/>
              </w:rPr>
            </w:pPr>
            <w:r>
              <w:rPr>
                <w:rFonts w:cs="Arial"/>
                <w:b/>
                <w:szCs w:val="24"/>
              </w:rPr>
              <w:t>18</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CB8C0" w14:textId="77777777" w:rsidR="009224B4" w:rsidRDefault="009224B4" w:rsidP="005774A8">
            <w:pPr>
              <w:jc w:val="center"/>
              <w:rPr>
                <w:rFonts w:cs="Arial"/>
                <w:b/>
                <w:szCs w:val="24"/>
              </w:rPr>
            </w:pPr>
            <w:r>
              <w:rPr>
                <w:rFonts w:cs="Arial"/>
                <w:b/>
                <w:szCs w:val="24"/>
              </w:rPr>
              <w:t>June 18</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A855B9" w14:textId="77777777" w:rsidR="009224B4" w:rsidRDefault="009224B4" w:rsidP="005774A8">
            <w:pPr>
              <w:jc w:val="center"/>
              <w:rPr>
                <w:rFonts w:cs="Arial"/>
                <w:b/>
                <w:szCs w:val="24"/>
              </w:rPr>
            </w:pPr>
            <w:r>
              <w:rPr>
                <w:rFonts w:cs="Arial"/>
                <w:b/>
                <w:szCs w:val="24"/>
              </w:rPr>
              <w:t xml:space="preserve">July </w:t>
            </w:r>
          </w:p>
          <w:p w14:paraId="64ED67FB" w14:textId="77777777" w:rsidR="009224B4" w:rsidRDefault="009224B4" w:rsidP="005774A8">
            <w:pPr>
              <w:jc w:val="center"/>
              <w:rPr>
                <w:rFonts w:cs="Arial"/>
                <w:b/>
                <w:szCs w:val="24"/>
              </w:rPr>
            </w:pPr>
            <w:r>
              <w:rPr>
                <w:rFonts w:cs="Arial"/>
                <w:b/>
                <w:szCs w:val="24"/>
              </w:rPr>
              <w:t>18</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AF6DB" w14:textId="77777777" w:rsidR="009224B4" w:rsidRDefault="009224B4" w:rsidP="005774A8">
            <w:pPr>
              <w:jc w:val="center"/>
              <w:rPr>
                <w:rFonts w:cs="Arial"/>
                <w:b/>
                <w:szCs w:val="24"/>
              </w:rPr>
            </w:pPr>
            <w:r>
              <w:rPr>
                <w:rFonts w:cs="Arial"/>
                <w:b/>
                <w:szCs w:val="24"/>
              </w:rPr>
              <w:t>Aug</w:t>
            </w:r>
          </w:p>
          <w:p w14:paraId="599CEDE6" w14:textId="77777777" w:rsidR="009224B4" w:rsidRDefault="009224B4" w:rsidP="005774A8">
            <w:pPr>
              <w:jc w:val="center"/>
              <w:rPr>
                <w:rFonts w:cs="Arial"/>
                <w:b/>
                <w:szCs w:val="24"/>
              </w:rPr>
            </w:pPr>
            <w:r>
              <w:rPr>
                <w:rFonts w:cs="Arial"/>
                <w:b/>
                <w:szCs w:val="24"/>
              </w:rPr>
              <w:t>18</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F6F30" w14:textId="77777777" w:rsidR="009224B4" w:rsidRDefault="009224B4" w:rsidP="005774A8">
            <w:pPr>
              <w:jc w:val="center"/>
              <w:rPr>
                <w:rFonts w:cs="Arial"/>
                <w:b/>
                <w:szCs w:val="24"/>
              </w:rPr>
            </w:pPr>
            <w:r>
              <w:rPr>
                <w:rFonts w:cs="Arial"/>
                <w:b/>
                <w:szCs w:val="24"/>
              </w:rPr>
              <w:t>Sept 18</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398518" w14:textId="77777777" w:rsidR="009224B4" w:rsidRDefault="009224B4" w:rsidP="005774A8">
            <w:pPr>
              <w:jc w:val="center"/>
              <w:rPr>
                <w:rFonts w:cs="Arial"/>
                <w:b/>
                <w:szCs w:val="24"/>
              </w:rPr>
            </w:pPr>
            <w:r>
              <w:rPr>
                <w:rFonts w:cs="Arial"/>
                <w:b/>
                <w:szCs w:val="24"/>
              </w:rPr>
              <w:t>Oct</w:t>
            </w:r>
          </w:p>
          <w:p w14:paraId="15B3988D" w14:textId="77777777" w:rsidR="009224B4" w:rsidRDefault="009224B4" w:rsidP="005774A8">
            <w:pPr>
              <w:jc w:val="center"/>
              <w:rPr>
                <w:rFonts w:cs="Arial"/>
                <w:b/>
                <w:szCs w:val="24"/>
              </w:rPr>
            </w:pPr>
            <w:r>
              <w:rPr>
                <w:rFonts w:cs="Arial"/>
                <w:b/>
                <w:szCs w:val="24"/>
              </w:rPr>
              <w:t>18</w:t>
            </w:r>
          </w:p>
        </w:tc>
      </w:tr>
      <w:tr w:rsidR="009224B4" w14:paraId="2FB5D955" w14:textId="77777777" w:rsidTr="005774A8">
        <w:tc>
          <w:tcPr>
            <w:tcW w:w="1505" w:type="dxa"/>
            <w:tcBorders>
              <w:top w:val="single" w:sz="4" w:space="0" w:color="auto"/>
              <w:left w:val="single" w:sz="4" w:space="0" w:color="auto"/>
              <w:bottom w:val="single" w:sz="4" w:space="0" w:color="auto"/>
              <w:right w:val="single" w:sz="4" w:space="0" w:color="auto"/>
            </w:tcBorders>
            <w:hideMark/>
          </w:tcPr>
          <w:p w14:paraId="08293DEA" w14:textId="77777777" w:rsidR="009224B4" w:rsidRDefault="009224B4" w:rsidP="005774A8">
            <w:pPr>
              <w:rPr>
                <w:rFonts w:cs="Arial"/>
                <w:szCs w:val="24"/>
              </w:rPr>
            </w:pPr>
            <w:r>
              <w:rPr>
                <w:rFonts w:cs="Arial"/>
                <w:szCs w:val="24"/>
              </w:rPr>
              <w:t>Calls Answered</w:t>
            </w:r>
          </w:p>
        </w:tc>
        <w:tc>
          <w:tcPr>
            <w:tcW w:w="1030" w:type="dxa"/>
            <w:tcBorders>
              <w:top w:val="single" w:sz="4" w:space="0" w:color="auto"/>
              <w:left w:val="single" w:sz="4" w:space="0" w:color="auto"/>
              <w:bottom w:val="single" w:sz="4" w:space="0" w:color="auto"/>
              <w:right w:val="single" w:sz="4" w:space="0" w:color="auto"/>
            </w:tcBorders>
            <w:hideMark/>
          </w:tcPr>
          <w:p w14:paraId="3138F102" w14:textId="77777777" w:rsidR="009224B4" w:rsidRDefault="009224B4" w:rsidP="005774A8">
            <w:pPr>
              <w:jc w:val="center"/>
              <w:rPr>
                <w:rFonts w:cs="Arial"/>
                <w:szCs w:val="24"/>
              </w:rPr>
            </w:pPr>
            <w:r>
              <w:rPr>
                <w:rFonts w:cs="Arial"/>
                <w:szCs w:val="24"/>
              </w:rPr>
              <w:t>28412</w:t>
            </w:r>
          </w:p>
        </w:tc>
        <w:tc>
          <w:tcPr>
            <w:tcW w:w="1030" w:type="dxa"/>
            <w:tcBorders>
              <w:top w:val="single" w:sz="4" w:space="0" w:color="auto"/>
              <w:left w:val="single" w:sz="4" w:space="0" w:color="auto"/>
              <w:bottom w:val="single" w:sz="4" w:space="0" w:color="auto"/>
              <w:right w:val="single" w:sz="4" w:space="0" w:color="auto"/>
            </w:tcBorders>
            <w:hideMark/>
          </w:tcPr>
          <w:p w14:paraId="708299A3" w14:textId="77777777" w:rsidR="009224B4" w:rsidRDefault="009224B4" w:rsidP="005774A8">
            <w:pPr>
              <w:jc w:val="center"/>
              <w:rPr>
                <w:rFonts w:cs="Arial"/>
                <w:szCs w:val="24"/>
              </w:rPr>
            </w:pPr>
            <w:r>
              <w:rPr>
                <w:rFonts w:cs="Arial"/>
                <w:szCs w:val="24"/>
              </w:rPr>
              <w:t>25068</w:t>
            </w:r>
          </w:p>
        </w:tc>
        <w:tc>
          <w:tcPr>
            <w:tcW w:w="1030" w:type="dxa"/>
            <w:tcBorders>
              <w:top w:val="single" w:sz="4" w:space="0" w:color="auto"/>
              <w:left w:val="single" w:sz="4" w:space="0" w:color="auto"/>
              <w:bottom w:val="single" w:sz="4" w:space="0" w:color="auto"/>
              <w:right w:val="single" w:sz="4" w:space="0" w:color="auto"/>
            </w:tcBorders>
          </w:tcPr>
          <w:p w14:paraId="5D4D0018" w14:textId="77777777" w:rsidR="009224B4" w:rsidRDefault="009224B4" w:rsidP="005774A8">
            <w:pPr>
              <w:rPr>
                <w:rFonts w:cs="Arial"/>
                <w:szCs w:val="24"/>
              </w:rPr>
            </w:pPr>
            <w:r>
              <w:rPr>
                <w:rFonts w:cs="Arial"/>
                <w:szCs w:val="24"/>
              </w:rPr>
              <w:t>39592</w:t>
            </w:r>
          </w:p>
        </w:tc>
        <w:tc>
          <w:tcPr>
            <w:tcW w:w="1030" w:type="dxa"/>
            <w:tcBorders>
              <w:top w:val="single" w:sz="4" w:space="0" w:color="auto"/>
              <w:left w:val="single" w:sz="4" w:space="0" w:color="auto"/>
              <w:bottom w:val="single" w:sz="4" w:space="0" w:color="auto"/>
              <w:right w:val="single" w:sz="4" w:space="0" w:color="auto"/>
            </w:tcBorders>
            <w:hideMark/>
          </w:tcPr>
          <w:p w14:paraId="6E09788D" w14:textId="77777777" w:rsidR="009224B4" w:rsidRDefault="009224B4" w:rsidP="005774A8">
            <w:pPr>
              <w:rPr>
                <w:rFonts w:cs="Arial"/>
                <w:szCs w:val="24"/>
              </w:rPr>
            </w:pPr>
            <w:r>
              <w:rPr>
                <w:rFonts w:cs="Arial"/>
                <w:szCs w:val="24"/>
              </w:rPr>
              <w:t>30960</w:t>
            </w:r>
          </w:p>
        </w:tc>
        <w:tc>
          <w:tcPr>
            <w:tcW w:w="1030" w:type="dxa"/>
            <w:tcBorders>
              <w:top w:val="single" w:sz="4" w:space="0" w:color="auto"/>
              <w:left w:val="single" w:sz="4" w:space="0" w:color="auto"/>
              <w:bottom w:val="single" w:sz="4" w:space="0" w:color="auto"/>
              <w:right w:val="single" w:sz="4" w:space="0" w:color="auto"/>
            </w:tcBorders>
            <w:hideMark/>
          </w:tcPr>
          <w:p w14:paraId="7C629F46" w14:textId="77777777" w:rsidR="009224B4" w:rsidRDefault="009224B4" w:rsidP="005774A8">
            <w:pPr>
              <w:jc w:val="center"/>
              <w:rPr>
                <w:rFonts w:cs="Arial"/>
                <w:szCs w:val="24"/>
              </w:rPr>
            </w:pPr>
            <w:r>
              <w:rPr>
                <w:rFonts w:cs="Arial"/>
                <w:szCs w:val="24"/>
              </w:rPr>
              <w:t>30390</w:t>
            </w:r>
          </w:p>
        </w:tc>
        <w:tc>
          <w:tcPr>
            <w:tcW w:w="1030" w:type="dxa"/>
            <w:tcBorders>
              <w:top w:val="single" w:sz="4" w:space="0" w:color="auto"/>
              <w:left w:val="single" w:sz="4" w:space="0" w:color="auto"/>
              <w:bottom w:val="single" w:sz="4" w:space="0" w:color="auto"/>
              <w:right w:val="single" w:sz="4" w:space="0" w:color="auto"/>
            </w:tcBorders>
            <w:hideMark/>
          </w:tcPr>
          <w:p w14:paraId="6E85298D" w14:textId="77777777" w:rsidR="009224B4" w:rsidRDefault="009224B4" w:rsidP="005774A8">
            <w:pPr>
              <w:jc w:val="center"/>
              <w:rPr>
                <w:rFonts w:cs="Arial"/>
                <w:szCs w:val="24"/>
              </w:rPr>
            </w:pPr>
            <w:r>
              <w:rPr>
                <w:rFonts w:cs="Arial"/>
                <w:szCs w:val="24"/>
              </w:rPr>
              <w:t>35702</w:t>
            </w:r>
          </w:p>
        </w:tc>
        <w:tc>
          <w:tcPr>
            <w:tcW w:w="1030" w:type="dxa"/>
            <w:tcBorders>
              <w:top w:val="single" w:sz="4" w:space="0" w:color="auto"/>
              <w:left w:val="single" w:sz="4" w:space="0" w:color="auto"/>
              <w:bottom w:val="single" w:sz="4" w:space="0" w:color="auto"/>
              <w:right w:val="single" w:sz="4" w:space="0" w:color="auto"/>
            </w:tcBorders>
            <w:hideMark/>
          </w:tcPr>
          <w:p w14:paraId="0598006F" w14:textId="77777777" w:rsidR="009224B4" w:rsidRDefault="009224B4" w:rsidP="005774A8">
            <w:pPr>
              <w:jc w:val="center"/>
              <w:rPr>
                <w:rFonts w:cs="Arial"/>
                <w:szCs w:val="24"/>
              </w:rPr>
            </w:pPr>
            <w:r>
              <w:rPr>
                <w:rFonts w:cs="Arial"/>
                <w:szCs w:val="24"/>
              </w:rPr>
              <w:t>34308</w:t>
            </w:r>
          </w:p>
        </w:tc>
        <w:tc>
          <w:tcPr>
            <w:tcW w:w="1030" w:type="dxa"/>
            <w:tcBorders>
              <w:top w:val="single" w:sz="4" w:space="0" w:color="auto"/>
              <w:left w:val="single" w:sz="4" w:space="0" w:color="auto"/>
              <w:bottom w:val="single" w:sz="4" w:space="0" w:color="auto"/>
              <w:right w:val="single" w:sz="4" w:space="0" w:color="auto"/>
            </w:tcBorders>
            <w:hideMark/>
          </w:tcPr>
          <w:p w14:paraId="33555FB1" w14:textId="77777777" w:rsidR="009224B4" w:rsidRDefault="009224B4" w:rsidP="005774A8">
            <w:pPr>
              <w:jc w:val="center"/>
              <w:rPr>
                <w:rFonts w:cs="Arial"/>
                <w:szCs w:val="24"/>
              </w:rPr>
            </w:pPr>
            <w:r>
              <w:rPr>
                <w:rFonts w:cs="Arial"/>
                <w:szCs w:val="24"/>
              </w:rPr>
              <w:t>32249</w:t>
            </w:r>
          </w:p>
        </w:tc>
        <w:tc>
          <w:tcPr>
            <w:tcW w:w="1030" w:type="dxa"/>
            <w:tcBorders>
              <w:top w:val="single" w:sz="4" w:space="0" w:color="auto"/>
              <w:left w:val="single" w:sz="4" w:space="0" w:color="auto"/>
              <w:bottom w:val="single" w:sz="4" w:space="0" w:color="auto"/>
              <w:right w:val="single" w:sz="4" w:space="0" w:color="auto"/>
            </w:tcBorders>
            <w:hideMark/>
          </w:tcPr>
          <w:p w14:paraId="6D44DA12" w14:textId="77777777" w:rsidR="009224B4" w:rsidRDefault="009224B4" w:rsidP="005774A8">
            <w:pPr>
              <w:jc w:val="center"/>
              <w:rPr>
                <w:rFonts w:cs="Arial"/>
                <w:szCs w:val="24"/>
              </w:rPr>
            </w:pPr>
            <w:r>
              <w:rPr>
                <w:rFonts w:cs="Arial"/>
                <w:szCs w:val="24"/>
              </w:rPr>
              <w:t>31520</w:t>
            </w:r>
          </w:p>
        </w:tc>
        <w:tc>
          <w:tcPr>
            <w:tcW w:w="1030" w:type="dxa"/>
            <w:tcBorders>
              <w:top w:val="single" w:sz="4" w:space="0" w:color="auto"/>
              <w:left w:val="single" w:sz="4" w:space="0" w:color="auto"/>
              <w:bottom w:val="single" w:sz="4" w:space="0" w:color="auto"/>
              <w:right w:val="single" w:sz="4" w:space="0" w:color="auto"/>
            </w:tcBorders>
            <w:hideMark/>
          </w:tcPr>
          <w:p w14:paraId="056EDD67" w14:textId="77777777" w:rsidR="009224B4" w:rsidRDefault="009224B4" w:rsidP="005774A8">
            <w:pPr>
              <w:rPr>
                <w:rFonts w:cs="Arial"/>
                <w:szCs w:val="24"/>
              </w:rPr>
            </w:pPr>
            <w:r>
              <w:rPr>
                <w:rFonts w:cs="Arial"/>
                <w:szCs w:val="24"/>
              </w:rPr>
              <w:t>31938</w:t>
            </w:r>
          </w:p>
        </w:tc>
        <w:tc>
          <w:tcPr>
            <w:tcW w:w="1030" w:type="dxa"/>
            <w:tcBorders>
              <w:top w:val="single" w:sz="4" w:space="0" w:color="auto"/>
              <w:left w:val="single" w:sz="4" w:space="0" w:color="auto"/>
              <w:bottom w:val="single" w:sz="4" w:space="0" w:color="auto"/>
              <w:right w:val="single" w:sz="4" w:space="0" w:color="auto"/>
            </w:tcBorders>
            <w:hideMark/>
          </w:tcPr>
          <w:p w14:paraId="09306B73" w14:textId="77777777" w:rsidR="009224B4" w:rsidRDefault="009224B4" w:rsidP="005774A8">
            <w:pPr>
              <w:jc w:val="center"/>
              <w:rPr>
                <w:rFonts w:cs="Arial"/>
                <w:szCs w:val="24"/>
              </w:rPr>
            </w:pPr>
            <w:r>
              <w:rPr>
                <w:rFonts w:cs="Arial"/>
                <w:szCs w:val="24"/>
              </w:rPr>
              <w:t>27744</w:t>
            </w:r>
          </w:p>
        </w:tc>
        <w:tc>
          <w:tcPr>
            <w:tcW w:w="1030" w:type="dxa"/>
            <w:tcBorders>
              <w:top w:val="single" w:sz="4" w:space="0" w:color="auto"/>
              <w:left w:val="single" w:sz="4" w:space="0" w:color="auto"/>
              <w:bottom w:val="single" w:sz="4" w:space="0" w:color="auto"/>
              <w:right w:val="single" w:sz="4" w:space="0" w:color="auto"/>
            </w:tcBorders>
            <w:hideMark/>
          </w:tcPr>
          <w:p w14:paraId="2196C2A4" w14:textId="77777777" w:rsidR="009224B4" w:rsidRDefault="009224B4" w:rsidP="005774A8">
            <w:pPr>
              <w:rPr>
                <w:rFonts w:cs="Arial"/>
                <w:szCs w:val="24"/>
              </w:rPr>
            </w:pPr>
            <w:r>
              <w:rPr>
                <w:rFonts w:cs="Arial"/>
                <w:szCs w:val="24"/>
              </w:rPr>
              <w:t>31916</w:t>
            </w:r>
          </w:p>
        </w:tc>
      </w:tr>
      <w:tr w:rsidR="009224B4" w14:paraId="30A40143" w14:textId="77777777" w:rsidTr="005774A8">
        <w:tc>
          <w:tcPr>
            <w:tcW w:w="1505" w:type="dxa"/>
            <w:tcBorders>
              <w:top w:val="single" w:sz="4" w:space="0" w:color="auto"/>
              <w:left w:val="single" w:sz="4" w:space="0" w:color="auto"/>
              <w:bottom w:val="single" w:sz="4" w:space="0" w:color="auto"/>
              <w:right w:val="single" w:sz="4" w:space="0" w:color="auto"/>
            </w:tcBorders>
            <w:hideMark/>
          </w:tcPr>
          <w:p w14:paraId="6E5F5DDB" w14:textId="77777777" w:rsidR="009224B4" w:rsidRDefault="009224B4" w:rsidP="005774A8">
            <w:pPr>
              <w:rPr>
                <w:rFonts w:cs="Arial"/>
                <w:szCs w:val="24"/>
              </w:rPr>
            </w:pPr>
            <w:r>
              <w:rPr>
                <w:rFonts w:cs="Arial"/>
                <w:szCs w:val="24"/>
              </w:rPr>
              <w:t>Calls answered %</w:t>
            </w:r>
          </w:p>
        </w:tc>
        <w:tc>
          <w:tcPr>
            <w:tcW w:w="1030" w:type="dxa"/>
            <w:tcBorders>
              <w:top w:val="single" w:sz="4" w:space="0" w:color="auto"/>
              <w:left w:val="single" w:sz="4" w:space="0" w:color="auto"/>
              <w:bottom w:val="single" w:sz="4" w:space="0" w:color="auto"/>
              <w:right w:val="single" w:sz="4" w:space="0" w:color="auto"/>
            </w:tcBorders>
            <w:hideMark/>
          </w:tcPr>
          <w:p w14:paraId="5BA07B71" w14:textId="77777777" w:rsidR="009224B4" w:rsidRDefault="009224B4" w:rsidP="005774A8">
            <w:pPr>
              <w:jc w:val="center"/>
              <w:rPr>
                <w:rFonts w:cs="Arial"/>
                <w:szCs w:val="24"/>
              </w:rPr>
            </w:pPr>
            <w:r>
              <w:rPr>
                <w:rFonts w:cs="Arial"/>
                <w:szCs w:val="24"/>
              </w:rPr>
              <w:t>72.3%</w:t>
            </w:r>
          </w:p>
        </w:tc>
        <w:tc>
          <w:tcPr>
            <w:tcW w:w="1030" w:type="dxa"/>
            <w:tcBorders>
              <w:top w:val="single" w:sz="4" w:space="0" w:color="auto"/>
              <w:left w:val="single" w:sz="4" w:space="0" w:color="auto"/>
              <w:bottom w:val="single" w:sz="4" w:space="0" w:color="auto"/>
              <w:right w:val="single" w:sz="4" w:space="0" w:color="auto"/>
            </w:tcBorders>
            <w:hideMark/>
          </w:tcPr>
          <w:p w14:paraId="36AC72A5" w14:textId="77777777" w:rsidR="009224B4" w:rsidRDefault="009224B4" w:rsidP="005774A8">
            <w:pPr>
              <w:jc w:val="center"/>
              <w:rPr>
                <w:rFonts w:cs="Arial"/>
                <w:szCs w:val="24"/>
              </w:rPr>
            </w:pPr>
            <w:r>
              <w:rPr>
                <w:rFonts w:cs="Arial"/>
                <w:szCs w:val="24"/>
              </w:rPr>
              <w:t>96.2%</w:t>
            </w:r>
          </w:p>
        </w:tc>
        <w:tc>
          <w:tcPr>
            <w:tcW w:w="1030" w:type="dxa"/>
            <w:tcBorders>
              <w:top w:val="single" w:sz="4" w:space="0" w:color="auto"/>
              <w:left w:val="single" w:sz="4" w:space="0" w:color="auto"/>
              <w:bottom w:val="single" w:sz="4" w:space="0" w:color="auto"/>
              <w:right w:val="single" w:sz="4" w:space="0" w:color="auto"/>
            </w:tcBorders>
            <w:hideMark/>
          </w:tcPr>
          <w:p w14:paraId="10B7008E" w14:textId="77777777" w:rsidR="009224B4" w:rsidRDefault="009224B4" w:rsidP="005774A8">
            <w:pPr>
              <w:jc w:val="center"/>
              <w:rPr>
                <w:rFonts w:cs="Arial"/>
                <w:szCs w:val="24"/>
              </w:rPr>
            </w:pPr>
            <w:r>
              <w:rPr>
                <w:rFonts w:cs="Arial"/>
                <w:szCs w:val="24"/>
              </w:rPr>
              <w:t>93.8%</w:t>
            </w:r>
          </w:p>
        </w:tc>
        <w:tc>
          <w:tcPr>
            <w:tcW w:w="1030" w:type="dxa"/>
            <w:tcBorders>
              <w:top w:val="single" w:sz="4" w:space="0" w:color="auto"/>
              <w:left w:val="single" w:sz="4" w:space="0" w:color="auto"/>
              <w:bottom w:val="single" w:sz="4" w:space="0" w:color="auto"/>
              <w:right w:val="single" w:sz="4" w:space="0" w:color="auto"/>
            </w:tcBorders>
            <w:hideMark/>
          </w:tcPr>
          <w:p w14:paraId="579D0E8B" w14:textId="77777777" w:rsidR="009224B4" w:rsidRDefault="009224B4" w:rsidP="005774A8">
            <w:pPr>
              <w:jc w:val="center"/>
              <w:rPr>
                <w:rFonts w:cs="Arial"/>
                <w:szCs w:val="24"/>
              </w:rPr>
            </w:pPr>
            <w:r>
              <w:rPr>
                <w:rFonts w:cs="Arial"/>
                <w:szCs w:val="24"/>
              </w:rPr>
              <w:t>96.2%</w:t>
            </w:r>
          </w:p>
        </w:tc>
        <w:tc>
          <w:tcPr>
            <w:tcW w:w="1030" w:type="dxa"/>
            <w:tcBorders>
              <w:top w:val="single" w:sz="4" w:space="0" w:color="auto"/>
              <w:left w:val="single" w:sz="4" w:space="0" w:color="auto"/>
              <w:bottom w:val="single" w:sz="4" w:space="0" w:color="auto"/>
              <w:right w:val="single" w:sz="4" w:space="0" w:color="auto"/>
            </w:tcBorders>
            <w:hideMark/>
          </w:tcPr>
          <w:p w14:paraId="3F43C4DC" w14:textId="77777777" w:rsidR="009224B4" w:rsidRDefault="009224B4" w:rsidP="005774A8">
            <w:pPr>
              <w:jc w:val="center"/>
              <w:rPr>
                <w:rFonts w:cs="Arial"/>
                <w:szCs w:val="24"/>
              </w:rPr>
            </w:pPr>
            <w:r>
              <w:rPr>
                <w:rFonts w:cs="Arial"/>
                <w:szCs w:val="24"/>
              </w:rPr>
              <w:t>96.3%</w:t>
            </w:r>
          </w:p>
        </w:tc>
        <w:tc>
          <w:tcPr>
            <w:tcW w:w="1030" w:type="dxa"/>
            <w:tcBorders>
              <w:top w:val="single" w:sz="4" w:space="0" w:color="auto"/>
              <w:left w:val="single" w:sz="4" w:space="0" w:color="auto"/>
              <w:bottom w:val="single" w:sz="4" w:space="0" w:color="auto"/>
              <w:right w:val="single" w:sz="4" w:space="0" w:color="auto"/>
            </w:tcBorders>
            <w:hideMark/>
          </w:tcPr>
          <w:p w14:paraId="25E40803" w14:textId="77777777" w:rsidR="009224B4" w:rsidRDefault="009224B4" w:rsidP="005774A8">
            <w:pPr>
              <w:rPr>
                <w:rFonts w:cs="Arial"/>
                <w:szCs w:val="24"/>
              </w:rPr>
            </w:pPr>
            <w:r>
              <w:rPr>
                <w:rFonts w:cs="Arial"/>
                <w:szCs w:val="24"/>
              </w:rPr>
              <w:t>95.7%</w:t>
            </w:r>
          </w:p>
        </w:tc>
        <w:tc>
          <w:tcPr>
            <w:tcW w:w="1030" w:type="dxa"/>
            <w:tcBorders>
              <w:top w:val="single" w:sz="4" w:space="0" w:color="auto"/>
              <w:left w:val="single" w:sz="4" w:space="0" w:color="auto"/>
              <w:bottom w:val="single" w:sz="4" w:space="0" w:color="auto"/>
              <w:right w:val="single" w:sz="4" w:space="0" w:color="auto"/>
            </w:tcBorders>
            <w:hideMark/>
          </w:tcPr>
          <w:p w14:paraId="381417A2" w14:textId="77777777" w:rsidR="009224B4" w:rsidRDefault="009224B4" w:rsidP="005774A8">
            <w:pPr>
              <w:jc w:val="center"/>
              <w:rPr>
                <w:rFonts w:cs="Arial"/>
                <w:szCs w:val="24"/>
              </w:rPr>
            </w:pPr>
            <w:r>
              <w:rPr>
                <w:rFonts w:cs="Arial"/>
                <w:szCs w:val="24"/>
              </w:rPr>
              <w:t>97.4%</w:t>
            </w:r>
          </w:p>
        </w:tc>
        <w:tc>
          <w:tcPr>
            <w:tcW w:w="1030" w:type="dxa"/>
            <w:tcBorders>
              <w:top w:val="single" w:sz="4" w:space="0" w:color="auto"/>
              <w:left w:val="single" w:sz="4" w:space="0" w:color="auto"/>
              <w:bottom w:val="single" w:sz="4" w:space="0" w:color="auto"/>
              <w:right w:val="single" w:sz="4" w:space="0" w:color="auto"/>
            </w:tcBorders>
            <w:hideMark/>
          </w:tcPr>
          <w:p w14:paraId="75DB72B2" w14:textId="77777777" w:rsidR="009224B4" w:rsidRDefault="009224B4" w:rsidP="005774A8">
            <w:pPr>
              <w:jc w:val="center"/>
              <w:rPr>
                <w:rFonts w:cs="Arial"/>
                <w:szCs w:val="24"/>
              </w:rPr>
            </w:pPr>
            <w:r>
              <w:rPr>
                <w:rFonts w:cs="Arial"/>
                <w:szCs w:val="24"/>
              </w:rPr>
              <w:t>98.3%</w:t>
            </w:r>
          </w:p>
        </w:tc>
        <w:tc>
          <w:tcPr>
            <w:tcW w:w="1030" w:type="dxa"/>
            <w:tcBorders>
              <w:top w:val="single" w:sz="4" w:space="0" w:color="auto"/>
              <w:left w:val="single" w:sz="4" w:space="0" w:color="auto"/>
              <w:bottom w:val="single" w:sz="4" w:space="0" w:color="auto"/>
              <w:right w:val="single" w:sz="4" w:space="0" w:color="auto"/>
            </w:tcBorders>
            <w:hideMark/>
          </w:tcPr>
          <w:p w14:paraId="7ECC167D" w14:textId="77777777" w:rsidR="009224B4" w:rsidRDefault="009224B4" w:rsidP="005774A8">
            <w:pPr>
              <w:jc w:val="center"/>
              <w:rPr>
                <w:rFonts w:cs="Arial"/>
                <w:szCs w:val="24"/>
              </w:rPr>
            </w:pPr>
            <w:r>
              <w:rPr>
                <w:rFonts w:cs="Arial"/>
                <w:szCs w:val="24"/>
              </w:rPr>
              <w:t>97.2%</w:t>
            </w:r>
          </w:p>
        </w:tc>
        <w:tc>
          <w:tcPr>
            <w:tcW w:w="1030" w:type="dxa"/>
            <w:tcBorders>
              <w:top w:val="single" w:sz="4" w:space="0" w:color="auto"/>
              <w:left w:val="single" w:sz="4" w:space="0" w:color="auto"/>
              <w:bottom w:val="single" w:sz="4" w:space="0" w:color="auto"/>
              <w:right w:val="single" w:sz="4" w:space="0" w:color="auto"/>
            </w:tcBorders>
            <w:hideMark/>
          </w:tcPr>
          <w:p w14:paraId="7687B51D" w14:textId="77777777" w:rsidR="009224B4" w:rsidRDefault="009224B4" w:rsidP="005774A8">
            <w:pPr>
              <w:jc w:val="center"/>
              <w:rPr>
                <w:rFonts w:cs="Arial"/>
                <w:szCs w:val="24"/>
              </w:rPr>
            </w:pPr>
            <w:r>
              <w:rPr>
                <w:rFonts w:cs="Arial"/>
                <w:szCs w:val="24"/>
              </w:rPr>
              <w:t>97.5%</w:t>
            </w:r>
          </w:p>
        </w:tc>
        <w:tc>
          <w:tcPr>
            <w:tcW w:w="1030" w:type="dxa"/>
            <w:tcBorders>
              <w:top w:val="single" w:sz="4" w:space="0" w:color="auto"/>
              <w:left w:val="single" w:sz="4" w:space="0" w:color="auto"/>
              <w:bottom w:val="single" w:sz="4" w:space="0" w:color="auto"/>
              <w:right w:val="single" w:sz="4" w:space="0" w:color="auto"/>
            </w:tcBorders>
            <w:hideMark/>
          </w:tcPr>
          <w:p w14:paraId="4F3C158A" w14:textId="77777777" w:rsidR="009224B4" w:rsidRDefault="009224B4" w:rsidP="005774A8">
            <w:pPr>
              <w:jc w:val="center"/>
              <w:rPr>
                <w:rFonts w:cs="Arial"/>
                <w:szCs w:val="24"/>
              </w:rPr>
            </w:pPr>
            <w:r>
              <w:rPr>
                <w:rFonts w:cs="Arial"/>
                <w:szCs w:val="24"/>
              </w:rPr>
              <w:t>96.3%</w:t>
            </w:r>
          </w:p>
        </w:tc>
        <w:tc>
          <w:tcPr>
            <w:tcW w:w="1030" w:type="dxa"/>
            <w:tcBorders>
              <w:top w:val="single" w:sz="4" w:space="0" w:color="auto"/>
              <w:left w:val="single" w:sz="4" w:space="0" w:color="auto"/>
              <w:bottom w:val="single" w:sz="4" w:space="0" w:color="auto"/>
              <w:right w:val="single" w:sz="4" w:space="0" w:color="auto"/>
            </w:tcBorders>
            <w:hideMark/>
          </w:tcPr>
          <w:p w14:paraId="4F1340A6" w14:textId="77777777" w:rsidR="009224B4" w:rsidRDefault="009224B4" w:rsidP="005774A8">
            <w:pPr>
              <w:jc w:val="center"/>
              <w:rPr>
                <w:rFonts w:cs="Arial"/>
                <w:szCs w:val="24"/>
              </w:rPr>
            </w:pPr>
            <w:r>
              <w:rPr>
                <w:rFonts w:cs="Arial"/>
                <w:szCs w:val="24"/>
              </w:rPr>
              <w:t>96.3%</w:t>
            </w:r>
          </w:p>
        </w:tc>
      </w:tr>
      <w:tr w:rsidR="009224B4" w14:paraId="7A336250" w14:textId="77777777" w:rsidTr="005774A8">
        <w:tc>
          <w:tcPr>
            <w:tcW w:w="1505" w:type="dxa"/>
            <w:tcBorders>
              <w:top w:val="single" w:sz="4" w:space="0" w:color="auto"/>
              <w:left w:val="single" w:sz="4" w:space="0" w:color="auto"/>
              <w:bottom w:val="single" w:sz="4" w:space="0" w:color="auto"/>
              <w:right w:val="single" w:sz="4" w:space="0" w:color="auto"/>
            </w:tcBorders>
            <w:hideMark/>
          </w:tcPr>
          <w:p w14:paraId="1ED142D4" w14:textId="77777777" w:rsidR="009224B4" w:rsidRDefault="009224B4" w:rsidP="005774A8">
            <w:pPr>
              <w:rPr>
                <w:rFonts w:cs="Arial"/>
                <w:szCs w:val="24"/>
              </w:rPr>
            </w:pPr>
            <w:r>
              <w:rPr>
                <w:rFonts w:cs="Arial"/>
                <w:szCs w:val="24"/>
              </w:rPr>
              <w:t>Average Handling time</w:t>
            </w:r>
          </w:p>
        </w:tc>
        <w:tc>
          <w:tcPr>
            <w:tcW w:w="1030" w:type="dxa"/>
            <w:tcBorders>
              <w:top w:val="single" w:sz="4" w:space="0" w:color="auto"/>
              <w:left w:val="single" w:sz="4" w:space="0" w:color="auto"/>
              <w:bottom w:val="single" w:sz="4" w:space="0" w:color="auto"/>
              <w:right w:val="single" w:sz="4" w:space="0" w:color="auto"/>
            </w:tcBorders>
            <w:hideMark/>
          </w:tcPr>
          <w:p w14:paraId="5CFD9089" w14:textId="77777777" w:rsidR="009224B4" w:rsidRDefault="009224B4" w:rsidP="005774A8">
            <w:pPr>
              <w:jc w:val="center"/>
              <w:rPr>
                <w:rFonts w:cs="Arial"/>
                <w:szCs w:val="24"/>
              </w:rPr>
            </w:pPr>
            <w:r>
              <w:rPr>
                <w:rFonts w:cs="Arial"/>
                <w:szCs w:val="24"/>
              </w:rPr>
              <w:t>367</w:t>
            </w:r>
          </w:p>
        </w:tc>
        <w:tc>
          <w:tcPr>
            <w:tcW w:w="1030" w:type="dxa"/>
            <w:tcBorders>
              <w:top w:val="single" w:sz="4" w:space="0" w:color="auto"/>
              <w:left w:val="single" w:sz="4" w:space="0" w:color="auto"/>
              <w:bottom w:val="single" w:sz="4" w:space="0" w:color="auto"/>
              <w:right w:val="single" w:sz="4" w:space="0" w:color="auto"/>
            </w:tcBorders>
            <w:hideMark/>
          </w:tcPr>
          <w:p w14:paraId="069EC997" w14:textId="77777777" w:rsidR="009224B4" w:rsidRDefault="009224B4" w:rsidP="005774A8">
            <w:pPr>
              <w:jc w:val="center"/>
              <w:rPr>
                <w:rFonts w:cs="Arial"/>
                <w:szCs w:val="24"/>
              </w:rPr>
            </w:pPr>
            <w:r>
              <w:rPr>
                <w:rFonts w:cs="Arial"/>
                <w:szCs w:val="24"/>
              </w:rPr>
              <w:t>302</w:t>
            </w:r>
          </w:p>
        </w:tc>
        <w:tc>
          <w:tcPr>
            <w:tcW w:w="1030" w:type="dxa"/>
            <w:tcBorders>
              <w:top w:val="single" w:sz="4" w:space="0" w:color="auto"/>
              <w:left w:val="single" w:sz="4" w:space="0" w:color="auto"/>
              <w:bottom w:val="single" w:sz="4" w:space="0" w:color="auto"/>
              <w:right w:val="single" w:sz="4" w:space="0" w:color="auto"/>
            </w:tcBorders>
            <w:hideMark/>
          </w:tcPr>
          <w:p w14:paraId="14A855F6" w14:textId="77777777" w:rsidR="009224B4" w:rsidRDefault="009224B4" w:rsidP="005774A8">
            <w:pPr>
              <w:jc w:val="center"/>
              <w:rPr>
                <w:rFonts w:cs="Arial"/>
                <w:szCs w:val="24"/>
              </w:rPr>
            </w:pPr>
            <w:r>
              <w:rPr>
                <w:rFonts w:cs="Arial"/>
                <w:szCs w:val="24"/>
              </w:rPr>
              <w:t>352</w:t>
            </w:r>
          </w:p>
        </w:tc>
        <w:tc>
          <w:tcPr>
            <w:tcW w:w="1030" w:type="dxa"/>
            <w:tcBorders>
              <w:top w:val="single" w:sz="4" w:space="0" w:color="auto"/>
              <w:left w:val="single" w:sz="4" w:space="0" w:color="auto"/>
              <w:bottom w:val="single" w:sz="4" w:space="0" w:color="auto"/>
              <w:right w:val="single" w:sz="4" w:space="0" w:color="auto"/>
            </w:tcBorders>
            <w:hideMark/>
          </w:tcPr>
          <w:p w14:paraId="18F68960" w14:textId="77777777" w:rsidR="009224B4" w:rsidRDefault="009224B4" w:rsidP="005774A8">
            <w:pPr>
              <w:jc w:val="center"/>
              <w:rPr>
                <w:rFonts w:cs="Arial"/>
                <w:szCs w:val="24"/>
              </w:rPr>
            </w:pPr>
            <w:r>
              <w:rPr>
                <w:rFonts w:cs="Arial"/>
                <w:szCs w:val="24"/>
              </w:rPr>
              <w:t>367</w:t>
            </w:r>
          </w:p>
        </w:tc>
        <w:tc>
          <w:tcPr>
            <w:tcW w:w="1030" w:type="dxa"/>
            <w:tcBorders>
              <w:top w:val="single" w:sz="4" w:space="0" w:color="auto"/>
              <w:left w:val="single" w:sz="4" w:space="0" w:color="auto"/>
              <w:bottom w:val="single" w:sz="4" w:space="0" w:color="auto"/>
              <w:right w:val="single" w:sz="4" w:space="0" w:color="auto"/>
            </w:tcBorders>
            <w:hideMark/>
          </w:tcPr>
          <w:p w14:paraId="4500D488" w14:textId="77777777" w:rsidR="009224B4" w:rsidRDefault="009224B4" w:rsidP="005774A8">
            <w:pPr>
              <w:jc w:val="center"/>
              <w:rPr>
                <w:rFonts w:cs="Arial"/>
                <w:szCs w:val="24"/>
              </w:rPr>
            </w:pPr>
            <w:r>
              <w:rPr>
                <w:rFonts w:cs="Arial"/>
                <w:szCs w:val="24"/>
              </w:rPr>
              <w:t>369</w:t>
            </w:r>
          </w:p>
        </w:tc>
        <w:tc>
          <w:tcPr>
            <w:tcW w:w="1030" w:type="dxa"/>
            <w:tcBorders>
              <w:top w:val="single" w:sz="4" w:space="0" w:color="auto"/>
              <w:left w:val="single" w:sz="4" w:space="0" w:color="auto"/>
              <w:bottom w:val="single" w:sz="4" w:space="0" w:color="auto"/>
              <w:right w:val="single" w:sz="4" w:space="0" w:color="auto"/>
            </w:tcBorders>
            <w:hideMark/>
          </w:tcPr>
          <w:p w14:paraId="4BE64923" w14:textId="77777777" w:rsidR="009224B4" w:rsidRDefault="009224B4" w:rsidP="005774A8">
            <w:pPr>
              <w:jc w:val="center"/>
              <w:rPr>
                <w:rFonts w:cs="Arial"/>
                <w:szCs w:val="24"/>
              </w:rPr>
            </w:pPr>
            <w:r>
              <w:rPr>
                <w:rFonts w:cs="Arial"/>
                <w:szCs w:val="24"/>
              </w:rPr>
              <w:t>372</w:t>
            </w:r>
          </w:p>
        </w:tc>
        <w:tc>
          <w:tcPr>
            <w:tcW w:w="1030" w:type="dxa"/>
            <w:tcBorders>
              <w:top w:val="single" w:sz="4" w:space="0" w:color="auto"/>
              <w:left w:val="single" w:sz="4" w:space="0" w:color="auto"/>
              <w:bottom w:val="single" w:sz="4" w:space="0" w:color="auto"/>
              <w:right w:val="single" w:sz="4" w:space="0" w:color="auto"/>
            </w:tcBorders>
            <w:hideMark/>
          </w:tcPr>
          <w:p w14:paraId="5C90947C" w14:textId="77777777" w:rsidR="009224B4" w:rsidRDefault="009224B4" w:rsidP="005774A8">
            <w:pPr>
              <w:jc w:val="center"/>
              <w:rPr>
                <w:rFonts w:cs="Arial"/>
                <w:szCs w:val="24"/>
              </w:rPr>
            </w:pPr>
            <w:r>
              <w:rPr>
                <w:rFonts w:cs="Arial"/>
                <w:szCs w:val="24"/>
              </w:rPr>
              <w:t>363</w:t>
            </w:r>
          </w:p>
        </w:tc>
        <w:tc>
          <w:tcPr>
            <w:tcW w:w="1030" w:type="dxa"/>
            <w:tcBorders>
              <w:top w:val="single" w:sz="4" w:space="0" w:color="auto"/>
              <w:left w:val="single" w:sz="4" w:space="0" w:color="auto"/>
              <w:bottom w:val="single" w:sz="4" w:space="0" w:color="auto"/>
              <w:right w:val="single" w:sz="4" w:space="0" w:color="auto"/>
            </w:tcBorders>
            <w:hideMark/>
          </w:tcPr>
          <w:p w14:paraId="319D51E8" w14:textId="77777777" w:rsidR="009224B4" w:rsidRDefault="009224B4" w:rsidP="005774A8">
            <w:pPr>
              <w:jc w:val="center"/>
              <w:rPr>
                <w:rFonts w:cs="Arial"/>
                <w:szCs w:val="24"/>
              </w:rPr>
            </w:pPr>
            <w:r>
              <w:rPr>
                <w:rFonts w:cs="Arial"/>
                <w:szCs w:val="24"/>
              </w:rPr>
              <w:t>360</w:t>
            </w:r>
          </w:p>
        </w:tc>
        <w:tc>
          <w:tcPr>
            <w:tcW w:w="1030" w:type="dxa"/>
            <w:tcBorders>
              <w:top w:val="single" w:sz="4" w:space="0" w:color="auto"/>
              <w:left w:val="single" w:sz="4" w:space="0" w:color="auto"/>
              <w:bottom w:val="single" w:sz="4" w:space="0" w:color="auto"/>
              <w:right w:val="single" w:sz="4" w:space="0" w:color="auto"/>
            </w:tcBorders>
            <w:hideMark/>
          </w:tcPr>
          <w:p w14:paraId="7B5C0A98" w14:textId="77777777" w:rsidR="009224B4" w:rsidRDefault="009224B4" w:rsidP="005774A8">
            <w:pPr>
              <w:jc w:val="center"/>
              <w:rPr>
                <w:rFonts w:cs="Arial"/>
                <w:szCs w:val="24"/>
              </w:rPr>
            </w:pPr>
            <w:r>
              <w:rPr>
                <w:rFonts w:cs="Arial"/>
                <w:szCs w:val="24"/>
              </w:rPr>
              <w:t>360</w:t>
            </w:r>
          </w:p>
        </w:tc>
        <w:tc>
          <w:tcPr>
            <w:tcW w:w="1030" w:type="dxa"/>
            <w:tcBorders>
              <w:top w:val="single" w:sz="4" w:space="0" w:color="auto"/>
              <w:left w:val="single" w:sz="4" w:space="0" w:color="auto"/>
              <w:bottom w:val="single" w:sz="4" w:space="0" w:color="auto"/>
              <w:right w:val="single" w:sz="4" w:space="0" w:color="auto"/>
            </w:tcBorders>
            <w:hideMark/>
          </w:tcPr>
          <w:p w14:paraId="150F56D7" w14:textId="77777777" w:rsidR="009224B4" w:rsidRDefault="009224B4" w:rsidP="005774A8">
            <w:pPr>
              <w:jc w:val="center"/>
              <w:rPr>
                <w:rFonts w:cs="Arial"/>
                <w:szCs w:val="24"/>
              </w:rPr>
            </w:pPr>
            <w:r>
              <w:rPr>
                <w:rFonts w:cs="Arial"/>
                <w:szCs w:val="24"/>
              </w:rPr>
              <w:t>373</w:t>
            </w:r>
          </w:p>
        </w:tc>
        <w:tc>
          <w:tcPr>
            <w:tcW w:w="1030" w:type="dxa"/>
            <w:tcBorders>
              <w:top w:val="single" w:sz="4" w:space="0" w:color="auto"/>
              <w:left w:val="single" w:sz="4" w:space="0" w:color="auto"/>
              <w:bottom w:val="single" w:sz="4" w:space="0" w:color="auto"/>
              <w:right w:val="single" w:sz="4" w:space="0" w:color="auto"/>
            </w:tcBorders>
            <w:hideMark/>
          </w:tcPr>
          <w:p w14:paraId="0883460F" w14:textId="77777777" w:rsidR="009224B4" w:rsidRDefault="009224B4" w:rsidP="005774A8">
            <w:pPr>
              <w:jc w:val="center"/>
              <w:rPr>
                <w:rFonts w:cs="Arial"/>
                <w:szCs w:val="24"/>
              </w:rPr>
            </w:pPr>
            <w:r>
              <w:rPr>
                <w:rFonts w:cs="Arial"/>
                <w:szCs w:val="24"/>
              </w:rPr>
              <w:t>374</w:t>
            </w:r>
          </w:p>
        </w:tc>
        <w:tc>
          <w:tcPr>
            <w:tcW w:w="1030" w:type="dxa"/>
            <w:tcBorders>
              <w:top w:val="single" w:sz="4" w:space="0" w:color="auto"/>
              <w:left w:val="single" w:sz="4" w:space="0" w:color="auto"/>
              <w:bottom w:val="single" w:sz="4" w:space="0" w:color="auto"/>
              <w:right w:val="single" w:sz="4" w:space="0" w:color="auto"/>
            </w:tcBorders>
            <w:hideMark/>
          </w:tcPr>
          <w:p w14:paraId="2F2359A9" w14:textId="77777777" w:rsidR="009224B4" w:rsidRDefault="009224B4" w:rsidP="005774A8">
            <w:pPr>
              <w:jc w:val="center"/>
              <w:rPr>
                <w:rFonts w:cs="Arial"/>
                <w:szCs w:val="24"/>
              </w:rPr>
            </w:pPr>
            <w:r>
              <w:rPr>
                <w:rFonts w:cs="Arial"/>
                <w:szCs w:val="24"/>
              </w:rPr>
              <w:t>371</w:t>
            </w:r>
          </w:p>
        </w:tc>
      </w:tr>
      <w:tr w:rsidR="009224B4" w14:paraId="78BE6541" w14:textId="77777777" w:rsidTr="005774A8">
        <w:tc>
          <w:tcPr>
            <w:tcW w:w="1505" w:type="dxa"/>
            <w:tcBorders>
              <w:top w:val="single" w:sz="4" w:space="0" w:color="auto"/>
              <w:left w:val="single" w:sz="4" w:space="0" w:color="auto"/>
              <w:bottom w:val="single" w:sz="4" w:space="0" w:color="auto"/>
              <w:right w:val="single" w:sz="4" w:space="0" w:color="auto"/>
            </w:tcBorders>
          </w:tcPr>
          <w:p w14:paraId="204F8090" w14:textId="77777777" w:rsidR="009224B4" w:rsidRDefault="009224B4" w:rsidP="005774A8">
            <w:pPr>
              <w:rPr>
                <w:rFonts w:cs="Arial"/>
                <w:szCs w:val="24"/>
              </w:rPr>
            </w:pPr>
            <w:r>
              <w:rPr>
                <w:rFonts w:cs="Arial"/>
                <w:szCs w:val="24"/>
              </w:rPr>
              <w:t>Average Queue time</w:t>
            </w:r>
          </w:p>
          <w:p w14:paraId="2503E490" w14:textId="77777777" w:rsidR="009224B4" w:rsidRDefault="009224B4" w:rsidP="005774A8">
            <w:pPr>
              <w:rPr>
                <w:rFonts w:cs="Arial"/>
                <w:szCs w:val="24"/>
              </w:rPr>
            </w:pPr>
          </w:p>
        </w:tc>
        <w:tc>
          <w:tcPr>
            <w:tcW w:w="1030" w:type="dxa"/>
            <w:tcBorders>
              <w:top w:val="single" w:sz="4" w:space="0" w:color="auto"/>
              <w:left w:val="single" w:sz="4" w:space="0" w:color="auto"/>
              <w:bottom w:val="single" w:sz="4" w:space="0" w:color="auto"/>
              <w:right w:val="single" w:sz="4" w:space="0" w:color="auto"/>
            </w:tcBorders>
            <w:hideMark/>
          </w:tcPr>
          <w:p w14:paraId="21643065" w14:textId="77777777" w:rsidR="009224B4" w:rsidRDefault="009224B4" w:rsidP="005774A8">
            <w:pPr>
              <w:jc w:val="center"/>
              <w:rPr>
                <w:rFonts w:cs="Arial"/>
                <w:szCs w:val="24"/>
              </w:rPr>
            </w:pPr>
            <w:r>
              <w:rPr>
                <w:rFonts w:cs="Arial"/>
                <w:szCs w:val="24"/>
              </w:rPr>
              <w:t>277</w:t>
            </w:r>
          </w:p>
        </w:tc>
        <w:tc>
          <w:tcPr>
            <w:tcW w:w="1030" w:type="dxa"/>
            <w:tcBorders>
              <w:top w:val="single" w:sz="4" w:space="0" w:color="auto"/>
              <w:left w:val="single" w:sz="4" w:space="0" w:color="auto"/>
              <w:bottom w:val="single" w:sz="4" w:space="0" w:color="auto"/>
              <w:right w:val="single" w:sz="4" w:space="0" w:color="auto"/>
            </w:tcBorders>
            <w:hideMark/>
          </w:tcPr>
          <w:p w14:paraId="1BA1627E" w14:textId="77777777" w:rsidR="009224B4" w:rsidRDefault="009224B4" w:rsidP="005774A8">
            <w:pPr>
              <w:jc w:val="center"/>
              <w:rPr>
                <w:rFonts w:cs="Arial"/>
                <w:szCs w:val="24"/>
              </w:rPr>
            </w:pPr>
            <w:r>
              <w:rPr>
                <w:rFonts w:cs="Arial"/>
                <w:szCs w:val="24"/>
              </w:rPr>
              <w:t>25</w:t>
            </w:r>
          </w:p>
        </w:tc>
        <w:tc>
          <w:tcPr>
            <w:tcW w:w="1030" w:type="dxa"/>
            <w:tcBorders>
              <w:top w:val="single" w:sz="4" w:space="0" w:color="auto"/>
              <w:left w:val="single" w:sz="4" w:space="0" w:color="auto"/>
              <w:bottom w:val="single" w:sz="4" w:space="0" w:color="auto"/>
              <w:right w:val="single" w:sz="4" w:space="0" w:color="auto"/>
            </w:tcBorders>
            <w:hideMark/>
          </w:tcPr>
          <w:p w14:paraId="194C4069" w14:textId="77777777" w:rsidR="009224B4" w:rsidRDefault="009224B4" w:rsidP="005774A8">
            <w:pPr>
              <w:jc w:val="center"/>
              <w:rPr>
                <w:rFonts w:cs="Arial"/>
                <w:szCs w:val="24"/>
              </w:rPr>
            </w:pPr>
            <w:r>
              <w:rPr>
                <w:rFonts w:cs="Arial"/>
                <w:szCs w:val="24"/>
              </w:rPr>
              <w:t>108</w:t>
            </w:r>
          </w:p>
        </w:tc>
        <w:tc>
          <w:tcPr>
            <w:tcW w:w="1030" w:type="dxa"/>
            <w:tcBorders>
              <w:top w:val="single" w:sz="4" w:space="0" w:color="auto"/>
              <w:left w:val="single" w:sz="4" w:space="0" w:color="auto"/>
              <w:bottom w:val="single" w:sz="4" w:space="0" w:color="auto"/>
              <w:right w:val="single" w:sz="4" w:space="0" w:color="auto"/>
            </w:tcBorders>
            <w:hideMark/>
          </w:tcPr>
          <w:p w14:paraId="1D4FBE4F" w14:textId="77777777" w:rsidR="009224B4" w:rsidRDefault="009224B4" w:rsidP="005774A8">
            <w:pPr>
              <w:jc w:val="center"/>
              <w:rPr>
                <w:rFonts w:cs="Arial"/>
                <w:szCs w:val="24"/>
              </w:rPr>
            </w:pPr>
            <w:r>
              <w:rPr>
                <w:rFonts w:cs="Arial"/>
                <w:szCs w:val="24"/>
              </w:rPr>
              <w:t>39</w:t>
            </w:r>
          </w:p>
        </w:tc>
        <w:tc>
          <w:tcPr>
            <w:tcW w:w="1030" w:type="dxa"/>
            <w:tcBorders>
              <w:top w:val="single" w:sz="4" w:space="0" w:color="auto"/>
              <w:left w:val="single" w:sz="4" w:space="0" w:color="auto"/>
              <w:bottom w:val="single" w:sz="4" w:space="0" w:color="auto"/>
              <w:right w:val="single" w:sz="4" w:space="0" w:color="auto"/>
            </w:tcBorders>
            <w:hideMark/>
          </w:tcPr>
          <w:p w14:paraId="17449F17" w14:textId="77777777" w:rsidR="009224B4" w:rsidRDefault="009224B4" w:rsidP="005774A8">
            <w:pPr>
              <w:jc w:val="center"/>
              <w:rPr>
                <w:rFonts w:cs="Arial"/>
                <w:szCs w:val="24"/>
              </w:rPr>
            </w:pPr>
            <w:r>
              <w:rPr>
                <w:rFonts w:cs="Arial"/>
                <w:szCs w:val="24"/>
              </w:rPr>
              <w:t>24</w:t>
            </w:r>
          </w:p>
        </w:tc>
        <w:tc>
          <w:tcPr>
            <w:tcW w:w="1030" w:type="dxa"/>
            <w:tcBorders>
              <w:top w:val="single" w:sz="4" w:space="0" w:color="auto"/>
              <w:left w:val="single" w:sz="4" w:space="0" w:color="auto"/>
              <w:bottom w:val="single" w:sz="4" w:space="0" w:color="auto"/>
              <w:right w:val="single" w:sz="4" w:space="0" w:color="auto"/>
            </w:tcBorders>
            <w:hideMark/>
          </w:tcPr>
          <w:p w14:paraId="3E97E649" w14:textId="77777777" w:rsidR="009224B4" w:rsidRDefault="009224B4" w:rsidP="005774A8">
            <w:pPr>
              <w:jc w:val="center"/>
              <w:rPr>
                <w:rFonts w:cs="Arial"/>
                <w:szCs w:val="24"/>
              </w:rPr>
            </w:pPr>
            <w:r>
              <w:rPr>
                <w:rFonts w:cs="Arial"/>
                <w:szCs w:val="24"/>
              </w:rPr>
              <w:t>27</w:t>
            </w:r>
          </w:p>
        </w:tc>
        <w:tc>
          <w:tcPr>
            <w:tcW w:w="1030" w:type="dxa"/>
            <w:tcBorders>
              <w:top w:val="single" w:sz="4" w:space="0" w:color="auto"/>
              <w:left w:val="single" w:sz="4" w:space="0" w:color="auto"/>
              <w:bottom w:val="single" w:sz="4" w:space="0" w:color="auto"/>
              <w:right w:val="single" w:sz="4" w:space="0" w:color="auto"/>
            </w:tcBorders>
            <w:hideMark/>
          </w:tcPr>
          <w:p w14:paraId="646A4972" w14:textId="77777777" w:rsidR="009224B4" w:rsidRDefault="009224B4" w:rsidP="005774A8">
            <w:pPr>
              <w:jc w:val="center"/>
              <w:rPr>
                <w:rFonts w:cs="Arial"/>
                <w:szCs w:val="24"/>
              </w:rPr>
            </w:pPr>
            <w:r>
              <w:rPr>
                <w:rFonts w:cs="Arial"/>
                <w:szCs w:val="24"/>
              </w:rPr>
              <w:t>36</w:t>
            </w:r>
          </w:p>
        </w:tc>
        <w:tc>
          <w:tcPr>
            <w:tcW w:w="1030" w:type="dxa"/>
            <w:tcBorders>
              <w:top w:val="single" w:sz="4" w:space="0" w:color="auto"/>
              <w:left w:val="single" w:sz="4" w:space="0" w:color="auto"/>
              <w:bottom w:val="single" w:sz="4" w:space="0" w:color="auto"/>
              <w:right w:val="single" w:sz="4" w:space="0" w:color="auto"/>
            </w:tcBorders>
            <w:hideMark/>
          </w:tcPr>
          <w:p w14:paraId="5C908CD4" w14:textId="77777777" w:rsidR="009224B4" w:rsidRDefault="009224B4" w:rsidP="005774A8">
            <w:pPr>
              <w:jc w:val="center"/>
              <w:rPr>
                <w:rFonts w:cs="Arial"/>
                <w:szCs w:val="24"/>
              </w:rPr>
            </w:pPr>
            <w:r>
              <w:rPr>
                <w:rFonts w:cs="Arial"/>
                <w:szCs w:val="24"/>
              </w:rPr>
              <w:t>22</w:t>
            </w:r>
          </w:p>
        </w:tc>
        <w:tc>
          <w:tcPr>
            <w:tcW w:w="1030" w:type="dxa"/>
            <w:tcBorders>
              <w:top w:val="single" w:sz="4" w:space="0" w:color="auto"/>
              <w:left w:val="single" w:sz="4" w:space="0" w:color="auto"/>
              <w:bottom w:val="single" w:sz="4" w:space="0" w:color="auto"/>
              <w:right w:val="single" w:sz="4" w:space="0" w:color="auto"/>
            </w:tcBorders>
            <w:hideMark/>
          </w:tcPr>
          <w:p w14:paraId="307788DE" w14:textId="77777777" w:rsidR="009224B4" w:rsidRDefault="009224B4" w:rsidP="005774A8">
            <w:pPr>
              <w:rPr>
                <w:rFonts w:cs="Arial"/>
                <w:szCs w:val="24"/>
              </w:rPr>
            </w:pPr>
            <w:r>
              <w:rPr>
                <w:rFonts w:cs="Arial"/>
                <w:szCs w:val="24"/>
              </w:rPr>
              <w:t xml:space="preserve">    11</w:t>
            </w:r>
          </w:p>
          <w:p w14:paraId="74CA7D0B" w14:textId="77777777" w:rsidR="009224B4" w:rsidRDefault="009224B4" w:rsidP="005774A8">
            <w:pPr>
              <w:jc w:val="center"/>
              <w:rPr>
                <w:rFonts w:cs="Arial"/>
                <w:szCs w:val="24"/>
              </w:rPr>
            </w:pPr>
          </w:p>
        </w:tc>
        <w:tc>
          <w:tcPr>
            <w:tcW w:w="1030" w:type="dxa"/>
            <w:tcBorders>
              <w:top w:val="single" w:sz="4" w:space="0" w:color="auto"/>
              <w:left w:val="single" w:sz="4" w:space="0" w:color="auto"/>
              <w:bottom w:val="single" w:sz="4" w:space="0" w:color="auto"/>
              <w:right w:val="single" w:sz="4" w:space="0" w:color="auto"/>
            </w:tcBorders>
            <w:hideMark/>
          </w:tcPr>
          <w:p w14:paraId="172C0B61" w14:textId="77777777" w:rsidR="009224B4" w:rsidRDefault="009224B4" w:rsidP="005774A8">
            <w:pPr>
              <w:jc w:val="center"/>
              <w:rPr>
                <w:rFonts w:cs="Arial"/>
                <w:szCs w:val="24"/>
              </w:rPr>
            </w:pPr>
            <w:r>
              <w:rPr>
                <w:rFonts w:cs="Arial"/>
                <w:szCs w:val="24"/>
              </w:rPr>
              <w:t>11</w:t>
            </w:r>
          </w:p>
        </w:tc>
        <w:tc>
          <w:tcPr>
            <w:tcW w:w="1030" w:type="dxa"/>
            <w:tcBorders>
              <w:top w:val="single" w:sz="4" w:space="0" w:color="auto"/>
              <w:left w:val="single" w:sz="4" w:space="0" w:color="auto"/>
              <w:bottom w:val="single" w:sz="4" w:space="0" w:color="auto"/>
              <w:right w:val="single" w:sz="4" w:space="0" w:color="auto"/>
            </w:tcBorders>
            <w:hideMark/>
          </w:tcPr>
          <w:p w14:paraId="0FBD4FCC" w14:textId="77777777" w:rsidR="009224B4" w:rsidRDefault="009224B4" w:rsidP="005774A8">
            <w:pPr>
              <w:jc w:val="center"/>
              <w:rPr>
                <w:rFonts w:cs="Arial"/>
                <w:szCs w:val="24"/>
              </w:rPr>
            </w:pPr>
            <w:r>
              <w:rPr>
                <w:rFonts w:cs="Arial"/>
                <w:szCs w:val="24"/>
              </w:rPr>
              <w:t>15</w:t>
            </w:r>
          </w:p>
        </w:tc>
        <w:tc>
          <w:tcPr>
            <w:tcW w:w="1030" w:type="dxa"/>
            <w:tcBorders>
              <w:top w:val="single" w:sz="4" w:space="0" w:color="auto"/>
              <w:left w:val="single" w:sz="4" w:space="0" w:color="auto"/>
              <w:bottom w:val="single" w:sz="4" w:space="0" w:color="auto"/>
              <w:right w:val="single" w:sz="4" w:space="0" w:color="auto"/>
            </w:tcBorders>
          </w:tcPr>
          <w:p w14:paraId="6CAB0A7E" w14:textId="77777777" w:rsidR="009224B4" w:rsidRDefault="009224B4" w:rsidP="005774A8">
            <w:pPr>
              <w:rPr>
                <w:rFonts w:cs="Arial"/>
                <w:szCs w:val="24"/>
              </w:rPr>
            </w:pPr>
            <w:r>
              <w:rPr>
                <w:rFonts w:cs="Arial"/>
                <w:szCs w:val="24"/>
              </w:rPr>
              <w:t>12</w:t>
            </w:r>
          </w:p>
        </w:tc>
      </w:tr>
      <w:tr w:rsidR="009224B4" w14:paraId="561D22B4" w14:textId="77777777" w:rsidTr="005774A8">
        <w:tc>
          <w:tcPr>
            <w:tcW w:w="1505" w:type="dxa"/>
            <w:tcBorders>
              <w:top w:val="single" w:sz="4" w:space="0" w:color="auto"/>
              <w:left w:val="single" w:sz="4" w:space="0" w:color="auto"/>
              <w:bottom w:val="single" w:sz="4" w:space="0" w:color="auto"/>
              <w:right w:val="single" w:sz="4" w:space="0" w:color="auto"/>
            </w:tcBorders>
            <w:hideMark/>
          </w:tcPr>
          <w:p w14:paraId="3B3F5497" w14:textId="77777777" w:rsidR="009224B4" w:rsidRDefault="009224B4" w:rsidP="005774A8">
            <w:pPr>
              <w:rPr>
                <w:rFonts w:cs="Arial"/>
                <w:szCs w:val="24"/>
              </w:rPr>
            </w:pPr>
            <w:r>
              <w:rPr>
                <w:rFonts w:cs="Arial"/>
                <w:szCs w:val="24"/>
              </w:rPr>
              <w:t xml:space="preserve">Average Speed of Answer </w:t>
            </w:r>
          </w:p>
        </w:tc>
        <w:tc>
          <w:tcPr>
            <w:tcW w:w="1030" w:type="dxa"/>
            <w:tcBorders>
              <w:top w:val="single" w:sz="4" w:space="0" w:color="auto"/>
              <w:left w:val="single" w:sz="4" w:space="0" w:color="auto"/>
              <w:bottom w:val="single" w:sz="4" w:space="0" w:color="auto"/>
              <w:right w:val="single" w:sz="4" w:space="0" w:color="auto"/>
            </w:tcBorders>
            <w:hideMark/>
          </w:tcPr>
          <w:p w14:paraId="079D06F1" w14:textId="77777777" w:rsidR="009224B4" w:rsidRDefault="009224B4" w:rsidP="005774A8">
            <w:pPr>
              <w:jc w:val="center"/>
              <w:rPr>
                <w:rFonts w:cs="Arial"/>
                <w:szCs w:val="24"/>
              </w:rPr>
            </w:pPr>
            <w:r>
              <w:rPr>
                <w:rFonts w:cs="Arial"/>
                <w:szCs w:val="24"/>
              </w:rPr>
              <w:t>69</w:t>
            </w:r>
          </w:p>
        </w:tc>
        <w:tc>
          <w:tcPr>
            <w:tcW w:w="1030" w:type="dxa"/>
            <w:tcBorders>
              <w:top w:val="single" w:sz="4" w:space="0" w:color="auto"/>
              <w:left w:val="single" w:sz="4" w:space="0" w:color="auto"/>
              <w:bottom w:val="single" w:sz="4" w:space="0" w:color="auto"/>
              <w:right w:val="single" w:sz="4" w:space="0" w:color="auto"/>
            </w:tcBorders>
            <w:hideMark/>
          </w:tcPr>
          <w:p w14:paraId="2E1FF61D" w14:textId="77777777" w:rsidR="009224B4" w:rsidRDefault="009224B4" w:rsidP="005774A8">
            <w:pPr>
              <w:jc w:val="center"/>
              <w:rPr>
                <w:rFonts w:cs="Arial"/>
                <w:szCs w:val="24"/>
              </w:rPr>
            </w:pPr>
            <w:r>
              <w:rPr>
                <w:rFonts w:cs="Arial"/>
                <w:szCs w:val="24"/>
              </w:rPr>
              <w:t>37</w:t>
            </w:r>
          </w:p>
        </w:tc>
        <w:tc>
          <w:tcPr>
            <w:tcW w:w="1030" w:type="dxa"/>
            <w:tcBorders>
              <w:top w:val="single" w:sz="4" w:space="0" w:color="auto"/>
              <w:left w:val="single" w:sz="4" w:space="0" w:color="auto"/>
              <w:bottom w:val="single" w:sz="4" w:space="0" w:color="auto"/>
              <w:right w:val="single" w:sz="4" w:space="0" w:color="auto"/>
            </w:tcBorders>
            <w:hideMark/>
          </w:tcPr>
          <w:p w14:paraId="1B31709B" w14:textId="77777777" w:rsidR="009224B4" w:rsidRDefault="009224B4" w:rsidP="005774A8">
            <w:pPr>
              <w:jc w:val="center"/>
              <w:rPr>
                <w:rFonts w:cs="Arial"/>
                <w:szCs w:val="24"/>
              </w:rPr>
            </w:pPr>
            <w:r>
              <w:rPr>
                <w:rFonts w:cs="Arial"/>
                <w:szCs w:val="24"/>
              </w:rPr>
              <w:t>94</w:t>
            </w:r>
          </w:p>
        </w:tc>
        <w:tc>
          <w:tcPr>
            <w:tcW w:w="1030" w:type="dxa"/>
            <w:tcBorders>
              <w:top w:val="single" w:sz="4" w:space="0" w:color="auto"/>
              <w:left w:val="single" w:sz="4" w:space="0" w:color="auto"/>
              <w:bottom w:val="single" w:sz="4" w:space="0" w:color="auto"/>
              <w:right w:val="single" w:sz="4" w:space="0" w:color="auto"/>
            </w:tcBorders>
            <w:hideMark/>
          </w:tcPr>
          <w:p w14:paraId="52B9BB61" w14:textId="77777777" w:rsidR="009224B4" w:rsidRDefault="009224B4" w:rsidP="005774A8">
            <w:pPr>
              <w:jc w:val="center"/>
              <w:rPr>
                <w:rFonts w:cs="Arial"/>
                <w:szCs w:val="24"/>
              </w:rPr>
            </w:pPr>
            <w:r>
              <w:rPr>
                <w:rFonts w:cs="Arial"/>
                <w:szCs w:val="24"/>
              </w:rPr>
              <w:t>45</w:t>
            </w:r>
          </w:p>
        </w:tc>
        <w:tc>
          <w:tcPr>
            <w:tcW w:w="1030" w:type="dxa"/>
            <w:tcBorders>
              <w:top w:val="single" w:sz="4" w:space="0" w:color="auto"/>
              <w:left w:val="single" w:sz="4" w:space="0" w:color="auto"/>
              <w:bottom w:val="single" w:sz="4" w:space="0" w:color="auto"/>
              <w:right w:val="single" w:sz="4" w:space="0" w:color="auto"/>
            </w:tcBorders>
            <w:hideMark/>
          </w:tcPr>
          <w:p w14:paraId="3A56669C" w14:textId="77777777" w:rsidR="009224B4" w:rsidRDefault="009224B4" w:rsidP="005774A8">
            <w:pPr>
              <w:jc w:val="center"/>
              <w:rPr>
                <w:rFonts w:cs="Arial"/>
                <w:szCs w:val="24"/>
              </w:rPr>
            </w:pPr>
            <w:r>
              <w:rPr>
                <w:rFonts w:cs="Arial"/>
                <w:szCs w:val="24"/>
              </w:rPr>
              <w:t>43</w:t>
            </w:r>
          </w:p>
        </w:tc>
        <w:tc>
          <w:tcPr>
            <w:tcW w:w="1030" w:type="dxa"/>
            <w:tcBorders>
              <w:top w:val="single" w:sz="4" w:space="0" w:color="auto"/>
              <w:left w:val="single" w:sz="4" w:space="0" w:color="auto"/>
              <w:bottom w:val="single" w:sz="4" w:space="0" w:color="auto"/>
              <w:right w:val="single" w:sz="4" w:space="0" w:color="auto"/>
            </w:tcBorders>
            <w:hideMark/>
          </w:tcPr>
          <w:p w14:paraId="1FAB3781" w14:textId="77777777" w:rsidR="009224B4" w:rsidRDefault="009224B4" w:rsidP="005774A8">
            <w:pPr>
              <w:jc w:val="center"/>
              <w:rPr>
                <w:rFonts w:cs="Arial"/>
                <w:szCs w:val="24"/>
              </w:rPr>
            </w:pPr>
            <w:r>
              <w:rPr>
                <w:rFonts w:cs="Arial"/>
                <w:szCs w:val="24"/>
              </w:rPr>
              <w:t>49</w:t>
            </w:r>
          </w:p>
        </w:tc>
        <w:tc>
          <w:tcPr>
            <w:tcW w:w="1030" w:type="dxa"/>
            <w:tcBorders>
              <w:top w:val="single" w:sz="4" w:space="0" w:color="auto"/>
              <w:left w:val="single" w:sz="4" w:space="0" w:color="auto"/>
              <w:bottom w:val="single" w:sz="4" w:space="0" w:color="auto"/>
              <w:right w:val="single" w:sz="4" w:space="0" w:color="auto"/>
            </w:tcBorders>
            <w:hideMark/>
          </w:tcPr>
          <w:p w14:paraId="067D189F" w14:textId="77777777" w:rsidR="009224B4" w:rsidRDefault="009224B4" w:rsidP="005774A8">
            <w:pPr>
              <w:jc w:val="center"/>
              <w:rPr>
                <w:rFonts w:cs="Arial"/>
                <w:szCs w:val="24"/>
              </w:rPr>
            </w:pPr>
            <w:r>
              <w:rPr>
                <w:rFonts w:cs="Arial"/>
                <w:szCs w:val="24"/>
              </w:rPr>
              <w:t>37</w:t>
            </w:r>
          </w:p>
        </w:tc>
        <w:tc>
          <w:tcPr>
            <w:tcW w:w="1030" w:type="dxa"/>
            <w:tcBorders>
              <w:top w:val="single" w:sz="4" w:space="0" w:color="auto"/>
              <w:left w:val="single" w:sz="4" w:space="0" w:color="auto"/>
              <w:bottom w:val="single" w:sz="4" w:space="0" w:color="auto"/>
              <w:right w:val="single" w:sz="4" w:space="0" w:color="auto"/>
            </w:tcBorders>
            <w:hideMark/>
          </w:tcPr>
          <w:p w14:paraId="08264D8D" w14:textId="77777777" w:rsidR="009224B4" w:rsidRDefault="009224B4" w:rsidP="005774A8">
            <w:pPr>
              <w:jc w:val="center"/>
              <w:rPr>
                <w:rFonts w:cs="Arial"/>
                <w:szCs w:val="24"/>
              </w:rPr>
            </w:pPr>
            <w:r>
              <w:rPr>
                <w:rFonts w:cs="Arial"/>
                <w:szCs w:val="24"/>
              </w:rPr>
              <w:t>23</w:t>
            </w:r>
          </w:p>
        </w:tc>
        <w:tc>
          <w:tcPr>
            <w:tcW w:w="1030" w:type="dxa"/>
            <w:tcBorders>
              <w:top w:val="single" w:sz="4" w:space="0" w:color="auto"/>
              <w:left w:val="single" w:sz="4" w:space="0" w:color="auto"/>
              <w:bottom w:val="single" w:sz="4" w:space="0" w:color="auto"/>
              <w:right w:val="single" w:sz="4" w:space="0" w:color="auto"/>
            </w:tcBorders>
            <w:hideMark/>
          </w:tcPr>
          <w:p w14:paraId="4079E022" w14:textId="77777777" w:rsidR="009224B4" w:rsidRDefault="009224B4" w:rsidP="005774A8">
            <w:pPr>
              <w:rPr>
                <w:rFonts w:cs="Arial"/>
                <w:szCs w:val="24"/>
              </w:rPr>
            </w:pPr>
            <w:r>
              <w:rPr>
                <w:rFonts w:cs="Arial"/>
                <w:szCs w:val="24"/>
              </w:rPr>
              <w:t xml:space="preserve">    31</w:t>
            </w:r>
          </w:p>
          <w:p w14:paraId="1E983DE3" w14:textId="77777777" w:rsidR="009224B4" w:rsidRDefault="009224B4" w:rsidP="005774A8">
            <w:pPr>
              <w:jc w:val="center"/>
              <w:rPr>
                <w:rFonts w:cs="Arial"/>
                <w:szCs w:val="24"/>
              </w:rPr>
            </w:pPr>
          </w:p>
        </w:tc>
        <w:tc>
          <w:tcPr>
            <w:tcW w:w="1030" w:type="dxa"/>
            <w:tcBorders>
              <w:top w:val="single" w:sz="4" w:space="0" w:color="auto"/>
              <w:left w:val="single" w:sz="4" w:space="0" w:color="auto"/>
              <w:bottom w:val="single" w:sz="4" w:space="0" w:color="auto"/>
              <w:right w:val="single" w:sz="4" w:space="0" w:color="auto"/>
            </w:tcBorders>
            <w:hideMark/>
          </w:tcPr>
          <w:p w14:paraId="518AF685" w14:textId="77777777" w:rsidR="009224B4" w:rsidRDefault="009224B4" w:rsidP="005774A8">
            <w:pPr>
              <w:jc w:val="center"/>
              <w:rPr>
                <w:rFonts w:cs="Arial"/>
                <w:szCs w:val="24"/>
              </w:rPr>
            </w:pPr>
            <w:r>
              <w:rPr>
                <w:rFonts w:cs="Arial"/>
                <w:szCs w:val="24"/>
              </w:rPr>
              <w:t>31</w:t>
            </w:r>
          </w:p>
        </w:tc>
        <w:tc>
          <w:tcPr>
            <w:tcW w:w="1030" w:type="dxa"/>
            <w:tcBorders>
              <w:top w:val="single" w:sz="4" w:space="0" w:color="auto"/>
              <w:left w:val="single" w:sz="4" w:space="0" w:color="auto"/>
              <w:bottom w:val="single" w:sz="4" w:space="0" w:color="auto"/>
              <w:right w:val="single" w:sz="4" w:space="0" w:color="auto"/>
            </w:tcBorders>
            <w:hideMark/>
          </w:tcPr>
          <w:p w14:paraId="5B2029FA" w14:textId="77777777" w:rsidR="009224B4" w:rsidRDefault="009224B4" w:rsidP="005774A8">
            <w:pPr>
              <w:jc w:val="center"/>
              <w:rPr>
                <w:rFonts w:cs="Arial"/>
                <w:szCs w:val="24"/>
              </w:rPr>
            </w:pPr>
            <w:r>
              <w:rPr>
                <w:rFonts w:cs="Arial"/>
                <w:szCs w:val="24"/>
              </w:rPr>
              <w:t>43</w:t>
            </w:r>
          </w:p>
        </w:tc>
        <w:tc>
          <w:tcPr>
            <w:tcW w:w="1030" w:type="dxa"/>
            <w:tcBorders>
              <w:top w:val="single" w:sz="4" w:space="0" w:color="auto"/>
              <w:left w:val="single" w:sz="4" w:space="0" w:color="auto"/>
              <w:bottom w:val="single" w:sz="4" w:space="0" w:color="auto"/>
              <w:right w:val="single" w:sz="4" w:space="0" w:color="auto"/>
            </w:tcBorders>
          </w:tcPr>
          <w:p w14:paraId="7BF7379B" w14:textId="77777777" w:rsidR="009224B4" w:rsidRDefault="009224B4" w:rsidP="005774A8">
            <w:pPr>
              <w:rPr>
                <w:rFonts w:cs="Arial"/>
                <w:szCs w:val="24"/>
              </w:rPr>
            </w:pPr>
            <w:r>
              <w:rPr>
                <w:rFonts w:cs="Arial"/>
                <w:szCs w:val="24"/>
              </w:rPr>
              <w:t>40</w:t>
            </w:r>
          </w:p>
        </w:tc>
      </w:tr>
      <w:tr w:rsidR="009224B4" w14:paraId="3018EAD3" w14:textId="77777777" w:rsidTr="005774A8">
        <w:tc>
          <w:tcPr>
            <w:tcW w:w="1505" w:type="dxa"/>
            <w:tcBorders>
              <w:top w:val="single" w:sz="4" w:space="0" w:color="auto"/>
              <w:left w:val="single" w:sz="4" w:space="0" w:color="auto"/>
              <w:bottom w:val="single" w:sz="4" w:space="0" w:color="auto"/>
              <w:right w:val="single" w:sz="4" w:space="0" w:color="auto"/>
            </w:tcBorders>
            <w:hideMark/>
          </w:tcPr>
          <w:p w14:paraId="36C934B9" w14:textId="77777777" w:rsidR="009224B4" w:rsidRDefault="009224B4" w:rsidP="005774A8">
            <w:pPr>
              <w:rPr>
                <w:rFonts w:cs="Arial"/>
                <w:szCs w:val="24"/>
              </w:rPr>
            </w:pPr>
            <w:r>
              <w:rPr>
                <w:rFonts w:cs="Arial"/>
                <w:szCs w:val="24"/>
              </w:rPr>
              <w:t>Telephony complaints</w:t>
            </w:r>
          </w:p>
        </w:tc>
        <w:tc>
          <w:tcPr>
            <w:tcW w:w="1030" w:type="dxa"/>
            <w:tcBorders>
              <w:top w:val="single" w:sz="4" w:space="0" w:color="auto"/>
              <w:left w:val="single" w:sz="4" w:space="0" w:color="auto"/>
              <w:bottom w:val="single" w:sz="4" w:space="0" w:color="auto"/>
              <w:right w:val="single" w:sz="4" w:space="0" w:color="auto"/>
            </w:tcBorders>
            <w:hideMark/>
          </w:tcPr>
          <w:p w14:paraId="5FF8752C" w14:textId="77777777" w:rsidR="009224B4" w:rsidRDefault="009224B4" w:rsidP="005774A8">
            <w:pPr>
              <w:jc w:val="center"/>
              <w:rPr>
                <w:rFonts w:cs="Arial"/>
                <w:szCs w:val="24"/>
              </w:rPr>
            </w:pPr>
            <w:r>
              <w:rPr>
                <w:rFonts w:cs="Arial"/>
                <w:szCs w:val="24"/>
              </w:rPr>
              <w:t xml:space="preserve">47 </w:t>
            </w:r>
          </w:p>
        </w:tc>
        <w:tc>
          <w:tcPr>
            <w:tcW w:w="1030" w:type="dxa"/>
            <w:tcBorders>
              <w:top w:val="single" w:sz="4" w:space="0" w:color="auto"/>
              <w:left w:val="single" w:sz="4" w:space="0" w:color="auto"/>
              <w:bottom w:val="single" w:sz="4" w:space="0" w:color="auto"/>
              <w:right w:val="single" w:sz="4" w:space="0" w:color="auto"/>
            </w:tcBorders>
            <w:hideMark/>
          </w:tcPr>
          <w:p w14:paraId="59B3FC43" w14:textId="77777777" w:rsidR="009224B4" w:rsidRDefault="009224B4" w:rsidP="005774A8">
            <w:pPr>
              <w:jc w:val="center"/>
              <w:rPr>
                <w:rFonts w:cs="Arial"/>
                <w:szCs w:val="24"/>
              </w:rPr>
            </w:pPr>
            <w:r>
              <w:rPr>
                <w:rFonts w:cs="Arial"/>
                <w:szCs w:val="24"/>
              </w:rPr>
              <w:t xml:space="preserve">14 </w:t>
            </w:r>
          </w:p>
        </w:tc>
        <w:tc>
          <w:tcPr>
            <w:tcW w:w="1030" w:type="dxa"/>
            <w:tcBorders>
              <w:top w:val="single" w:sz="4" w:space="0" w:color="auto"/>
              <w:left w:val="single" w:sz="4" w:space="0" w:color="auto"/>
              <w:bottom w:val="single" w:sz="4" w:space="0" w:color="auto"/>
              <w:right w:val="single" w:sz="4" w:space="0" w:color="auto"/>
            </w:tcBorders>
            <w:hideMark/>
          </w:tcPr>
          <w:p w14:paraId="68E18A07" w14:textId="77777777" w:rsidR="009224B4" w:rsidRDefault="009224B4" w:rsidP="005774A8">
            <w:pPr>
              <w:jc w:val="center"/>
              <w:rPr>
                <w:rFonts w:cs="Arial"/>
                <w:szCs w:val="24"/>
              </w:rPr>
            </w:pPr>
            <w:r>
              <w:rPr>
                <w:rFonts w:cs="Arial"/>
                <w:szCs w:val="24"/>
              </w:rPr>
              <w:t xml:space="preserve">12 </w:t>
            </w:r>
          </w:p>
        </w:tc>
        <w:tc>
          <w:tcPr>
            <w:tcW w:w="1030" w:type="dxa"/>
            <w:tcBorders>
              <w:top w:val="single" w:sz="4" w:space="0" w:color="auto"/>
              <w:left w:val="single" w:sz="4" w:space="0" w:color="auto"/>
              <w:bottom w:val="single" w:sz="4" w:space="0" w:color="auto"/>
              <w:right w:val="single" w:sz="4" w:space="0" w:color="auto"/>
            </w:tcBorders>
            <w:hideMark/>
          </w:tcPr>
          <w:p w14:paraId="2F7919C4" w14:textId="77777777" w:rsidR="009224B4" w:rsidRDefault="009224B4" w:rsidP="005774A8">
            <w:pPr>
              <w:jc w:val="center"/>
              <w:rPr>
                <w:rFonts w:cs="Arial"/>
                <w:szCs w:val="24"/>
              </w:rPr>
            </w:pPr>
            <w:r>
              <w:rPr>
                <w:rFonts w:cs="Arial"/>
                <w:szCs w:val="24"/>
              </w:rPr>
              <w:t xml:space="preserve">13 </w:t>
            </w:r>
          </w:p>
        </w:tc>
        <w:tc>
          <w:tcPr>
            <w:tcW w:w="1030" w:type="dxa"/>
            <w:tcBorders>
              <w:top w:val="single" w:sz="4" w:space="0" w:color="auto"/>
              <w:left w:val="single" w:sz="4" w:space="0" w:color="auto"/>
              <w:bottom w:val="single" w:sz="4" w:space="0" w:color="auto"/>
              <w:right w:val="single" w:sz="4" w:space="0" w:color="auto"/>
            </w:tcBorders>
            <w:hideMark/>
          </w:tcPr>
          <w:p w14:paraId="53DE4B45" w14:textId="77777777" w:rsidR="009224B4" w:rsidRDefault="009224B4" w:rsidP="005774A8">
            <w:pPr>
              <w:jc w:val="center"/>
              <w:rPr>
                <w:rFonts w:cs="Arial"/>
                <w:szCs w:val="24"/>
              </w:rPr>
            </w:pPr>
            <w:r>
              <w:rPr>
                <w:rFonts w:cs="Arial"/>
                <w:szCs w:val="24"/>
              </w:rPr>
              <w:t xml:space="preserve">10 </w:t>
            </w:r>
          </w:p>
        </w:tc>
        <w:tc>
          <w:tcPr>
            <w:tcW w:w="1030" w:type="dxa"/>
            <w:tcBorders>
              <w:top w:val="single" w:sz="4" w:space="0" w:color="auto"/>
              <w:left w:val="single" w:sz="4" w:space="0" w:color="auto"/>
              <w:bottom w:val="single" w:sz="4" w:space="0" w:color="auto"/>
              <w:right w:val="single" w:sz="4" w:space="0" w:color="auto"/>
            </w:tcBorders>
            <w:hideMark/>
          </w:tcPr>
          <w:p w14:paraId="11FA7275" w14:textId="77777777" w:rsidR="009224B4" w:rsidRDefault="009224B4" w:rsidP="005774A8">
            <w:pPr>
              <w:jc w:val="center"/>
              <w:rPr>
                <w:rFonts w:cs="Arial"/>
                <w:szCs w:val="24"/>
              </w:rPr>
            </w:pPr>
            <w:r>
              <w:rPr>
                <w:rFonts w:cs="Arial"/>
                <w:szCs w:val="24"/>
              </w:rPr>
              <w:t xml:space="preserve">9 </w:t>
            </w:r>
          </w:p>
        </w:tc>
        <w:tc>
          <w:tcPr>
            <w:tcW w:w="1030" w:type="dxa"/>
            <w:tcBorders>
              <w:top w:val="single" w:sz="4" w:space="0" w:color="auto"/>
              <w:left w:val="single" w:sz="4" w:space="0" w:color="auto"/>
              <w:bottom w:val="single" w:sz="4" w:space="0" w:color="auto"/>
              <w:right w:val="single" w:sz="4" w:space="0" w:color="auto"/>
            </w:tcBorders>
            <w:hideMark/>
          </w:tcPr>
          <w:p w14:paraId="5005A48E" w14:textId="77777777" w:rsidR="009224B4" w:rsidRDefault="009224B4" w:rsidP="005774A8">
            <w:pPr>
              <w:jc w:val="center"/>
              <w:rPr>
                <w:rFonts w:cs="Arial"/>
                <w:szCs w:val="24"/>
              </w:rPr>
            </w:pPr>
            <w:r>
              <w:rPr>
                <w:rFonts w:cs="Arial"/>
                <w:szCs w:val="24"/>
              </w:rPr>
              <w:t xml:space="preserve">16 </w:t>
            </w:r>
          </w:p>
        </w:tc>
        <w:tc>
          <w:tcPr>
            <w:tcW w:w="1030" w:type="dxa"/>
            <w:tcBorders>
              <w:top w:val="single" w:sz="4" w:space="0" w:color="auto"/>
              <w:left w:val="single" w:sz="4" w:space="0" w:color="auto"/>
              <w:bottom w:val="single" w:sz="4" w:space="0" w:color="auto"/>
              <w:right w:val="single" w:sz="4" w:space="0" w:color="auto"/>
            </w:tcBorders>
            <w:hideMark/>
          </w:tcPr>
          <w:p w14:paraId="0386C251" w14:textId="77777777" w:rsidR="009224B4" w:rsidRDefault="009224B4" w:rsidP="005774A8">
            <w:pPr>
              <w:jc w:val="center"/>
              <w:rPr>
                <w:rFonts w:cs="Arial"/>
                <w:szCs w:val="24"/>
              </w:rPr>
            </w:pPr>
            <w:r>
              <w:rPr>
                <w:rFonts w:cs="Arial"/>
                <w:szCs w:val="24"/>
              </w:rPr>
              <w:t xml:space="preserve">23 </w:t>
            </w:r>
          </w:p>
        </w:tc>
        <w:tc>
          <w:tcPr>
            <w:tcW w:w="1030" w:type="dxa"/>
            <w:tcBorders>
              <w:top w:val="single" w:sz="4" w:space="0" w:color="auto"/>
              <w:left w:val="single" w:sz="4" w:space="0" w:color="auto"/>
              <w:bottom w:val="single" w:sz="4" w:space="0" w:color="auto"/>
              <w:right w:val="single" w:sz="4" w:space="0" w:color="auto"/>
            </w:tcBorders>
            <w:hideMark/>
          </w:tcPr>
          <w:p w14:paraId="63D95206" w14:textId="77777777" w:rsidR="009224B4" w:rsidRDefault="009224B4" w:rsidP="005774A8">
            <w:pPr>
              <w:jc w:val="center"/>
              <w:rPr>
                <w:rFonts w:cs="Arial"/>
                <w:szCs w:val="24"/>
              </w:rPr>
            </w:pPr>
            <w:r>
              <w:rPr>
                <w:rFonts w:cs="Arial"/>
                <w:szCs w:val="24"/>
              </w:rPr>
              <w:t xml:space="preserve">10 </w:t>
            </w:r>
          </w:p>
        </w:tc>
        <w:tc>
          <w:tcPr>
            <w:tcW w:w="1030" w:type="dxa"/>
            <w:tcBorders>
              <w:top w:val="single" w:sz="4" w:space="0" w:color="auto"/>
              <w:left w:val="single" w:sz="4" w:space="0" w:color="auto"/>
              <w:bottom w:val="single" w:sz="4" w:space="0" w:color="auto"/>
              <w:right w:val="single" w:sz="4" w:space="0" w:color="auto"/>
            </w:tcBorders>
            <w:hideMark/>
          </w:tcPr>
          <w:p w14:paraId="232C9DA7" w14:textId="77777777" w:rsidR="009224B4" w:rsidRDefault="009224B4" w:rsidP="005774A8">
            <w:pPr>
              <w:rPr>
                <w:rFonts w:cs="Arial"/>
                <w:szCs w:val="24"/>
              </w:rPr>
            </w:pPr>
            <w:r>
              <w:rPr>
                <w:rFonts w:cs="Arial"/>
                <w:szCs w:val="24"/>
              </w:rPr>
              <w:t>15</w:t>
            </w:r>
          </w:p>
        </w:tc>
        <w:tc>
          <w:tcPr>
            <w:tcW w:w="1030" w:type="dxa"/>
            <w:tcBorders>
              <w:top w:val="single" w:sz="4" w:space="0" w:color="auto"/>
              <w:left w:val="single" w:sz="4" w:space="0" w:color="auto"/>
              <w:bottom w:val="single" w:sz="4" w:space="0" w:color="auto"/>
              <w:right w:val="single" w:sz="4" w:space="0" w:color="auto"/>
            </w:tcBorders>
            <w:hideMark/>
          </w:tcPr>
          <w:p w14:paraId="01A8D19C" w14:textId="77777777" w:rsidR="009224B4" w:rsidRDefault="009224B4" w:rsidP="005774A8">
            <w:pPr>
              <w:jc w:val="center"/>
              <w:rPr>
                <w:rFonts w:cs="Arial"/>
                <w:szCs w:val="24"/>
              </w:rPr>
            </w:pPr>
            <w:r>
              <w:rPr>
                <w:rFonts w:cs="Arial"/>
                <w:szCs w:val="24"/>
              </w:rPr>
              <w:t>21</w:t>
            </w:r>
          </w:p>
        </w:tc>
        <w:tc>
          <w:tcPr>
            <w:tcW w:w="1030" w:type="dxa"/>
            <w:tcBorders>
              <w:top w:val="single" w:sz="4" w:space="0" w:color="auto"/>
              <w:left w:val="single" w:sz="4" w:space="0" w:color="auto"/>
              <w:bottom w:val="single" w:sz="4" w:space="0" w:color="auto"/>
              <w:right w:val="single" w:sz="4" w:space="0" w:color="auto"/>
            </w:tcBorders>
            <w:hideMark/>
          </w:tcPr>
          <w:p w14:paraId="447DFB27" w14:textId="77777777" w:rsidR="009224B4" w:rsidRDefault="009224B4" w:rsidP="005774A8">
            <w:pPr>
              <w:jc w:val="center"/>
              <w:rPr>
                <w:rFonts w:cs="Arial"/>
                <w:szCs w:val="24"/>
              </w:rPr>
            </w:pPr>
            <w:r>
              <w:rPr>
                <w:rFonts w:cs="Arial"/>
                <w:szCs w:val="24"/>
              </w:rPr>
              <w:t>24</w:t>
            </w:r>
          </w:p>
        </w:tc>
      </w:tr>
      <w:tr w:rsidR="009224B4" w14:paraId="76A25409" w14:textId="77777777" w:rsidTr="005774A8">
        <w:tc>
          <w:tcPr>
            <w:tcW w:w="1505" w:type="dxa"/>
            <w:tcBorders>
              <w:top w:val="single" w:sz="4" w:space="0" w:color="auto"/>
              <w:left w:val="single" w:sz="4" w:space="0" w:color="auto"/>
              <w:bottom w:val="single" w:sz="4" w:space="0" w:color="auto"/>
              <w:right w:val="single" w:sz="4" w:space="0" w:color="auto"/>
            </w:tcBorders>
            <w:hideMark/>
          </w:tcPr>
          <w:p w14:paraId="46F575EC" w14:textId="0E93A010" w:rsidR="009224B4" w:rsidRDefault="009224B4" w:rsidP="005774A8">
            <w:pPr>
              <w:rPr>
                <w:rFonts w:cs="Arial"/>
                <w:szCs w:val="24"/>
              </w:rPr>
            </w:pPr>
            <w:r>
              <w:rPr>
                <w:rFonts w:cs="Arial"/>
                <w:szCs w:val="24"/>
              </w:rPr>
              <w:t>Outcome 5</w:t>
            </w:r>
          </w:p>
          <w:p w14:paraId="51B9AD55" w14:textId="77777777" w:rsidR="009224B4" w:rsidRDefault="009224B4" w:rsidP="005774A8">
            <w:pPr>
              <w:rPr>
                <w:rFonts w:cs="Arial"/>
                <w:szCs w:val="24"/>
              </w:rPr>
            </w:pPr>
            <w:r>
              <w:rPr>
                <w:rFonts w:cs="Arial"/>
                <w:szCs w:val="24"/>
              </w:rPr>
              <w:t>Satisfied</w:t>
            </w:r>
          </w:p>
        </w:tc>
        <w:tc>
          <w:tcPr>
            <w:tcW w:w="1030" w:type="dxa"/>
            <w:tcBorders>
              <w:top w:val="single" w:sz="4" w:space="0" w:color="auto"/>
              <w:left w:val="single" w:sz="4" w:space="0" w:color="auto"/>
              <w:bottom w:val="single" w:sz="4" w:space="0" w:color="auto"/>
              <w:right w:val="single" w:sz="4" w:space="0" w:color="auto"/>
            </w:tcBorders>
            <w:hideMark/>
          </w:tcPr>
          <w:p w14:paraId="5B3B8479" w14:textId="77777777" w:rsidR="009224B4" w:rsidRDefault="009224B4" w:rsidP="005774A8">
            <w:pPr>
              <w:jc w:val="center"/>
              <w:rPr>
                <w:rFonts w:cs="Arial"/>
                <w:szCs w:val="24"/>
              </w:rPr>
            </w:pPr>
            <w:r>
              <w:rPr>
                <w:rFonts w:cs="Arial"/>
                <w:szCs w:val="24"/>
              </w:rPr>
              <w:t>69.92%</w:t>
            </w:r>
          </w:p>
        </w:tc>
        <w:tc>
          <w:tcPr>
            <w:tcW w:w="1030" w:type="dxa"/>
            <w:tcBorders>
              <w:top w:val="single" w:sz="4" w:space="0" w:color="auto"/>
              <w:left w:val="single" w:sz="4" w:space="0" w:color="auto"/>
              <w:bottom w:val="single" w:sz="4" w:space="0" w:color="auto"/>
              <w:right w:val="single" w:sz="4" w:space="0" w:color="auto"/>
            </w:tcBorders>
            <w:hideMark/>
          </w:tcPr>
          <w:p w14:paraId="1555F3B2" w14:textId="77777777" w:rsidR="009224B4" w:rsidRDefault="009224B4" w:rsidP="005774A8">
            <w:pPr>
              <w:jc w:val="center"/>
              <w:rPr>
                <w:rFonts w:cs="Arial"/>
                <w:szCs w:val="24"/>
              </w:rPr>
            </w:pPr>
            <w:r>
              <w:rPr>
                <w:rFonts w:cs="Arial"/>
                <w:szCs w:val="24"/>
              </w:rPr>
              <w:t>80.27%</w:t>
            </w:r>
          </w:p>
        </w:tc>
        <w:tc>
          <w:tcPr>
            <w:tcW w:w="1030" w:type="dxa"/>
            <w:tcBorders>
              <w:top w:val="single" w:sz="4" w:space="0" w:color="auto"/>
              <w:left w:val="single" w:sz="4" w:space="0" w:color="auto"/>
              <w:bottom w:val="single" w:sz="4" w:space="0" w:color="auto"/>
              <w:right w:val="single" w:sz="4" w:space="0" w:color="auto"/>
            </w:tcBorders>
            <w:hideMark/>
          </w:tcPr>
          <w:p w14:paraId="1D72B00F" w14:textId="77777777" w:rsidR="009224B4" w:rsidRDefault="009224B4" w:rsidP="005774A8">
            <w:pPr>
              <w:jc w:val="center"/>
              <w:rPr>
                <w:rFonts w:cs="Arial"/>
                <w:szCs w:val="24"/>
              </w:rPr>
            </w:pPr>
            <w:r>
              <w:rPr>
                <w:rFonts w:cs="Arial"/>
                <w:szCs w:val="24"/>
              </w:rPr>
              <w:t>78.69%</w:t>
            </w:r>
          </w:p>
        </w:tc>
        <w:tc>
          <w:tcPr>
            <w:tcW w:w="1030" w:type="dxa"/>
            <w:tcBorders>
              <w:top w:val="single" w:sz="4" w:space="0" w:color="auto"/>
              <w:left w:val="single" w:sz="4" w:space="0" w:color="auto"/>
              <w:bottom w:val="single" w:sz="4" w:space="0" w:color="auto"/>
              <w:right w:val="single" w:sz="4" w:space="0" w:color="auto"/>
            </w:tcBorders>
            <w:hideMark/>
          </w:tcPr>
          <w:p w14:paraId="53D8F25C" w14:textId="77777777" w:rsidR="009224B4" w:rsidRDefault="009224B4" w:rsidP="005774A8">
            <w:pPr>
              <w:jc w:val="center"/>
              <w:rPr>
                <w:rFonts w:cs="Arial"/>
                <w:szCs w:val="24"/>
              </w:rPr>
            </w:pPr>
            <w:r>
              <w:rPr>
                <w:rFonts w:cs="Arial"/>
                <w:szCs w:val="24"/>
              </w:rPr>
              <w:t>73.74%</w:t>
            </w:r>
          </w:p>
        </w:tc>
        <w:tc>
          <w:tcPr>
            <w:tcW w:w="1030" w:type="dxa"/>
            <w:tcBorders>
              <w:top w:val="single" w:sz="4" w:space="0" w:color="auto"/>
              <w:left w:val="single" w:sz="4" w:space="0" w:color="auto"/>
              <w:bottom w:val="single" w:sz="4" w:space="0" w:color="auto"/>
              <w:right w:val="single" w:sz="4" w:space="0" w:color="auto"/>
            </w:tcBorders>
            <w:hideMark/>
          </w:tcPr>
          <w:p w14:paraId="44D69521" w14:textId="77777777" w:rsidR="009224B4" w:rsidRDefault="009224B4" w:rsidP="005774A8">
            <w:pPr>
              <w:jc w:val="center"/>
              <w:rPr>
                <w:rFonts w:cs="Arial"/>
                <w:szCs w:val="24"/>
              </w:rPr>
            </w:pPr>
            <w:r>
              <w:rPr>
                <w:rFonts w:cs="Arial"/>
                <w:szCs w:val="24"/>
              </w:rPr>
              <w:t>74.80%</w:t>
            </w:r>
          </w:p>
        </w:tc>
        <w:tc>
          <w:tcPr>
            <w:tcW w:w="1030" w:type="dxa"/>
            <w:tcBorders>
              <w:top w:val="single" w:sz="4" w:space="0" w:color="auto"/>
              <w:left w:val="single" w:sz="4" w:space="0" w:color="auto"/>
              <w:bottom w:val="single" w:sz="4" w:space="0" w:color="auto"/>
              <w:right w:val="single" w:sz="4" w:space="0" w:color="auto"/>
            </w:tcBorders>
            <w:hideMark/>
          </w:tcPr>
          <w:p w14:paraId="7723E76E" w14:textId="77777777" w:rsidR="009224B4" w:rsidRDefault="009224B4" w:rsidP="005774A8">
            <w:pPr>
              <w:jc w:val="center"/>
              <w:rPr>
                <w:rFonts w:cs="Arial"/>
                <w:szCs w:val="24"/>
              </w:rPr>
            </w:pPr>
            <w:r>
              <w:rPr>
                <w:rFonts w:cs="Arial"/>
                <w:szCs w:val="24"/>
              </w:rPr>
              <w:t>71.61%</w:t>
            </w:r>
          </w:p>
        </w:tc>
        <w:tc>
          <w:tcPr>
            <w:tcW w:w="1030" w:type="dxa"/>
            <w:tcBorders>
              <w:top w:val="single" w:sz="4" w:space="0" w:color="auto"/>
              <w:left w:val="single" w:sz="4" w:space="0" w:color="auto"/>
              <w:bottom w:val="single" w:sz="4" w:space="0" w:color="auto"/>
              <w:right w:val="single" w:sz="4" w:space="0" w:color="auto"/>
            </w:tcBorders>
            <w:hideMark/>
          </w:tcPr>
          <w:p w14:paraId="37725C00" w14:textId="77777777" w:rsidR="009224B4" w:rsidRDefault="009224B4" w:rsidP="005774A8">
            <w:pPr>
              <w:jc w:val="center"/>
              <w:rPr>
                <w:rFonts w:cs="Arial"/>
                <w:szCs w:val="24"/>
              </w:rPr>
            </w:pPr>
            <w:r>
              <w:rPr>
                <w:rFonts w:cs="Arial"/>
                <w:szCs w:val="24"/>
              </w:rPr>
              <w:t>72.27%%</w:t>
            </w:r>
          </w:p>
        </w:tc>
        <w:tc>
          <w:tcPr>
            <w:tcW w:w="1030" w:type="dxa"/>
            <w:tcBorders>
              <w:top w:val="single" w:sz="4" w:space="0" w:color="auto"/>
              <w:left w:val="single" w:sz="4" w:space="0" w:color="auto"/>
              <w:bottom w:val="single" w:sz="4" w:space="0" w:color="auto"/>
              <w:right w:val="single" w:sz="4" w:space="0" w:color="auto"/>
            </w:tcBorders>
            <w:hideMark/>
          </w:tcPr>
          <w:p w14:paraId="39403B5A" w14:textId="77777777" w:rsidR="009224B4" w:rsidRDefault="009224B4" w:rsidP="005774A8">
            <w:pPr>
              <w:jc w:val="center"/>
              <w:rPr>
                <w:rFonts w:cs="Arial"/>
                <w:szCs w:val="24"/>
              </w:rPr>
            </w:pPr>
            <w:r>
              <w:rPr>
                <w:rFonts w:cs="Arial"/>
                <w:szCs w:val="24"/>
              </w:rPr>
              <w:t>72.80%</w:t>
            </w:r>
          </w:p>
        </w:tc>
        <w:tc>
          <w:tcPr>
            <w:tcW w:w="1030" w:type="dxa"/>
            <w:tcBorders>
              <w:top w:val="single" w:sz="4" w:space="0" w:color="auto"/>
              <w:left w:val="single" w:sz="4" w:space="0" w:color="auto"/>
              <w:bottom w:val="single" w:sz="4" w:space="0" w:color="auto"/>
              <w:right w:val="single" w:sz="4" w:space="0" w:color="auto"/>
            </w:tcBorders>
            <w:hideMark/>
          </w:tcPr>
          <w:p w14:paraId="7031ACE1" w14:textId="77777777" w:rsidR="009224B4" w:rsidRDefault="009224B4" w:rsidP="005774A8">
            <w:pPr>
              <w:jc w:val="center"/>
              <w:rPr>
                <w:rFonts w:cs="Arial"/>
                <w:szCs w:val="24"/>
              </w:rPr>
            </w:pPr>
            <w:r>
              <w:rPr>
                <w:rFonts w:cs="Arial"/>
                <w:szCs w:val="24"/>
              </w:rPr>
              <w:t>70.45%</w:t>
            </w:r>
          </w:p>
        </w:tc>
        <w:tc>
          <w:tcPr>
            <w:tcW w:w="1030" w:type="dxa"/>
            <w:tcBorders>
              <w:top w:val="single" w:sz="4" w:space="0" w:color="auto"/>
              <w:left w:val="single" w:sz="4" w:space="0" w:color="auto"/>
              <w:bottom w:val="single" w:sz="4" w:space="0" w:color="auto"/>
              <w:right w:val="single" w:sz="4" w:space="0" w:color="auto"/>
            </w:tcBorders>
            <w:hideMark/>
          </w:tcPr>
          <w:p w14:paraId="3CC234FD" w14:textId="77777777" w:rsidR="009224B4" w:rsidRDefault="009224B4" w:rsidP="005774A8">
            <w:pPr>
              <w:jc w:val="center"/>
              <w:rPr>
                <w:rFonts w:cs="Arial"/>
                <w:szCs w:val="24"/>
              </w:rPr>
            </w:pPr>
            <w:r>
              <w:rPr>
                <w:rFonts w:cs="Arial"/>
                <w:szCs w:val="24"/>
              </w:rPr>
              <w:t>72.65%</w:t>
            </w:r>
          </w:p>
        </w:tc>
        <w:tc>
          <w:tcPr>
            <w:tcW w:w="1030" w:type="dxa"/>
            <w:tcBorders>
              <w:top w:val="single" w:sz="4" w:space="0" w:color="auto"/>
              <w:left w:val="single" w:sz="4" w:space="0" w:color="auto"/>
              <w:bottom w:val="single" w:sz="4" w:space="0" w:color="auto"/>
              <w:right w:val="single" w:sz="4" w:space="0" w:color="auto"/>
            </w:tcBorders>
            <w:hideMark/>
          </w:tcPr>
          <w:p w14:paraId="0177B47E" w14:textId="77777777" w:rsidR="009224B4" w:rsidRDefault="009224B4" w:rsidP="005774A8">
            <w:pPr>
              <w:jc w:val="center"/>
              <w:rPr>
                <w:rFonts w:cs="Arial"/>
                <w:szCs w:val="24"/>
              </w:rPr>
            </w:pPr>
            <w:r>
              <w:rPr>
                <w:rFonts w:cs="Arial"/>
                <w:szCs w:val="24"/>
              </w:rPr>
              <w:t>76.77%</w:t>
            </w:r>
          </w:p>
        </w:tc>
        <w:tc>
          <w:tcPr>
            <w:tcW w:w="1030" w:type="dxa"/>
            <w:tcBorders>
              <w:top w:val="single" w:sz="4" w:space="0" w:color="auto"/>
              <w:left w:val="single" w:sz="4" w:space="0" w:color="auto"/>
              <w:bottom w:val="single" w:sz="4" w:space="0" w:color="auto"/>
              <w:right w:val="single" w:sz="4" w:space="0" w:color="auto"/>
            </w:tcBorders>
            <w:hideMark/>
          </w:tcPr>
          <w:p w14:paraId="6853EC6F" w14:textId="77777777" w:rsidR="009224B4" w:rsidRDefault="009224B4" w:rsidP="005774A8">
            <w:pPr>
              <w:jc w:val="center"/>
              <w:rPr>
                <w:rFonts w:cs="Arial"/>
                <w:szCs w:val="24"/>
              </w:rPr>
            </w:pPr>
            <w:r>
              <w:rPr>
                <w:rFonts w:cs="Arial"/>
                <w:szCs w:val="24"/>
              </w:rPr>
              <w:t>76.07%</w:t>
            </w:r>
          </w:p>
        </w:tc>
      </w:tr>
    </w:tbl>
    <w:p w14:paraId="4C7ED049" w14:textId="77777777" w:rsidR="009224B4" w:rsidRPr="007B367A" w:rsidRDefault="009224B4" w:rsidP="00A77E6C">
      <w:pPr>
        <w:rPr>
          <w:rFonts w:cs="Arial"/>
          <w:szCs w:val="24"/>
        </w:rPr>
      </w:pPr>
    </w:p>
    <w:p w14:paraId="38095377" w14:textId="77777777" w:rsidR="00EF47E6" w:rsidRPr="007B367A" w:rsidRDefault="00EF47E6" w:rsidP="00A77E6C">
      <w:pPr>
        <w:rPr>
          <w:rFonts w:cs="Arial"/>
          <w:szCs w:val="24"/>
        </w:rPr>
      </w:pPr>
    </w:p>
    <w:p w14:paraId="58D3D8FE" w14:textId="77777777" w:rsidR="00EF47E6" w:rsidRPr="007B367A" w:rsidRDefault="00EF47E6" w:rsidP="00A77E6C">
      <w:pPr>
        <w:rPr>
          <w:rFonts w:cs="Arial"/>
          <w:szCs w:val="24"/>
        </w:rPr>
        <w:sectPr w:rsidR="00EF47E6" w:rsidRPr="007B367A" w:rsidSect="00A521C3">
          <w:pgSz w:w="16838" w:h="11906" w:orient="landscape"/>
          <w:pgMar w:top="1440" w:right="1440" w:bottom="1418" w:left="1134" w:header="709" w:footer="709" w:gutter="0"/>
          <w:cols w:space="708"/>
          <w:docGrid w:linePitch="360"/>
        </w:sectPr>
      </w:pPr>
    </w:p>
    <w:p w14:paraId="52385D2B" w14:textId="77777777" w:rsidR="00EF47E6" w:rsidRPr="007B367A" w:rsidRDefault="00EF47E6" w:rsidP="00A77E6C">
      <w:pPr>
        <w:rPr>
          <w:rFonts w:cs="Arial"/>
          <w:szCs w:val="24"/>
        </w:rPr>
      </w:pPr>
    </w:p>
    <w:tbl>
      <w:tblPr>
        <w:tblStyle w:val="TableGrid"/>
        <w:tblW w:w="0" w:type="auto"/>
        <w:tblInd w:w="113" w:type="dxa"/>
        <w:tblLook w:val="04A0" w:firstRow="1" w:lastRow="0" w:firstColumn="1" w:lastColumn="0" w:noHBand="0" w:noVBand="1"/>
      </w:tblPr>
      <w:tblGrid>
        <w:gridCol w:w="7230"/>
        <w:gridCol w:w="1134"/>
      </w:tblGrid>
      <w:tr w:rsidR="00EF47E6" w:rsidRPr="007B367A" w14:paraId="447E8D05" w14:textId="77777777" w:rsidTr="00A521C3">
        <w:tc>
          <w:tcPr>
            <w:tcW w:w="7230" w:type="dxa"/>
            <w:shd w:val="clear" w:color="auto" w:fill="auto"/>
          </w:tcPr>
          <w:p w14:paraId="575B0CBE" w14:textId="77777777" w:rsidR="00346D6F" w:rsidRDefault="00EF47E6" w:rsidP="00A77E6C">
            <w:pPr>
              <w:rPr>
                <w:rFonts w:cs="Arial"/>
                <w:b/>
                <w:szCs w:val="24"/>
              </w:rPr>
            </w:pPr>
            <w:r w:rsidRPr="007B367A">
              <w:rPr>
                <w:rFonts w:cs="Arial"/>
                <w:b/>
                <w:color w:val="000000"/>
                <w:szCs w:val="24"/>
              </w:rPr>
              <w:t>Customer satisfaction</w:t>
            </w:r>
            <w:r w:rsidR="00F7567E">
              <w:rPr>
                <w:rFonts w:cs="Arial"/>
                <w:b/>
                <w:color w:val="000000"/>
                <w:szCs w:val="24"/>
              </w:rPr>
              <w:t xml:space="preserve"> </w:t>
            </w:r>
          </w:p>
          <w:p w14:paraId="5B04B1DC" w14:textId="77777777" w:rsidR="009A3F05" w:rsidRPr="007B367A" w:rsidRDefault="009A3F05" w:rsidP="00A77E6C">
            <w:pPr>
              <w:rPr>
                <w:rFonts w:cs="Arial"/>
                <w:b/>
                <w:szCs w:val="24"/>
              </w:rPr>
            </w:pPr>
          </w:p>
        </w:tc>
        <w:tc>
          <w:tcPr>
            <w:tcW w:w="1134" w:type="dxa"/>
            <w:shd w:val="clear" w:color="auto" w:fill="00B050"/>
          </w:tcPr>
          <w:p w14:paraId="5E2820C8" w14:textId="77777777" w:rsidR="00EF47E6" w:rsidRPr="007B367A" w:rsidRDefault="00EF47E6" w:rsidP="00A77E6C">
            <w:pPr>
              <w:rPr>
                <w:rFonts w:cs="Arial"/>
                <w:color w:val="FFC000"/>
                <w:szCs w:val="24"/>
              </w:rPr>
            </w:pPr>
            <w:r w:rsidRPr="007B367A">
              <w:rPr>
                <w:rFonts w:cs="Arial"/>
                <w:noProof/>
                <w:color w:val="00B050"/>
                <w:szCs w:val="24"/>
              </w:rPr>
              <mc:AlternateContent>
                <mc:Choice Requires="wps">
                  <w:drawing>
                    <wp:anchor distT="0" distB="0" distL="114300" distR="114300" simplePos="0" relativeHeight="251660288" behindDoc="0" locked="0" layoutInCell="1" allowOverlap="1" wp14:anchorId="2E8AAA45" wp14:editId="18B2E5B9">
                      <wp:simplePos x="0" y="0"/>
                      <wp:positionH relativeFrom="column">
                        <wp:posOffset>87630</wp:posOffset>
                      </wp:positionH>
                      <wp:positionV relativeFrom="paragraph">
                        <wp:posOffset>175895</wp:posOffset>
                      </wp:positionV>
                      <wp:extent cx="350520" cy="0"/>
                      <wp:effectExtent l="0" t="76200" r="30480" b="152400"/>
                      <wp:wrapNone/>
                      <wp:docPr id="1" name="Straight Arrow Connector 1"/>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4367F00" id="Straight Arrow Connector 1" o:spid="_x0000_s1026" type="#_x0000_t32" style="position:absolute;margin-left:6.9pt;margin-top:13.85pt;width:2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3rHgIAADwEAAAOAAAAZHJzL2Uyb0RvYy54bWysU8GO0zAQvSPxD5bvNGmXolXVdIValguC&#10;ii7iPLWdxJJjW2O3af+esZNmC9wQOTgej2fmvTfj9dOlM+ysMGhnKz6flZwpK5zUtqn4j5fnd4+c&#10;hQhWgnFWVfyqAn/avH2z7v1KLVzrjFTIKIkNq95XvI3Rr4oiiFZ1EGbOK0vO2mEHkUxsConQU/bO&#10;FIuy/FD0DqVHJ1QIdLobnHyT89e1EvFbXQcVmak4YYt5xbwe01ps1rBqEHyrxQgD/gFFB9pS0SnV&#10;DiKwE+q/UnVaoAuujjPhusLVtRYqcyA28/IPNocWvMpcSJzgJ5nC/0srvp73yLSk3nFmoaMWHSKC&#10;btrIPiK6nm2dtSSjQzZPavU+rChoa/c4WsHvMVG/1NilP5Fil6zwdVJYXSITdPiwLJcL6oO4uYrX&#10;OI8hflauY2lT8TDCmOrPs8Bw/hIiVabAW0Aqat2zNiZ301jWV3yxfF+mQkBDVRuItO080Qy24QxM&#10;Q9MqIuaUwRktU3hKFK5ha5CdgQaG5ky6/oXAc2YgRHIQo/wlKQjCb6EJzw5COwRn1zBfEbT5ZCWL&#10;V0/6QpJ1jDc21VR5UIlXlu8UFR5a2bOjOeF3IMzEJHGROulCUz8YhCVxzBa6+FPHNg9MEj0zweY4&#10;Ucn3hnMwvoUB48Njih6pDNczLXfDkK07eEVq/9DwtDs6ec1zkM9pRPP98TmlN3Bv0/7+0W9+AQAA&#10;//8DAFBLAwQUAAYACAAAACEAInYgRNoAAAAHAQAADwAAAGRycy9kb3ducmV2LnhtbEyPy07DMBBF&#10;90j9B2sqsaMORSQQ4lS8pW4qEfgANx6S0Hgcxc6jfD2DWJTl0R3deybbzLYVI/a+caTgchWBQCqd&#10;aahS8PH+cnEDwgdNRreOUMERPWzyxVmmU+MmesOxCJXgEvKpVlCH0KVS+rJGq/3KdUicfbre6sDY&#10;V9L0euJy28p1FMXS6oZ4odYdPtZYHorBKvi2T/Rsx+vX4WuMt9Pu4RgdkkKp8+V8fwci4BxOx/Cr&#10;z+qQs9PeDWS8aJmv2DwoWCcJCM7jW35t/8cyz+R///wHAAD//wMAUEsBAi0AFAAGAAgAAAAhALaD&#10;OJL+AAAA4QEAABMAAAAAAAAAAAAAAAAAAAAAAFtDb250ZW50X1R5cGVzXS54bWxQSwECLQAUAAYA&#10;CAAAACEAOP0h/9YAAACUAQAACwAAAAAAAAAAAAAAAAAvAQAAX3JlbHMvLnJlbHNQSwECLQAUAAYA&#10;CAAAACEAJ9qd6x4CAAA8BAAADgAAAAAAAAAAAAAAAAAuAgAAZHJzL2Uyb0RvYy54bWxQSwECLQAU&#10;AAYACAAAACEAInYgRNoAAAAHAQAADwAAAAAAAAAAAAAAAAB4BAAAZHJzL2Rvd25yZXYueG1sUEsF&#10;BgAAAAAEAAQA8wAAAH8FAAAAAA==&#10;" strokecolor="windowText" strokeweight="2pt">
                      <v:stroke endarrow="open"/>
                      <v:shadow on="t" color="black" opacity="24903f" origin=",.5" offset="0,.55556mm"/>
                    </v:shape>
                  </w:pict>
                </mc:Fallback>
              </mc:AlternateContent>
            </w:r>
          </w:p>
        </w:tc>
      </w:tr>
    </w:tbl>
    <w:p w14:paraId="45F4D607" w14:textId="77777777" w:rsidR="00221E7A" w:rsidRPr="007B367A" w:rsidRDefault="00221E7A" w:rsidP="00A77E6C">
      <w:pPr>
        <w:rPr>
          <w:rFonts w:cs="Arial"/>
          <w:szCs w:val="24"/>
        </w:rPr>
      </w:pPr>
    </w:p>
    <w:p w14:paraId="5CC3A2E2" w14:textId="77777777" w:rsidR="00EF47E6" w:rsidRPr="007B367A" w:rsidRDefault="00EF47E6" w:rsidP="00694C80">
      <w:pPr>
        <w:pStyle w:val="ListParagraph"/>
        <w:numPr>
          <w:ilvl w:val="0"/>
          <w:numId w:val="40"/>
        </w:numPr>
        <w:ind w:left="284" w:right="-166"/>
        <w:rPr>
          <w:rFonts w:cs="Arial"/>
          <w:szCs w:val="24"/>
        </w:rPr>
      </w:pPr>
      <w:r w:rsidRPr="007B367A">
        <w:rPr>
          <w:rFonts w:cs="Arial"/>
          <w:szCs w:val="24"/>
        </w:rPr>
        <w:t xml:space="preserve">Negative feedback in the period centred </w:t>
      </w:r>
      <w:r w:rsidR="00064D01">
        <w:rPr>
          <w:rFonts w:cs="Arial"/>
          <w:szCs w:val="24"/>
        </w:rPr>
        <w:t>on</w:t>
      </w:r>
      <w:r w:rsidRPr="007B367A">
        <w:rPr>
          <w:rFonts w:cs="Arial"/>
          <w:szCs w:val="24"/>
        </w:rPr>
        <w:t xml:space="preserve"> two </w:t>
      </w:r>
      <w:r w:rsidR="00872445" w:rsidRPr="007B367A">
        <w:rPr>
          <w:rFonts w:cs="Arial"/>
          <w:szCs w:val="24"/>
        </w:rPr>
        <w:t xml:space="preserve">main </w:t>
      </w:r>
      <w:r w:rsidRPr="007B367A">
        <w:rPr>
          <w:rFonts w:cs="Arial"/>
          <w:szCs w:val="24"/>
        </w:rPr>
        <w:t xml:space="preserve">areas: </w:t>
      </w:r>
      <w:r w:rsidR="00872445" w:rsidRPr="007B367A">
        <w:rPr>
          <w:rFonts w:cs="Arial"/>
          <w:szCs w:val="24"/>
        </w:rPr>
        <w:t>employers (the level and accuracy of information given to members by their employer)</w:t>
      </w:r>
      <w:r w:rsidR="00064D01">
        <w:rPr>
          <w:rFonts w:cs="Arial"/>
          <w:szCs w:val="24"/>
        </w:rPr>
        <w:t>;</w:t>
      </w:r>
      <w:r w:rsidR="00872445" w:rsidRPr="007B367A">
        <w:rPr>
          <w:rFonts w:cs="Arial"/>
          <w:szCs w:val="24"/>
        </w:rPr>
        <w:t xml:space="preserve"> </w:t>
      </w:r>
      <w:r w:rsidRPr="007B367A">
        <w:rPr>
          <w:rFonts w:cs="Arial"/>
          <w:szCs w:val="24"/>
        </w:rPr>
        <w:t xml:space="preserve">and </w:t>
      </w:r>
      <w:r w:rsidR="00872445" w:rsidRPr="007B367A">
        <w:rPr>
          <w:rFonts w:cs="Arial"/>
          <w:szCs w:val="24"/>
        </w:rPr>
        <w:t xml:space="preserve">the </w:t>
      </w:r>
      <w:r w:rsidRPr="007B367A">
        <w:rPr>
          <w:rFonts w:cs="Arial"/>
          <w:szCs w:val="24"/>
        </w:rPr>
        <w:t>websit</w:t>
      </w:r>
      <w:r w:rsidR="00872445" w:rsidRPr="007B367A">
        <w:rPr>
          <w:rFonts w:cs="Arial"/>
          <w:szCs w:val="24"/>
        </w:rPr>
        <w:t xml:space="preserve">e </w:t>
      </w:r>
      <w:r w:rsidR="00064D01">
        <w:rPr>
          <w:rFonts w:cs="Arial"/>
          <w:szCs w:val="24"/>
        </w:rPr>
        <w:t xml:space="preserve">- difficulty with </w:t>
      </w:r>
      <w:r w:rsidRPr="007B367A">
        <w:rPr>
          <w:rFonts w:cs="Arial"/>
          <w:szCs w:val="24"/>
        </w:rPr>
        <w:t xml:space="preserve">navigation and </w:t>
      </w:r>
      <w:r w:rsidR="00872445" w:rsidRPr="007B367A">
        <w:rPr>
          <w:rFonts w:cs="Arial"/>
          <w:szCs w:val="24"/>
        </w:rPr>
        <w:t>finding information</w:t>
      </w:r>
      <w:r w:rsidRPr="007B367A">
        <w:rPr>
          <w:rFonts w:cs="Arial"/>
          <w:szCs w:val="24"/>
        </w:rPr>
        <w:t xml:space="preserve"> remain regular trends. </w:t>
      </w:r>
      <w:r w:rsidR="00872445" w:rsidRPr="007B367A">
        <w:rPr>
          <w:rFonts w:cs="Arial"/>
          <w:szCs w:val="24"/>
        </w:rPr>
        <w:t>I</w:t>
      </w:r>
      <w:r w:rsidRPr="007B367A">
        <w:rPr>
          <w:rFonts w:cs="Arial"/>
          <w:szCs w:val="24"/>
        </w:rPr>
        <w:t>mprovements to the overall navigation of the website</w:t>
      </w:r>
      <w:r w:rsidR="00872445" w:rsidRPr="007B367A">
        <w:rPr>
          <w:rFonts w:cs="Arial"/>
          <w:szCs w:val="24"/>
        </w:rPr>
        <w:t xml:space="preserve"> </w:t>
      </w:r>
      <w:r w:rsidR="00064D01">
        <w:rPr>
          <w:rFonts w:cs="Arial"/>
          <w:szCs w:val="24"/>
        </w:rPr>
        <w:t>is</w:t>
      </w:r>
      <w:r w:rsidR="00872445" w:rsidRPr="007B367A">
        <w:rPr>
          <w:rFonts w:cs="Arial"/>
          <w:szCs w:val="24"/>
        </w:rPr>
        <w:t xml:space="preserve"> underway, with continuous improvement applied following member feedback</w:t>
      </w:r>
      <w:r w:rsidRPr="007B367A">
        <w:rPr>
          <w:rFonts w:cs="Arial"/>
          <w:szCs w:val="24"/>
        </w:rPr>
        <w:t xml:space="preserve">.   </w:t>
      </w:r>
    </w:p>
    <w:p w14:paraId="584C97DC" w14:textId="77777777" w:rsidR="00EF47E6" w:rsidRPr="007B367A" w:rsidRDefault="00EF47E6" w:rsidP="00A77E6C">
      <w:pPr>
        <w:rPr>
          <w:rFonts w:cs="Arial"/>
          <w:szCs w:val="24"/>
        </w:rPr>
      </w:pPr>
    </w:p>
    <w:p w14:paraId="0D6AB202" w14:textId="77777777" w:rsidR="00EF47E6" w:rsidRPr="007B367A" w:rsidRDefault="00EF47E6" w:rsidP="00694C80">
      <w:pPr>
        <w:pStyle w:val="ListParagraph"/>
        <w:numPr>
          <w:ilvl w:val="0"/>
          <w:numId w:val="40"/>
        </w:numPr>
        <w:ind w:left="284"/>
        <w:rPr>
          <w:rFonts w:cs="Arial"/>
          <w:szCs w:val="24"/>
        </w:rPr>
      </w:pPr>
      <w:r w:rsidRPr="007B367A">
        <w:rPr>
          <w:rFonts w:cs="Arial"/>
          <w:szCs w:val="24"/>
        </w:rPr>
        <w:t xml:space="preserve">TP record all complaints and assess whether the complaint is about the administration of the Scheme or some other aspect (such as regulations). The </w:t>
      </w:r>
      <w:r w:rsidR="001A4835" w:rsidRPr="007B367A">
        <w:rPr>
          <w:rFonts w:cs="Arial"/>
          <w:szCs w:val="24"/>
        </w:rPr>
        <w:t>quarter</w:t>
      </w:r>
      <w:r w:rsidRPr="007B367A">
        <w:rPr>
          <w:rFonts w:cs="Arial"/>
          <w:szCs w:val="24"/>
        </w:rPr>
        <w:t xml:space="preserve"> </w:t>
      </w:r>
      <w:r w:rsidRPr="000B760D">
        <w:rPr>
          <w:rFonts w:cs="Arial"/>
          <w:szCs w:val="24"/>
        </w:rPr>
        <w:t xml:space="preserve">trend </w:t>
      </w:r>
      <w:r w:rsidR="001A4835" w:rsidRPr="000B760D">
        <w:rPr>
          <w:rFonts w:cs="Arial"/>
          <w:szCs w:val="24"/>
        </w:rPr>
        <w:t xml:space="preserve">is </w:t>
      </w:r>
      <w:r w:rsidR="000B760D" w:rsidRPr="000B760D">
        <w:rPr>
          <w:rFonts w:cs="Arial"/>
          <w:szCs w:val="24"/>
        </w:rPr>
        <w:t>43</w:t>
      </w:r>
      <w:r w:rsidRPr="000B760D">
        <w:rPr>
          <w:rFonts w:cs="Arial"/>
          <w:szCs w:val="24"/>
        </w:rPr>
        <w:t xml:space="preserve">% of complaints are upheld and </w:t>
      </w:r>
      <w:r w:rsidR="000B760D" w:rsidRPr="000B760D">
        <w:rPr>
          <w:rFonts w:cs="Arial"/>
          <w:szCs w:val="24"/>
        </w:rPr>
        <w:t>57</w:t>
      </w:r>
      <w:r w:rsidRPr="000B760D">
        <w:rPr>
          <w:rFonts w:cs="Arial"/>
          <w:szCs w:val="24"/>
        </w:rPr>
        <w:t xml:space="preserve">% </w:t>
      </w:r>
      <w:r w:rsidR="001A4835" w:rsidRPr="000B760D">
        <w:rPr>
          <w:rFonts w:cs="Arial"/>
          <w:szCs w:val="24"/>
        </w:rPr>
        <w:t xml:space="preserve">are </w:t>
      </w:r>
      <w:r w:rsidRPr="000B760D">
        <w:rPr>
          <w:rFonts w:cs="Arial"/>
          <w:szCs w:val="24"/>
        </w:rPr>
        <w:t>not upheld</w:t>
      </w:r>
      <w:r w:rsidRPr="007B367A">
        <w:rPr>
          <w:rFonts w:cs="Arial"/>
          <w:szCs w:val="24"/>
        </w:rPr>
        <w:t xml:space="preserve">. </w:t>
      </w:r>
    </w:p>
    <w:p w14:paraId="513BBD75" w14:textId="77777777" w:rsidR="00EF47E6" w:rsidRPr="007B367A" w:rsidRDefault="00EF47E6" w:rsidP="00A77E6C">
      <w:pPr>
        <w:ind w:left="284" w:firstLine="76"/>
        <w:rPr>
          <w:rFonts w:cs="Arial"/>
          <w:szCs w:val="24"/>
        </w:rPr>
      </w:pPr>
    </w:p>
    <w:p w14:paraId="7BE01D53" w14:textId="77777777" w:rsidR="00EF47E6" w:rsidRPr="007B367A" w:rsidRDefault="00EF47E6" w:rsidP="00694C80">
      <w:pPr>
        <w:pStyle w:val="ListParagraph"/>
        <w:numPr>
          <w:ilvl w:val="0"/>
          <w:numId w:val="40"/>
        </w:numPr>
        <w:ind w:left="284" w:hanging="426"/>
        <w:rPr>
          <w:rFonts w:cs="Arial"/>
          <w:szCs w:val="24"/>
        </w:rPr>
      </w:pPr>
      <w:r w:rsidRPr="007B367A">
        <w:rPr>
          <w:rFonts w:cs="Arial"/>
          <w:szCs w:val="24"/>
        </w:rPr>
        <w:t xml:space="preserve">In </w:t>
      </w:r>
      <w:r w:rsidR="001A4835" w:rsidRPr="007B367A">
        <w:rPr>
          <w:rFonts w:cs="Arial"/>
          <w:szCs w:val="24"/>
        </w:rPr>
        <w:t>August</w:t>
      </w:r>
      <w:r w:rsidRPr="007B367A">
        <w:rPr>
          <w:rFonts w:cs="Arial"/>
          <w:szCs w:val="24"/>
        </w:rPr>
        <w:t xml:space="preserve">, TP received </w:t>
      </w:r>
      <w:r w:rsidR="001A4835" w:rsidRPr="007B367A">
        <w:rPr>
          <w:rFonts w:cs="Arial"/>
          <w:szCs w:val="24"/>
        </w:rPr>
        <w:t>355</w:t>
      </w:r>
      <w:r w:rsidRPr="007B367A">
        <w:rPr>
          <w:rFonts w:cs="Arial"/>
          <w:szCs w:val="24"/>
        </w:rPr>
        <w:t xml:space="preserve"> complaints, in </w:t>
      </w:r>
      <w:r w:rsidR="001A4835" w:rsidRPr="007B367A">
        <w:rPr>
          <w:rFonts w:cs="Arial"/>
          <w:szCs w:val="24"/>
        </w:rPr>
        <w:t>September 304</w:t>
      </w:r>
      <w:r w:rsidRPr="007B367A">
        <w:rPr>
          <w:rFonts w:cs="Arial"/>
          <w:szCs w:val="24"/>
        </w:rPr>
        <w:t xml:space="preserve"> and in </w:t>
      </w:r>
      <w:r w:rsidR="001A4835" w:rsidRPr="00344415">
        <w:rPr>
          <w:rFonts w:cs="Arial"/>
          <w:szCs w:val="24"/>
        </w:rPr>
        <w:t xml:space="preserve">October </w:t>
      </w:r>
      <w:r w:rsidR="006F0E6A" w:rsidRPr="00344415">
        <w:rPr>
          <w:rFonts w:cs="Arial"/>
          <w:szCs w:val="24"/>
        </w:rPr>
        <w:t>323</w:t>
      </w:r>
      <w:r w:rsidRPr="00344415">
        <w:rPr>
          <w:rFonts w:cs="Arial"/>
          <w:szCs w:val="24"/>
        </w:rPr>
        <w:t>.</w:t>
      </w:r>
      <w:r w:rsidR="001A4835" w:rsidRPr="00344415">
        <w:rPr>
          <w:rFonts w:cs="Arial"/>
          <w:szCs w:val="24"/>
        </w:rPr>
        <w:t xml:space="preserve">  </w:t>
      </w:r>
      <w:r w:rsidRPr="007B367A">
        <w:rPr>
          <w:rFonts w:cs="Arial"/>
          <w:szCs w:val="24"/>
        </w:rPr>
        <w:t xml:space="preserve">In </w:t>
      </w:r>
      <w:r w:rsidR="001A4835" w:rsidRPr="007B367A">
        <w:rPr>
          <w:rFonts w:cs="Arial"/>
          <w:szCs w:val="24"/>
        </w:rPr>
        <w:t>October</w:t>
      </w:r>
      <w:r w:rsidRPr="007B367A">
        <w:rPr>
          <w:rFonts w:cs="Arial"/>
          <w:szCs w:val="24"/>
        </w:rPr>
        <w:t xml:space="preserve">, the highest </w:t>
      </w:r>
      <w:r w:rsidR="001A4835" w:rsidRPr="007B367A">
        <w:rPr>
          <w:rFonts w:cs="Arial"/>
          <w:szCs w:val="24"/>
        </w:rPr>
        <w:t xml:space="preserve">complaint </w:t>
      </w:r>
      <w:r w:rsidRPr="007B367A">
        <w:rPr>
          <w:rFonts w:cs="Arial"/>
          <w:szCs w:val="24"/>
        </w:rPr>
        <w:t>categories were</w:t>
      </w:r>
      <w:r w:rsidR="00064D01">
        <w:rPr>
          <w:rFonts w:cs="Arial"/>
          <w:szCs w:val="24"/>
        </w:rPr>
        <w:t xml:space="preserve"> about</w:t>
      </w:r>
      <w:r w:rsidRPr="007B367A">
        <w:rPr>
          <w:rFonts w:cs="Arial"/>
          <w:szCs w:val="24"/>
        </w:rPr>
        <w:t xml:space="preserve">:  </w:t>
      </w:r>
    </w:p>
    <w:p w14:paraId="5FD1E19A" w14:textId="77777777" w:rsidR="00EF47E6" w:rsidRPr="00344415" w:rsidRDefault="001A4835" w:rsidP="00694C80">
      <w:pPr>
        <w:pStyle w:val="ListParagraph"/>
        <w:widowControl/>
        <w:numPr>
          <w:ilvl w:val="0"/>
          <w:numId w:val="34"/>
        </w:numPr>
        <w:overflowPunct/>
        <w:autoSpaceDE/>
        <w:autoSpaceDN/>
        <w:adjustRightInd/>
        <w:textAlignment w:val="auto"/>
        <w:rPr>
          <w:rFonts w:cs="Arial"/>
          <w:szCs w:val="24"/>
        </w:rPr>
      </w:pPr>
      <w:r w:rsidRPr="00344415">
        <w:rPr>
          <w:rFonts w:cs="Arial"/>
          <w:szCs w:val="24"/>
        </w:rPr>
        <w:t xml:space="preserve">Employer </w:t>
      </w:r>
      <w:r w:rsidR="00064D01">
        <w:rPr>
          <w:rFonts w:cs="Arial"/>
          <w:szCs w:val="24"/>
        </w:rPr>
        <w:t xml:space="preserve">performance </w:t>
      </w:r>
      <w:r w:rsidRPr="00344415">
        <w:rPr>
          <w:rFonts w:cs="Arial"/>
          <w:szCs w:val="24"/>
        </w:rPr>
        <w:t xml:space="preserve">– </w:t>
      </w:r>
      <w:r w:rsidR="006F0E6A" w:rsidRPr="00344415">
        <w:rPr>
          <w:rFonts w:cs="Arial"/>
          <w:szCs w:val="24"/>
        </w:rPr>
        <w:t>63 (19%</w:t>
      </w:r>
      <w:r w:rsidR="00EF47E6" w:rsidRPr="00344415">
        <w:rPr>
          <w:rFonts w:cs="Arial"/>
          <w:szCs w:val="24"/>
        </w:rPr>
        <w:t>)</w:t>
      </w:r>
    </w:p>
    <w:p w14:paraId="11C8B2E1" w14:textId="77777777" w:rsidR="00EF47E6" w:rsidRPr="00344415" w:rsidRDefault="000C59E7" w:rsidP="00694C80">
      <w:pPr>
        <w:pStyle w:val="ListParagraph"/>
        <w:widowControl/>
        <w:numPr>
          <w:ilvl w:val="0"/>
          <w:numId w:val="34"/>
        </w:numPr>
        <w:overflowPunct/>
        <w:autoSpaceDE/>
        <w:autoSpaceDN/>
        <w:adjustRightInd/>
        <w:textAlignment w:val="auto"/>
        <w:rPr>
          <w:rFonts w:cs="Arial"/>
          <w:szCs w:val="24"/>
        </w:rPr>
      </w:pPr>
      <w:r w:rsidRPr="00344415">
        <w:rPr>
          <w:rFonts w:cs="Arial"/>
          <w:szCs w:val="24"/>
        </w:rPr>
        <w:t>Website</w:t>
      </w:r>
      <w:r w:rsidR="00EF47E6" w:rsidRPr="00344415">
        <w:rPr>
          <w:rFonts w:cs="Arial"/>
          <w:szCs w:val="24"/>
        </w:rPr>
        <w:t xml:space="preserve"> –</w:t>
      </w:r>
      <w:r w:rsidR="00064D01">
        <w:rPr>
          <w:rFonts w:cs="Arial"/>
          <w:szCs w:val="24"/>
        </w:rPr>
        <w:t xml:space="preserve"> </w:t>
      </w:r>
      <w:r w:rsidR="006F0E6A" w:rsidRPr="00344415">
        <w:rPr>
          <w:rFonts w:cs="Arial"/>
          <w:szCs w:val="24"/>
        </w:rPr>
        <w:t>42 (13</w:t>
      </w:r>
      <w:r w:rsidR="00EF47E6" w:rsidRPr="00344415">
        <w:rPr>
          <w:rFonts w:cs="Arial"/>
          <w:szCs w:val="24"/>
        </w:rPr>
        <w:t>%</w:t>
      </w:r>
      <w:r w:rsidR="006F0E6A" w:rsidRPr="00344415">
        <w:rPr>
          <w:rFonts w:cs="Arial"/>
          <w:szCs w:val="24"/>
        </w:rPr>
        <w:t>)</w:t>
      </w:r>
      <w:r w:rsidR="00EF47E6" w:rsidRPr="00344415">
        <w:rPr>
          <w:rFonts w:cs="Arial"/>
          <w:szCs w:val="24"/>
        </w:rPr>
        <w:t xml:space="preserve">; and </w:t>
      </w:r>
    </w:p>
    <w:p w14:paraId="5B8324B9" w14:textId="77777777" w:rsidR="00EF47E6" w:rsidRPr="00344415" w:rsidRDefault="000C59E7" w:rsidP="00694C80">
      <w:pPr>
        <w:pStyle w:val="ListParagraph"/>
        <w:widowControl/>
        <w:numPr>
          <w:ilvl w:val="0"/>
          <w:numId w:val="34"/>
        </w:numPr>
        <w:overflowPunct/>
        <w:autoSpaceDE/>
        <w:autoSpaceDN/>
        <w:adjustRightInd/>
        <w:textAlignment w:val="auto"/>
        <w:rPr>
          <w:rFonts w:cs="Arial"/>
          <w:szCs w:val="24"/>
        </w:rPr>
      </w:pPr>
      <w:r w:rsidRPr="00344415">
        <w:rPr>
          <w:rFonts w:cs="Arial"/>
          <w:szCs w:val="24"/>
        </w:rPr>
        <w:t>Correspondence</w:t>
      </w:r>
      <w:r w:rsidR="00EF47E6" w:rsidRPr="00344415">
        <w:rPr>
          <w:rFonts w:cs="Arial"/>
          <w:szCs w:val="24"/>
        </w:rPr>
        <w:t xml:space="preserve"> –</w:t>
      </w:r>
      <w:r w:rsidR="00064D01">
        <w:rPr>
          <w:rFonts w:cs="Arial"/>
          <w:szCs w:val="24"/>
        </w:rPr>
        <w:t xml:space="preserve"> </w:t>
      </w:r>
      <w:r w:rsidR="006F0E6A" w:rsidRPr="00344415">
        <w:rPr>
          <w:rFonts w:cs="Arial"/>
          <w:szCs w:val="24"/>
        </w:rPr>
        <w:t>41 (13</w:t>
      </w:r>
      <w:r w:rsidRPr="00344415">
        <w:rPr>
          <w:rFonts w:cs="Arial"/>
          <w:szCs w:val="24"/>
        </w:rPr>
        <w:t>%</w:t>
      </w:r>
      <w:r w:rsidR="006F0E6A" w:rsidRPr="00344415">
        <w:rPr>
          <w:rFonts w:cs="Arial"/>
          <w:szCs w:val="24"/>
        </w:rPr>
        <w:t>)</w:t>
      </w:r>
      <w:r w:rsidR="00EF47E6" w:rsidRPr="00344415">
        <w:rPr>
          <w:rFonts w:cs="Arial"/>
          <w:szCs w:val="24"/>
        </w:rPr>
        <w:t xml:space="preserve"> </w:t>
      </w:r>
    </w:p>
    <w:p w14:paraId="5124B5E2" w14:textId="77777777" w:rsidR="00EF47E6" w:rsidRPr="007B367A" w:rsidRDefault="00EF47E6" w:rsidP="00A77E6C">
      <w:pPr>
        <w:ind w:left="1701" w:hanging="185"/>
        <w:rPr>
          <w:rFonts w:cs="Arial"/>
          <w:szCs w:val="24"/>
        </w:rPr>
      </w:pPr>
      <w:r w:rsidRPr="007B367A">
        <w:rPr>
          <w:rFonts w:cs="Arial"/>
          <w:szCs w:val="24"/>
        </w:rPr>
        <w:t xml:space="preserve"> </w:t>
      </w:r>
    </w:p>
    <w:p w14:paraId="08626F6E" w14:textId="77777777" w:rsidR="00522CF8" w:rsidRDefault="00EF47E6" w:rsidP="00694C80">
      <w:pPr>
        <w:pStyle w:val="ListParagraph"/>
        <w:numPr>
          <w:ilvl w:val="0"/>
          <w:numId w:val="40"/>
        </w:numPr>
        <w:ind w:left="284" w:hanging="426"/>
        <w:rPr>
          <w:rFonts w:cs="Arial"/>
          <w:szCs w:val="24"/>
        </w:rPr>
      </w:pPr>
      <w:r w:rsidRPr="009A3F05">
        <w:rPr>
          <w:rFonts w:cs="Arial"/>
          <w:szCs w:val="24"/>
        </w:rPr>
        <w:t>Of the 6</w:t>
      </w:r>
      <w:r w:rsidR="00754049" w:rsidRPr="009A3F05">
        <w:rPr>
          <w:rFonts w:cs="Arial"/>
          <w:szCs w:val="24"/>
        </w:rPr>
        <w:t>3</w:t>
      </w:r>
      <w:r w:rsidRPr="009A3F05">
        <w:rPr>
          <w:rFonts w:cs="Arial"/>
          <w:szCs w:val="24"/>
        </w:rPr>
        <w:t xml:space="preserve"> </w:t>
      </w:r>
      <w:r w:rsidR="00754049" w:rsidRPr="009A3F05">
        <w:rPr>
          <w:rFonts w:cs="Arial"/>
          <w:szCs w:val="24"/>
        </w:rPr>
        <w:t xml:space="preserve">October </w:t>
      </w:r>
      <w:r w:rsidRPr="009A3F05">
        <w:rPr>
          <w:rFonts w:cs="Arial"/>
          <w:szCs w:val="24"/>
        </w:rPr>
        <w:t xml:space="preserve">complaints that were employer related, the three main drivers </w:t>
      </w:r>
      <w:r w:rsidR="00AE71D0" w:rsidRPr="009A3F05">
        <w:rPr>
          <w:rFonts w:cs="Arial"/>
          <w:szCs w:val="24"/>
        </w:rPr>
        <w:t>remain as</w:t>
      </w:r>
      <w:r w:rsidRPr="009A3F05">
        <w:rPr>
          <w:rFonts w:cs="Arial"/>
          <w:szCs w:val="24"/>
        </w:rPr>
        <w:t xml:space="preserve"> opting-out; auto enrolment; and missing service. Correspondence complaints were due to delays in response or action. </w:t>
      </w:r>
    </w:p>
    <w:p w14:paraId="435977A6" w14:textId="77777777" w:rsidR="009A3F05" w:rsidRPr="009A3F05" w:rsidRDefault="009A3F05" w:rsidP="009A3F05">
      <w:pPr>
        <w:pStyle w:val="ListParagraph"/>
        <w:ind w:left="284"/>
        <w:rPr>
          <w:rFonts w:cs="Arial"/>
          <w:szCs w:val="24"/>
        </w:rPr>
      </w:pPr>
    </w:p>
    <w:p w14:paraId="5A4FE6FB" w14:textId="77777777" w:rsidR="004913D2" w:rsidRPr="004913D2" w:rsidRDefault="004913D2" w:rsidP="00694C80">
      <w:pPr>
        <w:pStyle w:val="ListParagraph"/>
        <w:numPr>
          <w:ilvl w:val="0"/>
          <w:numId w:val="40"/>
        </w:numPr>
        <w:ind w:left="284" w:right="461" w:hanging="426"/>
        <w:rPr>
          <w:rFonts w:cs="Arial"/>
          <w:szCs w:val="24"/>
        </w:rPr>
      </w:pPr>
      <w:r w:rsidRPr="004913D2">
        <w:rPr>
          <w:rFonts w:cs="Arial"/>
          <w:szCs w:val="24"/>
        </w:rPr>
        <w:t>Two discussion groups were held in September covering subjects including MPO, social media and planning for retirement, with one group of eight Scheme members and a group of nine employers administering the Teachers’ Pension Scheme in schools and colleges.</w:t>
      </w:r>
    </w:p>
    <w:p w14:paraId="465D168E" w14:textId="77777777" w:rsidR="00806D63" w:rsidRDefault="00806D63" w:rsidP="00806D63">
      <w:pPr>
        <w:pStyle w:val="BodyText"/>
        <w:rPr>
          <w:rFonts w:cs="Arial"/>
          <w:szCs w:val="24"/>
        </w:rPr>
      </w:pPr>
    </w:p>
    <w:p w14:paraId="7C372A96" w14:textId="77777777" w:rsidR="004913D2" w:rsidRPr="00B72783" w:rsidRDefault="004913D2" w:rsidP="00694C80">
      <w:pPr>
        <w:pStyle w:val="BodyText"/>
        <w:numPr>
          <w:ilvl w:val="0"/>
          <w:numId w:val="40"/>
        </w:numPr>
        <w:ind w:left="284" w:hanging="426"/>
        <w:rPr>
          <w:rFonts w:cs="Arial"/>
          <w:szCs w:val="24"/>
        </w:rPr>
      </w:pPr>
      <w:r w:rsidRPr="00B72783">
        <w:rPr>
          <w:rFonts w:cs="Arial"/>
          <w:szCs w:val="24"/>
        </w:rPr>
        <w:t>The main findings from the employer group were:</w:t>
      </w:r>
    </w:p>
    <w:p w14:paraId="6B69B6FF" w14:textId="77777777" w:rsidR="004913D2" w:rsidRPr="00B72783" w:rsidRDefault="004913D2" w:rsidP="008F41C5">
      <w:pPr>
        <w:pStyle w:val="ListParagraph"/>
        <w:widowControl/>
        <w:numPr>
          <w:ilvl w:val="0"/>
          <w:numId w:val="37"/>
        </w:numPr>
        <w:adjustRightInd/>
        <w:ind w:left="851" w:right="319" w:hanging="425"/>
        <w:contextualSpacing w:val="0"/>
        <w:textAlignment w:val="auto"/>
        <w:rPr>
          <w:rFonts w:cs="Arial"/>
          <w:szCs w:val="24"/>
        </w:rPr>
      </w:pPr>
      <w:r w:rsidRPr="00B72783">
        <w:rPr>
          <w:rFonts w:cs="Arial"/>
          <w:szCs w:val="24"/>
        </w:rPr>
        <w:t>Employers agreed that the portal was user friendly and had improved with the introduction of Monthly Data Collection</w:t>
      </w:r>
      <w:r w:rsidRPr="00B72783">
        <w:rPr>
          <w:rFonts w:cs="Arial"/>
          <w:spacing w:val="-11"/>
          <w:szCs w:val="24"/>
        </w:rPr>
        <w:t xml:space="preserve"> </w:t>
      </w:r>
      <w:r w:rsidRPr="00B72783">
        <w:rPr>
          <w:rFonts w:cs="Arial"/>
          <w:szCs w:val="24"/>
        </w:rPr>
        <w:t>(MDC).</w:t>
      </w:r>
    </w:p>
    <w:p w14:paraId="519E543D" w14:textId="77777777" w:rsidR="004913D2" w:rsidRPr="00B72783" w:rsidRDefault="004913D2" w:rsidP="008F41C5">
      <w:pPr>
        <w:pStyle w:val="ListParagraph"/>
        <w:widowControl/>
        <w:numPr>
          <w:ilvl w:val="0"/>
          <w:numId w:val="37"/>
        </w:numPr>
        <w:adjustRightInd/>
        <w:ind w:left="851" w:right="602" w:hanging="425"/>
        <w:contextualSpacing w:val="0"/>
        <w:textAlignment w:val="auto"/>
        <w:rPr>
          <w:rFonts w:cs="Arial"/>
          <w:szCs w:val="24"/>
        </w:rPr>
      </w:pPr>
      <w:r w:rsidRPr="00B72783">
        <w:rPr>
          <w:rFonts w:cs="Arial"/>
          <w:szCs w:val="24"/>
        </w:rPr>
        <w:t>Participants who had telephone contact with Teachers’ Pensions spoke positively about the experience. They believed that Teachers’ Pensions was more approachable than it was a few years ago and better able to resolve queries on the</w:t>
      </w:r>
      <w:r w:rsidRPr="00B72783">
        <w:rPr>
          <w:rFonts w:cs="Arial"/>
          <w:spacing w:val="-6"/>
          <w:szCs w:val="24"/>
        </w:rPr>
        <w:t xml:space="preserve"> </w:t>
      </w:r>
      <w:r w:rsidRPr="00B72783">
        <w:rPr>
          <w:rFonts w:cs="Arial"/>
          <w:szCs w:val="24"/>
        </w:rPr>
        <w:t>phone.</w:t>
      </w:r>
    </w:p>
    <w:p w14:paraId="42128EE3" w14:textId="77777777" w:rsidR="004913D2" w:rsidRPr="00B72783" w:rsidRDefault="004913D2" w:rsidP="008F41C5">
      <w:pPr>
        <w:pStyle w:val="ListParagraph"/>
        <w:widowControl/>
        <w:numPr>
          <w:ilvl w:val="0"/>
          <w:numId w:val="37"/>
        </w:numPr>
        <w:adjustRightInd/>
        <w:ind w:left="851" w:right="602" w:hanging="425"/>
        <w:contextualSpacing w:val="0"/>
        <w:textAlignment w:val="auto"/>
        <w:rPr>
          <w:rFonts w:cs="Arial"/>
          <w:szCs w:val="24"/>
        </w:rPr>
      </w:pPr>
      <w:r w:rsidRPr="00B72783">
        <w:rPr>
          <w:rFonts w:cs="Arial"/>
          <w:szCs w:val="24"/>
        </w:rPr>
        <w:t>Employers trust Teachers’ Pensions to keep accurate records and maintain data securely. They feel that members need to be encouraged to take more responsibility for checking the accuracy of the data</w:t>
      </w:r>
      <w:r w:rsidRPr="00B72783">
        <w:rPr>
          <w:rFonts w:cs="Arial"/>
          <w:spacing w:val="-3"/>
          <w:szCs w:val="24"/>
        </w:rPr>
        <w:t xml:space="preserve"> </w:t>
      </w:r>
      <w:r w:rsidRPr="00B72783">
        <w:rPr>
          <w:rFonts w:cs="Arial"/>
          <w:szCs w:val="24"/>
        </w:rPr>
        <w:t>held</w:t>
      </w:r>
      <w:r w:rsidRPr="00B72783">
        <w:rPr>
          <w:rFonts w:cs="Arial"/>
          <w:spacing w:val="-4"/>
          <w:szCs w:val="24"/>
        </w:rPr>
        <w:t xml:space="preserve"> </w:t>
      </w:r>
      <w:r w:rsidRPr="00B72783">
        <w:rPr>
          <w:rFonts w:cs="Arial"/>
          <w:szCs w:val="24"/>
        </w:rPr>
        <w:t>by</w:t>
      </w:r>
      <w:r w:rsidRPr="00B72783">
        <w:rPr>
          <w:rFonts w:cs="Arial"/>
          <w:spacing w:val="-4"/>
          <w:szCs w:val="24"/>
        </w:rPr>
        <w:t xml:space="preserve"> </w:t>
      </w:r>
      <w:r w:rsidRPr="00B72783">
        <w:rPr>
          <w:rFonts w:cs="Arial"/>
          <w:szCs w:val="24"/>
        </w:rPr>
        <w:t>Teachers’ Pensions.</w:t>
      </w:r>
      <w:r w:rsidRPr="00B72783">
        <w:rPr>
          <w:rFonts w:cs="Arial"/>
          <w:spacing w:val="-5"/>
          <w:szCs w:val="24"/>
        </w:rPr>
        <w:t xml:space="preserve"> </w:t>
      </w:r>
      <w:r w:rsidRPr="00B72783">
        <w:rPr>
          <w:rFonts w:cs="Arial"/>
          <w:szCs w:val="24"/>
        </w:rPr>
        <w:t>Some</w:t>
      </w:r>
      <w:r w:rsidRPr="00B72783">
        <w:rPr>
          <w:rFonts w:cs="Arial"/>
          <w:spacing w:val="-4"/>
          <w:szCs w:val="24"/>
        </w:rPr>
        <w:t xml:space="preserve"> </w:t>
      </w:r>
      <w:r w:rsidRPr="00B72783">
        <w:rPr>
          <w:rFonts w:cs="Arial"/>
          <w:szCs w:val="24"/>
        </w:rPr>
        <w:t>expressed</w:t>
      </w:r>
      <w:r w:rsidRPr="00B72783">
        <w:rPr>
          <w:rFonts w:cs="Arial"/>
          <w:spacing w:val="-4"/>
          <w:szCs w:val="24"/>
        </w:rPr>
        <w:t xml:space="preserve"> </w:t>
      </w:r>
      <w:r w:rsidRPr="00B72783">
        <w:rPr>
          <w:rFonts w:cs="Arial"/>
          <w:szCs w:val="24"/>
        </w:rPr>
        <w:t>concern</w:t>
      </w:r>
      <w:r w:rsidRPr="00B72783">
        <w:rPr>
          <w:rFonts w:cs="Arial"/>
          <w:spacing w:val="-4"/>
          <w:szCs w:val="24"/>
        </w:rPr>
        <w:t xml:space="preserve"> </w:t>
      </w:r>
      <w:r w:rsidRPr="00B72783">
        <w:rPr>
          <w:rFonts w:cs="Arial"/>
          <w:szCs w:val="24"/>
        </w:rPr>
        <w:t>that</w:t>
      </w:r>
      <w:r w:rsidRPr="00B72783">
        <w:rPr>
          <w:rFonts w:cs="Arial"/>
          <w:spacing w:val="-4"/>
          <w:szCs w:val="24"/>
        </w:rPr>
        <w:t xml:space="preserve"> </w:t>
      </w:r>
      <w:r w:rsidRPr="00B72783">
        <w:rPr>
          <w:rFonts w:cs="Arial"/>
          <w:szCs w:val="24"/>
        </w:rPr>
        <w:t>the</w:t>
      </w:r>
      <w:r w:rsidRPr="00B72783">
        <w:rPr>
          <w:rFonts w:cs="Arial"/>
          <w:spacing w:val="-2"/>
          <w:szCs w:val="24"/>
        </w:rPr>
        <w:t xml:space="preserve"> </w:t>
      </w:r>
      <w:r w:rsidRPr="00B72783">
        <w:rPr>
          <w:rFonts w:cs="Arial"/>
          <w:szCs w:val="24"/>
        </w:rPr>
        <w:t>audit</w:t>
      </w:r>
      <w:r w:rsidRPr="00B72783">
        <w:rPr>
          <w:rFonts w:cs="Arial"/>
          <w:spacing w:val="-2"/>
          <w:szCs w:val="24"/>
        </w:rPr>
        <w:t xml:space="preserve"> </w:t>
      </w:r>
      <w:r w:rsidRPr="00B72783">
        <w:rPr>
          <w:rFonts w:cs="Arial"/>
          <w:szCs w:val="24"/>
        </w:rPr>
        <w:t>process</w:t>
      </w:r>
      <w:r w:rsidRPr="00B72783">
        <w:rPr>
          <w:rFonts w:cs="Arial"/>
          <w:spacing w:val="-4"/>
          <w:szCs w:val="24"/>
        </w:rPr>
        <w:t xml:space="preserve"> </w:t>
      </w:r>
      <w:r w:rsidRPr="00B72783">
        <w:rPr>
          <w:rFonts w:cs="Arial"/>
          <w:szCs w:val="24"/>
        </w:rPr>
        <w:t>was</w:t>
      </w:r>
      <w:r w:rsidRPr="00B72783">
        <w:rPr>
          <w:rFonts w:cs="Arial"/>
          <w:spacing w:val="-3"/>
          <w:szCs w:val="24"/>
        </w:rPr>
        <w:t xml:space="preserve"> </w:t>
      </w:r>
      <w:r w:rsidRPr="00B72783">
        <w:rPr>
          <w:rFonts w:cs="Arial"/>
          <w:szCs w:val="24"/>
        </w:rPr>
        <w:t>not</w:t>
      </w:r>
      <w:r w:rsidRPr="00B72783">
        <w:rPr>
          <w:rFonts w:cs="Arial"/>
          <w:spacing w:val="-2"/>
          <w:szCs w:val="24"/>
        </w:rPr>
        <w:t xml:space="preserve"> </w:t>
      </w:r>
      <w:r w:rsidRPr="00B72783">
        <w:rPr>
          <w:rFonts w:cs="Arial"/>
          <w:szCs w:val="24"/>
        </w:rPr>
        <w:t>sufficiently</w:t>
      </w:r>
      <w:r w:rsidRPr="00B72783">
        <w:rPr>
          <w:rFonts w:cs="Arial"/>
          <w:spacing w:val="-2"/>
          <w:szCs w:val="24"/>
        </w:rPr>
        <w:t xml:space="preserve"> </w:t>
      </w:r>
      <w:r w:rsidRPr="00B72783">
        <w:rPr>
          <w:rFonts w:cs="Arial"/>
          <w:szCs w:val="24"/>
        </w:rPr>
        <w:t>rigorous.</w:t>
      </w:r>
    </w:p>
    <w:p w14:paraId="5D00756D" w14:textId="77777777" w:rsidR="004913D2" w:rsidRPr="00B72783" w:rsidRDefault="004913D2" w:rsidP="008F41C5">
      <w:pPr>
        <w:pStyle w:val="ListParagraph"/>
        <w:widowControl/>
        <w:numPr>
          <w:ilvl w:val="0"/>
          <w:numId w:val="37"/>
        </w:numPr>
        <w:adjustRightInd/>
        <w:ind w:left="851" w:right="319" w:hanging="425"/>
        <w:contextualSpacing w:val="0"/>
        <w:textAlignment w:val="auto"/>
        <w:rPr>
          <w:rFonts w:cs="Arial"/>
          <w:szCs w:val="24"/>
        </w:rPr>
      </w:pPr>
      <w:r w:rsidRPr="00B72783">
        <w:rPr>
          <w:rFonts w:cs="Arial"/>
          <w:szCs w:val="24"/>
        </w:rPr>
        <w:t>In terms of the design of the Employer Bulletin, employers prefer a more functional presentation and do not necessarily think that images are necessary. They did, however, like the uniform and regular presentation of the new design and the dark text on white</w:t>
      </w:r>
      <w:r w:rsidRPr="00B72783">
        <w:rPr>
          <w:rFonts w:cs="Arial"/>
          <w:spacing w:val="-31"/>
          <w:szCs w:val="24"/>
        </w:rPr>
        <w:t xml:space="preserve"> </w:t>
      </w:r>
      <w:r w:rsidRPr="00B72783">
        <w:rPr>
          <w:rFonts w:cs="Arial"/>
          <w:szCs w:val="24"/>
        </w:rPr>
        <w:t>background.</w:t>
      </w:r>
    </w:p>
    <w:p w14:paraId="75A5C411" w14:textId="77777777" w:rsidR="004913D2" w:rsidRDefault="004913D2" w:rsidP="004913D2">
      <w:pPr>
        <w:pStyle w:val="BodyText"/>
        <w:rPr>
          <w:rFonts w:cs="Arial"/>
          <w:szCs w:val="24"/>
        </w:rPr>
      </w:pPr>
    </w:p>
    <w:p w14:paraId="735FA879" w14:textId="5DDF9AC0" w:rsidR="004913D2" w:rsidRPr="00B72783" w:rsidRDefault="004913D2" w:rsidP="0041614A">
      <w:pPr>
        <w:pStyle w:val="BodyText"/>
        <w:numPr>
          <w:ilvl w:val="0"/>
          <w:numId w:val="40"/>
        </w:numPr>
        <w:ind w:left="284" w:hanging="426"/>
        <w:rPr>
          <w:rFonts w:cs="Arial"/>
          <w:szCs w:val="24"/>
        </w:rPr>
      </w:pPr>
      <w:r w:rsidRPr="00B72783">
        <w:rPr>
          <w:rFonts w:cs="Arial"/>
          <w:szCs w:val="24"/>
        </w:rPr>
        <w:t>The main findings from the member group were:</w:t>
      </w:r>
    </w:p>
    <w:p w14:paraId="37CF242A" w14:textId="77777777" w:rsidR="004913D2" w:rsidRPr="00B72783" w:rsidRDefault="004913D2" w:rsidP="008F41C5">
      <w:pPr>
        <w:pStyle w:val="ListParagraph"/>
        <w:widowControl/>
        <w:numPr>
          <w:ilvl w:val="0"/>
          <w:numId w:val="37"/>
        </w:numPr>
        <w:adjustRightInd/>
        <w:ind w:left="851" w:right="521" w:hanging="567"/>
        <w:contextualSpacing w:val="0"/>
        <w:textAlignment w:val="auto"/>
        <w:rPr>
          <w:rFonts w:cs="Arial"/>
          <w:szCs w:val="24"/>
        </w:rPr>
      </w:pPr>
      <w:r w:rsidRPr="00B72783">
        <w:rPr>
          <w:rFonts w:cs="Arial"/>
          <w:szCs w:val="24"/>
        </w:rPr>
        <w:t>Members reported no problems with viewing MPO, the website, or emails on a mobile phone or tablet. However, only two members recalled having used mobile devices to access Teachers’ Pensions digital</w:t>
      </w:r>
      <w:r w:rsidRPr="00B72783">
        <w:rPr>
          <w:rFonts w:cs="Arial"/>
          <w:spacing w:val="-4"/>
          <w:szCs w:val="24"/>
        </w:rPr>
        <w:t xml:space="preserve"> </w:t>
      </w:r>
      <w:r w:rsidRPr="00B72783">
        <w:rPr>
          <w:rFonts w:cs="Arial"/>
          <w:szCs w:val="24"/>
        </w:rPr>
        <w:t>services.</w:t>
      </w:r>
    </w:p>
    <w:p w14:paraId="20AB42FD" w14:textId="77777777" w:rsidR="004913D2" w:rsidRPr="00B72783" w:rsidRDefault="004913D2" w:rsidP="008F41C5">
      <w:pPr>
        <w:pStyle w:val="ListParagraph"/>
        <w:widowControl/>
        <w:numPr>
          <w:ilvl w:val="0"/>
          <w:numId w:val="37"/>
        </w:numPr>
        <w:adjustRightInd/>
        <w:ind w:left="851" w:hanging="567"/>
        <w:contextualSpacing w:val="0"/>
        <w:textAlignment w:val="auto"/>
        <w:rPr>
          <w:rFonts w:cs="Arial"/>
          <w:szCs w:val="24"/>
        </w:rPr>
      </w:pPr>
      <w:r w:rsidRPr="00B72783">
        <w:rPr>
          <w:rFonts w:cs="Arial"/>
          <w:szCs w:val="24"/>
        </w:rPr>
        <w:t>They felt it was important to retain the option to contact Teachers’ Pensions by telephone and requested earlier and later opening hours on some days of the</w:t>
      </w:r>
      <w:r w:rsidRPr="00B72783">
        <w:rPr>
          <w:rFonts w:cs="Arial"/>
          <w:spacing w:val="-24"/>
          <w:szCs w:val="24"/>
        </w:rPr>
        <w:t xml:space="preserve"> </w:t>
      </w:r>
      <w:r w:rsidRPr="00B72783">
        <w:rPr>
          <w:rFonts w:cs="Arial"/>
          <w:szCs w:val="24"/>
        </w:rPr>
        <w:t>week.</w:t>
      </w:r>
    </w:p>
    <w:p w14:paraId="6535B4AE" w14:textId="77777777" w:rsidR="004913D2" w:rsidRPr="00B72783" w:rsidRDefault="004913D2" w:rsidP="008F41C5">
      <w:pPr>
        <w:pStyle w:val="ListParagraph"/>
        <w:widowControl/>
        <w:numPr>
          <w:ilvl w:val="0"/>
          <w:numId w:val="37"/>
        </w:numPr>
        <w:adjustRightInd/>
        <w:ind w:left="851" w:right="239" w:hanging="567"/>
        <w:contextualSpacing w:val="0"/>
        <w:textAlignment w:val="auto"/>
        <w:rPr>
          <w:rFonts w:cs="Arial"/>
          <w:szCs w:val="24"/>
        </w:rPr>
      </w:pPr>
      <w:r w:rsidRPr="00B72783">
        <w:rPr>
          <w:rFonts w:cs="Arial"/>
          <w:szCs w:val="24"/>
        </w:rPr>
        <w:t xml:space="preserve">Of the two </w:t>
      </w:r>
      <w:r w:rsidR="0050716B">
        <w:rPr>
          <w:rFonts w:cs="Arial"/>
          <w:szCs w:val="24"/>
        </w:rPr>
        <w:t>retirement</w:t>
      </w:r>
      <w:r w:rsidRPr="00B72783">
        <w:rPr>
          <w:rFonts w:cs="Arial"/>
          <w:szCs w:val="24"/>
        </w:rPr>
        <w:t xml:space="preserve"> awards design options members were shown, the tabular format was preferred. On balance, most liked the simplicity and clarity of the table. Although the value of the annotated version was recognised – one member maintained that having all the information on one page was</w:t>
      </w:r>
      <w:r w:rsidRPr="00B72783">
        <w:rPr>
          <w:rFonts w:cs="Arial"/>
          <w:spacing w:val="-3"/>
          <w:szCs w:val="24"/>
        </w:rPr>
        <w:t xml:space="preserve"> </w:t>
      </w:r>
      <w:r w:rsidRPr="00B72783">
        <w:rPr>
          <w:rFonts w:cs="Arial"/>
          <w:szCs w:val="24"/>
        </w:rPr>
        <w:t>preferable</w:t>
      </w:r>
      <w:r w:rsidRPr="00B72783">
        <w:rPr>
          <w:rFonts w:cs="Arial"/>
          <w:spacing w:val="-5"/>
          <w:szCs w:val="24"/>
        </w:rPr>
        <w:t xml:space="preserve"> </w:t>
      </w:r>
      <w:r w:rsidRPr="00B72783">
        <w:rPr>
          <w:rFonts w:cs="Arial"/>
          <w:szCs w:val="24"/>
        </w:rPr>
        <w:t>–</w:t>
      </w:r>
      <w:r w:rsidRPr="00B72783">
        <w:rPr>
          <w:rFonts w:cs="Arial"/>
          <w:spacing w:val="-5"/>
          <w:szCs w:val="24"/>
        </w:rPr>
        <w:t xml:space="preserve"> </w:t>
      </w:r>
      <w:r w:rsidRPr="00B72783">
        <w:rPr>
          <w:rFonts w:cs="Arial"/>
          <w:szCs w:val="24"/>
        </w:rPr>
        <w:t>most</w:t>
      </w:r>
      <w:r w:rsidRPr="00B72783">
        <w:rPr>
          <w:rFonts w:cs="Arial"/>
          <w:spacing w:val="-2"/>
          <w:szCs w:val="24"/>
        </w:rPr>
        <w:t xml:space="preserve"> </w:t>
      </w:r>
      <w:r w:rsidRPr="00B72783">
        <w:rPr>
          <w:rFonts w:cs="Arial"/>
          <w:szCs w:val="24"/>
        </w:rPr>
        <w:t>participants</w:t>
      </w:r>
      <w:r w:rsidRPr="00B72783">
        <w:rPr>
          <w:rFonts w:cs="Arial"/>
          <w:spacing w:val="-3"/>
          <w:szCs w:val="24"/>
        </w:rPr>
        <w:t xml:space="preserve"> </w:t>
      </w:r>
      <w:r w:rsidRPr="00B72783">
        <w:rPr>
          <w:rFonts w:cs="Arial"/>
          <w:szCs w:val="24"/>
        </w:rPr>
        <w:t>thought</w:t>
      </w:r>
      <w:r w:rsidRPr="00B72783">
        <w:rPr>
          <w:rFonts w:cs="Arial"/>
          <w:spacing w:val="-5"/>
          <w:szCs w:val="24"/>
        </w:rPr>
        <w:t xml:space="preserve"> </w:t>
      </w:r>
      <w:r w:rsidRPr="00B72783">
        <w:rPr>
          <w:rFonts w:cs="Arial"/>
          <w:szCs w:val="24"/>
        </w:rPr>
        <w:t>that</w:t>
      </w:r>
      <w:r w:rsidRPr="00B72783">
        <w:rPr>
          <w:rFonts w:cs="Arial"/>
          <w:spacing w:val="-5"/>
          <w:szCs w:val="24"/>
        </w:rPr>
        <w:t xml:space="preserve"> </w:t>
      </w:r>
      <w:r w:rsidRPr="00B72783">
        <w:rPr>
          <w:rFonts w:cs="Arial"/>
          <w:szCs w:val="24"/>
        </w:rPr>
        <w:t>the</w:t>
      </w:r>
      <w:r w:rsidRPr="00B72783">
        <w:rPr>
          <w:rFonts w:cs="Arial"/>
          <w:spacing w:val="-1"/>
          <w:szCs w:val="24"/>
        </w:rPr>
        <w:t xml:space="preserve"> </w:t>
      </w:r>
      <w:r w:rsidRPr="00B72783">
        <w:rPr>
          <w:rFonts w:cs="Arial"/>
          <w:szCs w:val="24"/>
        </w:rPr>
        <w:t>annotated</w:t>
      </w:r>
      <w:r w:rsidRPr="00B72783">
        <w:rPr>
          <w:rFonts w:cs="Arial"/>
          <w:spacing w:val="-4"/>
          <w:szCs w:val="24"/>
        </w:rPr>
        <w:t xml:space="preserve"> </w:t>
      </w:r>
      <w:r w:rsidRPr="00B72783">
        <w:rPr>
          <w:rFonts w:cs="Arial"/>
          <w:szCs w:val="24"/>
        </w:rPr>
        <w:t>document</w:t>
      </w:r>
      <w:r w:rsidRPr="00B72783">
        <w:rPr>
          <w:rFonts w:cs="Arial"/>
          <w:spacing w:val="-5"/>
          <w:szCs w:val="24"/>
        </w:rPr>
        <w:t xml:space="preserve"> </w:t>
      </w:r>
      <w:r w:rsidRPr="00B72783">
        <w:rPr>
          <w:rFonts w:cs="Arial"/>
          <w:szCs w:val="24"/>
        </w:rPr>
        <w:t>was</w:t>
      </w:r>
      <w:r w:rsidRPr="00B72783">
        <w:rPr>
          <w:rFonts w:cs="Arial"/>
          <w:spacing w:val="-5"/>
          <w:szCs w:val="24"/>
        </w:rPr>
        <w:t xml:space="preserve"> </w:t>
      </w:r>
      <w:r w:rsidRPr="00B72783">
        <w:rPr>
          <w:rFonts w:cs="Arial"/>
          <w:szCs w:val="24"/>
        </w:rPr>
        <w:t>too</w:t>
      </w:r>
      <w:r w:rsidRPr="00B72783">
        <w:rPr>
          <w:rFonts w:cs="Arial"/>
          <w:spacing w:val="-2"/>
          <w:szCs w:val="24"/>
        </w:rPr>
        <w:t xml:space="preserve"> </w:t>
      </w:r>
      <w:r w:rsidRPr="00B72783">
        <w:rPr>
          <w:rFonts w:cs="Arial"/>
          <w:szCs w:val="24"/>
        </w:rPr>
        <w:t>complex.</w:t>
      </w:r>
    </w:p>
    <w:p w14:paraId="58617012" w14:textId="77777777" w:rsidR="004913D2" w:rsidRPr="00B72783" w:rsidRDefault="004913D2" w:rsidP="004913D2">
      <w:pPr>
        <w:pStyle w:val="BodyText"/>
        <w:ind w:left="120"/>
        <w:rPr>
          <w:rFonts w:cs="Arial"/>
          <w:szCs w:val="24"/>
        </w:rPr>
      </w:pPr>
    </w:p>
    <w:p w14:paraId="2D153BDB" w14:textId="77777777" w:rsidR="004913D2" w:rsidRPr="00B72783" w:rsidRDefault="004913D2" w:rsidP="008F41C5">
      <w:pPr>
        <w:pStyle w:val="BodyText"/>
        <w:numPr>
          <w:ilvl w:val="0"/>
          <w:numId w:val="40"/>
        </w:numPr>
        <w:ind w:left="284" w:hanging="426"/>
        <w:rPr>
          <w:rFonts w:cs="Arial"/>
          <w:szCs w:val="24"/>
        </w:rPr>
      </w:pPr>
      <w:r w:rsidRPr="00B72783">
        <w:rPr>
          <w:rFonts w:cs="Arial"/>
          <w:szCs w:val="24"/>
        </w:rPr>
        <w:t>Member and employ</w:t>
      </w:r>
      <w:r w:rsidR="00DD6953">
        <w:rPr>
          <w:rFonts w:cs="Arial"/>
          <w:szCs w:val="24"/>
        </w:rPr>
        <w:t>er</w:t>
      </w:r>
      <w:r w:rsidRPr="00B72783">
        <w:rPr>
          <w:rFonts w:cs="Arial"/>
          <w:szCs w:val="24"/>
        </w:rPr>
        <w:t xml:space="preserve"> views on training were quite similar:</w:t>
      </w:r>
    </w:p>
    <w:p w14:paraId="22A607D1" w14:textId="77777777" w:rsidR="004913D2" w:rsidRPr="00B72783" w:rsidRDefault="004913D2" w:rsidP="008F41C5">
      <w:pPr>
        <w:pStyle w:val="ListParagraph"/>
        <w:widowControl/>
        <w:numPr>
          <w:ilvl w:val="0"/>
          <w:numId w:val="38"/>
        </w:numPr>
        <w:adjustRightInd/>
        <w:ind w:left="709" w:right="95" w:hanging="425"/>
        <w:contextualSpacing w:val="0"/>
        <w:textAlignment w:val="auto"/>
        <w:rPr>
          <w:rFonts w:cs="Arial"/>
          <w:szCs w:val="24"/>
        </w:rPr>
      </w:pPr>
      <w:r w:rsidRPr="00B72783">
        <w:rPr>
          <w:rFonts w:cs="Arial"/>
          <w:szCs w:val="24"/>
        </w:rPr>
        <w:t>Both audiences are happy with a mix of online (recorded webinar) and face-to-fa</w:t>
      </w:r>
      <w:r w:rsidR="00DD6953">
        <w:rPr>
          <w:rFonts w:cs="Arial"/>
          <w:szCs w:val="24"/>
        </w:rPr>
        <w:t>ce training, particularly if it i</w:t>
      </w:r>
      <w:r w:rsidRPr="00B72783">
        <w:rPr>
          <w:rFonts w:cs="Arial"/>
          <w:szCs w:val="24"/>
        </w:rPr>
        <w:t>s led by Teachers’ Pensions staff. Employers were also happy to deliver training to their staff if they were supported with good-quality materials from</w:t>
      </w:r>
      <w:r w:rsidRPr="00B72783">
        <w:rPr>
          <w:rFonts w:cs="Arial"/>
          <w:spacing w:val="-20"/>
          <w:szCs w:val="24"/>
        </w:rPr>
        <w:t xml:space="preserve"> </w:t>
      </w:r>
      <w:r w:rsidRPr="00B72783">
        <w:rPr>
          <w:rFonts w:cs="Arial"/>
          <w:szCs w:val="24"/>
        </w:rPr>
        <w:t>Teachers’ Pensions.</w:t>
      </w:r>
    </w:p>
    <w:p w14:paraId="5686ACCC" w14:textId="77777777" w:rsidR="004913D2" w:rsidRPr="00B72783" w:rsidRDefault="004913D2" w:rsidP="00694C80">
      <w:pPr>
        <w:pStyle w:val="ListParagraph"/>
        <w:widowControl/>
        <w:numPr>
          <w:ilvl w:val="0"/>
          <w:numId w:val="38"/>
        </w:numPr>
        <w:adjustRightInd/>
        <w:contextualSpacing w:val="0"/>
        <w:textAlignment w:val="auto"/>
        <w:rPr>
          <w:rFonts w:cs="Arial"/>
          <w:szCs w:val="24"/>
        </w:rPr>
      </w:pPr>
      <w:r w:rsidRPr="00B72783">
        <w:rPr>
          <w:rFonts w:cs="Arial"/>
          <w:szCs w:val="24"/>
        </w:rPr>
        <w:t>Teachers’ Pensions could utilise the structures of multi-academy trusts and teaching alliances to gather large numbers of members together in one place and to target the training at groups of members at different life or career stages. Teachers’ Pensions might consider input about the Scheme for trainee teachers but should certainly develop packages for newly qualified and early career teachers to introduce them to the basics.</w:t>
      </w:r>
    </w:p>
    <w:p w14:paraId="07A00014" w14:textId="77777777" w:rsidR="004913D2" w:rsidRPr="00B72783" w:rsidRDefault="004913D2" w:rsidP="00694C80">
      <w:pPr>
        <w:pStyle w:val="ListParagraph"/>
        <w:widowControl/>
        <w:numPr>
          <w:ilvl w:val="0"/>
          <w:numId w:val="38"/>
        </w:numPr>
        <w:adjustRightInd/>
        <w:contextualSpacing w:val="0"/>
        <w:textAlignment w:val="auto"/>
        <w:rPr>
          <w:rFonts w:cs="Arial"/>
          <w:szCs w:val="24"/>
        </w:rPr>
      </w:pPr>
      <w:r w:rsidRPr="00B72783">
        <w:rPr>
          <w:rFonts w:cs="Arial"/>
          <w:szCs w:val="24"/>
        </w:rPr>
        <w:t>The main focus for members is on the affordability of retiring before state pension age and the impact of doing so on their Teachers’ Pension Scheme benefits. They also want some basic facts about their contributions and how the scheme</w:t>
      </w:r>
      <w:r w:rsidRPr="00B72783">
        <w:rPr>
          <w:rFonts w:cs="Arial"/>
          <w:spacing w:val="-15"/>
          <w:szCs w:val="24"/>
        </w:rPr>
        <w:t xml:space="preserve"> </w:t>
      </w:r>
      <w:r w:rsidRPr="00B72783">
        <w:rPr>
          <w:rFonts w:cs="Arial"/>
          <w:szCs w:val="24"/>
        </w:rPr>
        <w:t>works.</w:t>
      </w:r>
    </w:p>
    <w:p w14:paraId="202FBD4F" w14:textId="77777777" w:rsidR="004913D2" w:rsidRPr="00B72783" w:rsidRDefault="004913D2" w:rsidP="00694C80">
      <w:pPr>
        <w:pStyle w:val="ListParagraph"/>
        <w:widowControl/>
        <w:numPr>
          <w:ilvl w:val="0"/>
          <w:numId w:val="38"/>
        </w:numPr>
        <w:adjustRightInd/>
        <w:ind w:right="95"/>
        <w:contextualSpacing w:val="0"/>
        <w:textAlignment w:val="auto"/>
        <w:rPr>
          <w:rFonts w:cs="Arial"/>
          <w:szCs w:val="24"/>
        </w:rPr>
      </w:pPr>
      <w:r w:rsidRPr="00B72783">
        <w:rPr>
          <w:rFonts w:cs="Arial"/>
          <w:szCs w:val="24"/>
        </w:rPr>
        <w:t xml:space="preserve">Employers felt that the training on offer on the Teachers’ Pensions website covered their main needs. Any further training they needed would focus on major changes to the Scheme or to the administration process. </w:t>
      </w:r>
    </w:p>
    <w:p w14:paraId="627E4275" w14:textId="77777777" w:rsidR="004913D2" w:rsidRPr="004913D2" w:rsidRDefault="004913D2" w:rsidP="004913D2">
      <w:pPr>
        <w:pStyle w:val="ListParagraph"/>
        <w:rPr>
          <w:rFonts w:cs="Arial"/>
          <w:szCs w:val="24"/>
        </w:rPr>
      </w:pPr>
    </w:p>
    <w:p w14:paraId="20C87CA4" w14:textId="77777777" w:rsidR="00EF47E6" w:rsidRPr="0043359F" w:rsidRDefault="00522CF8" w:rsidP="00694C80">
      <w:pPr>
        <w:pStyle w:val="ListParagraph"/>
        <w:numPr>
          <w:ilvl w:val="0"/>
          <w:numId w:val="40"/>
        </w:numPr>
        <w:ind w:left="284" w:hanging="426"/>
        <w:rPr>
          <w:rFonts w:cs="Arial"/>
          <w:szCs w:val="24"/>
        </w:rPr>
      </w:pPr>
      <w:r w:rsidRPr="0043359F">
        <w:rPr>
          <w:rFonts w:cs="Arial"/>
          <w:szCs w:val="24"/>
        </w:rPr>
        <w:t xml:space="preserve">Future topics will include Contact Us, employer portal, employer training and Monthly Contribution Reconciliation (MCR). </w:t>
      </w:r>
    </w:p>
    <w:p w14:paraId="466255E7" w14:textId="77777777" w:rsidR="00AE71D0" w:rsidRPr="007B367A" w:rsidRDefault="00AE71D0" w:rsidP="00A77E6C">
      <w:pPr>
        <w:pStyle w:val="ListParagraph"/>
        <w:rPr>
          <w:rFonts w:cs="Arial"/>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230"/>
        <w:gridCol w:w="1134"/>
      </w:tblGrid>
      <w:tr w:rsidR="00EF47E6" w:rsidRPr="007B367A" w14:paraId="5AA4B726" w14:textId="77777777" w:rsidTr="00A521C3">
        <w:tc>
          <w:tcPr>
            <w:tcW w:w="7230" w:type="dxa"/>
            <w:shd w:val="clear" w:color="auto" w:fill="auto"/>
          </w:tcPr>
          <w:p w14:paraId="45864CD8" w14:textId="77777777" w:rsidR="00EF47E6" w:rsidRPr="007B367A" w:rsidRDefault="004E5B0B" w:rsidP="00A77E6C">
            <w:pPr>
              <w:rPr>
                <w:rFonts w:cs="Arial"/>
                <w:b/>
                <w:szCs w:val="24"/>
              </w:rPr>
            </w:pPr>
            <w:r w:rsidRPr="007B367A">
              <w:rPr>
                <w:rFonts w:cs="Arial"/>
                <w:b/>
                <w:szCs w:val="24"/>
              </w:rPr>
              <w:t xml:space="preserve">The </w:t>
            </w:r>
            <w:r w:rsidR="00EF47E6" w:rsidRPr="007B367A">
              <w:rPr>
                <w:rFonts w:cs="Arial"/>
                <w:b/>
                <w:szCs w:val="24"/>
              </w:rPr>
              <w:t>P</w:t>
            </w:r>
            <w:r w:rsidRPr="007B367A">
              <w:rPr>
                <w:rFonts w:cs="Arial"/>
                <w:b/>
                <w:szCs w:val="24"/>
              </w:rPr>
              <w:t xml:space="preserve">ensions </w:t>
            </w:r>
            <w:r w:rsidR="00EF47E6" w:rsidRPr="007B367A">
              <w:rPr>
                <w:rFonts w:cs="Arial"/>
                <w:b/>
                <w:szCs w:val="24"/>
              </w:rPr>
              <w:t>R</w:t>
            </w:r>
            <w:r w:rsidRPr="007B367A">
              <w:rPr>
                <w:rFonts w:cs="Arial"/>
                <w:b/>
                <w:szCs w:val="24"/>
              </w:rPr>
              <w:t>egulator</w:t>
            </w:r>
            <w:r w:rsidR="00EF47E6" w:rsidRPr="007B367A">
              <w:rPr>
                <w:rFonts w:cs="Arial"/>
                <w:b/>
                <w:szCs w:val="24"/>
              </w:rPr>
              <w:t xml:space="preserve"> Engagement</w:t>
            </w:r>
            <w:r w:rsidR="0038224A" w:rsidRPr="007B367A">
              <w:rPr>
                <w:rFonts w:cs="Arial"/>
                <w:b/>
                <w:szCs w:val="24"/>
              </w:rPr>
              <w:t xml:space="preserve"> </w:t>
            </w:r>
          </w:p>
          <w:p w14:paraId="4C3ED0B6" w14:textId="77777777" w:rsidR="00A311ED" w:rsidRPr="007B367A" w:rsidRDefault="00A311ED" w:rsidP="00A77E6C">
            <w:pPr>
              <w:rPr>
                <w:rFonts w:cs="Arial"/>
                <w:b/>
                <w:szCs w:val="24"/>
              </w:rPr>
            </w:pPr>
          </w:p>
        </w:tc>
        <w:tc>
          <w:tcPr>
            <w:tcW w:w="1134" w:type="dxa"/>
            <w:shd w:val="clear" w:color="auto" w:fill="00B050"/>
          </w:tcPr>
          <w:p w14:paraId="20D9B295" w14:textId="77777777" w:rsidR="00EF47E6" w:rsidRPr="007B367A" w:rsidRDefault="00EF47E6" w:rsidP="00A77E6C">
            <w:pPr>
              <w:rPr>
                <w:rFonts w:cs="Arial"/>
                <w:color w:val="FFC000"/>
                <w:szCs w:val="24"/>
              </w:rPr>
            </w:pPr>
            <w:r w:rsidRPr="007B367A">
              <w:rPr>
                <w:rFonts w:cs="Arial"/>
                <w:noProof/>
                <w:color w:val="00B050"/>
                <w:szCs w:val="24"/>
              </w:rPr>
              <mc:AlternateContent>
                <mc:Choice Requires="wps">
                  <w:drawing>
                    <wp:anchor distT="0" distB="0" distL="114300" distR="114300" simplePos="0" relativeHeight="251661312" behindDoc="0" locked="0" layoutInCell="1" allowOverlap="1" wp14:anchorId="222396B7" wp14:editId="4A59C046">
                      <wp:simplePos x="0" y="0"/>
                      <wp:positionH relativeFrom="column">
                        <wp:posOffset>87630</wp:posOffset>
                      </wp:positionH>
                      <wp:positionV relativeFrom="paragraph">
                        <wp:posOffset>175895</wp:posOffset>
                      </wp:positionV>
                      <wp:extent cx="350520" cy="0"/>
                      <wp:effectExtent l="0" t="76200" r="30480" b="152400"/>
                      <wp:wrapNone/>
                      <wp:docPr id="3" name="Straight Arrow Connector 3"/>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18ADCDA" id="Straight Arrow Connector 3" o:spid="_x0000_s1026" type="#_x0000_t32" style="position:absolute;margin-left:6.9pt;margin-top:13.85pt;width:27.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b3HwIAADwEAAAOAAAAZHJzL2Uyb0RvYy54bWysU8GO2jAQvVfqP1i+lwQo1QoRVhV0e6la&#10;VLba82A7iSXHtsaGwN937ASWtrdVc3A8Hs/Me2/Gq8dzZ9hJYdDOVnw6KTlTVjipbVPxX89PHx44&#10;CxGsBOOsqvhFBf64fv9u1fulmrnWGamQURIblr2veBujXxZFEK3qIEycV5actcMOIpnYFBKhp+yd&#10;KWZl+anoHUqPTqgQ6HQ7OPk6569rJeKPug4qMlNxwhbzink9pLVYr2DZIPhWixEGvAFFB9pS0Vuq&#10;LURgR9T/pOq0QBdcHSfCdYWray1U5kBspuVfbPYteJW5kDjB32QK/y+t+H7aIdOy4nPOLHTUon1E&#10;0E0b2WdE17ONs5ZkdMjmSa3ehyUFbewORyv4HSbq5xq79CdS7JwVvtwUVufIBB3OF+ViRn0QV1fx&#10;GucxxK/KdSxtKh5GGLf60ywwnL6FSJUp8BqQilr3pI3J3TSW9RWfLT6WqRDQUNUGIm07TzSDbTgD&#10;09C0iog5ZXBGyxSeEoVL2BhkJ6CBoTmTrn8m8JwZCJEcxCh/SQqC8EdowrOF0A7B2TXMVwRtvljJ&#10;4sWTvpBkHeONTTVVHlTileU7RoX7VvbsYI74EwgzMUlcpE660NQPBmFJHLOFLr7o2OaBSaJnJtgc&#10;blTyveEcjG9hwDh/SNEjleF6puWuGLJ1B69I7R8annYHJy95DvI5jWi+Pz6n9AbubdrfP/r1bwAA&#10;AP//AwBQSwMEFAAGAAgAAAAhACJ2IETaAAAABwEAAA8AAABkcnMvZG93bnJldi54bWxMj8tOwzAQ&#10;RfdI/QdrKrGjDkUkEOJUvKVuKhH4ADcektB4HMXOo3w9g1iU5dEd3Xsm28y2FSP2vnGk4HIVgUAq&#10;nWmoUvDx/nJxA8IHTUa3jlDBET1s8sVZplPjJnrDsQiV4BLyqVZQh9ClUvqyRqv9ynVInH263urA&#10;2FfS9HrictvKdRTF0uqGeKHWHT7WWB6KwSr4tk/0bMfr1+FrjLfT7uEYHZJCqfPlfH8HIuAcTsfw&#10;q8/qkLPT3g1kvGiZr9g8KFgnCQjO41t+bf/HMs/kf//8BwAA//8DAFBLAQItABQABgAIAAAAIQC2&#10;gziS/gAAAOEBAAATAAAAAAAAAAAAAAAAAAAAAABbQ29udGVudF9UeXBlc10ueG1sUEsBAi0AFAAG&#10;AAgAAAAhADj9If/WAAAAlAEAAAsAAAAAAAAAAAAAAAAALwEAAF9yZWxzLy5yZWxzUEsBAi0AFAAG&#10;AAgAAAAhALjOhvcfAgAAPAQAAA4AAAAAAAAAAAAAAAAALgIAAGRycy9lMm9Eb2MueG1sUEsBAi0A&#10;FAAGAAgAAAAhACJ2IETaAAAABwEAAA8AAAAAAAAAAAAAAAAAeQQAAGRycy9kb3ducmV2LnhtbFBL&#10;BQYAAAAABAAEAPMAAACABQAAAAA=&#10;" strokecolor="windowText" strokeweight="2pt">
                      <v:stroke endarrow="open"/>
                      <v:shadow on="t" color="black" opacity="24903f" origin=",.5" offset="0,.55556mm"/>
                    </v:shape>
                  </w:pict>
                </mc:Fallback>
              </mc:AlternateContent>
            </w:r>
          </w:p>
        </w:tc>
      </w:tr>
    </w:tbl>
    <w:p w14:paraId="7C130F68" w14:textId="77777777" w:rsidR="00737CD7" w:rsidRPr="007B367A" w:rsidRDefault="00737CD7" w:rsidP="00A77E6C">
      <w:pPr>
        <w:rPr>
          <w:rFonts w:cs="Arial"/>
          <w:szCs w:val="24"/>
        </w:rPr>
      </w:pPr>
    </w:p>
    <w:p w14:paraId="02430A7C" w14:textId="77777777" w:rsidR="00E35BD7" w:rsidRDefault="00D936FA" w:rsidP="00BF71DB">
      <w:pPr>
        <w:pStyle w:val="ListParagraph"/>
        <w:numPr>
          <w:ilvl w:val="0"/>
          <w:numId w:val="40"/>
        </w:numPr>
        <w:ind w:left="284" w:hanging="426"/>
        <w:rPr>
          <w:rFonts w:cs="Arial"/>
          <w:szCs w:val="24"/>
        </w:rPr>
      </w:pPr>
      <w:r>
        <w:rPr>
          <w:rFonts w:cs="Arial"/>
          <w:szCs w:val="24"/>
        </w:rPr>
        <w:t xml:space="preserve"> The table below demonstrates the establishments reported to TPR for non-compliance, detailed by sector:</w:t>
      </w:r>
    </w:p>
    <w:p w14:paraId="60F5FAB5" w14:textId="77777777" w:rsidR="00D936FA" w:rsidRPr="00D936FA" w:rsidRDefault="00D936FA" w:rsidP="00D936FA">
      <w:pPr>
        <w:rPr>
          <w:rFonts w:cs="Arial"/>
          <w:szCs w:val="24"/>
        </w:rPr>
      </w:pPr>
    </w:p>
    <w:tbl>
      <w:tblPr>
        <w:tblStyle w:val="TableGrid"/>
        <w:tblW w:w="0" w:type="auto"/>
        <w:tblLook w:val="04A0" w:firstRow="1" w:lastRow="0" w:firstColumn="1" w:lastColumn="0" w:noHBand="0" w:noVBand="1"/>
      </w:tblPr>
      <w:tblGrid>
        <w:gridCol w:w="1788"/>
        <w:gridCol w:w="2318"/>
        <w:gridCol w:w="1843"/>
        <w:gridCol w:w="2551"/>
      </w:tblGrid>
      <w:tr w:rsidR="00555859" w14:paraId="5E6636F9" w14:textId="77777777" w:rsidTr="001D2B26">
        <w:tc>
          <w:tcPr>
            <w:tcW w:w="1788" w:type="dxa"/>
          </w:tcPr>
          <w:p w14:paraId="579FCC6B" w14:textId="77777777" w:rsidR="00555859" w:rsidRDefault="00555859" w:rsidP="00D936FA">
            <w:r>
              <w:t>Month</w:t>
            </w:r>
          </w:p>
          <w:p w14:paraId="28720D79" w14:textId="77777777" w:rsidR="00555859" w:rsidRDefault="00555859" w:rsidP="00D936FA">
            <w:pPr>
              <w:pStyle w:val="ListParagraph"/>
              <w:ind w:left="360"/>
            </w:pPr>
          </w:p>
        </w:tc>
        <w:tc>
          <w:tcPr>
            <w:tcW w:w="2318" w:type="dxa"/>
          </w:tcPr>
          <w:p w14:paraId="3A7BA450" w14:textId="77777777" w:rsidR="00555859" w:rsidRDefault="00555859" w:rsidP="00DD6953">
            <w:pPr>
              <w:jc w:val="center"/>
            </w:pPr>
            <w:r>
              <w:t>Independent</w:t>
            </w:r>
          </w:p>
        </w:tc>
        <w:tc>
          <w:tcPr>
            <w:tcW w:w="1843" w:type="dxa"/>
          </w:tcPr>
          <w:p w14:paraId="345B643C" w14:textId="77777777" w:rsidR="00555859" w:rsidRDefault="00555859" w:rsidP="00DD6953">
            <w:pPr>
              <w:jc w:val="center"/>
            </w:pPr>
            <w:r>
              <w:t>FE College</w:t>
            </w:r>
          </w:p>
        </w:tc>
        <w:tc>
          <w:tcPr>
            <w:tcW w:w="2551" w:type="dxa"/>
          </w:tcPr>
          <w:p w14:paraId="31211D1A" w14:textId="77777777" w:rsidR="00555859" w:rsidRDefault="00555859" w:rsidP="00DD6953">
            <w:pPr>
              <w:jc w:val="center"/>
            </w:pPr>
            <w:r>
              <w:t>Academy</w:t>
            </w:r>
          </w:p>
        </w:tc>
      </w:tr>
      <w:tr w:rsidR="00555859" w14:paraId="42FD9928" w14:textId="77777777" w:rsidTr="001D2B26">
        <w:tc>
          <w:tcPr>
            <w:tcW w:w="1788" w:type="dxa"/>
          </w:tcPr>
          <w:p w14:paraId="1257E812" w14:textId="77777777" w:rsidR="00555859" w:rsidRDefault="00555859" w:rsidP="00DD6953">
            <w:r>
              <w:t>August</w:t>
            </w:r>
          </w:p>
          <w:p w14:paraId="516EA672" w14:textId="77777777" w:rsidR="00555859" w:rsidRDefault="00555859" w:rsidP="00DD6953"/>
        </w:tc>
        <w:tc>
          <w:tcPr>
            <w:tcW w:w="2318" w:type="dxa"/>
          </w:tcPr>
          <w:p w14:paraId="1CF44E30" w14:textId="77777777" w:rsidR="00555859" w:rsidRDefault="003F6E2B" w:rsidP="00DD6953">
            <w:pPr>
              <w:jc w:val="center"/>
            </w:pPr>
            <w:r>
              <w:t>1</w:t>
            </w:r>
          </w:p>
          <w:p w14:paraId="63685B0E" w14:textId="77777777" w:rsidR="00EC5C75" w:rsidRDefault="00EC5C75" w:rsidP="00EC5C75"/>
        </w:tc>
        <w:tc>
          <w:tcPr>
            <w:tcW w:w="1843" w:type="dxa"/>
          </w:tcPr>
          <w:p w14:paraId="357A1D33" w14:textId="77777777" w:rsidR="00555859" w:rsidRDefault="00555859" w:rsidP="00DD6953">
            <w:pPr>
              <w:jc w:val="center"/>
            </w:pPr>
            <w:r>
              <w:t>1</w:t>
            </w:r>
          </w:p>
        </w:tc>
        <w:tc>
          <w:tcPr>
            <w:tcW w:w="2551" w:type="dxa"/>
          </w:tcPr>
          <w:p w14:paraId="28BF03B2" w14:textId="77777777" w:rsidR="00555859" w:rsidRDefault="001D2B26" w:rsidP="00DD6953">
            <w:pPr>
              <w:jc w:val="center"/>
            </w:pPr>
            <w:r>
              <w:t>7</w:t>
            </w:r>
          </w:p>
        </w:tc>
      </w:tr>
      <w:tr w:rsidR="00555859" w14:paraId="03E1B0E4" w14:textId="77777777" w:rsidTr="001D2B26">
        <w:tc>
          <w:tcPr>
            <w:tcW w:w="1788" w:type="dxa"/>
          </w:tcPr>
          <w:p w14:paraId="15E9770A" w14:textId="77777777" w:rsidR="00555859" w:rsidRDefault="00555859" w:rsidP="00DD6953">
            <w:r>
              <w:t>September</w:t>
            </w:r>
          </w:p>
          <w:p w14:paraId="38887680" w14:textId="77777777" w:rsidR="00555859" w:rsidRDefault="00555859" w:rsidP="00DD6953"/>
        </w:tc>
        <w:tc>
          <w:tcPr>
            <w:tcW w:w="2318" w:type="dxa"/>
          </w:tcPr>
          <w:p w14:paraId="6636EB5B" w14:textId="77777777" w:rsidR="00555859" w:rsidRDefault="001D2B26" w:rsidP="00DD6953">
            <w:pPr>
              <w:jc w:val="center"/>
            </w:pPr>
            <w:r>
              <w:t>3</w:t>
            </w:r>
          </w:p>
        </w:tc>
        <w:tc>
          <w:tcPr>
            <w:tcW w:w="1843" w:type="dxa"/>
          </w:tcPr>
          <w:p w14:paraId="63F0009C" w14:textId="77777777" w:rsidR="00555859" w:rsidRDefault="00555859" w:rsidP="00DD6953">
            <w:pPr>
              <w:jc w:val="center"/>
            </w:pPr>
            <w:r>
              <w:t>1</w:t>
            </w:r>
          </w:p>
        </w:tc>
        <w:tc>
          <w:tcPr>
            <w:tcW w:w="2551" w:type="dxa"/>
          </w:tcPr>
          <w:p w14:paraId="095458DC" w14:textId="77777777" w:rsidR="00555859" w:rsidRDefault="001D2B26" w:rsidP="00DD6953">
            <w:pPr>
              <w:jc w:val="center"/>
            </w:pPr>
            <w:r>
              <w:t>3</w:t>
            </w:r>
          </w:p>
        </w:tc>
      </w:tr>
      <w:tr w:rsidR="00555859" w14:paraId="1836D8F5" w14:textId="77777777" w:rsidTr="001D2B26">
        <w:tc>
          <w:tcPr>
            <w:tcW w:w="1788" w:type="dxa"/>
          </w:tcPr>
          <w:p w14:paraId="044BBA74" w14:textId="77777777" w:rsidR="00555859" w:rsidRDefault="00555859" w:rsidP="00DD6953">
            <w:r>
              <w:t>October</w:t>
            </w:r>
          </w:p>
          <w:p w14:paraId="683C9A47" w14:textId="77777777" w:rsidR="00555859" w:rsidRDefault="00555859" w:rsidP="00DD6953"/>
        </w:tc>
        <w:tc>
          <w:tcPr>
            <w:tcW w:w="2318" w:type="dxa"/>
          </w:tcPr>
          <w:p w14:paraId="77F78116" w14:textId="77777777" w:rsidR="00555859" w:rsidRDefault="001D2B26" w:rsidP="00DD6953">
            <w:pPr>
              <w:jc w:val="center"/>
            </w:pPr>
            <w:r>
              <w:t>2</w:t>
            </w:r>
          </w:p>
        </w:tc>
        <w:tc>
          <w:tcPr>
            <w:tcW w:w="1843" w:type="dxa"/>
          </w:tcPr>
          <w:p w14:paraId="6D202D63" w14:textId="77777777" w:rsidR="00555859" w:rsidRDefault="00555859" w:rsidP="00DD6953">
            <w:pPr>
              <w:jc w:val="center"/>
            </w:pPr>
            <w:r>
              <w:t>0</w:t>
            </w:r>
          </w:p>
        </w:tc>
        <w:tc>
          <w:tcPr>
            <w:tcW w:w="2551" w:type="dxa"/>
          </w:tcPr>
          <w:p w14:paraId="067A2DAC" w14:textId="77777777" w:rsidR="00555859" w:rsidRDefault="001D2B26" w:rsidP="00DD6953">
            <w:pPr>
              <w:jc w:val="center"/>
            </w:pPr>
            <w:r>
              <w:t>3</w:t>
            </w:r>
          </w:p>
        </w:tc>
      </w:tr>
    </w:tbl>
    <w:p w14:paraId="0B2DEEB2" w14:textId="77777777" w:rsidR="00DA532F" w:rsidRPr="00D936FA" w:rsidRDefault="00DA532F" w:rsidP="00D936FA"/>
    <w:p w14:paraId="7C2AE546" w14:textId="5BA855F3" w:rsidR="000A713D" w:rsidRPr="00BF71DB" w:rsidRDefault="00DA532F" w:rsidP="00BF71DB">
      <w:pPr>
        <w:pStyle w:val="ListParagraph"/>
        <w:numPr>
          <w:ilvl w:val="0"/>
          <w:numId w:val="40"/>
        </w:numPr>
        <w:ind w:left="284" w:hanging="426"/>
        <w:rPr>
          <w:rFonts w:cs="Arial"/>
          <w:b/>
          <w:bCs/>
          <w:szCs w:val="24"/>
        </w:rPr>
      </w:pPr>
      <w:r w:rsidRPr="00BF71DB">
        <w:rPr>
          <w:rFonts w:cs="Arial"/>
          <w:bCs/>
          <w:szCs w:val="24"/>
        </w:rPr>
        <w:t>One</w:t>
      </w:r>
      <w:r w:rsidR="000A713D" w:rsidRPr="00BF71DB">
        <w:rPr>
          <w:rFonts w:cs="Arial"/>
          <w:bCs/>
          <w:szCs w:val="24"/>
        </w:rPr>
        <w:t xml:space="preserve"> </w:t>
      </w:r>
      <w:r w:rsidR="001D2B26" w:rsidRPr="00BF71DB">
        <w:rPr>
          <w:rFonts w:cs="Arial"/>
          <w:bCs/>
          <w:szCs w:val="24"/>
        </w:rPr>
        <w:t>Independent</w:t>
      </w:r>
      <w:r w:rsidR="000A713D" w:rsidRPr="00BF71DB">
        <w:rPr>
          <w:rFonts w:cs="Arial"/>
          <w:bCs/>
          <w:szCs w:val="24"/>
        </w:rPr>
        <w:t xml:space="preserve"> establishment was reported to TPR </w:t>
      </w:r>
      <w:r w:rsidRPr="00BF71DB">
        <w:rPr>
          <w:rFonts w:cs="Arial"/>
          <w:bCs/>
          <w:szCs w:val="24"/>
        </w:rPr>
        <w:t>in August, September and</w:t>
      </w:r>
      <w:r w:rsidRPr="00806D63">
        <w:rPr>
          <w:rFonts w:cs="Arial"/>
          <w:bCs/>
          <w:szCs w:val="24"/>
        </w:rPr>
        <w:t xml:space="preserve"> October </w:t>
      </w:r>
      <w:r w:rsidR="000A713D" w:rsidRPr="00806D63">
        <w:rPr>
          <w:rFonts w:cs="Arial"/>
          <w:bCs/>
          <w:szCs w:val="24"/>
        </w:rPr>
        <w:t xml:space="preserve">as </w:t>
      </w:r>
      <w:r w:rsidRPr="00806D63">
        <w:rPr>
          <w:rFonts w:cs="Arial"/>
          <w:bCs/>
          <w:szCs w:val="24"/>
        </w:rPr>
        <w:t xml:space="preserve">having </w:t>
      </w:r>
      <w:r w:rsidR="000A713D" w:rsidRPr="00806D63">
        <w:rPr>
          <w:rFonts w:cs="Arial"/>
          <w:bCs/>
          <w:szCs w:val="24"/>
        </w:rPr>
        <w:t xml:space="preserve">8 months of contributions outstanding.  </w:t>
      </w:r>
      <w:r w:rsidR="000A713D" w:rsidRPr="00806D63">
        <w:rPr>
          <w:rFonts w:cs="Arial"/>
          <w:szCs w:val="24"/>
        </w:rPr>
        <w:t>This establishment was de-accepted from the scheme on 30/04/17.</w:t>
      </w:r>
    </w:p>
    <w:p w14:paraId="63F62A82" w14:textId="77777777" w:rsidR="00BF71DB" w:rsidRPr="00806D63" w:rsidRDefault="00BF71DB" w:rsidP="00BF71DB">
      <w:pPr>
        <w:pStyle w:val="ListParagraph"/>
        <w:ind w:left="284"/>
        <w:rPr>
          <w:rFonts w:cs="Arial"/>
          <w:b/>
          <w:bCs/>
          <w:szCs w:val="24"/>
        </w:rPr>
      </w:pPr>
    </w:p>
    <w:p w14:paraId="14AA9AA1" w14:textId="68FF6596" w:rsidR="000A713D" w:rsidRPr="000A713D" w:rsidRDefault="000A713D" w:rsidP="00BF71DB">
      <w:pPr>
        <w:pStyle w:val="ListParagraph"/>
        <w:numPr>
          <w:ilvl w:val="0"/>
          <w:numId w:val="40"/>
        </w:numPr>
        <w:ind w:left="284"/>
        <w:rPr>
          <w:rFonts w:cs="Arial"/>
          <w:szCs w:val="24"/>
        </w:rPr>
      </w:pPr>
      <w:r w:rsidRPr="000A713D">
        <w:rPr>
          <w:rFonts w:cs="Arial"/>
          <w:szCs w:val="24"/>
        </w:rPr>
        <w:t>TP ha</w:t>
      </w:r>
      <w:r w:rsidR="00F75037">
        <w:rPr>
          <w:rFonts w:cs="Arial"/>
          <w:szCs w:val="24"/>
        </w:rPr>
        <w:t>s</w:t>
      </w:r>
      <w:r w:rsidRPr="000A713D">
        <w:rPr>
          <w:rFonts w:cs="Arial"/>
          <w:szCs w:val="24"/>
        </w:rPr>
        <w:t xml:space="preserve"> continued monthly reminder actions, correspondence has been issued regularly and </w:t>
      </w:r>
      <w:r w:rsidR="00753895">
        <w:rPr>
          <w:rFonts w:cs="Arial"/>
          <w:szCs w:val="24"/>
        </w:rPr>
        <w:t xml:space="preserve">all </w:t>
      </w:r>
      <w:r w:rsidRPr="000A713D">
        <w:rPr>
          <w:rFonts w:cs="Arial"/>
          <w:szCs w:val="24"/>
        </w:rPr>
        <w:t xml:space="preserve">cases escalated to the Finance Operations Team Leader. The DfE </w:t>
      </w:r>
      <w:r w:rsidR="00DA532F">
        <w:rPr>
          <w:rFonts w:cs="Arial"/>
          <w:szCs w:val="24"/>
        </w:rPr>
        <w:t>is</w:t>
      </w:r>
      <w:r w:rsidRPr="000A713D">
        <w:rPr>
          <w:rFonts w:cs="Arial"/>
          <w:szCs w:val="24"/>
        </w:rPr>
        <w:t xml:space="preserve"> aware of all cases and</w:t>
      </w:r>
      <w:r w:rsidR="003F6E2B">
        <w:rPr>
          <w:rFonts w:cs="Arial"/>
          <w:szCs w:val="24"/>
        </w:rPr>
        <w:t xml:space="preserve"> is assisting in continuing to pursue cases where appropriate and, where not, consider the case f</w:t>
      </w:r>
      <w:r w:rsidRPr="000A713D">
        <w:rPr>
          <w:rFonts w:cs="Arial"/>
          <w:szCs w:val="24"/>
        </w:rPr>
        <w:t xml:space="preserve">or write-off </w:t>
      </w:r>
      <w:r w:rsidR="003F6E2B">
        <w:rPr>
          <w:rFonts w:cs="Arial"/>
          <w:szCs w:val="24"/>
        </w:rPr>
        <w:t>i</w:t>
      </w:r>
      <w:r w:rsidRPr="000A713D">
        <w:rPr>
          <w:rFonts w:cs="Arial"/>
          <w:szCs w:val="24"/>
        </w:rPr>
        <w:t xml:space="preserve">n </w:t>
      </w:r>
      <w:r w:rsidR="003F6E2B">
        <w:rPr>
          <w:rFonts w:cs="Arial"/>
          <w:szCs w:val="24"/>
        </w:rPr>
        <w:t xml:space="preserve">line with </w:t>
      </w:r>
      <w:r w:rsidRPr="000A713D">
        <w:rPr>
          <w:rFonts w:cs="Arial"/>
          <w:szCs w:val="24"/>
        </w:rPr>
        <w:t xml:space="preserve">HM </w:t>
      </w:r>
      <w:r w:rsidR="003F6E2B">
        <w:rPr>
          <w:rFonts w:cs="Arial"/>
          <w:szCs w:val="24"/>
        </w:rPr>
        <w:t>T</w:t>
      </w:r>
      <w:r w:rsidRPr="000A713D">
        <w:rPr>
          <w:rFonts w:cs="Arial"/>
          <w:szCs w:val="24"/>
        </w:rPr>
        <w:t xml:space="preserve">reasury </w:t>
      </w:r>
      <w:r w:rsidR="003F6E2B">
        <w:rPr>
          <w:rFonts w:cs="Arial"/>
          <w:szCs w:val="24"/>
        </w:rPr>
        <w:t>guidelines</w:t>
      </w:r>
      <w:r w:rsidRPr="000A713D">
        <w:rPr>
          <w:rFonts w:cs="Arial"/>
          <w:szCs w:val="24"/>
        </w:rPr>
        <w:t>.</w:t>
      </w:r>
    </w:p>
    <w:p w14:paraId="6FFAD10D" w14:textId="77777777" w:rsidR="00EF47E6" w:rsidRPr="007B367A" w:rsidRDefault="00EF47E6" w:rsidP="00A77E6C">
      <w:pPr>
        <w:widowControl/>
        <w:overflowPunct/>
        <w:autoSpaceDE/>
        <w:autoSpaceDN/>
        <w:adjustRightInd/>
        <w:ind w:left="284" w:hanging="426"/>
        <w:textAlignment w:val="auto"/>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EF47E6" w:rsidRPr="007B367A" w14:paraId="059FA4BF" w14:textId="77777777" w:rsidTr="00A521C3">
        <w:tc>
          <w:tcPr>
            <w:tcW w:w="7230" w:type="dxa"/>
          </w:tcPr>
          <w:p w14:paraId="0432D344" w14:textId="77777777" w:rsidR="00EC5C75" w:rsidRPr="00EC5C75" w:rsidRDefault="00EF47E6" w:rsidP="00A77E6C">
            <w:pPr>
              <w:rPr>
                <w:rFonts w:cs="Arial"/>
                <w:b/>
                <w:color w:val="000000"/>
                <w:szCs w:val="24"/>
              </w:rPr>
            </w:pPr>
            <w:r w:rsidRPr="007B367A">
              <w:rPr>
                <w:rFonts w:cs="Arial"/>
                <w:b/>
                <w:color w:val="000000"/>
                <w:szCs w:val="24"/>
              </w:rPr>
              <w:t>Service Improvemen</w:t>
            </w:r>
            <w:r w:rsidR="00EC5C75">
              <w:rPr>
                <w:rFonts w:cs="Arial"/>
                <w:b/>
                <w:color w:val="000000"/>
                <w:szCs w:val="24"/>
              </w:rPr>
              <w:t>ts</w:t>
            </w:r>
          </w:p>
        </w:tc>
        <w:tc>
          <w:tcPr>
            <w:tcW w:w="1134" w:type="dxa"/>
            <w:shd w:val="clear" w:color="auto" w:fill="FFC000"/>
          </w:tcPr>
          <w:p w14:paraId="2CDF8EC7" w14:textId="77777777" w:rsidR="00EF47E6" w:rsidRPr="007B367A" w:rsidRDefault="00EF47E6" w:rsidP="00A77E6C">
            <w:pPr>
              <w:rPr>
                <w:rFonts w:cs="Arial"/>
                <w:color w:val="FF0000"/>
                <w:szCs w:val="24"/>
              </w:rPr>
            </w:pPr>
            <w:r w:rsidRPr="007B367A">
              <w:rPr>
                <w:rFonts w:cs="Arial"/>
                <w:noProof/>
                <w:color w:val="00B050"/>
                <w:szCs w:val="24"/>
              </w:rPr>
              <mc:AlternateContent>
                <mc:Choice Requires="wps">
                  <w:drawing>
                    <wp:anchor distT="0" distB="0" distL="114300" distR="114300" simplePos="0" relativeHeight="251659264" behindDoc="0" locked="0" layoutInCell="1" allowOverlap="1" wp14:anchorId="70321671" wp14:editId="4C93E529">
                      <wp:simplePos x="0" y="0"/>
                      <wp:positionH relativeFrom="column">
                        <wp:posOffset>77143</wp:posOffset>
                      </wp:positionH>
                      <wp:positionV relativeFrom="paragraph">
                        <wp:posOffset>65191</wp:posOffset>
                      </wp:positionV>
                      <wp:extent cx="485757" cy="158567"/>
                      <wp:effectExtent l="38100" t="57150" r="0" b="89535"/>
                      <wp:wrapNone/>
                      <wp:docPr id="10" name="Straight Arrow Connector 10"/>
                      <wp:cNvGraphicFramePr/>
                      <a:graphic xmlns:a="http://schemas.openxmlformats.org/drawingml/2006/main">
                        <a:graphicData uri="http://schemas.microsoft.com/office/word/2010/wordprocessingShape">
                          <wps:wsp>
                            <wps:cNvCnPr/>
                            <wps:spPr>
                              <a:xfrm flipV="1">
                                <a:off x="0" y="0"/>
                                <a:ext cx="485757" cy="15856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29112C7" id="Straight Arrow Connector 10" o:spid="_x0000_s1026" type="#_x0000_t32" style="position:absolute;margin-left:6.05pt;margin-top:5.15pt;width:38.25pt;height: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yRLQIAAE0EAAAOAAAAZHJzL2Uyb0RvYy54bWysVMGO2jAQvVfqP1i+lwBdFhQRVhV0e6la&#10;tGzb82A7iSXHtsaGwN937KSItreqHCzPjOflvecx66dLZ9hZYdDOVnw2mXKmrHBS26bi316f3604&#10;CxGsBOOsqvhVBf60eftm3ftSzV3rjFTICMSGsvcVb2P0ZVEE0aoOwsR5ZalYO+wgUohNIRF6Qu9M&#10;MZ9OH4veofTohAqBsruhyDcZv66ViF/rOqjITMWJW8wr5vWY1mKzhrJB8K0WIw34BxYdaEsfvUHt&#10;IAI7of4LqtMCXXB1nAjXFa6utVBZA6mZTf9Qc2jBq6yFzAn+ZlP4f7Diy3mPTEu6O7LHQkd3dIgI&#10;umkj+4DoerZ11pKPDhkdIb96H0pq29o9jlHwe0ziLzV2rDbafye4bAcJZJfs9vXmtrpEJij5sFos&#10;F0vOBJVmi9XicZnQiwEmwXkM8ZNyHUubioeR1o3P8Ak4fw5xaPzVkJqte9bGUB5KY1lf8fniYUoS&#10;BdCU1QYibTtPuoNtOAPT0PiKiJl1cEbL1J66wzVsDbIz0ATR4EnXv5ICzgyESAWSlX8j999aE58d&#10;hHZozqV0DMoI2ny0ksWrJ78h2Tz2G5vqKk8u6UqBO0WFh1b27GhO+ALEmZQkLVInX+gZDAFxSRpz&#10;hC7+0LHNE5Scz0qwOd6k5HNDHoxvYeD4fpW6BzfDcDxfyY1Dju7oFWkahvtPu6OT1zwWOU8zm8+P&#10;7ys9ivuY9vf/ApufAAAA//8DAFBLAwQUAAYACAAAACEAEpZjPt4AAAAHAQAADwAAAGRycy9kb3du&#10;cmV2LnhtbEyOS0/DMBCE70j8B2uRuFGnjRpCiFOh8uoFiT6QODrxkkSN11HsNuHfs5zgNBrNaObL&#10;V5PtxBkH3zpSMJ9FIJAqZ1qqFRz2zzcpCB80Gd05QgXf6GFVXF7kOjNupC2ed6EWPEI+0wqaEPpM&#10;Sl81aLWfuR6Jsy83WB3YDrU0gx553HZyEUWJtLolfmh0j+sGq+PuZBW8HN+tTF8/k/IjOayfNsu3&#10;8fbxTqnrq+nhHkTAKfyV4Ref0aFgptKdyHjRsV/MuckaxSA4T9MERKkgXsYgi1z+5y9+AAAA//8D&#10;AFBLAQItABQABgAIAAAAIQC2gziS/gAAAOEBAAATAAAAAAAAAAAAAAAAAAAAAABbQ29udGVudF9U&#10;eXBlc10ueG1sUEsBAi0AFAAGAAgAAAAhADj9If/WAAAAlAEAAAsAAAAAAAAAAAAAAAAALwEAAF9y&#10;ZWxzLy5yZWxzUEsBAi0AFAAGAAgAAAAhADEYPJEtAgAATQQAAA4AAAAAAAAAAAAAAAAALgIAAGRy&#10;cy9lMm9Eb2MueG1sUEsBAi0AFAAGAAgAAAAhABKWYz7eAAAABwEAAA8AAAAAAAAAAAAAAAAAhwQA&#10;AGRycy9kb3ducmV2LnhtbFBLBQYAAAAABAAEAPMAAACSBQAAAAA=&#10;" strokecolor="windowText" strokeweight="2pt">
                      <v:stroke endarrow="open"/>
                      <v:shadow on="t" color="black" opacity="24903f" origin=",.5" offset="0,.55556mm"/>
                    </v:shape>
                  </w:pict>
                </mc:Fallback>
              </mc:AlternateContent>
            </w:r>
          </w:p>
          <w:p w14:paraId="17752F2E" w14:textId="77777777" w:rsidR="00EF47E6" w:rsidRPr="007B367A" w:rsidRDefault="00EF47E6" w:rsidP="00A77E6C">
            <w:pPr>
              <w:rPr>
                <w:rFonts w:cs="Arial"/>
                <w:color w:val="00B050"/>
                <w:szCs w:val="24"/>
              </w:rPr>
            </w:pPr>
          </w:p>
        </w:tc>
      </w:tr>
    </w:tbl>
    <w:p w14:paraId="587FED3B" w14:textId="77777777" w:rsidR="004A49EC" w:rsidRPr="007B367A" w:rsidRDefault="004A49EC" w:rsidP="00A77E6C">
      <w:pPr>
        <w:rPr>
          <w:rFonts w:cs="Arial"/>
          <w:b/>
          <w:szCs w:val="24"/>
        </w:rPr>
      </w:pPr>
    </w:p>
    <w:p w14:paraId="3EBCD2F7" w14:textId="77777777" w:rsidR="00C82B44" w:rsidRDefault="00EA0EB7" w:rsidP="00A77E6C">
      <w:pPr>
        <w:rPr>
          <w:rFonts w:cs="Arial"/>
          <w:b/>
          <w:szCs w:val="24"/>
        </w:rPr>
      </w:pPr>
      <w:r w:rsidRPr="004C10C8">
        <w:rPr>
          <w:rFonts w:cs="Arial"/>
          <w:b/>
          <w:szCs w:val="24"/>
        </w:rPr>
        <w:t xml:space="preserve">Valuation </w:t>
      </w:r>
    </w:p>
    <w:p w14:paraId="6CF62219" w14:textId="77777777" w:rsidR="00C82B44" w:rsidRPr="00C82B44" w:rsidRDefault="00C82B44" w:rsidP="00A77E6C">
      <w:pPr>
        <w:rPr>
          <w:rFonts w:cs="Arial"/>
          <w:b/>
          <w:szCs w:val="24"/>
        </w:rPr>
      </w:pPr>
    </w:p>
    <w:p w14:paraId="39870727" w14:textId="77777777" w:rsidR="004C10C8" w:rsidRDefault="004C10C8" w:rsidP="00BF71DB">
      <w:pPr>
        <w:pStyle w:val="Default"/>
        <w:numPr>
          <w:ilvl w:val="0"/>
          <w:numId w:val="40"/>
        </w:numPr>
        <w:ind w:left="284"/>
        <w:rPr>
          <w:rFonts w:ascii="Arial" w:hAnsi="Arial" w:cs="Arial"/>
          <w:color w:val="0D0D0D" w:themeColor="text1" w:themeTint="F2"/>
        </w:rPr>
      </w:pPr>
      <w:r w:rsidRPr="004C10C8">
        <w:rPr>
          <w:rFonts w:ascii="Arial" w:hAnsi="Arial" w:cs="Arial"/>
          <w:color w:val="0D0D0D" w:themeColor="text1" w:themeTint="F2"/>
        </w:rPr>
        <w:t>Initial results of the valuation have now been published based on assumptions and methodology in draft Directions provided by Her Majesty’s Treasury (HM Treasury).  These results indicate that:</w:t>
      </w:r>
    </w:p>
    <w:p w14:paraId="0C2A3691" w14:textId="77777777" w:rsidR="003F6E2B" w:rsidRPr="004C10C8" w:rsidRDefault="003F6E2B" w:rsidP="00BF71DB">
      <w:pPr>
        <w:pStyle w:val="Default"/>
        <w:ind w:left="284"/>
        <w:rPr>
          <w:rFonts w:ascii="Arial" w:hAnsi="Arial" w:cs="Arial"/>
          <w:color w:val="0D0D0D" w:themeColor="text1" w:themeTint="F2"/>
        </w:rPr>
      </w:pPr>
    </w:p>
    <w:p w14:paraId="4A7C1285" w14:textId="77777777" w:rsidR="004C10C8" w:rsidRPr="004C10C8" w:rsidRDefault="003F6E2B" w:rsidP="00BF71DB">
      <w:pPr>
        <w:pStyle w:val="ListParagraph"/>
        <w:numPr>
          <w:ilvl w:val="0"/>
          <w:numId w:val="33"/>
        </w:numPr>
        <w:ind w:left="284"/>
        <w:rPr>
          <w:rFonts w:cs="Arial"/>
          <w:color w:val="0D0D0D" w:themeColor="text1" w:themeTint="F2"/>
          <w:szCs w:val="24"/>
        </w:rPr>
      </w:pPr>
      <w:r>
        <w:rPr>
          <w:rFonts w:cs="Arial"/>
          <w:color w:val="0D0D0D" w:themeColor="text1" w:themeTint="F2"/>
          <w:szCs w:val="24"/>
        </w:rPr>
        <w:t>t</w:t>
      </w:r>
      <w:r w:rsidR="004C10C8" w:rsidRPr="004C10C8">
        <w:rPr>
          <w:rFonts w:cs="Arial"/>
          <w:color w:val="0D0D0D" w:themeColor="text1" w:themeTint="F2"/>
          <w:szCs w:val="24"/>
        </w:rPr>
        <w:t>he employer contribution rate is likely to increase significantly, from 16.4% of pay to around 23.6% of pay with effect from 1 September 2019</w:t>
      </w:r>
      <w:r>
        <w:rPr>
          <w:rFonts w:cs="Arial"/>
          <w:color w:val="0D0D0D" w:themeColor="text1" w:themeTint="F2"/>
          <w:szCs w:val="24"/>
        </w:rPr>
        <w:t xml:space="preserve">; and </w:t>
      </w:r>
    </w:p>
    <w:p w14:paraId="14DF5ADA" w14:textId="77777777" w:rsidR="004C10C8" w:rsidRDefault="003F6E2B" w:rsidP="00BF71DB">
      <w:pPr>
        <w:pStyle w:val="ListParagraph"/>
        <w:numPr>
          <w:ilvl w:val="0"/>
          <w:numId w:val="33"/>
        </w:numPr>
        <w:ind w:left="284"/>
        <w:rPr>
          <w:rFonts w:cs="Arial"/>
          <w:color w:val="0D0D0D" w:themeColor="text1" w:themeTint="F2"/>
          <w:szCs w:val="24"/>
        </w:rPr>
      </w:pPr>
      <w:r>
        <w:rPr>
          <w:rFonts w:cs="Arial"/>
          <w:color w:val="0D0D0D" w:themeColor="text1" w:themeTint="F2"/>
          <w:szCs w:val="24"/>
        </w:rPr>
        <w:t>t</w:t>
      </w:r>
      <w:r w:rsidR="004C10C8" w:rsidRPr="004C10C8">
        <w:rPr>
          <w:rFonts w:cs="Arial"/>
          <w:color w:val="0D0D0D" w:themeColor="text1" w:themeTint="F2"/>
          <w:szCs w:val="24"/>
        </w:rPr>
        <w:t>he cost cap mechanism has been triggered (value of member benefits has fallen below the floor), meaning member benefits need to improve from 1 April 2019.</w:t>
      </w:r>
    </w:p>
    <w:p w14:paraId="57AD0B33" w14:textId="77777777" w:rsidR="004C10C8" w:rsidRPr="004C10C8" w:rsidRDefault="004C10C8" w:rsidP="004C10C8">
      <w:pPr>
        <w:pStyle w:val="ListParagraph"/>
        <w:rPr>
          <w:rFonts w:cs="Arial"/>
          <w:color w:val="0D0D0D" w:themeColor="text1" w:themeTint="F2"/>
          <w:szCs w:val="24"/>
        </w:rPr>
      </w:pPr>
    </w:p>
    <w:p w14:paraId="24939199" w14:textId="77777777" w:rsidR="004C10C8" w:rsidRPr="004C10C8" w:rsidRDefault="004C10C8" w:rsidP="00BF71DB">
      <w:pPr>
        <w:pStyle w:val="ListParagraph"/>
        <w:numPr>
          <w:ilvl w:val="0"/>
          <w:numId w:val="40"/>
        </w:numPr>
        <w:ind w:left="284" w:hanging="426"/>
        <w:rPr>
          <w:rFonts w:cs="Arial"/>
          <w:color w:val="0D0D0D" w:themeColor="text1" w:themeTint="F2"/>
          <w:szCs w:val="24"/>
        </w:rPr>
      </w:pPr>
      <w:r w:rsidRPr="004C10C8">
        <w:rPr>
          <w:rFonts w:cs="Arial"/>
          <w:color w:val="0D0D0D" w:themeColor="text1" w:themeTint="F2"/>
          <w:szCs w:val="24"/>
        </w:rPr>
        <w:t>In line with Regulations, the Scheme Advisory Board (SAB) has been asked to recommend member benefit changes to bring the value of benefits back in line with the cost cap.  SAB has six months to report back on a recommended set of changes or if it has not been possible to reach agreement. It is for the department to then consider SAB’s recommendation or to choose to implement the default option, which is a change to the accrual rate.</w:t>
      </w:r>
    </w:p>
    <w:p w14:paraId="4C456DE7" w14:textId="77777777" w:rsidR="004C10C8" w:rsidRPr="004C10C8" w:rsidRDefault="004C10C8" w:rsidP="004C10C8">
      <w:pPr>
        <w:rPr>
          <w:rFonts w:cs="Arial"/>
          <w:color w:val="0D0D0D" w:themeColor="text1" w:themeTint="F2"/>
          <w:szCs w:val="24"/>
        </w:rPr>
      </w:pPr>
    </w:p>
    <w:p w14:paraId="1E961029" w14:textId="77777777" w:rsidR="004C10C8" w:rsidRDefault="004C10C8" w:rsidP="00BF71DB">
      <w:pPr>
        <w:pStyle w:val="ListParagraph"/>
        <w:numPr>
          <w:ilvl w:val="0"/>
          <w:numId w:val="40"/>
        </w:numPr>
        <w:ind w:left="284" w:hanging="426"/>
        <w:rPr>
          <w:rFonts w:cs="Arial"/>
          <w:color w:val="0D0D0D" w:themeColor="text1" w:themeTint="F2"/>
          <w:szCs w:val="24"/>
        </w:rPr>
      </w:pPr>
      <w:r w:rsidRPr="004C10C8">
        <w:rPr>
          <w:rFonts w:cs="Arial"/>
          <w:color w:val="0D0D0D" w:themeColor="text1" w:themeTint="F2"/>
          <w:szCs w:val="24"/>
        </w:rPr>
        <w:t xml:space="preserve">Due to the potential scale of the changes, the scope of the project is considerable. In order to successfully deliver the changes required as part of the valuation, a Project Manager (PM) and Business Analyst (BA) are required to provide the necessary support to ensure timely analysis, production of documentation, production of management information and office support is given. </w:t>
      </w:r>
    </w:p>
    <w:p w14:paraId="7DF6B52E" w14:textId="77777777" w:rsidR="004C10C8" w:rsidRPr="004C10C8" w:rsidRDefault="004C10C8" w:rsidP="00BF71DB">
      <w:pPr>
        <w:pStyle w:val="ListParagraph"/>
        <w:ind w:left="284" w:hanging="426"/>
        <w:rPr>
          <w:rFonts w:cs="Arial"/>
          <w:color w:val="0D0D0D" w:themeColor="text1" w:themeTint="F2"/>
          <w:szCs w:val="24"/>
        </w:rPr>
      </w:pPr>
    </w:p>
    <w:p w14:paraId="7C91A011" w14:textId="77777777" w:rsidR="00EA0EB7" w:rsidRPr="004C10C8" w:rsidRDefault="004C10C8" w:rsidP="00BF71DB">
      <w:pPr>
        <w:pStyle w:val="ListParagraph"/>
        <w:numPr>
          <w:ilvl w:val="0"/>
          <w:numId w:val="40"/>
        </w:numPr>
        <w:ind w:left="284" w:hanging="426"/>
        <w:rPr>
          <w:rFonts w:cs="Arial"/>
          <w:szCs w:val="24"/>
        </w:rPr>
      </w:pPr>
      <w:r w:rsidRPr="004C10C8">
        <w:rPr>
          <w:rFonts w:cs="Arial"/>
          <w:color w:val="0D0D0D" w:themeColor="text1" w:themeTint="F2"/>
          <w:szCs w:val="24"/>
        </w:rPr>
        <w:t xml:space="preserve">A Change Request </w:t>
      </w:r>
      <w:r w:rsidR="00C82B44">
        <w:rPr>
          <w:rFonts w:cs="Arial"/>
          <w:color w:val="0D0D0D" w:themeColor="text1" w:themeTint="F2"/>
          <w:szCs w:val="24"/>
        </w:rPr>
        <w:t>has been agreed</w:t>
      </w:r>
      <w:r w:rsidRPr="004C10C8">
        <w:rPr>
          <w:rFonts w:cs="Arial"/>
          <w:color w:val="0D0D0D" w:themeColor="text1" w:themeTint="F2"/>
          <w:szCs w:val="24"/>
        </w:rPr>
        <w:t xml:space="preserve"> with DfE </w:t>
      </w:r>
      <w:r w:rsidR="00C82B44">
        <w:rPr>
          <w:rFonts w:cs="Arial"/>
          <w:color w:val="0D0D0D" w:themeColor="text1" w:themeTint="F2"/>
          <w:szCs w:val="24"/>
        </w:rPr>
        <w:t>for these</w:t>
      </w:r>
      <w:r w:rsidRPr="004C10C8">
        <w:rPr>
          <w:rFonts w:cs="Arial"/>
          <w:color w:val="0D0D0D" w:themeColor="text1" w:themeTint="F2"/>
          <w:szCs w:val="24"/>
        </w:rPr>
        <w:t xml:space="preserve"> resource</w:t>
      </w:r>
      <w:r w:rsidR="003F6E2B">
        <w:rPr>
          <w:rFonts w:cs="Arial"/>
          <w:color w:val="0D0D0D" w:themeColor="text1" w:themeTint="F2"/>
          <w:szCs w:val="24"/>
        </w:rPr>
        <w:t>s</w:t>
      </w:r>
      <w:r w:rsidR="00C82B44">
        <w:rPr>
          <w:rFonts w:cs="Arial"/>
          <w:color w:val="0D0D0D" w:themeColor="text1" w:themeTint="F2"/>
          <w:szCs w:val="24"/>
        </w:rPr>
        <w:t xml:space="preserve">.  They will be key in </w:t>
      </w:r>
      <w:r w:rsidR="003F6E2B">
        <w:rPr>
          <w:rFonts w:cs="Arial"/>
          <w:color w:val="0D0D0D" w:themeColor="text1" w:themeTint="F2"/>
          <w:szCs w:val="24"/>
        </w:rPr>
        <w:t xml:space="preserve">further developing the </w:t>
      </w:r>
      <w:r w:rsidR="00C82B44">
        <w:rPr>
          <w:rFonts w:cs="Arial"/>
          <w:color w:val="0D0D0D" w:themeColor="text1" w:themeTint="F2"/>
          <w:szCs w:val="24"/>
        </w:rPr>
        <w:t>project implementation plan and high level engagement approach</w:t>
      </w:r>
      <w:r w:rsidR="00287616">
        <w:rPr>
          <w:rFonts w:cs="Arial"/>
          <w:color w:val="0D0D0D" w:themeColor="text1" w:themeTint="F2"/>
          <w:szCs w:val="24"/>
        </w:rPr>
        <w:t>.</w:t>
      </w:r>
      <w:r w:rsidR="00E53557">
        <w:rPr>
          <w:rFonts w:cs="Arial"/>
          <w:color w:val="0D0D0D" w:themeColor="text1" w:themeTint="F2"/>
          <w:szCs w:val="24"/>
        </w:rPr>
        <w:t xml:space="preserve">  Th</w:t>
      </w:r>
      <w:r w:rsidR="003F6E2B">
        <w:rPr>
          <w:rFonts w:cs="Arial"/>
          <w:color w:val="0D0D0D" w:themeColor="text1" w:themeTint="F2"/>
          <w:szCs w:val="24"/>
        </w:rPr>
        <w:t>ese</w:t>
      </w:r>
      <w:r w:rsidR="00E53557">
        <w:rPr>
          <w:rFonts w:cs="Arial"/>
          <w:color w:val="0D0D0D" w:themeColor="text1" w:themeTint="F2"/>
          <w:szCs w:val="24"/>
        </w:rPr>
        <w:t xml:space="preserve"> will be shared with IM&amp;C sub committee.</w:t>
      </w:r>
    </w:p>
    <w:p w14:paraId="79B69DD7" w14:textId="77777777" w:rsidR="00EA0EB7" w:rsidRDefault="00EA0EB7" w:rsidP="00A77E6C">
      <w:pPr>
        <w:rPr>
          <w:rFonts w:cs="Arial"/>
          <w:b/>
          <w:szCs w:val="24"/>
        </w:rPr>
      </w:pPr>
    </w:p>
    <w:p w14:paraId="6DD23012" w14:textId="77777777" w:rsidR="00EF47E6" w:rsidRPr="007B367A" w:rsidRDefault="00EF47E6" w:rsidP="00A77E6C">
      <w:pPr>
        <w:rPr>
          <w:rFonts w:cs="Arial"/>
          <w:b/>
          <w:color w:val="FF0000"/>
          <w:szCs w:val="24"/>
        </w:rPr>
      </w:pPr>
      <w:r w:rsidRPr="007B367A">
        <w:rPr>
          <w:rFonts w:cs="Arial"/>
          <w:b/>
          <w:szCs w:val="24"/>
        </w:rPr>
        <w:t>RMH Replacement</w:t>
      </w:r>
      <w:r w:rsidR="0053630A" w:rsidRPr="007B367A">
        <w:rPr>
          <w:rFonts w:cs="Arial"/>
          <w:b/>
          <w:szCs w:val="24"/>
        </w:rPr>
        <w:t xml:space="preserve"> </w:t>
      </w:r>
    </w:p>
    <w:p w14:paraId="338B2331" w14:textId="77777777" w:rsidR="00EF47E6" w:rsidRPr="007B367A" w:rsidRDefault="00EF47E6" w:rsidP="00A77E6C">
      <w:pPr>
        <w:rPr>
          <w:rFonts w:cs="Arial"/>
          <w:szCs w:val="24"/>
        </w:rPr>
      </w:pPr>
    </w:p>
    <w:p w14:paraId="7BD1E3FE" w14:textId="77777777" w:rsidR="00484907" w:rsidRPr="00484907" w:rsidRDefault="00484907" w:rsidP="00BF71DB">
      <w:pPr>
        <w:pStyle w:val="ListParagraph"/>
        <w:numPr>
          <w:ilvl w:val="0"/>
          <w:numId w:val="40"/>
        </w:numPr>
        <w:ind w:left="284" w:hanging="426"/>
        <w:rPr>
          <w:rFonts w:cs="Arial"/>
        </w:rPr>
      </w:pPr>
      <w:r w:rsidRPr="00484907">
        <w:rPr>
          <w:rFonts w:cs="Arial"/>
        </w:rPr>
        <w:t xml:space="preserve">TP held a go/no go meeting in November and concluded that it was a no go for </w:t>
      </w:r>
      <w:r w:rsidR="00287616">
        <w:rPr>
          <w:rFonts w:cs="Arial"/>
        </w:rPr>
        <w:t xml:space="preserve">the </w:t>
      </w:r>
      <w:r w:rsidRPr="00484907">
        <w:rPr>
          <w:rFonts w:cs="Arial"/>
        </w:rPr>
        <w:t>scheduled move at the end of November. </w:t>
      </w:r>
    </w:p>
    <w:p w14:paraId="3E247545" w14:textId="77777777" w:rsidR="00484907" w:rsidRPr="00F11289" w:rsidRDefault="00484907" w:rsidP="00BF71DB">
      <w:pPr>
        <w:ind w:left="284" w:hanging="426"/>
        <w:rPr>
          <w:rFonts w:cs="Arial"/>
        </w:rPr>
      </w:pPr>
    </w:p>
    <w:p w14:paraId="17B3A46C" w14:textId="77777777" w:rsidR="00484907" w:rsidRPr="00484907" w:rsidRDefault="00EC692C" w:rsidP="00BF71DB">
      <w:pPr>
        <w:pStyle w:val="ListParagraph"/>
        <w:numPr>
          <w:ilvl w:val="0"/>
          <w:numId w:val="40"/>
        </w:numPr>
        <w:ind w:left="284" w:hanging="426"/>
        <w:rPr>
          <w:rFonts w:cs="Arial"/>
        </w:rPr>
      </w:pPr>
      <w:r>
        <w:rPr>
          <w:rFonts w:cs="Arial"/>
        </w:rPr>
        <w:t xml:space="preserve">TP identified </w:t>
      </w:r>
      <w:r w:rsidR="00484907" w:rsidRPr="00484907">
        <w:rPr>
          <w:rFonts w:cs="Arial"/>
        </w:rPr>
        <w:t>an additional issue to resolve with the web application and firewall</w:t>
      </w:r>
      <w:r>
        <w:rPr>
          <w:rFonts w:cs="Arial"/>
        </w:rPr>
        <w:t xml:space="preserve">.  The </w:t>
      </w:r>
      <w:r w:rsidR="00484907" w:rsidRPr="00484907">
        <w:rPr>
          <w:rFonts w:cs="Arial"/>
        </w:rPr>
        <w:t>IT health check has recently been concluded</w:t>
      </w:r>
      <w:r>
        <w:rPr>
          <w:rFonts w:cs="Arial"/>
        </w:rPr>
        <w:t xml:space="preserve"> with</w:t>
      </w:r>
      <w:r w:rsidR="00484907" w:rsidRPr="00484907">
        <w:rPr>
          <w:rFonts w:cs="Arial"/>
        </w:rPr>
        <w:t xml:space="preserve"> no issues reported, but </w:t>
      </w:r>
      <w:r>
        <w:rPr>
          <w:rFonts w:cs="Arial"/>
        </w:rPr>
        <w:t xml:space="preserve">this necessary work </w:t>
      </w:r>
      <w:r w:rsidR="00484907" w:rsidRPr="00484907">
        <w:rPr>
          <w:rFonts w:cs="Arial"/>
        </w:rPr>
        <w:t>ha</w:t>
      </w:r>
      <w:r w:rsidR="00287616">
        <w:rPr>
          <w:rFonts w:cs="Arial"/>
        </w:rPr>
        <w:t>s</w:t>
      </w:r>
      <w:r w:rsidR="00484907" w:rsidRPr="00484907">
        <w:rPr>
          <w:rFonts w:cs="Arial"/>
        </w:rPr>
        <w:t xml:space="preserve"> delay</w:t>
      </w:r>
      <w:r>
        <w:rPr>
          <w:rFonts w:cs="Arial"/>
        </w:rPr>
        <w:t>ed</w:t>
      </w:r>
      <w:r w:rsidR="009827AD">
        <w:rPr>
          <w:rFonts w:cs="Arial"/>
        </w:rPr>
        <w:t xml:space="preserve"> </w:t>
      </w:r>
      <w:r w:rsidR="00484907" w:rsidRPr="00484907">
        <w:rPr>
          <w:rFonts w:cs="Arial"/>
        </w:rPr>
        <w:t xml:space="preserve">the planned move to </w:t>
      </w:r>
      <w:r w:rsidR="003F6E2B">
        <w:rPr>
          <w:rFonts w:cs="Arial"/>
        </w:rPr>
        <w:t>the C</w:t>
      </w:r>
      <w:r w:rsidR="00484907" w:rsidRPr="00484907">
        <w:rPr>
          <w:rFonts w:cs="Arial"/>
        </w:rPr>
        <w:t xml:space="preserve">loud.  </w:t>
      </w:r>
    </w:p>
    <w:p w14:paraId="61B77A3B" w14:textId="77777777" w:rsidR="00484907" w:rsidRDefault="00484907" w:rsidP="00BF71DB">
      <w:pPr>
        <w:ind w:left="284" w:hanging="426"/>
        <w:rPr>
          <w:rFonts w:cs="Arial"/>
        </w:rPr>
      </w:pPr>
    </w:p>
    <w:p w14:paraId="56D90FB6" w14:textId="137471E2" w:rsidR="008E0DFC" w:rsidRDefault="00484907" w:rsidP="00BF71DB">
      <w:pPr>
        <w:pStyle w:val="ListParagraph"/>
        <w:numPr>
          <w:ilvl w:val="0"/>
          <w:numId w:val="40"/>
        </w:numPr>
        <w:ind w:left="284" w:hanging="426"/>
        <w:rPr>
          <w:rFonts w:cs="Arial"/>
        </w:rPr>
      </w:pPr>
      <w:r w:rsidRPr="00484907">
        <w:rPr>
          <w:rFonts w:cs="Arial"/>
        </w:rPr>
        <w:t xml:space="preserve">TP </w:t>
      </w:r>
      <w:r w:rsidR="00F75037">
        <w:rPr>
          <w:rFonts w:cs="Arial"/>
        </w:rPr>
        <w:t>is</w:t>
      </w:r>
      <w:r w:rsidRPr="00484907">
        <w:rPr>
          <w:rFonts w:cs="Arial"/>
        </w:rPr>
        <w:t xml:space="preserve"> confident that the steps required to migrate will be completed by mid-December, however </w:t>
      </w:r>
      <w:r w:rsidR="00EC692C">
        <w:rPr>
          <w:rFonts w:cs="Arial"/>
        </w:rPr>
        <w:t xml:space="preserve">due to the annual planned freeze on IT changes </w:t>
      </w:r>
      <w:r w:rsidR="008E09EE">
        <w:rPr>
          <w:rFonts w:cs="Arial"/>
        </w:rPr>
        <w:t>from the middle</w:t>
      </w:r>
      <w:r w:rsidR="00EC692C">
        <w:rPr>
          <w:rFonts w:cs="Arial"/>
        </w:rPr>
        <w:t xml:space="preserve"> of December, </w:t>
      </w:r>
      <w:r w:rsidRPr="00484907">
        <w:rPr>
          <w:rFonts w:cs="Arial"/>
        </w:rPr>
        <w:t>migration</w:t>
      </w:r>
      <w:r w:rsidR="009827AD">
        <w:rPr>
          <w:rFonts w:cs="Arial"/>
        </w:rPr>
        <w:t xml:space="preserve"> </w:t>
      </w:r>
      <w:r w:rsidR="00EC692C">
        <w:rPr>
          <w:rFonts w:cs="Arial"/>
        </w:rPr>
        <w:t>will be</w:t>
      </w:r>
      <w:r w:rsidRPr="00484907">
        <w:rPr>
          <w:rFonts w:cs="Arial"/>
        </w:rPr>
        <w:t xml:space="preserve"> schedule</w:t>
      </w:r>
      <w:r w:rsidR="00EC692C">
        <w:rPr>
          <w:rFonts w:cs="Arial"/>
        </w:rPr>
        <w:t>d</w:t>
      </w:r>
      <w:r w:rsidRPr="00484907">
        <w:rPr>
          <w:rFonts w:cs="Arial"/>
        </w:rPr>
        <w:t xml:space="preserve"> for the New Year.  TP and DfE are working on </w:t>
      </w:r>
      <w:r w:rsidR="008E0DFC">
        <w:rPr>
          <w:rFonts w:cs="Arial"/>
        </w:rPr>
        <w:t>the revised implementation plan and are confident RMH is sufficiently robust for the extended period.</w:t>
      </w:r>
    </w:p>
    <w:p w14:paraId="603C90A2" w14:textId="77777777" w:rsidR="003F6E2B" w:rsidRPr="003F6E2B" w:rsidRDefault="003F6E2B" w:rsidP="003F6E2B">
      <w:pPr>
        <w:rPr>
          <w:rFonts w:cs="Arial"/>
        </w:rPr>
      </w:pPr>
    </w:p>
    <w:p w14:paraId="0E8576B0" w14:textId="77777777" w:rsidR="00EF47E6" w:rsidRPr="007B367A" w:rsidRDefault="00EF47E6" w:rsidP="00A77E6C">
      <w:pPr>
        <w:rPr>
          <w:rFonts w:cs="Arial"/>
          <w:b/>
          <w:bCs/>
          <w:szCs w:val="24"/>
        </w:rPr>
      </w:pPr>
      <w:r w:rsidRPr="007B367A">
        <w:rPr>
          <w:rFonts w:cs="Arial"/>
          <w:b/>
          <w:bCs/>
          <w:szCs w:val="24"/>
        </w:rPr>
        <w:t>Monthl</w:t>
      </w:r>
      <w:r w:rsidR="00CD3505" w:rsidRPr="007B367A">
        <w:rPr>
          <w:rFonts w:cs="Arial"/>
          <w:b/>
          <w:bCs/>
          <w:szCs w:val="24"/>
        </w:rPr>
        <w:t xml:space="preserve">y Contributions Reconciliation </w:t>
      </w:r>
    </w:p>
    <w:p w14:paraId="3126FDA1" w14:textId="77777777" w:rsidR="005327C6" w:rsidRPr="007B367A" w:rsidRDefault="005327C6" w:rsidP="00A77E6C">
      <w:pPr>
        <w:rPr>
          <w:rFonts w:cs="Arial"/>
          <w:b/>
          <w:szCs w:val="24"/>
        </w:rPr>
      </w:pPr>
      <w:r w:rsidRPr="007B367A">
        <w:rPr>
          <w:rFonts w:eastAsiaTheme="minorEastAsia" w:cs="Arial"/>
          <w:szCs w:val="24"/>
        </w:rPr>
        <w:t xml:space="preserve"> </w:t>
      </w:r>
    </w:p>
    <w:p w14:paraId="3FDCCC1A" w14:textId="77777777" w:rsidR="005327C6" w:rsidRPr="007B367A" w:rsidRDefault="005327C6" w:rsidP="00820108">
      <w:pPr>
        <w:pStyle w:val="ListParagraph"/>
        <w:numPr>
          <w:ilvl w:val="0"/>
          <w:numId w:val="40"/>
        </w:numPr>
        <w:ind w:left="284" w:hanging="426"/>
        <w:rPr>
          <w:rFonts w:cs="Arial"/>
          <w:szCs w:val="24"/>
        </w:rPr>
      </w:pPr>
      <w:r w:rsidRPr="007B367A">
        <w:rPr>
          <w:rFonts w:cs="Arial"/>
          <w:szCs w:val="24"/>
        </w:rPr>
        <w:t xml:space="preserve">The next stage of </w:t>
      </w:r>
      <w:r w:rsidR="00CD3505" w:rsidRPr="007B367A">
        <w:rPr>
          <w:rFonts w:cs="Arial"/>
          <w:szCs w:val="24"/>
        </w:rPr>
        <w:t>Monthly Contributions Reconciliation (</w:t>
      </w:r>
      <w:r w:rsidRPr="007B367A">
        <w:rPr>
          <w:rFonts w:cs="Arial"/>
          <w:szCs w:val="24"/>
        </w:rPr>
        <w:t>MCR</w:t>
      </w:r>
      <w:r w:rsidR="00CD3505" w:rsidRPr="007B367A">
        <w:rPr>
          <w:rFonts w:cs="Arial"/>
          <w:szCs w:val="24"/>
        </w:rPr>
        <w:t>)</w:t>
      </w:r>
      <w:r w:rsidRPr="007B367A">
        <w:rPr>
          <w:rFonts w:cs="Arial"/>
          <w:szCs w:val="24"/>
        </w:rPr>
        <w:t xml:space="preserve"> development is to make further significant improvements by moving to a position where TP can utilise monthly data provided by employers to reconcile </w:t>
      </w:r>
      <w:r w:rsidR="00EC692C">
        <w:rPr>
          <w:rFonts w:cs="Arial"/>
          <w:szCs w:val="24"/>
        </w:rPr>
        <w:t>with</w:t>
      </w:r>
      <w:r w:rsidRPr="007B367A">
        <w:rPr>
          <w:rFonts w:cs="Arial"/>
          <w:szCs w:val="24"/>
        </w:rPr>
        <w:t xml:space="preserve"> the contributions submitted by employers. </w:t>
      </w:r>
      <w:r w:rsidR="004D1344">
        <w:rPr>
          <w:rFonts w:cs="Arial"/>
          <w:szCs w:val="24"/>
        </w:rPr>
        <w:t>Ultimately this will enable much more effective reconciliation, and provide much more certainty down to individual member level.</w:t>
      </w:r>
    </w:p>
    <w:p w14:paraId="148EC748" w14:textId="77777777" w:rsidR="005327C6" w:rsidRPr="007B367A" w:rsidRDefault="005327C6" w:rsidP="00A77E6C">
      <w:pPr>
        <w:pStyle w:val="ListParagraph"/>
        <w:ind w:left="0"/>
        <w:rPr>
          <w:rFonts w:cs="Arial"/>
          <w:szCs w:val="24"/>
        </w:rPr>
      </w:pPr>
    </w:p>
    <w:p w14:paraId="447FD3B9" w14:textId="77777777" w:rsidR="005327C6" w:rsidRPr="007B367A" w:rsidRDefault="005327C6" w:rsidP="00820108">
      <w:pPr>
        <w:pStyle w:val="ListParagraph"/>
        <w:numPr>
          <w:ilvl w:val="0"/>
          <w:numId w:val="40"/>
        </w:numPr>
        <w:ind w:left="284" w:hanging="426"/>
        <w:rPr>
          <w:rFonts w:cs="Arial"/>
          <w:szCs w:val="24"/>
        </w:rPr>
      </w:pPr>
      <w:r w:rsidRPr="007B367A">
        <w:rPr>
          <w:rFonts w:cs="Arial"/>
          <w:szCs w:val="24"/>
        </w:rPr>
        <w:t>This development places particular emphasis on the amendments and enhancements to:</w:t>
      </w:r>
      <w:r w:rsidR="003F6E2B">
        <w:rPr>
          <w:rFonts w:cs="Arial"/>
          <w:szCs w:val="24"/>
        </w:rPr>
        <w:t>-</w:t>
      </w:r>
    </w:p>
    <w:p w14:paraId="76EA2D61" w14:textId="77777777" w:rsidR="00BD355C" w:rsidRPr="007B367A" w:rsidRDefault="003F6E2B" w:rsidP="00820108">
      <w:pPr>
        <w:pStyle w:val="DeptBullets"/>
        <w:numPr>
          <w:ilvl w:val="0"/>
          <w:numId w:val="22"/>
        </w:numPr>
        <w:spacing w:after="0"/>
        <w:ind w:left="851" w:hanging="284"/>
        <w:rPr>
          <w:rFonts w:cs="Arial"/>
          <w:szCs w:val="24"/>
        </w:rPr>
      </w:pPr>
      <w:r>
        <w:rPr>
          <w:rFonts w:cs="Arial"/>
          <w:szCs w:val="24"/>
        </w:rPr>
        <w:t>A</w:t>
      </w:r>
      <w:r w:rsidR="005327C6" w:rsidRPr="007B367A">
        <w:rPr>
          <w:rFonts w:cs="Arial"/>
          <w:szCs w:val="24"/>
        </w:rPr>
        <w:t xml:space="preserve"> one-off Contributions Reconciliation Activity (CRA) to identify the current position/landscape in relation to MDC submissions versus corresponding monthly contribution breakdown forms. </w:t>
      </w:r>
    </w:p>
    <w:p w14:paraId="10DBE5E4" w14:textId="77777777" w:rsidR="005327C6" w:rsidRPr="007B367A" w:rsidRDefault="005327C6" w:rsidP="00820108">
      <w:pPr>
        <w:pStyle w:val="DeptBullets"/>
        <w:numPr>
          <w:ilvl w:val="0"/>
          <w:numId w:val="22"/>
        </w:numPr>
        <w:spacing w:after="0"/>
        <w:ind w:left="851" w:hanging="284"/>
        <w:rPr>
          <w:rFonts w:cs="Arial"/>
          <w:szCs w:val="24"/>
        </w:rPr>
      </w:pPr>
      <w:r w:rsidRPr="007B367A">
        <w:rPr>
          <w:rFonts w:cs="Arial"/>
          <w:szCs w:val="24"/>
        </w:rPr>
        <w:t>Attempting to identify reasons for variances and working alongside those employers to rectify issues prior to the implementation of Monthly Contributions Reconciliation (MCR). The purpose of this task is to simply check the amount of contributions on the current MDC submissions with the actual contributions paid. This will provide the platform for building the MCR solution.</w:t>
      </w:r>
    </w:p>
    <w:p w14:paraId="5F0F14D9" w14:textId="77777777" w:rsidR="005327C6" w:rsidRPr="007B367A" w:rsidRDefault="005327C6" w:rsidP="00820108">
      <w:pPr>
        <w:pStyle w:val="DeptBullets"/>
        <w:numPr>
          <w:ilvl w:val="0"/>
          <w:numId w:val="22"/>
        </w:numPr>
        <w:spacing w:after="0"/>
        <w:ind w:left="851" w:hanging="284"/>
        <w:rPr>
          <w:rFonts w:cs="Arial"/>
          <w:szCs w:val="24"/>
        </w:rPr>
      </w:pPr>
      <w:r w:rsidRPr="007B367A">
        <w:rPr>
          <w:rFonts w:cs="Arial"/>
          <w:szCs w:val="24"/>
        </w:rPr>
        <w:t xml:space="preserve">The existing MDC solution to automatically reconcile contribution information and record this data within </w:t>
      </w:r>
      <w:r w:rsidR="008000BB" w:rsidRPr="007B367A">
        <w:rPr>
          <w:rFonts w:cs="Arial"/>
          <w:szCs w:val="24"/>
        </w:rPr>
        <w:t>HartLink</w:t>
      </w:r>
      <w:r w:rsidRPr="007B367A">
        <w:rPr>
          <w:rFonts w:cs="Arial"/>
          <w:szCs w:val="24"/>
        </w:rPr>
        <w:t>.</w:t>
      </w:r>
    </w:p>
    <w:p w14:paraId="609FAB70" w14:textId="77777777" w:rsidR="005327C6" w:rsidRPr="007B367A" w:rsidRDefault="005327C6" w:rsidP="00820108">
      <w:pPr>
        <w:pStyle w:val="ListParagraph"/>
        <w:numPr>
          <w:ilvl w:val="0"/>
          <w:numId w:val="22"/>
        </w:numPr>
        <w:ind w:left="851" w:hanging="284"/>
        <w:rPr>
          <w:rFonts w:cs="Arial"/>
          <w:szCs w:val="24"/>
        </w:rPr>
      </w:pPr>
      <w:r w:rsidRPr="007B367A">
        <w:rPr>
          <w:rFonts w:cs="Arial"/>
          <w:szCs w:val="24"/>
        </w:rPr>
        <w:t xml:space="preserve">The introduction of an optional (preferred) Direct Debit Scheme process to enable </w:t>
      </w:r>
      <w:r w:rsidR="00831747" w:rsidRPr="007B367A">
        <w:rPr>
          <w:rFonts w:cs="Arial"/>
          <w:szCs w:val="24"/>
        </w:rPr>
        <w:t>TP</w:t>
      </w:r>
      <w:r w:rsidRPr="007B367A">
        <w:rPr>
          <w:rFonts w:cs="Arial"/>
          <w:szCs w:val="24"/>
        </w:rPr>
        <w:t xml:space="preserve"> to automatically deduct contributions from an employer following receipt of a fully compliant MCR submission.</w:t>
      </w:r>
    </w:p>
    <w:p w14:paraId="6880C306" w14:textId="77777777" w:rsidR="005327C6" w:rsidRPr="007B367A" w:rsidRDefault="005327C6" w:rsidP="00820108">
      <w:pPr>
        <w:ind w:left="284" w:hanging="426"/>
        <w:rPr>
          <w:rFonts w:cs="Arial"/>
          <w:szCs w:val="24"/>
        </w:rPr>
      </w:pPr>
    </w:p>
    <w:p w14:paraId="2EC6A721" w14:textId="77777777" w:rsidR="005327C6" w:rsidRPr="007B367A" w:rsidRDefault="005327C6" w:rsidP="00820108">
      <w:pPr>
        <w:pStyle w:val="ListParagraph"/>
        <w:numPr>
          <w:ilvl w:val="0"/>
          <w:numId w:val="40"/>
        </w:numPr>
        <w:ind w:left="284"/>
        <w:rPr>
          <w:rFonts w:cs="Arial"/>
          <w:szCs w:val="24"/>
        </w:rPr>
      </w:pPr>
      <w:r w:rsidRPr="007B367A">
        <w:rPr>
          <w:rFonts w:cs="Arial"/>
          <w:szCs w:val="24"/>
        </w:rPr>
        <w:t xml:space="preserve">The above critical success factors will be benchmarked as part of project initiation and then, post go-live, tracked to understand the level of benefit achieved. The specifics of benefit realisation will be described in the benefit realisation strategy which will be defined as part of project initiation. These success factors will be reviewed and adapted depending on the employer/member landscape changes. </w:t>
      </w:r>
    </w:p>
    <w:p w14:paraId="160670B0" w14:textId="77777777" w:rsidR="005327C6" w:rsidRPr="007B367A" w:rsidRDefault="005327C6" w:rsidP="00A77E6C">
      <w:pPr>
        <w:rPr>
          <w:rFonts w:cs="Arial"/>
          <w:szCs w:val="24"/>
        </w:rPr>
      </w:pPr>
    </w:p>
    <w:p w14:paraId="101DBF4C" w14:textId="15DF42A2" w:rsidR="00145DFD" w:rsidRDefault="005327C6" w:rsidP="00820108">
      <w:pPr>
        <w:pStyle w:val="ListParagraph"/>
        <w:numPr>
          <w:ilvl w:val="0"/>
          <w:numId w:val="40"/>
        </w:numPr>
        <w:ind w:left="284" w:hanging="426"/>
        <w:rPr>
          <w:rFonts w:cs="Arial"/>
          <w:szCs w:val="24"/>
        </w:rPr>
      </w:pPr>
      <w:r w:rsidRPr="007B367A">
        <w:rPr>
          <w:rFonts w:cs="Arial"/>
          <w:szCs w:val="24"/>
        </w:rPr>
        <w:t xml:space="preserve">In addition, </w:t>
      </w:r>
      <w:r w:rsidR="00831747" w:rsidRPr="007B367A">
        <w:rPr>
          <w:rFonts w:cs="Arial"/>
          <w:szCs w:val="24"/>
        </w:rPr>
        <w:t>TP</w:t>
      </w:r>
      <w:r w:rsidR="00F75037">
        <w:rPr>
          <w:rFonts w:cs="Arial"/>
          <w:szCs w:val="24"/>
        </w:rPr>
        <w:t xml:space="preserve"> is </w:t>
      </w:r>
      <w:r w:rsidRPr="007B367A">
        <w:rPr>
          <w:rFonts w:cs="Arial"/>
          <w:szCs w:val="24"/>
        </w:rPr>
        <w:t xml:space="preserve">conscious that one of the key elements of this implementation is the usability and quality of the solution delivered.  With this in mind, </w:t>
      </w:r>
      <w:r w:rsidR="00831747" w:rsidRPr="007B367A">
        <w:rPr>
          <w:rFonts w:cs="Arial"/>
          <w:szCs w:val="24"/>
        </w:rPr>
        <w:t>TP</w:t>
      </w:r>
      <w:r w:rsidRPr="007B367A">
        <w:rPr>
          <w:rFonts w:cs="Arial"/>
          <w:szCs w:val="24"/>
        </w:rPr>
        <w:t xml:space="preserve"> will work closely with employers and stakeholders to ensure the solution provides a consistent experience for all users. </w:t>
      </w:r>
      <w:r w:rsidR="00B230BE">
        <w:rPr>
          <w:rFonts w:cs="Arial"/>
          <w:szCs w:val="24"/>
        </w:rPr>
        <w:t>Further workshops are planned for January 2019.</w:t>
      </w:r>
    </w:p>
    <w:p w14:paraId="6040724A" w14:textId="77777777" w:rsidR="00E53557" w:rsidRPr="00E53557" w:rsidRDefault="00E53557" w:rsidP="00820108">
      <w:pPr>
        <w:pStyle w:val="ListParagraph"/>
        <w:ind w:left="284" w:hanging="426"/>
        <w:rPr>
          <w:rFonts w:cs="Arial"/>
          <w:szCs w:val="24"/>
        </w:rPr>
      </w:pPr>
    </w:p>
    <w:p w14:paraId="236D7D1E" w14:textId="77777777" w:rsidR="00E53557" w:rsidRPr="00E53557" w:rsidRDefault="00E53557" w:rsidP="00820108">
      <w:pPr>
        <w:pStyle w:val="ListParagraph"/>
        <w:numPr>
          <w:ilvl w:val="0"/>
          <w:numId w:val="40"/>
        </w:numPr>
        <w:ind w:left="284" w:hanging="426"/>
        <w:rPr>
          <w:rFonts w:cs="Arial"/>
          <w:szCs w:val="24"/>
        </w:rPr>
      </w:pPr>
      <w:r w:rsidRPr="00E53557">
        <w:rPr>
          <w:rFonts w:cs="Arial"/>
          <w:szCs w:val="24"/>
        </w:rPr>
        <w:t>A high level communications plan is in development and will be shared with the IM&amp;C sub committee.</w:t>
      </w:r>
    </w:p>
    <w:p w14:paraId="3A65A185" w14:textId="77777777" w:rsidR="005327C6" w:rsidRPr="007B367A" w:rsidRDefault="005327C6" w:rsidP="00820108">
      <w:pPr>
        <w:ind w:left="284" w:hanging="426"/>
        <w:rPr>
          <w:rFonts w:cs="Arial"/>
          <w:b/>
          <w:szCs w:val="24"/>
        </w:rPr>
      </w:pPr>
    </w:p>
    <w:p w14:paraId="67F238F1" w14:textId="77777777" w:rsidR="00EF47E6" w:rsidRPr="007B367A" w:rsidRDefault="00EF47E6" w:rsidP="00A77E6C">
      <w:pPr>
        <w:rPr>
          <w:rFonts w:cs="Arial"/>
          <w:b/>
          <w:szCs w:val="24"/>
        </w:rPr>
      </w:pPr>
      <w:r w:rsidRPr="007B367A">
        <w:rPr>
          <w:rFonts w:cs="Arial"/>
          <w:b/>
          <w:szCs w:val="24"/>
        </w:rPr>
        <w:t>Guaranteed</w:t>
      </w:r>
      <w:r w:rsidR="00721A2D" w:rsidRPr="007B367A">
        <w:rPr>
          <w:rFonts w:cs="Arial"/>
          <w:b/>
          <w:szCs w:val="24"/>
        </w:rPr>
        <w:t xml:space="preserve"> Minimum Pension Reconciliation</w:t>
      </w:r>
    </w:p>
    <w:p w14:paraId="527F5648" w14:textId="77777777" w:rsidR="00EF47E6" w:rsidRPr="007B367A" w:rsidRDefault="00EF47E6" w:rsidP="00A77E6C">
      <w:pPr>
        <w:pStyle w:val="DeptBullets"/>
        <w:numPr>
          <w:ilvl w:val="0"/>
          <w:numId w:val="0"/>
        </w:numPr>
        <w:spacing w:after="0"/>
        <w:rPr>
          <w:rFonts w:cs="Arial"/>
          <w:szCs w:val="24"/>
        </w:rPr>
      </w:pPr>
    </w:p>
    <w:p w14:paraId="7A1DF519" w14:textId="77777777" w:rsidR="00EF47E6" w:rsidRDefault="00EF47E6" w:rsidP="00694C80">
      <w:pPr>
        <w:pStyle w:val="ListParagraph"/>
        <w:numPr>
          <w:ilvl w:val="0"/>
          <w:numId w:val="40"/>
        </w:numPr>
        <w:spacing w:line="256" w:lineRule="auto"/>
        <w:ind w:left="284" w:hanging="426"/>
        <w:rPr>
          <w:rFonts w:cs="Arial"/>
          <w:szCs w:val="24"/>
        </w:rPr>
      </w:pPr>
      <w:r w:rsidRPr="007B367A">
        <w:rPr>
          <w:rFonts w:cs="Arial"/>
          <w:szCs w:val="24"/>
        </w:rPr>
        <w:t xml:space="preserve">The reconciliation project is progressing well, second investigations continue and around 60k cases have been identified as being suitable for HMRC's new automated solution which </w:t>
      </w:r>
      <w:r w:rsidR="00443C01">
        <w:rPr>
          <w:rFonts w:cs="Arial"/>
          <w:szCs w:val="24"/>
        </w:rPr>
        <w:t>was</w:t>
      </w:r>
      <w:r w:rsidRPr="007B367A">
        <w:rPr>
          <w:rFonts w:cs="Arial"/>
          <w:szCs w:val="24"/>
        </w:rPr>
        <w:t xml:space="preserve"> run in mid-September. The remaining cases are </w:t>
      </w:r>
      <w:r w:rsidR="00834985" w:rsidRPr="007B367A">
        <w:rPr>
          <w:rFonts w:cs="Arial"/>
          <w:szCs w:val="24"/>
        </w:rPr>
        <w:t>being investigated</w:t>
      </w:r>
      <w:r w:rsidRPr="007B367A">
        <w:rPr>
          <w:rFonts w:cs="Arial"/>
          <w:szCs w:val="24"/>
        </w:rPr>
        <w:t xml:space="preserve"> and second queries raised by TP have been fed back to HMRC.</w:t>
      </w:r>
    </w:p>
    <w:p w14:paraId="6A50C454" w14:textId="77777777" w:rsidR="00194C5A" w:rsidRPr="00194C5A" w:rsidRDefault="00194C5A" w:rsidP="00194C5A">
      <w:pPr>
        <w:spacing w:line="256" w:lineRule="auto"/>
        <w:rPr>
          <w:rFonts w:cs="Arial"/>
          <w:szCs w:val="24"/>
        </w:rPr>
      </w:pPr>
    </w:p>
    <w:p w14:paraId="3788BB49" w14:textId="77777777" w:rsidR="00194C5A" w:rsidRDefault="00194C5A" w:rsidP="00694C80">
      <w:pPr>
        <w:pStyle w:val="ListParagraph"/>
        <w:numPr>
          <w:ilvl w:val="0"/>
          <w:numId w:val="40"/>
        </w:numPr>
        <w:spacing w:line="256" w:lineRule="auto"/>
        <w:ind w:left="284" w:hanging="426"/>
        <w:rPr>
          <w:rFonts w:cs="Arial"/>
          <w:szCs w:val="24"/>
        </w:rPr>
      </w:pPr>
      <w:r>
        <w:rPr>
          <w:rFonts w:cs="Arial"/>
          <w:szCs w:val="24"/>
        </w:rPr>
        <w:t>The project is due to end on 31</w:t>
      </w:r>
      <w:r w:rsidRPr="00194C5A">
        <w:rPr>
          <w:rFonts w:cs="Arial"/>
          <w:szCs w:val="24"/>
          <w:vertAlign w:val="superscript"/>
        </w:rPr>
        <w:t>st</w:t>
      </w:r>
      <w:r>
        <w:rPr>
          <w:rFonts w:cs="Arial"/>
          <w:szCs w:val="24"/>
        </w:rPr>
        <w:t xml:space="preserve"> December 2018, before the rectification </w:t>
      </w:r>
      <w:r w:rsidR="00AA74A5">
        <w:rPr>
          <w:rFonts w:cs="Arial"/>
          <w:szCs w:val="24"/>
        </w:rPr>
        <w:t>project commences from</w:t>
      </w:r>
      <w:r>
        <w:rPr>
          <w:rFonts w:cs="Arial"/>
          <w:szCs w:val="24"/>
        </w:rPr>
        <w:t xml:space="preserve"> January 2019. </w:t>
      </w:r>
    </w:p>
    <w:p w14:paraId="1385A129" w14:textId="77777777" w:rsidR="00EF47E6" w:rsidRPr="007B367A" w:rsidRDefault="00EF47E6" w:rsidP="00A77E6C">
      <w:pPr>
        <w:rPr>
          <w:rFonts w:cs="Arial"/>
          <w:szCs w:val="24"/>
        </w:rPr>
      </w:pPr>
    </w:p>
    <w:p w14:paraId="088459DF" w14:textId="77777777" w:rsidR="006367B9" w:rsidRPr="007B367A" w:rsidRDefault="006367B9" w:rsidP="00A77E6C">
      <w:pPr>
        <w:rPr>
          <w:rFonts w:cs="Arial"/>
          <w:b/>
          <w:szCs w:val="24"/>
        </w:rPr>
      </w:pPr>
      <w:r w:rsidRPr="007B367A">
        <w:rPr>
          <w:rFonts w:cs="Arial"/>
          <w:b/>
          <w:szCs w:val="24"/>
        </w:rPr>
        <w:t>Guaranteed Minimum Pension Rectification</w:t>
      </w:r>
      <w:r w:rsidR="00DC03CA" w:rsidRPr="007B367A">
        <w:rPr>
          <w:rFonts w:cs="Arial"/>
          <w:b/>
          <w:szCs w:val="24"/>
        </w:rPr>
        <w:t xml:space="preserve"> </w:t>
      </w:r>
    </w:p>
    <w:p w14:paraId="5878676C" w14:textId="77777777" w:rsidR="006367B9" w:rsidRPr="007B367A" w:rsidRDefault="006367B9" w:rsidP="00A77E6C">
      <w:pPr>
        <w:rPr>
          <w:rFonts w:cs="Arial"/>
          <w:b/>
          <w:szCs w:val="24"/>
        </w:rPr>
      </w:pPr>
    </w:p>
    <w:p w14:paraId="1E2488E8" w14:textId="13D3993B" w:rsidR="009C36AC" w:rsidRPr="007B2463" w:rsidRDefault="009C36AC" w:rsidP="00525D13">
      <w:pPr>
        <w:pStyle w:val="ListParagraph"/>
        <w:numPr>
          <w:ilvl w:val="0"/>
          <w:numId w:val="40"/>
        </w:numPr>
        <w:ind w:left="284" w:hanging="426"/>
        <w:rPr>
          <w:rFonts w:cs="Arial"/>
          <w:szCs w:val="24"/>
        </w:rPr>
      </w:pPr>
      <w:r w:rsidRPr="007B2463">
        <w:rPr>
          <w:rFonts w:cs="Arial"/>
          <w:szCs w:val="24"/>
        </w:rPr>
        <w:t xml:space="preserve">The GMP </w:t>
      </w:r>
      <w:r w:rsidR="00342B66" w:rsidRPr="007B2463">
        <w:rPr>
          <w:rFonts w:cs="Arial"/>
          <w:szCs w:val="24"/>
        </w:rPr>
        <w:t xml:space="preserve">communications </w:t>
      </w:r>
      <w:r w:rsidRPr="007B2463">
        <w:rPr>
          <w:rFonts w:cs="Arial"/>
          <w:szCs w:val="24"/>
        </w:rPr>
        <w:t>letter will be issued to members from th</w:t>
      </w:r>
      <w:r w:rsidR="009827AD">
        <w:rPr>
          <w:rFonts w:cs="Arial"/>
          <w:szCs w:val="24"/>
        </w:rPr>
        <w:t>e second week in January 2019.</w:t>
      </w:r>
      <w:r w:rsidRPr="007B2463">
        <w:rPr>
          <w:rFonts w:cs="Arial"/>
          <w:szCs w:val="24"/>
        </w:rPr>
        <w:t xml:space="preserve"> </w:t>
      </w:r>
      <w:r w:rsidR="00286976">
        <w:rPr>
          <w:rFonts w:cs="Arial"/>
          <w:szCs w:val="24"/>
        </w:rPr>
        <w:t xml:space="preserve">This has already been discussed at the IM&amp;C sub committee and the </w:t>
      </w:r>
      <w:r w:rsidR="00E076AB">
        <w:rPr>
          <w:rFonts w:cs="Arial"/>
          <w:szCs w:val="24"/>
        </w:rPr>
        <w:t xml:space="preserve">final </w:t>
      </w:r>
      <w:r w:rsidR="00AB4789">
        <w:rPr>
          <w:rFonts w:cs="Arial"/>
          <w:szCs w:val="24"/>
        </w:rPr>
        <w:t>version</w:t>
      </w:r>
      <w:r w:rsidR="00286976">
        <w:rPr>
          <w:rFonts w:cs="Arial"/>
          <w:szCs w:val="24"/>
        </w:rPr>
        <w:t xml:space="preserve"> is in</w:t>
      </w:r>
      <w:r w:rsidR="00365F9A">
        <w:rPr>
          <w:rFonts w:cs="Arial"/>
          <w:szCs w:val="24"/>
        </w:rPr>
        <w:t xml:space="preserve"> annex 1.</w:t>
      </w:r>
    </w:p>
    <w:p w14:paraId="7AA4EA9E" w14:textId="77777777" w:rsidR="00DC03CA" w:rsidRPr="009C36AC" w:rsidRDefault="00DC03CA" w:rsidP="00525D13">
      <w:pPr>
        <w:pStyle w:val="ListParagraph"/>
        <w:ind w:left="284" w:hanging="426"/>
        <w:rPr>
          <w:rFonts w:cs="Arial"/>
          <w:szCs w:val="24"/>
        </w:rPr>
      </w:pPr>
    </w:p>
    <w:p w14:paraId="23C9B466" w14:textId="195B5590" w:rsidR="00F2476E" w:rsidRDefault="004D1344" w:rsidP="00525D13">
      <w:pPr>
        <w:pStyle w:val="ListParagraph"/>
        <w:numPr>
          <w:ilvl w:val="0"/>
          <w:numId w:val="40"/>
        </w:numPr>
        <w:ind w:left="284" w:hanging="426"/>
        <w:rPr>
          <w:rFonts w:cs="Arial"/>
          <w:szCs w:val="24"/>
        </w:rPr>
      </w:pPr>
      <w:r>
        <w:rPr>
          <w:rFonts w:cs="Arial"/>
          <w:szCs w:val="24"/>
        </w:rPr>
        <w:t xml:space="preserve">It is expected that issuance of the letters will take place between </w:t>
      </w:r>
      <w:r w:rsidR="00DC03CA" w:rsidRPr="009C36AC">
        <w:rPr>
          <w:rFonts w:cs="Arial"/>
          <w:szCs w:val="24"/>
        </w:rPr>
        <w:t xml:space="preserve">January </w:t>
      </w:r>
      <w:r>
        <w:rPr>
          <w:rFonts w:cs="Arial"/>
          <w:szCs w:val="24"/>
        </w:rPr>
        <w:t xml:space="preserve">and the end of </w:t>
      </w:r>
      <w:r w:rsidR="00DC03CA" w:rsidRPr="009C36AC">
        <w:rPr>
          <w:rFonts w:cs="Arial"/>
          <w:szCs w:val="24"/>
        </w:rPr>
        <w:t>March</w:t>
      </w:r>
      <w:r w:rsidR="00CB74DB">
        <w:rPr>
          <w:rFonts w:cs="Arial"/>
          <w:szCs w:val="24"/>
        </w:rPr>
        <w:t>,</w:t>
      </w:r>
      <w:r w:rsidR="00901DEC" w:rsidRPr="00901DEC">
        <w:t xml:space="preserve"> </w:t>
      </w:r>
      <w:r w:rsidR="00901DEC">
        <w:t xml:space="preserve">however, the project will run beyond this date as there is likely to be </w:t>
      </w:r>
      <w:r>
        <w:t xml:space="preserve">follow up </w:t>
      </w:r>
      <w:r w:rsidR="00901DEC">
        <w:t xml:space="preserve">correspondence with </w:t>
      </w:r>
      <w:r>
        <w:t xml:space="preserve">some of the </w:t>
      </w:r>
      <w:r w:rsidR="00901DEC">
        <w:t>affected members.</w:t>
      </w:r>
      <w:r w:rsidR="00901DEC">
        <w:rPr>
          <w:rFonts w:cs="Arial"/>
          <w:szCs w:val="24"/>
        </w:rPr>
        <w:t xml:space="preserve"> </w:t>
      </w:r>
      <w:r w:rsidR="00DC03CA" w:rsidRPr="009C36AC">
        <w:rPr>
          <w:rFonts w:cs="Arial"/>
          <w:szCs w:val="24"/>
        </w:rPr>
        <w:t xml:space="preserve"> TP </w:t>
      </w:r>
      <w:r w:rsidR="00F75037">
        <w:rPr>
          <w:rFonts w:cs="Arial"/>
          <w:szCs w:val="24"/>
        </w:rPr>
        <w:t>is</w:t>
      </w:r>
      <w:r w:rsidR="00901DEC">
        <w:rPr>
          <w:rFonts w:cs="Arial"/>
          <w:szCs w:val="24"/>
        </w:rPr>
        <w:t xml:space="preserve"> </w:t>
      </w:r>
      <w:r w:rsidR="00DC03CA" w:rsidRPr="009C36AC">
        <w:rPr>
          <w:rFonts w:cs="Arial"/>
          <w:szCs w:val="24"/>
        </w:rPr>
        <w:t xml:space="preserve">issuing </w:t>
      </w:r>
      <w:r w:rsidR="003231FD">
        <w:rPr>
          <w:rFonts w:cs="Arial"/>
          <w:szCs w:val="24"/>
        </w:rPr>
        <w:t xml:space="preserve">letters </w:t>
      </w:r>
      <w:r w:rsidR="00DC03CA" w:rsidRPr="007B367A">
        <w:rPr>
          <w:rFonts w:cs="Arial"/>
          <w:szCs w:val="24"/>
        </w:rPr>
        <w:t>to members</w:t>
      </w:r>
      <w:r>
        <w:rPr>
          <w:rFonts w:cs="Arial"/>
          <w:szCs w:val="24"/>
        </w:rPr>
        <w:t xml:space="preserve"> using a phased approach (i.e. so many each week as calculations for them are finalised), so as to ensure there is capacity to support affected members appropriately without, for example, overloading </w:t>
      </w:r>
      <w:r w:rsidR="00DC03CA" w:rsidRPr="007B367A">
        <w:rPr>
          <w:rFonts w:cs="Arial"/>
          <w:szCs w:val="24"/>
        </w:rPr>
        <w:t>the Contact Centre</w:t>
      </w:r>
      <w:r>
        <w:rPr>
          <w:rFonts w:cs="Arial"/>
          <w:szCs w:val="24"/>
        </w:rPr>
        <w:t xml:space="preserve">.  </w:t>
      </w:r>
      <w:r w:rsidR="0025008D">
        <w:rPr>
          <w:rFonts w:cs="Arial"/>
          <w:szCs w:val="24"/>
        </w:rPr>
        <w:t xml:space="preserve">  </w:t>
      </w:r>
    </w:p>
    <w:p w14:paraId="0C1A706B" w14:textId="77777777" w:rsidR="00F2476E" w:rsidRPr="00F2476E" w:rsidRDefault="00F2476E" w:rsidP="00525D13">
      <w:pPr>
        <w:pStyle w:val="ListParagraph"/>
        <w:ind w:left="284" w:hanging="426"/>
        <w:rPr>
          <w:rFonts w:cs="Arial"/>
          <w:szCs w:val="24"/>
        </w:rPr>
      </w:pPr>
    </w:p>
    <w:p w14:paraId="6D5777A9" w14:textId="77777777" w:rsidR="0025008D" w:rsidRPr="00200249" w:rsidRDefault="00DC03CA" w:rsidP="00525D13">
      <w:pPr>
        <w:pStyle w:val="ListParagraph"/>
        <w:numPr>
          <w:ilvl w:val="0"/>
          <w:numId w:val="40"/>
        </w:numPr>
        <w:ind w:left="284" w:hanging="426"/>
        <w:rPr>
          <w:rFonts w:cs="Arial"/>
          <w:szCs w:val="24"/>
        </w:rPr>
      </w:pPr>
      <w:r w:rsidRPr="00200249">
        <w:rPr>
          <w:rFonts w:cs="Arial"/>
          <w:szCs w:val="24"/>
        </w:rPr>
        <w:t xml:space="preserve">Discussions have taken place around </w:t>
      </w:r>
      <w:r w:rsidR="004D1344">
        <w:rPr>
          <w:rFonts w:cs="Arial"/>
          <w:szCs w:val="24"/>
        </w:rPr>
        <w:t xml:space="preserve">the best way to ensure this </w:t>
      </w:r>
      <w:r w:rsidRPr="00200249">
        <w:rPr>
          <w:rFonts w:cs="Arial"/>
          <w:szCs w:val="24"/>
        </w:rPr>
        <w:t xml:space="preserve">and it is proposed that GMP calls are diverted to </w:t>
      </w:r>
      <w:r w:rsidR="004D1344">
        <w:rPr>
          <w:rFonts w:cs="Arial"/>
          <w:szCs w:val="24"/>
        </w:rPr>
        <w:t xml:space="preserve">other </w:t>
      </w:r>
      <w:r w:rsidRPr="00200249">
        <w:rPr>
          <w:rFonts w:cs="Arial"/>
          <w:szCs w:val="24"/>
        </w:rPr>
        <w:t>Capita Contact Centres</w:t>
      </w:r>
      <w:r w:rsidR="004D1344">
        <w:rPr>
          <w:rFonts w:cs="Arial"/>
          <w:szCs w:val="24"/>
        </w:rPr>
        <w:t>, where staff already have experience of dealing with GMP related issues</w:t>
      </w:r>
      <w:r w:rsidRPr="00200249">
        <w:rPr>
          <w:rFonts w:cs="Arial"/>
          <w:szCs w:val="24"/>
        </w:rPr>
        <w:t xml:space="preserve">. </w:t>
      </w:r>
      <w:r w:rsidR="00200249" w:rsidRPr="00200249">
        <w:rPr>
          <w:rFonts w:cs="Arial"/>
          <w:szCs w:val="24"/>
        </w:rPr>
        <w:t xml:space="preserve">The </w:t>
      </w:r>
      <w:r w:rsidR="004D1344">
        <w:rPr>
          <w:rFonts w:cs="Arial"/>
          <w:szCs w:val="24"/>
        </w:rPr>
        <w:t xml:space="preserve">TP </w:t>
      </w:r>
      <w:r w:rsidR="00200249" w:rsidRPr="00200249">
        <w:rPr>
          <w:rFonts w:cs="Arial"/>
          <w:szCs w:val="24"/>
        </w:rPr>
        <w:t>Contact Centre IVR will be updated to signpost callers, and calls will be diverted</w:t>
      </w:r>
      <w:r w:rsidR="004D1344">
        <w:rPr>
          <w:rFonts w:cs="Arial"/>
          <w:szCs w:val="24"/>
        </w:rPr>
        <w:t xml:space="preserve"> through </w:t>
      </w:r>
      <w:r w:rsidR="00200249" w:rsidRPr="00200249">
        <w:rPr>
          <w:rFonts w:cs="Arial"/>
          <w:szCs w:val="24"/>
        </w:rPr>
        <w:t xml:space="preserve">a specific GMP helpline. </w:t>
      </w:r>
    </w:p>
    <w:p w14:paraId="4F96707A" w14:textId="77777777" w:rsidR="0025008D" w:rsidRPr="0025008D" w:rsidRDefault="0025008D" w:rsidP="00525D13">
      <w:pPr>
        <w:pStyle w:val="ListParagraph"/>
        <w:ind w:left="284" w:hanging="426"/>
        <w:rPr>
          <w:rFonts w:cs="Arial"/>
          <w:szCs w:val="24"/>
        </w:rPr>
      </w:pPr>
    </w:p>
    <w:p w14:paraId="5965C951" w14:textId="77777777" w:rsidR="006367B9" w:rsidRDefault="004D1344" w:rsidP="00525D13">
      <w:pPr>
        <w:pStyle w:val="ListParagraph"/>
        <w:numPr>
          <w:ilvl w:val="0"/>
          <w:numId w:val="40"/>
        </w:numPr>
        <w:ind w:left="284" w:hanging="426"/>
        <w:rPr>
          <w:rFonts w:cs="Arial"/>
          <w:szCs w:val="24"/>
        </w:rPr>
      </w:pPr>
      <w:r>
        <w:rPr>
          <w:rFonts w:cs="Arial"/>
          <w:szCs w:val="24"/>
        </w:rPr>
        <w:t xml:space="preserve">The </w:t>
      </w:r>
      <w:r w:rsidR="0025008D">
        <w:rPr>
          <w:rFonts w:cs="Arial"/>
          <w:szCs w:val="24"/>
        </w:rPr>
        <w:t xml:space="preserve">engagement strategy </w:t>
      </w:r>
      <w:r>
        <w:rPr>
          <w:rFonts w:cs="Arial"/>
          <w:szCs w:val="24"/>
        </w:rPr>
        <w:t>covering all th</w:t>
      </w:r>
      <w:r w:rsidR="0025008D">
        <w:rPr>
          <w:rFonts w:cs="Arial"/>
          <w:szCs w:val="24"/>
        </w:rPr>
        <w:t>is</w:t>
      </w:r>
      <w:r>
        <w:rPr>
          <w:rFonts w:cs="Arial"/>
          <w:szCs w:val="24"/>
        </w:rPr>
        <w:t xml:space="preserve"> </w:t>
      </w:r>
      <w:r w:rsidR="0025008D">
        <w:rPr>
          <w:rFonts w:cs="Arial"/>
          <w:szCs w:val="24"/>
        </w:rPr>
        <w:t xml:space="preserve">will be shared with the </w:t>
      </w:r>
      <w:r w:rsidR="00200249">
        <w:rPr>
          <w:rFonts w:cs="Arial"/>
          <w:szCs w:val="24"/>
        </w:rPr>
        <w:t xml:space="preserve">Information to Members &amp; Communications </w:t>
      </w:r>
      <w:r w:rsidR="0025008D">
        <w:rPr>
          <w:rFonts w:cs="Arial"/>
          <w:szCs w:val="24"/>
        </w:rPr>
        <w:t>subcommittee.</w:t>
      </w:r>
    </w:p>
    <w:p w14:paraId="30E90FD4" w14:textId="77777777" w:rsidR="00C67095" w:rsidRPr="00C67095" w:rsidRDefault="00C67095" w:rsidP="00C67095">
      <w:pPr>
        <w:pStyle w:val="ListParagraph"/>
        <w:rPr>
          <w:rFonts w:cs="Arial"/>
          <w:szCs w:val="24"/>
        </w:rPr>
      </w:pPr>
    </w:p>
    <w:p w14:paraId="781104F7" w14:textId="77777777" w:rsidR="00EC78C9" w:rsidRDefault="00C67095" w:rsidP="00F6575F">
      <w:pPr>
        <w:pStyle w:val="ListParagraph"/>
        <w:numPr>
          <w:ilvl w:val="0"/>
          <w:numId w:val="40"/>
        </w:numPr>
        <w:ind w:left="284" w:hanging="426"/>
        <w:rPr>
          <w:rFonts w:cs="Arial"/>
          <w:szCs w:val="24"/>
        </w:rPr>
      </w:pPr>
      <w:r w:rsidRPr="00C67095">
        <w:rPr>
          <w:rFonts w:cs="Arial"/>
          <w:szCs w:val="24"/>
        </w:rPr>
        <w:t xml:space="preserve">The following chart shows the estimated overpayment impact for the 23k pensioner members who are affected by GMP rectification.  These are members where </w:t>
      </w:r>
      <w:r w:rsidR="00EF2FC4">
        <w:rPr>
          <w:rFonts w:cs="Arial"/>
          <w:szCs w:val="24"/>
        </w:rPr>
        <w:t xml:space="preserve">it is clear that there is a need to amend the </w:t>
      </w:r>
      <w:r w:rsidRPr="00C67095">
        <w:rPr>
          <w:rFonts w:cs="Arial"/>
          <w:szCs w:val="24"/>
        </w:rPr>
        <w:t xml:space="preserve">GMP information </w:t>
      </w:r>
      <w:r w:rsidR="00EF2FC4">
        <w:rPr>
          <w:rFonts w:cs="Arial"/>
          <w:szCs w:val="24"/>
        </w:rPr>
        <w:t xml:space="preserve">originally </w:t>
      </w:r>
      <w:r w:rsidRPr="00C67095">
        <w:rPr>
          <w:rFonts w:cs="Arial"/>
          <w:szCs w:val="24"/>
        </w:rPr>
        <w:t>hat provided by HMRC.   These volumes are based on analysis of a data set received from HMRC in June 2018 and the investigative work that has been completed since then.   A further analysis is underway on a later set of data to confirm the final position</w:t>
      </w:r>
      <w:r w:rsidR="00EF2FC4">
        <w:rPr>
          <w:rFonts w:cs="Arial"/>
          <w:szCs w:val="24"/>
        </w:rPr>
        <w:t xml:space="preserve"> but it is not expected to be significantly different</w:t>
      </w:r>
      <w:r w:rsidRPr="00C67095">
        <w:rPr>
          <w:rFonts w:cs="Arial"/>
          <w:szCs w:val="24"/>
        </w:rPr>
        <w:t>.</w:t>
      </w:r>
      <w:r w:rsidR="00EF2FC4">
        <w:rPr>
          <w:rFonts w:cs="Arial"/>
          <w:szCs w:val="24"/>
        </w:rPr>
        <w:t xml:space="preserve">  </w:t>
      </w:r>
    </w:p>
    <w:p w14:paraId="48B689BE" w14:textId="7826C7D1" w:rsidR="00EC78C9" w:rsidRDefault="00EC78C9" w:rsidP="00EC78C9">
      <w:pPr>
        <w:rPr>
          <w:rFonts w:cs="Arial"/>
          <w:szCs w:val="24"/>
        </w:rPr>
      </w:pPr>
      <w:r>
        <w:rPr>
          <w:noProof/>
          <w:lang w:eastAsia="en-GB"/>
        </w:rPr>
        <w:drawing>
          <wp:inline distT="0" distB="0" distL="0" distR="0" wp14:anchorId="60CB3653" wp14:editId="066C882C">
            <wp:extent cx="5801223" cy="2922373"/>
            <wp:effectExtent l="0" t="0" r="0" b="0"/>
            <wp:docPr id="16" name="Chart 16">
              <a:extLst xmlns:a="http://schemas.openxmlformats.org/drawingml/2006/main">
                <a:ext uri="{FF2B5EF4-FFF2-40B4-BE49-F238E27FC236}">
                  <a16:creationId xmlns:a16="http://schemas.microsoft.com/office/drawing/2014/main" id="{A3916F0F-D5C6-4641-9C45-E5AB421DCB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B1500A" w14:textId="77777777" w:rsidR="00F6575F" w:rsidRDefault="00F6575F" w:rsidP="00D470E5">
      <w:pPr>
        <w:spacing w:after="229" w:line="259" w:lineRule="auto"/>
        <w:rPr>
          <w:rFonts w:cs="Arial"/>
          <w:b/>
          <w:szCs w:val="24"/>
        </w:rPr>
      </w:pPr>
    </w:p>
    <w:p w14:paraId="1DCF1FCF" w14:textId="6466E6CE" w:rsidR="00EF47E6" w:rsidRPr="00C67095" w:rsidRDefault="00834985" w:rsidP="00D470E5">
      <w:pPr>
        <w:spacing w:after="229" w:line="259" w:lineRule="auto"/>
        <w:rPr>
          <w:rFonts w:cs="Arial"/>
          <w:szCs w:val="24"/>
        </w:rPr>
      </w:pPr>
      <w:r w:rsidRPr="00C67095">
        <w:rPr>
          <w:rFonts w:cs="Arial"/>
          <w:b/>
          <w:szCs w:val="24"/>
        </w:rPr>
        <w:t>Webchat</w:t>
      </w:r>
      <w:r w:rsidR="00DC03CA" w:rsidRPr="00C67095">
        <w:rPr>
          <w:rFonts w:cs="Arial"/>
          <w:b/>
          <w:szCs w:val="24"/>
        </w:rPr>
        <w:t xml:space="preserve"> </w:t>
      </w:r>
    </w:p>
    <w:p w14:paraId="2E03FD40" w14:textId="0113B77C" w:rsidR="00EF47E6" w:rsidRPr="00C67095" w:rsidRDefault="00DC03CA" w:rsidP="00F6575F">
      <w:pPr>
        <w:pStyle w:val="ListParagraph"/>
        <w:numPr>
          <w:ilvl w:val="0"/>
          <w:numId w:val="40"/>
        </w:numPr>
        <w:ind w:left="426"/>
        <w:rPr>
          <w:rFonts w:cs="Arial"/>
          <w:szCs w:val="24"/>
        </w:rPr>
      </w:pPr>
      <w:r w:rsidRPr="007B367A">
        <w:rPr>
          <w:rFonts w:cs="Arial"/>
          <w:szCs w:val="24"/>
        </w:rPr>
        <w:t xml:space="preserve">The webchat trial commenced </w:t>
      </w:r>
      <w:r w:rsidR="000D2791">
        <w:rPr>
          <w:rFonts w:cs="Arial"/>
          <w:szCs w:val="24"/>
        </w:rPr>
        <w:t>on</w:t>
      </w:r>
      <w:r w:rsidR="000D2791" w:rsidRPr="000D2791">
        <w:rPr>
          <w:rFonts w:cs="Arial"/>
          <w:szCs w:val="24"/>
        </w:rPr>
        <w:t xml:space="preserve"> 30</w:t>
      </w:r>
      <w:r w:rsidR="000D2791">
        <w:rPr>
          <w:rFonts w:cs="Arial"/>
          <w:szCs w:val="24"/>
        </w:rPr>
        <w:t xml:space="preserve"> </w:t>
      </w:r>
      <w:r w:rsidR="000D2791" w:rsidRPr="000D2791">
        <w:rPr>
          <w:rFonts w:cs="Arial"/>
          <w:szCs w:val="24"/>
        </w:rPr>
        <w:t xml:space="preserve">October and the initial feedback has been excellent from both </w:t>
      </w:r>
      <w:r w:rsidR="00443C01">
        <w:rPr>
          <w:rFonts w:cs="Arial"/>
          <w:szCs w:val="24"/>
        </w:rPr>
        <w:t xml:space="preserve">TP staff </w:t>
      </w:r>
      <w:r w:rsidR="00EF2FC4">
        <w:rPr>
          <w:rFonts w:cs="Arial"/>
          <w:szCs w:val="24"/>
        </w:rPr>
        <w:t>manning</w:t>
      </w:r>
      <w:r w:rsidR="00443C01">
        <w:rPr>
          <w:rFonts w:cs="Arial"/>
          <w:szCs w:val="24"/>
        </w:rPr>
        <w:t xml:space="preserve"> the service </w:t>
      </w:r>
      <w:r w:rsidR="000D2791" w:rsidRPr="000D2791">
        <w:rPr>
          <w:rFonts w:cs="Arial"/>
          <w:szCs w:val="24"/>
        </w:rPr>
        <w:t xml:space="preserve">and members. We will provide a full update on the trial </w:t>
      </w:r>
      <w:r w:rsidR="000D2791">
        <w:rPr>
          <w:rFonts w:cs="Arial"/>
          <w:szCs w:val="24"/>
        </w:rPr>
        <w:t>in the next quarter</w:t>
      </w:r>
      <w:r w:rsidR="00CB74DB">
        <w:rPr>
          <w:rFonts w:cs="Arial"/>
          <w:szCs w:val="24"/>
        </w:rPr>
        <w:t>’</w:t>
      </w:r>
      <w:r w:rsidR="000D2791">
        <w:rPr>
          <w:rFonts w:cs="Arial"/>
          <w:szCs w:val="24"/>
        </w:rPr>
        <w:t>s</w:t>
      </w:r>
      <w:r w:rsidR="000D2791" w:rsidRPr="000D2791">
        <w:rPr>
          <w:rFonts w:cs="Arial"/>
          <w:szCs w:val="24"/>
        </w:rPr>
        <w:t xml:space="preserve"> report.</w:t>
      </w:r>
    </w:p>
    <w:p w14:paraId="6A174ACD" w14:textId="77777777" w:rsidR="00443C01" w:rsidRPr="00F91D9B" w:rsidRDefault="00443C01" w:rsidP="00F91D9B">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EF47E6" w:rsidRPr="007B367A" w14:paraId="1C47EF63" w14:textId="77777777" w:rsidTr="00A521C3">
        <w:tc>
          <w:tcPr>
            <w:tcW w:w="7230" w:type="dxa"/>
          </w:tcPr>
          <w:p w14:paraId="1A9D906A" w14:textId="77777777" w:rsidR="00EF47E6" w:rsidRPr="007B367A" w:rsidRDefault="00EF47E6" w:rsidP="00A77E6C">
            <w:pPr>
              <w:rPr>
                <w:rFonts w:cs="Arial"/>
                <w:b/>
                <w:color w:val="000000"/>
                <w:szCs w:val="24"/>
              </w:rPr>
            </w:pPr>
            <w:r w:rsidRPr="007B367A">
              <w:rPr>
                <w:rFonts w:cs="Arial"/>
                <w:b/>
                <w:color w:val="000000"/>
                <w:szCs w:val="24"/>
              </w:rPr>
              <w:t>Data Strategy</w:t>
            </w:r>
            <w:r w:rsidR="000C6FF6">
              <w:rPr>
                <w:rFonts w:cs="Arial"/>
                <w:b/>
                <w:color w:val="000000"/>
                <w:szCs w:val="24"/>
              </w:rPr>
              <w:t xml:space="preserve"> </w:t>
            </w:r>
          </w:p>
          <w:p w14:paraId="29B9E23D" w14:textId="77777777" w:rsidR="00C67095" w:rsidRPr="007B367A" w:rsidRDefault="00C67095" w:rsidP="00A77E6C">
            <w:pPr>
              <w:rPr>
                <w:rFonts w:cs="Arial"/>
                <w:b/>
                <w:szCs w:val="24"/>
              </w:rPr>
            </w:pPr>
          </w:p>
        </w:tc>
        <w:tc>
          <w:tcPr>
            <w:tcW w:w="1134" w:type="dxa"/>
            <w:shd w:val="clear" w:color="auto" w:fill="FFC000"/>
          </w:tcPr>
          <w:p w14:paraId="5B290CAF" w14:textId="77777777" w:rsidR="00EF47E6" w:rsidRPr="007B367A" w:rsidRDefault="00EF47E6" w:rsidP="00A77E6C">
            <w:pPr>
              <w:rPr>
                <w:rFonts w:cs="Arial"/>
                <w:color w:val="FF0000"/>
                <w:szCs w:val="24"/>
              </w:rPr>
            </w:pPr>
            <w:r w:rsidRPr="007B367A">
              <w:rPr>
                <w:rFonts w:cs="Arial"/>
                <w:noProof/>
                <w:color w:val="00B050"/>
                <w:szCs w:val="24"/>
              </w:rPr>
              <mc:AlternateContent>
                <mc:Choice Requires="wps">
                  <w:drawing>
                    <wp:anchor distT="0" distB="0" distL="114300" distR="114300" simplePos="0" relativeHeight="251662336" behindDoc="0" locked="0" layoutInCell="1" allowOverlap="1" wp14:anchorId="091339DE" wp14:editId="419F9C31">
                      <wp:simplePos x="0" y="0"/>
                      <wp:positionH relativeFrom="column">
                        <wp:posOffset>77143</wp:posOffset>
                      </wp:positionH>
                      <wp:positionV relativeFrom="paragraph">
                        <wp:posOffset>65191</wp:posOffset>
                      </wp:positionV>
                      <wp:extent cx="485757" cy="158567"/>
                      <wp:effectExtent l="38100" t="57150" r="0" b="89535"/>
                      <wp:wrapNone/>
                      <wp:docPr id="8" name="Straight Arrow Connector 8"/>
                      <wp:cNvGraphicFramePr/>
                      <a:graphic xmlns:a="http://schemas.openxmlformats.org/drawingml/2006/main">
                        <a:graphicData uri="http://schemas.microsoft.com/office/word/2010/wordprocessingShape">
                          <wps:wsp>
                            <wps:cNvCnPr/>
                            <wps:spPr>
                              <a:xfrm flipV="1">
                                <a:off x="0" y="0"/>
                                <a:ext cx="485757" cy="15856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2EE7CA6" id="Straight Arrow Connector 8" o:spid="_x0000_s1026" type="#_x0000_t32" style="position:absolute;margin-left:6.05pt;margin-top:5.15pt;width:38.25pt;height: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6JLQIAAEsEAAAOAAAAZHJzL2Uyb0RvYy54bWysVMGO2jAQvVfqP1i+lwBdFhQRVhV0e6la&#10;tGzb82A7iSXHtsaGwN937KSItreqHCzPjGfy3vMz66dLZ9hZYdDOVnw2mXKmrHBS26bi316f3604&#10;CxGsBOOsqvhVBf60eftm3ftSzV3rjFTIaIgNZe8r3sboy6IIolUdhInzylKxdthBpBCbQiL0NL0z&#10;xXw6fSx6h9KjEyoEyu6GIt/k+XWtRPxa10FFZipO2GJeMa/HtBabNZQNgm+1GGHAP6DoQFv66G3U&#10;DiKwE+q/RnVaoAuujhPhusLVtRYqcyA2s+kfbA4teJW5kDjB32QK/2+s+HLeI9Oy4nRRFjq6okNE&#10;0E0b2QdE17Ots5ZkdMhWSa3eh5KatnaPYxT8HhP1S40dq43238kIWQyixy5Z6+tNa3WJTFDyYbVY&#10;LpacCSrNFqvF4zJNL4YxaZzHED8p17G0qXgYUd3gDJ+A8+cQh8ZfDanZumdtDOWhNJb1FZ8vHqZ0&#10;/wLIY7WBSNvOE+tgG87ANGReETGjDs5omdpTd7iGrUF2BvIP2U66/pUYcGYgRCoQrfwbsf/WmvDs&#10;ILRDcy6lY1BG0OajlSxePckNSeWx39hUV9m3xCsF7hQVHlrZs6M54QsQZmKSuEiddKFHMASEJXHM&#10;Ebr4Q8c2+ycpn5lgc7xRyeeGPBjfwoDx/Sp1D2qG4Xi+khuGHN3BK5IbhvtPu6OT12yLnCfH5vPj&#10;60pP4j6m/f1/wOYnAAAA//8DAFBLAwQUAAYACAAAACEAEpZjPt4AAAAHAQAADwAAAGRycy9kb3du&#10;cmV2LnhtbEyOS0/DMBCE70j8B2uRuFGnjRpCiFOh8uoFiT6QODrxkkSN11HsNuHfs5zgNBrNaObL&#10;V5PtxBkH3zpSMJ9FIJAqZ1qqFRz2zzcpCB80Gd05QgXf6GFVXF7kOjNupC2ed6EWPEI+0wqaEPpM&#10;Sl81aLWfuR6Jsy83WB3YDrU0gx553HZyEUWJtLolfmh0j+sGq+PuZBW8HN+tTF8/k/IjOayfNsu3&#10;8fbxTqnrq+nhHkTAKfyV4Ref0aFgptKdyHjRsV/MuckaxSA4T9MERKkgXsYgi1z+5y9+AAAA//8D&#10;AFBLAQItABQABgAIAAAAIQC2gziS/gAAAOEBAAATAAAAAAAAAAAAAAAAAAAAAABbQ29udGVudF9U&#10;eXBlc10ueG1sUEsBAi0AFAAGAAgAAAAhADj9If/WAAAAlAEAAAsAAAAAAAAAAAAAAAAALwEAAF9y&#10;ZWxzLy5yZWxzUEsBAi0AFAAGAAgAAAAhALFRDoktAgAASwQAAA4AAAAAAAAAAAAAAAAALgIAAGRy&#10;cy9lMm9Eb2MueG1sUEsBAi0AFAAGAAgAAAAhABKWYz7eAAAABwEAAA8AAAAAAAAAAAAAAAAAhwQA&#10;AGRycy9kb3ducmV2LnhtbFBLBQYAAAAABAAEAPMAAACSBQAAAAA=&#10;" strokecolor="windowText" strokeweight="2pt">
                      <v:stroke endarrow="open"/>
                      <v:shadow on="t" color="black" opacity="24903f" origin=",.5" offset="0,.55556mm"/>
                    </v:shape>
                  </w:pict>
                </mc:Fallback>
              </mc:AlternateContent>
            </w:r>
          </w:p>
          <w:p w14:paraId="50D87D33" w14:textId="77777777" w:rsidR="00EF47E6" w:rsidRPr="007B367A" w:rsidRDefault="00EF47E6" w:rsidP="00A77E6C">
            <w:pPr>
              <w:rPr>
                <w:rFonts w:cs="Arial"/>
                <w:color w:val="00B050"/>
                <w:szCs w:val="24"/>
              </w:rPr>
            </w:pPr>
          </w:p>
        </w:tc>
      </w:tr>
    </w:tbl>
    <w:p w14:paraId="0EB764FC" w14:textId="77777777" w:rsidR="00EF47E6" w:rsidRPr="007B367A" w:rsidRDefault="00EF47E6" w:rsidP="00A77E6C">
      <w:pPr>
        <w:rPr>
          <w:rFonts w:cs="Arial"/>
          <w:szCs w:val="24"/>
        </w:rPr>
      </w:pPr>
    </w:p>
    <w:p w14:paraId="2CA9DDFB" w14:textId="77777777" w:rsidR="00945AAA" w:rsidRPr="00945AAA" w:rsidRDefault="00EF47E6" w:rsidP="00694C80">
      <w:pPr>
        <w:pStyle w:val="ListParagraph"/>
        <w:numPr>
          <w:ilvl w:val="0"/>
          <w:numId w:val="40"/>
        </w:numPr>
        <w:ind w:left="426" w:hanging="426"/>
        <w:rPr>
          <w:rFonts w:cs="Arial"/>
        </w:rPr>
      </w:pPr>
      <w:r w:rsidRPr="00945AAA">
        <w:rPr>
          <w:rFonts w:cs="Arial"/>
          <w:szCs w:val="24"/>
        </w:rPr>
        <w:t>This aims to ensure that</w:t>
      </w:r>
      <w:r w:rsidRPr="00945AAA">
        <w:rPr>
          <w:rFonts w:eastAsia="MS PGothic" w:cs="Arial"/>
          <w:szCs w:val="24"/>
        </w:rPr>
        <w:t xml:space="preserve"> the TPS continues to have high quality data and remains one of the most innovative and successful public sector schemes.  The data strategy encompasses a number of activities, aimed at ensuring </w:t>
      </w:r>
      <w:r w:rsidR="008000BB" w:rsidRPr="00945AAA">
        <w:rPr>
          <w:rFonts w:eastAsia="MS PGothic" w:cs="Arial"/>
          <w:szCs w:val="24"/>
        </w:rPr>
        <w:t>we adapt</w:t>
      </w:r>
      <w:r w:rsidRPr="00945AAA">
        <w:rPr>
          <w:rFonts w:eastAsia="MS PGothic" w:cs="Arial"/>
          <w:szCs w:val="24"/>
        </w:rPr>
        <w:t xml:space="preserve"> to the </w:t>
      </w:r>
      <w:r w:rsidRPr="00945AAA">
        <w:rPr>
          <w:rFonts w:cs="Arial"/>
          <w:szCs w:val="24"/>
        </w:rPr>
        <w:t>changes</w:t>
      </w:r>
      <w:r w:rsidRPr="00945AAA">
        <w:rPr>
          <w:rFonts w:eastAsia="MS PGothic" w:cs="Arial"/>
          <w:szCs w:val="24"/>
        </w:rPr>
        <w:t xml:space="preserve"> occurring both within the scheme/pensions environment and externally. </w:t>
      </w:r>
    </w:p>
    <w:p w14:paraId="0BB5B623" w14:textId="77777777" w:rsidR="00945AAA" w:rsidRPr="00945AAA" w:rsidRDefault="00945AAA" w:rsidP="00945AAA">
      <w:pPr>
        <w:rPr>
          <w:rFonts w:cs="Arial"/>
        </w:rPr>
      </w:pPr>
    </w:p>
    <w:p w14:paraId="551908EC" w14:textId="77777777" w:rsidR="00945AAA" w:rsidRPr="00945AAA" w:rsidRDefault="00EF2FC4" w:rsidP="00694C80">
      <w:pPr>
        <w:pStyle w:val="ListParagraph"/>
        <w:numPr>
          <w:ilvl w:val="0"/>
          <w:numId w:val="40"/>
        </w:numPr>
        <w:ind w:left="426" w:hanging="426"/>
        <w:rPr>
          <w:rFonts w:cs="Arial"/>
          <w:color w:val="000000"/>
          <w:szCs w:val="24"/>
        </w:rPr>
      </w:pPr>
      <w:r>
        <w:rPr>
          <w:rFonts w:cs="Arial"/>
        </w:rPr>
        <w:t>The latest developments, include p</w:t>
      </w:r>
      <w:r w:rsidR="00945AAA" w:rsidRPr="00945AAA">
        <w:rPr>
          <w:rFonts w:cs="Arial"/>
        </w:rPr>
        <w:t>ro</w:t>
      </w:r>
      <w:r>
        <w:rPr>
          <w:rFonts w:cs="Arial"/>
        </w:rPr>
        <w:t>vision</w:t>
      </w:r>
      <w:r w:rsidR="00945AAA" w:rsidRPr="00945AAA">
        <w:rPr>
          <w:rFonts w:cs="Arial"/>
        </w:rPr>
        <w:t xml:space="preserve"> of a monthly checklist to all employers utilising MDC by the 14th of each calendar month</w:t>
      </w:r>
      <w:r>
        <w:rPr>
          <w:rFonts w:cs="Arial"/>
        </w:rPr>
        <w:t>, covering a</w:t>
      </w:r>
      <w:r w:rsidR="00945AAA" w:rsidRPr="00945AAA">
        <w:rPr>
          <w:rFonts w:cs="Arial"/>
        </w:rPr>
        <w:t xml:space="preserve"> list of members who an employer </w:t>
      </w:r>
      <w:r>
        <w:rPr>
          <w:rFonts w:cs="Arial"/>
        </w:rPr>
        <w:t xml:space="preserve">has </w:t>
      </w:r>
      <w:r w:rsidR="00945AAA" w:rsidRPr="00945AAA">
        <w:rPr>
          <w:rFonts w:cs="Arial"/>
        </w:rPr>
        <w:t xml:space="preserve">failed to </w:t>
      </w:r>
      <w:r>
        <w:rPr>
          <w:rFonts w:cs="Arial"/>
        </w:rPr>
        <w:t>cover</w:t>
      </w:r>
      <w:r w:rsidR="00945AAA" w:rsidRPr="00945AAA">
        <w:rPr>
          <w:rFonts w:cs="Arial"/>
        </w:rPr>
        <w:t xml:space="preserve"> on the previous month</w:t>
      </w:r>
      <w:r>
        <w:rPr>
          <w:rFonts w:cs="Arial"/>
        </w:rPr>
        <w:t>’</w:t>
      </w:r>
      <w:r w:rsidR="00945AAA" w:rsidRPr="00945AAA">
        <w:rPr>
          <w:rFonts w:cs="Arial"/>
        </w:rPr>
        <w:t xml:space="preserve">s MDC file. This caters for scenarios where the member may have left </w:t>
      </w:r>
      <w:r w:rsidR="00CB74DB">
        <w:rPr>
          <w:rFonts w:cs="Arial"/>
        </w:rPr>
        <w:t xml:space="preserve">the </w:t>
      </w:r>
      <w:r w:rsidR="00945AAA" w:rsidRPr="00945AAA">
        <w:rPr>
          <w:rFonts w:cs="Arial"/>
        </w:rPr>
        <w:t>employer (but a withdrawal indicator was not provided) or where a genuine gap in service exists. MI reporting tools are available for TP to identify employers who are not following the checklist process.</w:t>
      </w:r>
    </w:p>
    <w:p w14:paraId="3C782605" w14:textId="77777777" w:rsidR="00945AAA" w:rsidRPr="00945AAA" w:rsidRDefault="00945AAA" w:rsidP="00945AAA">
      <w:pPr>
        <w:pStyle w:val="ListParagraph"/>
        <w:rPr>
          <w:rFonts w:cs="Arial"/>
          <w:color w:val="000000"/>
          <w:szCs w:val="24"/>
        </w:rPr>
      </w:pPr>
    </w:p>
    <w:p w14:paraId="685750F3" w14:textId="074D76F5" w:rsidR="00945AAA" w:rsidRDefault="00945AAA" w:rsidP="00694C80">
      <w:pPr>
        <w:pStyle w:val="ListParagraph"/>
        <w:numPr>
          <w:ilvl w:val="0"/>
          <w:numId w:val="40"/>
        </w:numPr>
        <w:ind w:left="426" w:hanging="426"/>
        <w:rPr>
          <w:rFonts w:cs="Arial"/>
          <w:color w:val="000000"/>
          <w:szCs w:val="24"/>
        </w:rPr>
      </w:pPr>
      <w:r w:rsidRPr="00945AAA">
        <w:rPr>
          <w:rFonts w:cs="Arial"/>
          <w:color w:val="000000"/>
          <w:szCs w:val="24"/>
        </w:rPr>
        <w:t>As TP perform</w:t>
      </w:r>
      <w:r w:rsidR="00F75037">
        <w:rPr>
          <w:rFonts w:cs="Arial"/>
          <w:color w:val="000000"/>
          <w:szCs w:val="24"/>
        </w:rPr>
        <w:t>s</w:t>
      </w:r>
      <w:r w:rsidRPr="00945AAA">
        <w:rPr>
          <w:rFonts w:cs="Arial"/>
          <w:color w:val="000000"/>
          <w:szCs w:val="24"/>
        </w:rPr>
        <w:t xml:space="preserve"> the reconciliation on a monthly basis, this provides the opportunity to perform continuous risk based assurance i.e. review the way in which the employer administrates the Scheme monthly. This subsequently offers a further opportunity to simplify the existing End of Year Certificate (EOYC) audit process. </w:t>
      </w:r>
    </w:p>
    <w:p w14:paraId="78C970E3" w14:textId="77777777" w:rsidR="00945AAA" w:rsidRPr="00945AAA" w:rsidRDefault="00945AAA" w:rsidP="00945AAA">
      <w:pPr>
        <w:pStyle w:val="ListParagraph"/>
        <w:rPr>
          <w:rFonts w:cs="Arial"/>
          <w:color w:val="000000"/>
          <w:szCs w:val="24"/>
        </w:rPr>
      </w:pPr>
    </w:p>
    <w:p w14:paraId="62FCA2E8" w14:textId="77777777" w:rsidR="00945AAA" w:rsidRDefault="00945AAA" w:rsidP="00694C80">
      <w:pPr>
        <w:pStyle w:val="ListParagraph"/>
        <w:numPr>
          <w:ilvl w:val="0"/>
          <w:numId w:val="40"/>
        </w:numPr>
        <w:ind w:left="426" w:hanging="426"/>
        <w:rPr>
          <w:rFonts w:cs="Arial"/>
          <w:color w:val="000000"/>
          <w:szCs w:val="24"/>
        </w:rPr>
      </w:pPr>
      <w:r w:rsidRPr="00945AAA">
        <w:rPr>
          <w:rFonts w:cs="Arial"/>
          <w:color w:val="000000"/>
          <w:szCs w:val="24"/>
        </w:rPr>
        <w:t>This development will provide an additional level of assurance to the National Audit Office (NAO) as part of their annual audit prior to annual report and accounts sign-off. This assurance is three</w:t>
      </w:r>
      <w:r w:rsidR="00CB74DB">
        <w:rPr>
          <w:rFonts w:cs="Arial"/>
          <w:color w:val="000000"/>
          <w:szCs w:val="24"/>
        </w:rPr>
        <w:t>-</w:t>
      </w:r>
      <w:r w:rsidRPr="00945AAA">
        <w:rPr>
          <w:rFonts w:cs="Arial"/>
          <w:color w:val="000000"/>
          <w:szCs w:val="24"/>
        </w:rPr>
        <w:t>fold</w:t>
      </w:r>
      <w:r w:rsidR="00CB74DB">
        <w:rPr>
          <w:rFonts w:cs="Arial"/>
          <w:color w:val="000000"/>
          <w:szCs w:val="24"/>
        </w:rPr>
        <w:t>:</w:t>
      </w:r>
      <w:r w:rsidRPr="00945AAA">
        <w:rPr>
          <w:rFonts w:cs="Arial"/>
          <w:color w:val="000000"/>
          <w:szCs w:val="24"/>
        </w:rPr>
        <w:t xml:space="preserve"> provides a greater level of detail</w:t>
      </w:r>
      <w:r w:rsidR="00CB74DB">
        <w:rPr>
          <w:rFonts w:cs="Arial"/>
          <w:color w:val="000000"/>
          <w:szCs w:val="24"/>
        </w:rPr>
        <w:t>;</w:t>
      </w:r>
      <w:r w:rsidRPr="00945AAA">
        <w:rPr>
          <w:rFonts w:cs="Arial"/>
          <w:color w:val="000000"/>
          <w:szCs w:val="24"/>
        </w:rPr>
        <w:t xml:space="preserve"> the ability to directly correlate contributions to service/salary</w:t>
      </w:r>
      <w:r w:rsidR="00CB74DB">
        <w:rPr>
          <w:rFonts w:cs="Arial"/>
          <w:color w:val="000000"/>
          <w:szCs w:val="24"/>
        </w:rPr>
        <w:t>;</w:t>
      </w:r>
      <w:r w:rsidRPr="00945AAA">
        <w:rPr>
          <w:rFonts w:cs="Arial"/>
          <w:color w:val="000000"/>
          <w:szCs w:val="24"/>
        </w:rPr>
        <w:t xml:space="preserve"> and more current data than the EOYC provides.  </w:t>
      </w:r>
      <w:r w:rsidR="001C6AE1">
        <w:rPr>
          <w:rFonts w:cs="Arial"/>
          <w:color w:val="000000"/>
          <w:szCs w:val="24"/>
        </w:rPr>
        <w:t>Plans are that MCR will launch from January 2019 with employers being on</w:t>
      </w:r>
      <w:r w:rsidR="00EF2FC4">
        <w:rPr>
          <w:rFonts w:cs="Arial"/>
          <w:color w:val="000000"/>
          <w:szCs w:val="24"/>
        </w:rPr>
        <w:t>-</w:t>
      </w:r>
      <w:r w:rsidR="001C6AE1">
        <w:rPr>
          <w:rFonts w:cs="Arial"/>
          <w:color w:val="000000"/>
          <w:szCs w:val="24"/>
        </w:rPr>
        <w:t>boarded from April 2020.</w:t>
      </w:r>
    </w:p>
    <w:p w14:paraId="11029499" w14:textId="77777777" w:rsidR="00945AAA" w:rsidRPr="00945AAA" w:rsidRDefault="00945AAA" w:rsidP="00945AAA">
      <w:pPr>
        <w:pStyle w:val="ListParagraph"/>
        <w:rPr>
          <w:rFonts w:cs="Arial"/>
          <w:color w:val="000000"/>
          <w:szCs w:val="24"/>
        </w:rPr>
      </w:pPr>
    </w:p>
    <w:p w14:paraId="2B0B5DCB" w14:textId="77777777" w:rsidR="00945AAA" w:rsidRDefault="00945AAA" w:rsidP="00694C80">
      <w:pPr>
        <w:pStyle w:val="ListParagraph"/>
        <w:numPr>
          <w:ilvl w:val="0"/>
          <w:numId w:val="40"/>
        </w:numPr>
        <w:ind w:left="426" w:hanging="426"/>
        <w:rPr>
          <w:rFonts w:cs="Arial"/>
          <w:color w:val="000000"/>
          <w:szCs w:val="24"/>
        </w:rPr>
      </w:pPr>
      <w:r w:rsidRPr="00945AAA">
        <w:rPr>
          <w:rFonts w:cs="Arial"/>
          <w:color w:val="000000"/>
          <w:szCs w:val="24"/>
        </w:rPr>
        <w:t xml:space="preserve">Employers will receive a risk rating calculated by comparing MCR submissions and payment details against a set of criteria. Depending on the rating, employers will then be provided with relevant support to improve their data submissions and general data quality. </w:t>
      </w:r>
    </w:p>
    <w:p w14:paraId="6E19EEAA" w14:textId="77777777" w:rsidR="00945AAA" w:rsidRPr="00945AAA" w:rsidRDefault="00945AAA" w:rsidP="00945AAA">
      <w:pPr>
        <w:pStyle w:val="ListParagraph"/>
        <w:rPr>
          <w:rFonts w:cs="Arial"/>
          <w:color w:val="000000"/>
          <w:szCs w:val="24"/>
        </w:rPr>
      </w:pPr>
    </w:p>
    <w:p w14:paraId="73E5D941" w14:textId="77777777" w:rsidR="005774A8" w:rsidRPr="00B26A51" w:rsidRDefault="00945AAA" w:rsidP="00694C80">
      <w:pPr>
        <w:pStyle w:val="ListParagraph"/>
        <w:numPr>
          <w:ilvl w:val="0"/>
          <w:numId w:val="40"/>
        </w:numPr>
        <w:ind w:left="426" w:hanging="426"/>
        <w:rPr>
          <w:rFonts w:cs="Arial"/>
          <w:color w:val="000000"/>
          <w:szCs w:val="24"/>
        </w:rPr>
      </w:pPr>
      <w:r w:rsidRPr="00945AAA">
        <w:rPr>
          <w:rFonts w:cs="Arial"/>
          <w:color w:val="000000"/>
          <w:szCs w:val="24"/>
        </w:rPr>
        <w:t xml:space="preserve">An updated Data Strategy for contract Year 8 onwards has been </w:t>
      </w:r>
      <w:r w:rsidR="004B05BC">
        <w:rPr>
          <w:rFonts w:cs="Arial"/>
          <w:color w:val="000000"/>
          <w:szCs w:val="24"/>
        </w:rPr>
        <w:t>drafted</w:t>
      </w:r>
      <w:r w:rsidRPr="00945AAA">
        <w:rPr>
          <w:rFonts w:cs="Arial"/>
          <w:color w:val="000000"/>
          <w:szCs w:val="24"/>
        </w:rPr>
        <w:t xml:space="preserve">. This details TP’s strategy for ensuring the TPS remains one of the most successful and innovative schemes. It documents the scope of the strategy, focusing on sources of data and opportunities to progress a more modernised approach, and defines key responsibilities. </w:t>
      </w:r>
    </w:p>
    <w:p w14:paraId="53CC8939" w14:textId="77777777" w:rsidR="00EF47E6" w:rsidRPr="007B367A" w:rsidRDefault="00EF47E6" w:rsidP="00A77E6C">
      <w:pPr>
        <w:rPr>
          <w:rFonts w:cs="Arial"/>
          <w:szCs w:val="24"/>
        </w:rPr>
      </w:pPr>
    </w:p>
    <w:p w14:paraId="68B93E39" w14:textId="77777777" w:rsidR="00EF47E6" w:rsidRPr="007B367A" w:rsidRDefault="00EF47E6" w:rsidP="00A77E6C">
      <w:pPr>
        <w:rPr>
          <w:rFonts w:cs="Arial"/>
          <w:color w:val="FF0000"/>
          <w:szCs w:val="24"/>
        </w:rPr>
      </w:pPr>
      <w:r w:rsidRPr="007B367A">
        <w:rPr>
          <w:rFonts w:cs="Arial"/>
          <w:b/>
          <w:szCs w:val="24"/>
        </w:rPr>
        <w:t xml:space="preserve">MPO </w:t>
      </w:r>
      <w:r w:rsidR="00627D12" w:rsidRPr="007B367A">
        <w:rPr>
          <w:rFonts w:cs="Arial"/>
          <w:b/>
          <w:szCs w:val="24"/>
        </w:rPr>
        <w:t>adoption</w:t>
      </w:r>
    </w:p>
    <w:p w14:paraId="25950DD7" w14:textId="77777777" w:rsidR="00EF47E6" w:rsidRPr="007B367A" w:rsidRDefault="00EF47E6" w:rsidP="00A77E6C">
      <w:pPr>
        <w:rPr>
          <w:rFonts w:cs="Arial"/>
          <w:szCs w:val="24"/>
        </w:rPr>
      </w:pPr>
    </w:p>
    <w:p w14:paraId="6240B19E" w14:textId="77777777" w:rsidR="00EF47E6" w:rsidRPr="007B367A" w:rsidRDefault="00EF47E6" w:rsidP="00694C80">
      <w:pPr>
        <w:pStyle w:val="ListParagraph"/>
        <w:numPr>
          <w:ilvl w:val="0"/>
          <w:numId w:val="40"/>
        </w:numPr>
        <w:ind w:left="426" w:hanging="426"/>
        <w:rPr>
          <w:rFonts w:cs="Arial"/>
          <w:szCs w:val="24"/>
        </w:rPr>
      </w:pPr>
      <w:r w:rsidRPr="007B367A">
        <w:rPr>
          <w:rFonts w:cs="Arial"/>
          <w:szCs w:val="24"/>
        </w:rPr>
        <w:t xml:space="preserve">The table below details member volumes and MPO make-up based on the establishments:  </w:t>
      </w:r>
    </w:p>
    <w:p w14:paraId="66EAE34C" w14:textId="77777777" w:rsidR="00EF47E6" w:rsidRDefault="00EF47E6" w:rsidP="00A77E6C">
      <w:pPr>
        <w:rPr>
          <w:rFonts w:cs="Arial"/>
          <w:szCs w:val="24"/>
        </w:rPr>
      </w:pPr>
    </w:p>
    <w:p w14:paraId="5C1EBFD6" w14:textId="77777777" w:rsidR="00EC662D" w:rsidRPr="007B367A" w:rsidRDefault="00EC662D" w:rsidP="00A77E6C">
      <w:pPr>
        <w:rPr>
          <w:rFonts w:cs="Arial"/>
          <w:szCs w:val="24"/>
        </w:rPr>
      </w:pPr>
      <w:r w:rsidRPr="00AA72BC">
        <w:rPr>
          <w:rFonts w:ascii="Calibri" w:eastAsia="Calibri" w:hAnsi="Calibri"/>
          <w:noProof/>
          <w:color w:val="404040"/>
          <w:sz w:val="22"/>
          <w:szCs w:val="22"/>
          <w:lang w:eastAsia="en-GB"/>
        </w:rPr>
        <w:drawing>
          <wp:inline distT="0" distB="0" distL="0" distR="0" wp14:anchorId="2337D387" wp14:editId="2FBA9FB6">
            <wp:extent cx="6524625" cy="3228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2483" cy="3232864"/>
                    </a:xfrm>
                    <a:prstGeom prst="rect">
                      <a:avLst/>
                    </a:prstGeom>
                    <a:noFill/>
                    <a:ln>
                      <a:noFill/>
                    </a:ln>
                  </pic:spPr>
                </pic:pic>
              </a:graphicData>
            </a:graphic>
          </wp:inline>
        </w:drawing>
      </w:r>
    </w:p>
    <w:p w14:paraId="22B25DCB" w14:textId="77777777" w:rsidR="00EF47E6" w:rsidRPr="007B367A" w:rsidRDefault="00EF47E6" w:rsidP="00A77E6C">
      <w:pPr>
        <w:rPr>
          <w:rFonts w:cs="Arial"/>
          <w:szCs w:val="24"/>
        </w:rPr>
      </w:pPr>
    </w:p>
    <w:p w14:paraId="2FC5018D" w14:textId="77777777" w:rsidR="00A60905" w:rsidRPr="00A60905" w:rsidRDefault="00A60905" w:rsidP="00F6575F">
      <w:pPr>
        <w:pStyle w:val="ListParagraph"/>
        <w:numPr>
          <w:ilvl w:val="0"/>
          <w:numId w:val="40"/>
        </w:numPr>
        <w:ind w:left="142"/>
        <w:rPr>
          <w:rFonts w:cs="Arial"/>
          <w:szCs w:val="24"/>
        </w:rPr>
      </w:pPr>
      <w:r>
        <w:t>There are now 811,344 members with an MPO account, of which, 345,256 are Active members.</w:t>
      </w:r>
    </w:p>
    <w:p w14:paraId="33D938AB" w14:textId="77777777" w:rsidR="00A60905" w:rsidRPr="007B367A" w:rsidRDefault="00A60905" w:rsidP="00A77E6C">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EF47E6" w:rsidRPr="007B367A" w14:paraId="65BEBA04" w14:textId="77777777" w:rsidTr="00A521C3">
        <w:tc>
          <w:tcPr>
            <w:tcW w:w="7230" w:type="dxa"/>
          </w:tcPr>
          <w:p w14:paraId="2F5FC5AC" w14:textId="77777777" w:rsidR="00EF47E6" w:rsidRPr="00B9575E" w:rsidRDefault="00EF47E6" w:rsidP="00A77E6C">
            <w:pPr>
              <w:rPr>
                <w:rFonts w:cs="Arial"/>
                <w:b/>
                <w:color w:val="FF0000"/>
                <w:szCs w:val="24"/>
              </w:rPr>
            </w:pPr>
            <w:r w:rsidRPr="007B367A">
              <w:rPr>
                <w:rFonts w:cs="Arial"/>
                <w:b/>
                <w:color w:val="000000"/>
                <w:szCs w:val="24"/>
              </w:rPr>
              <w:t>Social Media</w:t>
            </w:r>
            <w:r w:rsidR="00627D12" w:rsidRPr="007B367A">
              <w:rPr>
                <w:rFonts w:cs="Arial"/>
                <w:b/>
                <w:color w:val="000000"/>
                <w:szCs w:val="24"/>
              </w:rPr>
              <w:t xml:space="preserve"> </w:t>
            </w:r>
          </w:p>
          <w:p w14:paraId="082F3141" w14:textId="77777777" w:rsidR="00346D6F" w:rsidRPr="007B367A" w:rsidRDefault="00346D6F" w:rsidP="00A77E6C">
            <w:pPr>
              <w:rPr>
                <w:rFonts w:cs="Arial"/>
                <w:b/>
                <w:szCs w:val="24"/>
              </w:rPr>
            </w:pPr>
          </w:p>
        </w:tc>
        <w:tc>
          <w:tcPr>
            <w:tcW w:w="1134" w:type="dxa"/>
            <w:shd w:val="clear" w:color="auto" w:fill="FFC000"/>
          </w:tcPr>
          <w:p w14:paraId="15812EF5" w14:textId="77777777" w:rsidR="00EF47E6" w:rsidRPr="007B367A" w:rsidRDefault="00EF47E6" w:rsidP="00A77E6C">
            <w:pPr>
              <w:rPr>
                <w:rFonts w:cs="Arial"/>
                <w:color w:val="FF0000"/>
                <w:szCs w:val="24"/>
              </w:rPr>
            </w:pPr>
            <w:r w:rsidRPr="007B367A">
              <w:rPr>
                <w:rFonts w:cs="Arial"/>
                <w:noProof/>
                <w:color w:val="00B050"/>
                <w:szCs w:val="24"/>
              </w:rPr>
              <mc:AlternateContent>
                <mc:Choice Requires="wps">
                  <w:drawing>
                    <wp:anchor distT="0" distB="0" distL="114300" distR="114300" simplePos="0" relativeHeight="251663360" behindDoc="0" locked="0" layoutInCell="1" allowOverlap="1" wp14:anchorId="258DCF67" wp14:editId="4C5A646E">
                      <wp:simplePos x="0" y="0"/>
                      <wp:positionH relativeFrom="column">
                        <wp:posOffset>77143</wp:posOffset>
                      </wp:positionH>
                      <wp:positionV relativeFrom="paragraph">
                        <wp:posOffset>65191</wp:posOffset>
                      </wp:positionV>
                      <wp:extent cx="485757" cy="158567"/>
                      <wp:effectExtent l="38100" t="57150" r="0" b="89535"/>
                      <wp:wrapNone/>
                      <wp:docPr id="9" name="Straight Arrow Connector 9"/>
                      <wp:cNvGraphicFramePr/>
                      <a:graphic xmlns:a="http://schemas.openxmlformats.org/drawingml/2006/main">
                        <a:graphicData uri="http://schemas.microsoft.com/office/word/2010/wordprocessingShape">
                          <wps:wsp>
                            <wps:cNvCnPr/>
                            <wps:spPr>
                              <a:xfrm flipV="1">
                                <a:off x="0" y="0"/>
                                <a:ext cx="485757" cy="15856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3F80B1B" id="Straight Arrow Connector 9" o:spid="_x0000_s1026" type="#_x0000_t32" style="position:absolute;margin-left:6.05pt;margin-top:5.15pt;width:38.25pt;height:1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m0LgIAAEsEAAAOAAAAZHJzL2Uyb0RvYy54bWysVMGO2jAQvVfqP1i+lwBddtmIsKqg20vV&#10;orJtz4PtJJYc2xobAn/fsZNFtL1V5WB5ZjyT956fWT2dO8NOCoN2tuKzyZQzZYWT2jYV//7y/G7J&#10;WYhgJRhnVcUvKvCn9ds3q96Xau5aZ6RCRkNsKHtf8TZGXxZFEK3qIEycV5aKtcMOIoXYFBKhp+md&#10;KebT6X3RO5QenVAhUHY7FPk6z69rJeLXug4qMlNxwhbzink9pLVYr6BsEHyrxQgD/gFFB9rSR6+j&#10;thCBHVH/NarTAl1wdZwI1xWurrVQmQOxmU3/YLNvwavMhcQJ/ipT+H9jxZfTDpmWFX/kzEJHV7SP&#10;CLppI/uA6Hq2cdaSjA7ZY1Kr96Gkpo3d4RgFv8NE/Vxjx2qj/Q8yQhaD6LFz1vpy1VqdIxOUvFsu&#10;HhYPnAkqzRbLxf1Dml4MY9I4jyF+Uq5jaVPxMKK6whk+AafPIQ6Nrw2p2bpnbQzloTSW9RWfL+6m&#10;dP8CyGO1gUjbzhPrYBvOwDRkXhExow7OaJnaU3e4hI1BdgLyD9lOuv6FGHBmIEQqEK38G7H/1prw&#10;bCG0Q3MupWNQRtDmo5UsXjzJDUnlsd/YVFfZt8QrBe4YFe5b2bODOeI3IMzEJHGROulCj2AICEvi&#10;mCN08aeObfZPUj4zweZwpZLPDXkwvoUB4/tl6h7UDMPxfCVXDDm6gVckNwz3n3YHJy/ZFjlPjs3n&#10;x9eVnsRtTPvb/4D1LwAAAP//AwBQSwMEFAAGAAgAAAAhABKWYz7eAAAABwEAAA8AAABkcnMvZG93&#10;bnJldi54bWxMjktPwzAQhO9I/AdrkbhRp40aQohTofLqBYk+kDg68ZJEjddR7Dbh37Oc4DQazWjm&#10;y1eT7cQZB986UjCfRSCQKmdaqhUc9s83KQgfNBndOUIF3+hhVVxe5DozbqQtnnehFjxCPtMKmhD6&#10;TEpfNWi1n7keibMvN1gd2A61NIMeedx2chFFibS6JX5odI/rBqvj7mQVvBzfrUxfP5PyIzmsnzbL&#10;t/H28U6p66vp4R5EwCn8leEXn9GhYKbSnch40bFfzLnJGsUgOE/TBESpIF7GIItc/ucvfgAAAP//&#10;AwBQSwECLQAUAAYACAAAACEAtoM4kv4AAADhAQAAEwAAAAAAAAAAAAAAAAAAAAAAW0NvbnRlbnRf&#10;VHlwZXNdLnhtbFBLAQItABQABgAIAAAAIQA4/SH/1gAAAJQBAAALAAAAAAAAAAAAAAAAAC8BAABf&#10;cmVscy8ucmVsc1BLAQItABQABgAIAAAAIQC8gtm0LgIAAEsEAAAOAAAAAAAAAAAAAAAAAC4CAABk&#10;cnMvZTJvRG9jLnhtbFBLAQItABQABgAIAAAAIQASlmM+3gAAAAcBAAAPAAAAAAAAAAAAAAAAAIgE&#10;AABkcnMvZG93bnJldi54bWxQSwUGAAAAAAQABADzAAAAkwUAAAAA&#10;" strokecolor="windowText" strokeweight="2pt">
                      <v:stroke endarrow="open"/>
                      <v:shadow on="t" color="black" opacity="24903f" origin=",.5" offset="0,.55556mm"/>
                    </v:shape>
                  </w:pict>
                </mc:Fallback>
              </mc:AlternateContent>
            </w:r>
          </w:p>
          <w:p w14:paraId="17F32427" w14:textId="77777777" w:rsidR="00EF47E6" w:rsidRPr="007B367A" w:rsidRDefault="00EF47E6" w:rsidP="00A77E6C">
            <w:pPr>
              <w:rPr>
                <w:rFonts w:cs="Arial"/>
                <w:color w:val="00B050"/>
                <w:szCs w:val="24"/>
              </w:rPr>
            </w:pPr>
          </w:p>
        </w:tc>
      </w:tr>
    </w:tbl>
    <w:p w14:paraId="60F32117" w14:textId="77777777" w:rsidR="00367094" w:rsidRPr="007B367A" w:rsidRDefault="00367094" w:rsidP="00A77E6C">
      <w:pPr>
        <w:rPr>
          <w:rFonts w:cs="Arial"/>
          <w:szCs w:val="24"/>
        </w:rPr>
      </w:pPr>
    </w:p>
    <w:p w14:paraId="6A494FF0" w14:textId="77777777" w:rsidR="00D156FE" w:rsidRDefault="00EF47E6" w:rsidP="00694C80">
      <w:pPr>
        <w:pStyle w:val="Heading3"/>
        <w:numPr>
          <w:ilvl w:val="0"/>
          <w:numId w:val="40"/>
        </w:numPr>
        <w:ind w:left="142"/>
        <w:rPr>
          <w:rFonts w:cs="Arial"/>
          <w:szCs w:val="24"/>
        </w:rPr>
      </w:pPr>
      <w:r w:rsidRPr="00D156FE">
        <w:rPr>
          <w:rFonts w:cs="Arial"/>
          <w:szCs w:val="24"/>
        </w:rPr>
        <w:t xml:space="preserve">The scheme has </w:t>
      </w:r>
      <w:r w:rsidR="00D156FE" w:rsidRPr="00D156FE">
        <w:rPr>
          <w:rFonts w:cs="Arial"/>
          <w:szCs w:val="24"/>
        </w:rPr>
        <w:t xml:space="preserve">4,670 </w:t>
      </w:r>
      <w:r w:rsidRPr="00D156FE">
        <w:rPr>
          <w:rFonts w:cs="Arial"/>
          <w:szCs w:val="24"/>
        </w:rPr>
        <w:t xml:space="preserve">Twitter followers and </w:t>
      </w:r>
      <w:r w:rsidR="00D156FE" w:rsidRPr="00D156FE">
        <w:rPr>
          <w:rFonts w:cs="Arial"/>
          <w:szCs w:val="24"/>
        </w:rPr>
        <w:t>101,000</w:t>
      </w:r>
      <w:r w:rsidRPr="00D156FE">
        <w:rPr>
          <w:rFonts w:cs="Arial"/>
          <w:szCs w:val="24"/>
        </w:rPr>
        <w:t xml:space="preserve"> impressions, </w:t>
      </w:r>
      <w:r w:rsidR="00D156FE" w:rsidRPr="00D156FE">
        <w:rPr>
          <w:rFonts w:cs="Arial"/>
          <w:szCs w:val="24"/>
        </w:rPr>
        <w:t>8,909</w:t>
      </w:r>
      <w:r w:rsidRPr="00D156FE">
        <w:rPr>
          <w:rFonts w:cs="Arial"/>
          <w:szCs w:val="24"/>
        </w:rPr>
        <w:t xml:space="preserve"> Facebook ‘friends</w:t>
      </w:r>
      <w:r w:rsidR="00D156FE" w:rsidRPr="00D156FE">
        <w:rPr>
          <w:rFonts w:cs="Arial"/>
          <w:szCs w:val="24"/>
        </w:rPr>
        <w:t>’ and 127,770 impressions, and 597</w:t>
      </w:r>
      <w:r w:rsidRPr="00D156FE">
        <w:rPr>
          <w:rFonts w:cs="Arial"/>
          <w:szCs w:val="24"/>
        </w:rPr>
        <w:t xml:space="preserve"> LinkedIn followers and 3,239 impressions</w:t>
      </w:r>
      <w:r w:rsidR="00D156FE" w:rsidRPr="00D156FE">
        <w:rPr>
          <w:rFonts w:cs="Arial"/>
          <w:szCs w:val="24"/>
        </w:rPr>
        <w:t>, 275,744 You Tube views and 280 subscribers</w:t>
      </w:r>
      <w:r w:rsidRPr="00D156FE">
        <w:rPr>
          <w:rFonts w:cs="Arial"/>
          <w:szCs w:val="24"/>
        </w:rPr>
        <w:t xml:space="preserve">. </w:t>
      </w:r>
    </w:p>
    <w:p w14:paraId="198C8933" w14:textId="77777777" w:rsidR="00D156FE" w:rsidRPr="00D156FE" w:rsidRDefault="00D156FE" w:rsidP="00D156FE"/>
    <w:p w14:paraId="3F78294B" w14:textId="77777777" w:rsidR="00EF47E6" w:rsidRPr="00D156FE" w:rsidRDefault="00D156FE" w:rsidP="00694C80">
      <w:pPr>
        <w:pStyle w:val="Heading3"/>
        <w:numPr>
          <w:ilvl w:val="0"/>
          <w:numId w:val="40"/>
        </w:numPr>
        <w:ind w:left="142"/>
        <w:rPr>
          <w:rFonts w:cs="Arial"/>
          <w:szCs w:val="24"/>
        </w:rPr>
      </w:pPr>
      <w:r w:rsidRPr="00D156FE">
        <w:rPr>
          <w:rFonts w:cs="Arial"/>
          <w:szCs w:val="24"/>
        </w:rPr>
        <w:t xml:space="preserve">TP launched an Instagram page in October and to date, there are 227 followers and 127 likes.  </w:t>
      </w:r>
      <w:r w:rsidR="00EF47E6" w:rsidRPr="00D156FE">
        <w:rPr>
          <w:rFonts w:cs="Arial"/>
          <w:szCs w:val="24"/>
        </w:rPr>
        <w:t xml:space="preserve">There has been an increase in social media engagement as members contact TP through Facebook and Twitter with their queries. </w:t>
      </w:r>
    </w:p>
    <w:p w14:paraId="7FD4EBD2" w14:textId="77777777" w:rsidR="00EF47E6" w:rsidRPr="007B367A" w:rsidRDefault="00EF47E6" w:rsidP="00A77E6C">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EF47E6" w:rsidRPr="007B367A" w14:paraId="303B16E1" w14:textId="77777777" w:rsidTr="00A521C3">
        <w:tc>
          <w:tcPr>
            <w:tcW w:w="7230" w:type="dxa"/>
          </w:tcPr>
          <w:p w14:paraId="2667E5BB" w14:textId="77777777" w:rsidR="00EF47E6" w:rsidRPr="007B367A" w:rsidRDefault="00EF47E6" w:rsidP="00A77E6C">
            <w:pPr>
              <w:rPr>
                <w:rFonts w:cs="Arial"/>
                <w:b/>
                <w:color w:val="000000"/>
                <w:szCs w:val="24"/>
              </w:rPr>
            </w:pPr>
            <w:r w:rsidRPr="007B367A">
              <w:rPr>
                <w:rFonts w:cs="Arial"/>
                <w:b/>
                <w:color w:val="000000"/>
                <w:szCs w:val="24"/>
              </w:rPr>
              <w:t xml:space="preserve">Engagement preferences </w:t>
            </w:r>
          </w:p>
          <w:p w14:paraId="7AE4F5F2" w14:textId="77777777" w:rsidR="00D760BA" w:rsidRPr="007B367A" w:rsidRDefault="00D760BA" w:rsidP="00A77E6C">
            <w:pPr>
              <w:rPr>
                <w:rFonts w:cs="Arial"/>
                <w:b/>
                <w:szCs w:val="24"/>
              </w:rPr>
            </w:pPr>
          </w:p>
        </w:tc>
        <w:tc>
          <w:tcPr>
            <w:tcW w:w="1134" w:type="dxa"/>
            <w:shd w:val="clear" w:color="auto" w:fill="FFC000"/>
          </w:tcPr>
          <w:p w14:paraId="3CBC3BE7" w14:textId="77777777" w:rsidR="00EF47E6" w:rsidRPr="007B367A" w:rsidRDefault="00EF47E6" w:rsidP="00A77E6C">
            <w:pPr>
              <w:rPr>
                <w:rFonts w:cs="Arial"/>
                <w:color w:val="FF0000"/>
                <w:szCs w:val="24"/>
              </w:rPr>
            </w:pPr>
            <w:r w:rsidRPr="007B367A">
              <w:rPr>
                <w:rFonts w:cs="Arial"/>
                <w:noProof/>
                <w:color w:val="00B050"/>
                <w:szCs w:val="24"/>
              </w:rPr>
              <mc:AlternateContent>
                <mc:Choice Requires="wps">
                  <w:drawing>
                    <wp:anchor distT="0" distB="0" distL="114300" distR="114300" simplePos="0" relativeHeight="251664384" behindDoc="0" locked="0" layoutInCell="1" allowOverlap="1" wp14:anchorId="42CBAAC6" wp14:editId="1A634D77">
                      <wp:simplePos x="0" y="0"/>
                      <wp:positionH relativeFrom="column">
                        <wp:posOffset>77143</wp:posOffset>
                      </wp:positionH>
                      <wp:positionV relativeFrom="paragraph">
                        <wp:posOffset>65191</wp:posOffset>
                      </wp:positionV>
                      <wp:extent cx="485757" cy="158567"/>
                      <wp:effectExtent l="38100" t="57150" r="0" b="89535"/>
                      <wp:wrapNone/>
                      <wp:docPr id="11" name="Straight Arrow Connector 11"/>
                      <wp:cNvGraphicFramePr/>
                      <a:graphic xmlns:a="http://schemas.openxmlformats.org/drawingml/2006/main">
                        <a:graphicData uri="http://schemas.microsoft.com/office/word/2010/wordprocessingShape">
                          <wps:wsp>
                            <wps:cNvCnPr/>
                            <wps:spPr>
                              <a:xfrm flipV="1">
                                <a:off x="0" y="0"/>
                                <a:ext cx="485757" cy="15856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320D3D5" id="Straight Arrow Connector 11" o:spid="_x0000_s1026" type="#_x0000_t32" style="position:absolute;margin-left:6.05pt;margin-top:5.15pt;width:38.25pt;height:1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aRLgIAAE0EAAAOAAAAZHJzL2Uyb0RvYy54bWysVMGO2jAQvVfqP1i+lwBdFhQRVhV0e6la&#10;tGzb82A7iSXHtsaGwN937KSItreqHCzPjGfy3vMz66dLZ9hZYdDOVnw2mXKmrHBS26bi316f3604&#10;CxGsBOOsqvhVBf60eftm3ftSzV3rjFTIaIgNZe8r3sboy6IIolUdhInzylKxdthBpBCbQiL0NL0z&#10;xXw6fSx6h9KjEyoEyu6GIt/k+XWtRPxa10FFZipO2GJeMa/HtBabNZQNgm+1GGHAP6DoQFv66G3U&#10;DiKwE+q/RnVaoAuujhPhusLVtRYqcyA2s+kfbA4teJW5kDjB32QK/2+s+HLeI9OS7m7GmYWO7ugQ&#10;EXTTRvYB0fVs66wlHR0yOkJ69T6U1La1exyj4PeYyF9q7FhttP9O47IcRJBdstrXm9rqEpmg5MNq&#10;sVwsORNUmi1Wi8dlml4MY9I4jyF+Uq5jaVPxMMK64Rk+AefPIQ6NvxpSs3XP2hjKQ2ks6ys+XzxM&#10;yQECyGW1gUjbzhPvYBvOwDRkXxExow7OaJnaU3e4hq1BdgZyEBlPuv6VGHBmIEQqEK38G7H/1prw&#10;7CC0Q3MupWNQRtDmo5UsXj3pDUnmsd/YVFfZucQrBe4UFR5a2bOjOeELEGZikrhInXShZzAEhCVx&#10;zBG6+EPHNjsoKZ+ZYHO8UcnnhjwY38KA8f0qdQ9qhuF4vpIbhhzdwSuSG4b7T7ujk9dsi5wnz+bz&#10;4/tKj+I+pv39v8DmJwAAAP//AwBQSwMEFAAGAAgAAAAhABKWYz7eAAAABwEAAA8AAABkcnMvZG93&#10;bnJldi54bWxMjktPwzAQhO9I/AdrkbhRp40aQohTofLqBYk+kDg68ZJEjddR7Dbh37Oc4DQazWjm&#10;y1eT7cQZB986UjCfRSCQKmdaqhUc9s83KQgfNBndOUIF3+hhVVxe5DozbqQtnnehFjxCPtMKmhD6&#10;TEpfNWi1n7keibMvN1gd2A61NIMeedx2chFFibS6JX5odI/rBqvj7mQVvBzfrUxfP5PyIzmsnzbL&#10;t/H28U6p66vp4R5EwCn8leEXn9GhYKbSnch40bFfzLnJGsUgOE/TBESpIF7GIItc/ucvfgAAAP//&#10;AwBQSwECLQAUAAYACAAAACEAtoM4kv4AAADhAQAAEwAAAAAAAAAAAAAAAAAAAAAAW0NvbnRlbnRf&#10;VHlwZXNdLnhtbFBLAQItABQABgAIAAAAIQA4/SH/1gAAAJQBAAALAAAAAAAAAAAAAAAAAC8BAABf&#10;cmVscy8ucmVsc1BLAQItABQABgAIAAAAIQDkiNaRLgIAAE0EAAAOAAAAAAAAAAAAAAAAAC4CAABk&#10;cnMvZTJvRG9jLnhtbFBLAQItABQABgAIAAAAIQASlmM+3gAAAAcBAAAPAAAAAAAAAAAAAAAAAIgE&#10;AABkcnMvZG93bnJldi54bWxQSwUGAAAAAAQABADzAAAAkwUAAAAA&#10;" strokecolor="windowText" strokeweight="2pt">
                      <v:stroke endarrow="open"/>
                      <v:shadow on="t" color="black" opacity="24903f" origin=",.5" offset="0,.55556mm"/>
                    </v:shape>
                  </w:pict>
                </mc:Fallback>
              </mc:AlternateContent>
            </w:r>
          </w:p>
          <w:p w14:paraId="1C52D17B" w14:textId="77777777" w:rsidR="00EF47E6" w:rsidRPr="007B367A" w:rsidRDefault="00EF47E6" w:rsidP="00A77E6C">
            <w:pPr>
              <w:rPr>
                <w:rFonts w:cs="Arial"/>
                <w:color w:val="00B050"/>
                <w:szCs w:val="24"/>
              </w:rPr>
            </w:pPr>
          </w:p>
        </w:tc>
      </w:tr>
    </w:tbl>
    <w:p w14:paraId="65E97C3E" w14:textId="77777777" w:rsidR="00346D6F" w:rsidRPr="007B367A" w:rsidRDefault="00346D6F" w:rsidP="00A77E6C">
      <w:pPr>
        <w:rPr>
          <w:rFonts w:cs="Arial"/>
          <w:szCs w:val="24"/>
        </w:rPr>
      </w:pPr>
    </w:p>
    <w:p w14:paraId="495053CE" w14:textId="77777777" w:rsidR="00EF47E6" w:rsidRPr="007B367A" w:rsidRDefault="00EF47E6" w:rsidP="00694C80">
      <w:pPr>
        <w:pStyle w:val="ListParagraph"/>
        <w:numPr>
          <w:ilvl w:val="0"/>
          <w:numId w:val="40"/>
        </w:numPr>
        <w:ind w:left="142" w:hanging="426"/>
        <w:rPr>
          <w:rFonts w:cs="Arial"/>
          <w:szCs w:val="24"/>
        </w:rPr>
      </w:pPr>
      <w:r w:rsidRPr="007B367A">
        <w:rPr>
          <w:rFonts w:cs="Arial"/>
          <w:szCs w:val="24"/>
        </w:rPr>
        <w:t xml:space="preserve">The following graph (aggregated to </w:t>
      </w:r>
      <w:r w:rsidR="00B16838">
        <w:rPr>
          <w:rFonts w:cs="Arial"/>
          <w:szCs w:val="24"/>
        </w:rPr>
        <w:t xml:space="preserve">the </w:t>
      </w:r>
      <w:r w:rsidRPr="007B367A">
        <w:rPr>
          <w:rFonts w:cs="Arial"/>
          <w:szCs w:val="24"/>
        </w:rPr>
        <w:t>3 month period) demonstrates the contact centre vs webform transactions by subject.</w:t>
      </w:r>
    </w:p>
    <w:p w14:paraId="29ABD44A" w14:textId="77777777" w:rsidR="003B0386" w:rsidRDefault="003B0386" w:rsidP="00A77E6C">
      <w:pPr>
        <w:rPr>
          <w:rFonts w:cs="Arial"/>
          <w:szCs w:val="24"/>
        </w:rPr>
      </w:pPr>
    </w:p>
    <w:p w14:paraId="3FFBD52D" w14:textId="77777777" w:rsidR="00D664A1" w:rsidRDefault="00EC662D" w:rsidP="00A77E6C">
      <w:pPr>
        <w:rPr>
          <w:rFonts w:cs="Arial"/>
          <w:szCs w:val="24"/>
        </w:rPr>
      </w:pPr>
      <w:r w:rsidRPr="00EB06B1">
        <w:rPr>
          <w:noProof/>
          <w:sz w:val="20"/>
          <w:lang w:eastAsia="en-GB"/>
        </w:rPr>
        <w:drawing>
          <wp:inline distT="0" distB="0" distL="0" distR="0" wp14:anchorId="6E9F9868" wp14:editId="7BA6C73D">
            <wp:extent cx="5686425" cy="3057525"/>
            <wp:effectExtent l="0" t="0" r="0" b="0"/>
            <wp:docPr id="21" name="Picture 3" descr="cid:image006.png@01D480DD.4FBF6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480DD.4FBF6C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686425" cy="3057525"/>
                    </a:xfrm>
                    <a:prstGeom prst="rect">
                      <a:avLst/>
                    </a:prstGeom>
                    <a:noFill/>
                    <a:ln>
                      <a:noFill/>
                    </a:ln>
                  </pic:spPr>
                </pic:pic>
              </a:graphicData>
            </a:graphic>
          </wp:inline>
        </w:drawing>
      </w:r>
    </w:p>
    <w:p w14:paraId="3B2E0553" w14:textId="77777777" w:rsidR="00D664A1" w:rsidRDefault="00D664A1" w:rsidP="00A77E6C">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9068CE" w:rsidRPr="00363EE1" w14:paraId="5FEA3888" w14:textId="77777777" w:rsidTr="00A47035">
        <w:tc>
          <w:tcPr>
            <w:tcW w:w="7230" w:type="dxa"/>
            <w:tcBorders>
              <w:top w:val="single" w:sz="4" w:space="0" w:color="auto"/>
              <w:left w:val="single" w:sz="4" w:space="0" w:color="auto"/>
              <w:bottom w:val="single" w:sz="4" w:space="0" w:color="auto"/>
              <w:right w:val="single" w:sz="4" w:space="0" w:color="auto"/>
            </w:tcBorders>
          </w:tcPr>
          <w:p w14:paraId="6F8F2328" w14:textId="77777777" w:rsidR="009068CE" w:rsidRPr="00363EE1" w:rsidRDefault="009068CE" w:rsidP="00A47035">
            <w:pPr>
              <w:rPr>
                <w:rFonts w:cs="Arial"/>
                <w:b/>
                <w:szCs w:val="24"/>
              </w:rPr>
            </w:pPr>
            <w:r w:rsidRPr="00363EE1">
              <w:rPr>
                <w:rFonts w:cs="Arial"/>
                <w:b/>
                <w:szCs w:val="24"/>
              </w:rPr>
              <w:t>TPS Cash Forecasting Position</w:t>
            </w:r>
          </w:p>
          <w:p w14:paraId="6144A5D9" w14:textId="77777777" w:rsidR="009068CE" w:rsidRPr="00363EE1" w:rsidRDefault="009068CE" w:rsidP="00A47035">
            <w:pPr>
              <w:rPr>
                <w:rFonts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219B5A77" w14:textId="77777777" w:rsidR="009068CE" w:rsidRPr="00363EE1" w:rsidRDefault="009068CE" w:rsidP="00A47035">
            <w:pPr>
              <w:rPr>
                <w:rFonts w:cs="Arial"/>
                <w:szCs w:val="24"/>
              </w:rPr>
            </w:pPr>
            <w:r w:rsidRPr="00363EE1">
              <w:rPr>
                <w:rFonts w:cs="Arial"/>
                <w:noProof/>
                <w:szCs w:val="24"/>
              </w:rPr>
              <mc:AlternateContent>
                <mc:Choice Requires="wps">
                  <w:drawing>
                    <wp:anchor distT="4294967293" distB="4294967293" distL="114300" distR="114300" simplePos="0" relativeHeight="251673600" behindDoc="0" locked="0" layoutInCell="1" allowOverlap="1" wp14:anchorId="483659EF" wp14:editId="6824F984">
                      <wp:simplePos x="0" y="0"/>
                      <wp:positionH relativeFrom="column">
                        <wp:posOffset>118110</wp:posOffset>
                      </wp:positionH>
                      <wp:positionV relativeFrom="paragraph">
                        <wp:posOffset>91440</wp:posOffset>
                      </wp:positionV>
                      <wp:extent cx="350520" cy="0"/>
                      <wp:effectExtent l="0" t="76200" r="30480" b="1524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93E18C3" id="Straight Arrow Connector 20" o:spid="_x0000_s1026" type="#_x0000_t32" style="position:absolute;margin-left:9.3pt;margin-top:7.2pt;width:27.6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7LQIAAFoEAAAOAAAAZHJzL2Uyb0RvYy54bWysVE2P0zAQvSPxHyzfadouRauo6Qq1LJcV&#10;VHQR56njJBaObY3dpv33zDht2YUbIgfL4/nwe2/GWT6ceiuOGqPxrpKzyVQK7ZSvjWsr+f358d29&#10;FDGBq8F6pyt51lE+rN6+WQ6h1HPfeVtrFFTExXIIlexSCmVRRNXpHuLEB+3I2XjsIZGJbVEjDFS9&#10;t8V8Ov1QDB7rgF7pGOl0MzrlKtdvGq3S16aJOglbScKW8op53fNarJZQtgihM+oCA/4BRQ/G0aW3&#10;UhtIIA5o/irVG4U++iZNlO8L3zRG6cyB2Mymf7DZdRB05kLixHCTKf6/surLcYvC1JWckzwOeurR&#10;LiGYtkviI6IfxNo7Rzp6FBRCeg0hlpS2dltkxurkduHJq5+RfMUrJxsxjGGnBnsOJ8rilPU/3/TX&#10;pyQUHd4tpguGoa6uAsprXsCYPmvfC95UMl4w3sDNsvxwfIqJcUB5TeBLnX801uZeWycGIrt4P+WL&#10;gEausZBo2wcSIbpWCrAtzbJKmEtGb03N6VwonuPaojgCjRNNYe2HZwIvhYWYyEGM8scyEYRXqYxn&#10;A7Ebk7NrnL4Exn5ytUjnQOIDa37Jt47v1HmMiVeW75A07rp6EHt7wG9AmIkJc6kN60JvYjQIC3PM&#10;Fvr0w6QujxOLnplgu79RyXHjOdjQwYjx7p6zL1TG8EzLXzFk6wW83P2x4dz6va/PW+R8tmiAc/zl&#10;sfELeWnnqN+/hNUvAAAA//8DAFBLAwQUAAYACAAAACEA7liPwdsAAAAHAQAADwAAAGRycy9kb3du&#10;cmV2LnhtbEyPzU7DMBCE70i8g7WVuFGnUNIqjVPxL3FBIvQB3HibpI3XUez8lKdnEQc4rUYzmv0m&#10;3U62EQN2vnakYDGPQCAVztRUKth9vlyvQfigyejGESo4o4dtdnmR6sS4kT5wyEMpuIR8ohVUIbSJ&#10;lL6o0Go/dy0SewfXWR1YdqU0nR653DbyJopiaXVN/KHSLT5WWJzy3ir4sk/0bIe71/44xG/j+8M5&#10;Oq1ypa5m0/0GRMAp/IXhB5/RIWOmvevJeNGwXsec5LtcgmB/dctL9r9aZqn8z599AwAA//8DAFBL&#10;AQItABQABgAIAAAAIQC2gziS/gAAAOEBAAATAAAAAAAAAAAAAAAAAAAAAABbQ29udGVudF9UeXBl&#10;c10ueG1sUEsBAi0AFAAGAAgAAAAhADj9If/WAAAAlAEAAAsAAAAAAAAAAAAAAAAALwEAAF9yZWxz&#10;Ly5yZWxzUEsBAi0AFAAGAAgAAAAhAFSr37stAgAAWgQAAA4AAAAAAAAAAAAAAAAALgIAAGRycy9l&#10;Mm9Eb2MueG1sUEsBAi0AFAAGAAgAAAAhAO5Yj8HbAAAABwEAAA8AAAAAAAAAAAAAAAAAhwQAAGRy&#10;cy9kb3ducmV2LnhtbFBLBQYAAAAABAAEAPMAAACPBQAAAAA=&#10;" strokecolor="windowText" strokeweight="2pt">
                      <v:stroke endarrow="open"/>
                      <v:shadow on="t" color="black" opacity="24903f" origin=",.5" offset="0,.55556mm"/>
                      <o:lock v:ext="edit" shapetype="f"/>
                    </v:shape>
                  </w:pict>
                </mc:Fallback>
              </mc:AlternateContent>
            </w:r>
          </w:p>
        </w:tc>
      </w:tr>
    </w:tbl>
    <w:p w14:paraId="3787A72D" w14:textId="77777777" w:rsidR="009068CE" w:rsidRPr="00363EE1" w:rsidRDefault="009068CE" w:rsidP="009068CE">
      <w:pPr>
        <w:rPr>
          <w:rFonts w:cs="Arial"/>
          <w:b/>
          <w:szCs w:val="24"/>
        </w:rPr>
      </w:pPr>
    </w:p>
    <w:p w14:paraId="6A254728" w14:textId="77777777" w:rsidR="00F2476E" w:rsidRDefault="009068CE" w:rsidP="00383282">
      <w:pPr>
        <w:pStyle w:val="ListParagraph"/>
        <w:numPr>
          <w:ilvl w:val="0"/>
          <w:numId w:val="40"/>
        </w:numPr>
        <w:ind w:left="142"/>
        <w:rPr>
          <w:rFonts w:cs="Arial"/>
          <w:szCs w:val="24"/>
        </w:rPr>
      </w:pPr>
      <w:r w:rsidRPr="009068CE">
        <w:rPr>
          <w:rFonts w:cs="Arial"/>
          <w:szCs w:val="24"/>
        </w:rPr>
        <w:t xml:space="preserve">August reported an over achievement on income of £12.46million (m) or 2.36% following </w:t>
      </w:r>
      <w:r w:rsidR="00B16838">
        <w:rPr>
          <w:rFonts w:cs="Arial"/>
          <w:szCs w:val="24"/>
        </w:rPr>
        <w:t>July’s</w:t>
      </w:r>
      <w:r w:rsidRPr="009068CE">
        <w:rPr>
          <w:rFonts w:cs="Arial"/>
          <w:szCs w:val="24"/>
        </w:rPr>
        <w:t xml:space="preserve"> under achievement of £3.6m. £539.7m was received against the estimate of £527.2m. As a result, the financial year to date position reported an under achievement of £2.97m (0.11%) with £2,651m received versus the £2,654m expected.   </w:t>
      </w:r>
    </w:p>
    <w:p w14:paraId="3327B342" w14:textId="77777777" w:rsidR="00F2476E" w:rsidRDefault="00F2476E" w:rsidP="00383282">
      <w:pPr>
        <w:pStyle w:val="ListParagraph"/>
        <w:ind w:left="142"/>
        <w:rPr>
          <w:rFonts w:cs="Arial"/>
          <w:szCs w:val="24"/>
        </w:rPr>
      </w:pPr>
    </w:p>
    <w:p w14:paraId="1514A9C5" w14:textId="77777777" w:rsidR="009068CE" w:rsidRPr="009068CE" w:rsidRDefault="00F2476E" w:rsidP="00383282">
      <w:pPr>
        <w:pStyle w:val="ListParagraph"/>
        <w:numPr>
          <w:ilvl w:val="0"/>
          <w:numId w:val="40"/>
        </w:numPr>
        <w:ind w:left="142"/>
        <w:rPr>
          <w:rFonts w:cs="Arial"/>
          <w:szCs w:val="24"/>
        </w:rPr>
      </w:pPr>
      <w:r>
        <w:rPr>
          <w:rFonts w:cs="Arial"/>
          <w:szCs w:val="24"/>
        </w:rPr>
        <w:t>August</w:t>
      </w:r>
      <w:r w:rsidR="009068CE" w:rsidRPr="009068CE">
        <w:rPr>
          <w:rFonts w:cs="Arial"/>
          <w:szCs w:val="24"/>
        </w:rPr>
        <w:t xml:space="preserve"> expenditure reported a variance of £2.86m, or 0.34%, with £848m paid out against the forecasted £851m. This resulted in a year to date variance of 1.11% with £44.7m less paid out than anticipated (£3,972m v £4,017m). </w:t>
      </w:r>
    </w:p>
    <w:p w14:paraId="54C1A649" w14:textId="77777777" w:rsidR="009068CE" w:rsidRPr="00363EE1" w:rsidRDefault="009068CE" w:rsidP="00383282">
      <w:pPr>
        <w:ind w:left="142"/>
        <w:rPr>
          <w:rFonts w:cs="Arial"/>
          <w:szCs w:val="24"/>
        </w:rPr>
      </w:pPr>
      <w:r w:rsidRPr="00363EE1">
        <w:rPr>
          <w:rFonts w:cs="Arial"/>
          <w:szCs w:val="24"/>
        </w:rPr>
        <w:t xml:space="preserve"> </w:t>
      </w:r>
    </w:p>
    <w:p w14:paraId="24150F72" w14:textId="77777777" w:rsidR="009068CE" w:rsidRPr="009068CE" w:rsidRDefault="009068CE" w:rsidP="00383282">
      <w:pPr>
        <w:pStyle w:val="ListParagraph"/>
        <w:numPr>
          <w:ilvl w:val="0"/>
          <w:numId w:val="40"/>
        </w:numPr>
        <w:ind w:left="142"/>
        <w:rPr>
          <w:rFonts w:cs="Arial"/>
          <w:szCs w:val="24"/>
        </w:rPr>
      </w:pPr>
      <w:r w:rsidRPr="009068CE">
        <w:rPr>
          <w:rFonts w:cs="Arial"/>
          <w:szCs w:val="24"/>
        </w:rPr>
        <w:t xml:space="preserve">The monthly forecast fell outside the tolerance parameters set by HM Treasury for the first time, due to the last day of the month, when £36m of income was received against the forecasted £20m. TP took the correct action in </w:t>
      </w:r>
      <w:r w:rsidR="00EF2FC4">
        <w:rPr>
          <w:rFonts w:cs="Arial"/>
          <w:szCs w:val="24"/>
        </w:rPr>
        <w:t>r</w:t>
      </w:r>
      <w:r w:rsidRPr="009068CE">
        <w:rPr>
          <w:rFonts w:cs="Arial"/>
          <w:szCs w:val="24"/>
        </w:rPr>
        <w:t>efunding the full amount to DfE as is standard practi</w:t>
      </w:r>
      <w:r w:rsidR="00B16838">
        <w:rPr>
          <w:rFonts w:cs="Arial"/>
          <w:szCs w:val="24"/>
        </w:rPr>
        <w:t>c</w:t>
      </w:r>
      <w:r w:rsidRPr="009068CE">
        <w:rPr>
          <w:rFonts w:cs="Arial"/>
          <w:szCs w:val="24"/>
        </w:rPr>
        <w:t xml:space="preserve">e.  </w:t>
      </w:r>
    </w:p>
    <w:p w14:paraId="56FE427B" w14:textId="77777777" w:rsidR="009068CE" w:rsidRPr="00363EE1" w:rsidRDefault="009068CE" w:rsidP="00383282">
      <w:pPr>
        <w:ind w:left="142"/>
        <w:rPr>
          <w:rFonts w:cs="Arial"/>
          <w:szCs w:val="24"/>
        </w:rPr>
      </w:pPr>
    </w:p>
    <w:p w14:paraId="7349601E" w14:textId="77777777" w:rsidR="00F2476E" w:rsidRDefault="009068CE" w:rsidP="00383282">
      <w:pPr>
        <w:pStyle w:val="ListParagraph"/>
        <w:numPr>
          <w:ilvl w:val="0"/>
          <w:numId w:val="40"/>
        </w:numPr>
        <w:ind w:left="142"/>
        <w:rPr>
          <w:rFonts w:cs="Arial"/>
          <w:szCs w:val="24"/>
        </w:rPr>
      </w:pPr>
      <w:r w:rsidRPr="009068CE">
        <w:rPr>
          <w:rFonts w:cs="Arial"/>
          <w:szCs w:val="24"/>
        </w:rPr>
        <w:t>September reported an under achievement on income of £32.7m</w:t>
      </w:r>
      <w:r w:rsidR="00EF2FC4">
        <w:rPr>
          <w:rFonts w:cs="Arial"/>
          <w:szCs w:val="24"/>
        </w:rPr>
        <w:t xml:space="preserve"> </w:t>
      </w:r>
      <w:r w:rsidRPr="009068CE">
        <w:rPr>
          <w:rFonts w:cs="Arial"/>
          <w:szCs w:val="24"/>
        </w:rPr>
        <w:t xml:space="preserve">or 6.08% following </w:t>
      </w:r>
      <w:r w:rsidR="00B16838">
        <w:rPr>
          <w:rFonts w:cs="Arial"/>
          <w:szCs w:val="24"/>
        </w:rPr>
        <w:t>August’s</w:t>
      </w:r>
      <w:r w:rsidRPr="009068CE">
        <w:rPr>
          <w:rFonts w:cs="Arial"/>
          <w:szCs w:val="24"/>
        </w:rPr>
        <w:t xml:space="preserve"> over achievement of £12.5m. £505.2m was received against the estimate of £537.9m. </w:t>
      </w:r>
    </w:p>
    <w:p w14:paraId="60F94D44" w14:textId="77777777" w:rsidR="00F2476E" w:rsidRPr="00F2476E" w:rsidRDefault="00F2476E" w:rsidP="00383282">
      <w:pPr>
        <w:pStyle w:val="ListParagraph"/>
        <w:ind w:left="142"/>
        <w:rPr>
          <w:rFonts w:cs="Arial"/>
          <w:szCs w:val="24"/>
        </w:rPr>
      </w:pPr>
    </w:p>
    <w:p w14:paraId="571618F8" w14:textId="77777777" w:rsidR="009068CE" w:rsidRPr="009068CE" w:rsidRDefault="009068CE" w:rsidP="00383282">
      <w:pPr>
        <w:pStyle w:val="ListParagraph"/>
        <w:numPr>
          <w:ilvl w:val="0"/>
          <w:numId w:val="40"/>
        </w:numPr>
        <w:ind w:left="142" w:hanging="426"/>
        <w:rPr>
          <w:rFonts w:cs="Arial"/>
          <w:szCs w:val="24"/>
        </w:rPr>
      </w:pPr>
      <w:r w:rsidRPr="009068CE">
        <w:rPr>
          <w:rFonts w:cs="Arial"/>
          <w:szCs w:val="24"/>
        </w:rPr>
        <w:t>The in-month activity featured an over</w:t>
      </w:r>
      <w:r w:rsidR="00B16838">
        <w:rPr>
          <w:rFonts w:cs="Arial"/>
          <w:szCs w:val="24"/>
        </w:rPr>
        <w:t xml:space="preserve"> </w:t>
      </w:r>
      <w:r w:rsidRPr="009068CE">
        <w:rPr>
          <w:rFonts w:cs="Arial"/>
          <w:szCs w:val="24"/>
        </w:rPr>
        <w:t xml:space="preserve">achievement of £48.7m </w:t>
      </w:r>
      <w:r w:rsidR="00EF6A50">
        <w:rPr>
          <w:rFonts w:cs="Arial"/>
          <w:szCs w:val="24"/>
        </w:rPr>
        <w:t xml:space="preserve">over the quarter </w:t>
      </w:r>
      <w:r w:rsidRPr="009068CE">
        <w:rPr>
          <w:rFonts w:cs="Arial"/>
          <w:szCs w:val="24"/>
        </w:rPr>
        <w:t>followed by an under</w:t>
      </w:r>
      <w:r w:rsidR="00B16838">
        <w:rPr>
          <w:rFonts w:cs="Arial"/>
          <w:szCs w:val="24"/>
        </w:rPr>
        <w:t xml:space="preserve"> </w:t>
      </w:r>
      <w:r w:rsidRPr="009068CE">
        <w:rPr>
          <w:rFonts w:cs="Arial"/>
          <w:szCs w:val="24"/>
        </w:rPr>
        <w:t xml:space="preserve">achievement of £76.5m </w:t>
      </w:r>
      <w:r w:rsidR="00EF6A50">
        <w:rPr>
          <w:rFonts w:cs="Arial"/>
          <w:szCs w:val="24"/>
        </w:rPr>
        <w:t>over the quarter</w:t>
      </w:r>
      <w:r w:rsidRPr="009068CE">
        <w:rPr>
          <w:rFonts w:cs="Arial"/>
          <w:szCs w:val="24"/>
        </w:rPr>
        <w:t xml:space="preserve">. As a result, the financial year to date position reported an under achievement of £20.5m (0.65%) with £3,157m received versus the £3,177m expected. </w:t>
      </w:r>
    </w:p>
    <w:p w14:paraId="05C8D82F" w14:textId="77777777" w:rsidR="009068CE" w:rsidRPr="00363EE1" w:rsidRDefault="009068CE" w:rsidP="009068CE">
      <w:pPr>
        <w:rPr>
          <w:rFonts w:cs="Arial"/>
          <w:szCs w:val="24"/>
        </w:rPr>
      </w:pPr>
    </w:p>
    <w:p w14:paraId="051A40BE" w14:textId="77777777" w:rsidR="009068CE" w:rsidRPr="009068CE" w:rsidRDefault="00F2476E" w:rsidP="00383282">
      <w:pPr>
        <w:pStyle w:val="ListParagraph"/>
        <w:numPr>
          <w:ilvl w:val="0"/>
          <w:numId w:val="40"/>
        </w:numPr>
        <w:ind w:left="142" w:hanging="426"/>
        <w:rPr>
          <w:rFonts w:cs="Arial"/>
          <w:szCs w:val="24"/>
        </w:rPr>
      </w:pPr>
      <w:r>
        <w:rPr>
          <w:rFonts w:cs="Arial"/>
          <w:szCs w:val="24"/>
        </w:rPr>
        <w:t>September</w:t>
      </w:r>
      <w:r w:rsidR="009068CE" w:rsidRPr="009068CE">
        <w:rPr>
          <w:rFonts w:cs="Arial"/>
          <w:szCs w:val="24"/>
        </w:rPr>
        <w:t xml:space="preserve"> expenditure reported a variance of £4.67m, or 0.4%, with £1,172m paid out against the forecasted £1,177m. This resulted in a year to date variance of 0.29% with £14.8m less paid out than anticipated (£5,144m v £5,159m).</w:t>
      </w:r>
    </w:p>
    <w:p w14:paraId="5B327F4E" w14:textId="77777777" w:rsidR="009068CE" w:rsidRPr="00363EE1" w:rsidRDefault="009068CE" w:rsidP="00383282">
      <w:pPr>
        <w:ind w:left="142" w:hanging="426"/>
        <w:rPr>
          <w:rFonts w:cs="Arial"/>
          <w:szCs w:val="24"/>
        </w:rPr>
      </w:pPr>
    </w:p>
    <w:p w14:paraId="3B4ABBB6" w14:textId="77777777" w:rsidR="00F2476E" w:rsidRDefault="009068CE" w:rsidP="00383282">
      <w:pPr>
        <w:pStyle w:val="ListParagraph"/>
        <w:numPr>
          <w:ilvl w:val="0"/>
          <w:numId w:val="40"/>
        </w:numPr>
        <w:ind w:left="142" w:hanging="426"/>
        <w:rPr>
          <w:rFonts w:cs="Arial"/>
          <w:szCs w:val="24"/>
        </w:rPr>
      </w:pPr>
      <w:r w:rsidRPr="009068CE">
        <w:rPr>
          <w:rFonts w:cs="Arial"/>
          <w:szCs w:val="24"/>
        </w:rPr>
        <w:t>October reported an under achievement on income of £6</w:t>
      </w:r>
      <w:r w:rsidR="00B16838">
        <w:rPr>
          <w:rFonts w:cs="Arial"/>
          <w:szCs w:val="24"/>
        </w:rPr>
        <w:t>m</w:t>
      </w:r>
      <w:r w:rsidRPr="009068CE">
        <w:rPr>
          <w:rFonts w:cs="Arial"/>
          <w:szCs w:val="24"/>
        </w:rPr>
        <w:t xml:space="preserve"> or 1.16% following </w:t>
      </w:r>
      <w:r w:rsidR="00687D50">
        <w:rPr>
          <w:rFonts w:cs="Arial"/>
          <w:szCs w:val="24"/>
        </w:rPr>
        <w:t>Septembers</w:t>
      </w:r>
      <w:r w:rsidRPr="009068CE">
        <w:rPr>
          <w:rFonts w:cs="Arial"/>
          <w:szCs w:val="24"/>
        </w:rPr>
        <w:t xml:space="preserve"> over achievement of £12.46m. £529.8m was received against the estimate of £523.7m. As a result, the financial year to date position reported an under achievement of £6m (0.65%) with £3,686m received versus the £3,680m expected.   </w:t>
      </w:r>
    </w:p>
    <w:p w14:paraId="3D100FEE" w14:textId="77777777" w:rsidR="00F2476E" w:rsidRPr="00F2476E" w:rsidRDefault="00F2476E" w:rsidP="00383282">
      <w:pPr>
        <w:pStyle w:val="ListParagraph"/>
        <w:ind w:left="142" w:hanging="426"/>
        <w:rPr>
          <w:rFonts w:cs="Arial"/>
          <w:szCs w:val="24"/>
        </w:rPr>
      </w:pPr>
    </w:p>
    <w:p w14:paraId="2C3FFCFF" w14:textId="77777777" w:rsidR="009068CE" w:rsidRDefault="00F2476E" w:rsidP="00383282">
      <w:pPr>
        <w:pStyle w:val="ListParagraph"/>
        <w:numPr>
          <w:ilvl w:val="0"/>
          <w:numId w:val="40"/>
        </w:numPr>
        <w:ind w:left="142" w:hanging="426"/>
        <w:rPr>
          <w:rFonts w:cs="Arial"/>
          <w:szCs w:val="24"/>
        </w:rPr>
      </w:pPr>
      <w:r>
        <w:rPr>
          <w:rFonts w:cs="Arial"/>
          <w:szCs w:val="24"/>
        </w:rPr>
        <w:t>October</w:t>
      </w:r>
      <w:r w:rsidR="009068CE" w:rsidRPr="009068CE">
        <w:rPr>
          <w:rFonts w:cs="Arial"/>
          <w:szCs w:val="24"/>
        </w:rPr>
        <w:t xml:space="preserve"> expenditure reported a variance of £6.3m, or 0.77%, with £818m paid out against the forecasted £824m. This resulted in a year to date variance of 0.11% with £6.3m less paid out than anticipated (£5,962m v £5,968m).</w:t>
      </w:r>
    </w:p>
    <w:p w14:paraId="2DD98CD1" w14:textId="77777777" w:rsidR="00687D50" w:rsidRPr="00687D50" w:rsidRDefault="00687D50" w:rsidP="00687D50">
      <w:pPr>
        <w:pStyle w:val="ListParagraph"/>
        <w:rPr>
          <w:rFonts w:cs="Arial"/>
          <w:szCs w:val="24"/>
        </w:rPr>
      </w:pPr>
    </w:p>
    <w:p w14:paraId="0DFC0106" w14:textId="77777777" w:rsidR="00687D50" w:rsidRPr="00687D50" w:rsidRDefault="00687D50" w:rsidP="00383282">
      <w:pPr>
        <w:pStyle w:val="ListParagraph"/>
        <w:widowControl/>
        <w:numPr>
          <w:ilvl w:val="0"/>
          <w:numId w:val="40"/>
        </w:numPr>
        <w:tabs>
          <w:tab w:val="left" w:pos="8222"/>
        </w:tabs>
        <w:overflowPunct/>
        <w:autoSpaceDE/>
        <w:adjustRightInd/>
        <w:ind w:left="142" w:right="-57" w:hanging="426"/>
        <w:textAlignment w:val="auto"/>
        <w:rPr>
          <w:rFonts w:cs="Arial"/>
          <w:color w:val="000000" w:themeColor="text1"/>
          <w:szCs w:val="24"/>
        </w:rPr>
      </w:pPr>
      <w:r w:rsidRPr="005112C9">
        <w:rPr>
          <w:rFonts w:cs="Arial"/>
          <w:color w:val="000000" w:themeColor="text1"/>
          <w:szCs w:val="24"/>
        </w:rPr>
        <w:t>The net c</w:t>
      </w:r>
      <w:r>
        <w:rPr>
          <w:rFonts w:cs="Arial"/>
          <w:color w:val="000000" w:themeColor="text1"/>
          <w:szCs w:val="24"/>
        </w:rPr>
        <w:t>ash requirement position at October reported an underspend of £194</w:t>
      </w:r>
      <w:r w:rsidRPr="005112C9">
        <w:rPr>
          <w:rFonts w:cs="Arial"/>
          <w:color w:val="000000" w:themeColor="text1"/>
          <w:szCs w:val="24"/>
        </w:rPr>
        <w:t>m (main estimate versus actual) whilst the equivalent r</w:t>
      </w:r>
      <w:r>
        <w:rPr>
          <w:rFonts w:cs="Arial"/>
          <w:color w:val="000000" w:themeColor="text1"/>
          <w:szCs w:val="24"/>
        </w:rPr>
        <w:t>esource position showed an overspend of £16</w:t>
      </w:r>
      <w:r w:rsidRPr="005112C9">
        <w:rPr>
          <w:rFonts w:cs="Arial"/>
          <w:color w:val="000000" w:themeColor="text1"/>
          <w:szCs w:val="24"/>
        </w:rPr>
        <w:t>m.</w:t>
      </w:r>
    </w:p>
    <w:p w14:paraId="17C00784" w14:textId="77777777" w:rsidR="009068CE" w:rsidRPr="00363EE1" w:rsidRDefault="009068CE" w:rsidP="009068CE">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9068CE" w:rsidRPr="00363EE1" w14:paraId="7CA78FF3" w14:textId="77777777" w:rsidTr="00A47035">
        <w:tc>
          <w:tcPr>
            <w:tcW w:w="7230" w:type="dxa"/>
            <w:tcBorders>
              <w:top w:val="single" w:sz="4" w:space="0" w:color="auto"/>
              <w:left w:val="single" w:sz="4" w:space="0" w:color="auto"/>
              <w:bottom w:val="single" w:sz="4" w:space="0" w:color="auto"/>
              <w:right w:val="single" w:sz="4" w:space="0" w:color="auto"/>
            </w:tcBorders>
          </w:tcPr>
          <w:p w14:paraId="3CED1F9B" w14:textId="77777777" w:rsidR="009068CE" w:rsidRPr="00363EE1" w:rsidRDefault="009068CE" w:rsidP="00A47035">
            <w:pPr>
              <w:rPr>
                <w:rFonts w:cs="Arial"/>
                <w:b/>
                <w:szCs w:val="24"/>
              </w:rPr>
            </w:pPr>
            <w:r w:rsidRPr="00363EE1">
              <w:rPr>
                <w:rFonts w:cs="Arial"/>
                <w:b/>
                <w:szCs w:val="24"/>
              </w:rPr>
              <w:t>TPS Accounts and Forecasting</w:t>
            </w:r>
          </w:p>
          <w:p w14:paraId="6FE2502D" w14:textId="77777777" w:rsidR="003B3C28" w:rsidRPr="00363EE1" w:rsidRDefault="003B3C28" w:rsidP="00A47035">
            <w:pPr>
              <w:rPr>
                <w:rFonts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582ACA81" w14:textId="77777777" w:rsidR="009068CE" w:rsidRPr="00363EE1" w:rsidRDefault="009068CE" w:rsidP="00A47035">
            <w:pPr>
              <w:rPr>
                <w:rFonts w:cs="Arial"/>
                <w:szCs w:val="24"/>
              </w:rPr>
            </w:pPr>
            <w:r w:rsidRPr="00363EE1">
              <w:rPr>
                <w:rFonts w:cs="Arial"/>
                <w:noProof/>
                <w:szCs w:val="24"/>
              </w:rPr>
              <mc:AlternateContent>
                <mc:Choice Requires="wps">
                  <w:drawing>
                    <wp:anchor distT="4294967293" distB="4294967293" distL="114300" distR="114300" simplePos="0" relativeHeight="251674624" behindDoc="0" locked="0" layoutInCell="1" allowOverlap="1" wp14:anchorId="6D853908" wp14:editId="2AE9E051">
                      <wp:simplePos x="0" y="0"/>
                      <wp:positionH relativeFrom="column">
                        <wp:posOffset>118110</wp:posOffset>
                      </wp:positionH>
                      <wp:positionV relativeFrom="paragraph">
                        <wp:posOffset>91440</wp:posOffset>
                      </wp:positionV>
                      <wp:extent cx="350520" cy="0"/>
                      <wp:effectExtent l="0" t="76200" r="30480" b="1524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885DEBA" id="Straight Arrow Connector 4" o:spid="_x0000_s1026" type="#_x0000_t32" style="position:absolute;margin-left:9.3pt;margin-top:7.2pt;width:27.6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x1LgIAAFgEAAAOAAAAZHJzL2Uyb0RvYy54bWysVE2P2jAQvVfqf7B8LwGWrVYRYVVBt5dV&#10;i8pWPQ+Ok1h1bGvsJfDvO+MAu9veqnKwMp6v996MWd4feysOGqPxrpKzyVQK7ZSvjWsr+ePp4cOd&#10;FDGBq8F6pyt50lHer96/Ww6h1HPfeVtrFFTExXIIlexSCmVRRNXpHuLEB+3I2XjsIZGJbVEjDFS9&#10;t8V8Ov1YDB7rgF7pGOl2MzrlKtdvGq3St6aJOglbScKW8on53PNZrJZQtgihM+oMA/4BRQ/GUdNr&#10;qQ0kEM9o/irVG4U++iZNlO8L3zRG6cyB2Mymf7DZdRB05kLixHCVKf6/surrYYvC1JVcSOGgpxHt&#10;EoJpuyQ+IfpBrL1zJKNHsWC1hhBLSlq7LTJfdXS78OjVr0i+4o2TjRjGsGODPYcTYXHM6p+u6utj&#10;Eooub26nt3Oakbq4CigveQFj+qJ9L/ijkvEM8YptlsWHw2NMjAPKSwI3df7BWJsnbZ0YKjm/XUy5&#10;EdDCNRYSffaBJIiulQJsS5usEuaS0VtTczoXiqe4tigOQMtEO1j74YnAS2EhJnIQo/xjmQjCm1TG&#10;s4HYjcnZNe5eAmM/u1qkUyDtgSU/51vHPXVeYuKV5XtOGnddPYi9fcbvwGPjllLUhnWhFzEahIU5&#10;Zgt9+mlSl5eJRc9MsN1fqeS48R5s6GDEeHPH2WcqY3im5S8YsvUKXp7+OHAe/d7Xpy1yPlu0vjn+&#10;/NT4fby2c9TLH8LqNwAAAP//AwBQSwMEFAAGAAgAAAAhAO5Yj8HbAAAABwEAAA8AAABkcnMvZG93&#10;bnJldi54bWxMj81OwzAQhO9IvIO1lbhRp1DSKo1T8S9xQSL0Adx4m6SN11Hs/JSnZxEHOK1GM5r9&#10;Jt1OthEDdr52pGAxj0AgFc7UVCrYfb5cr0H4oMnoxhEqOKOHbXZ5kerEuJE+cMhDKbiEfKIVVCG0&#10;iZS+qNBqP3ctEnsH11kdWHalNJ0eudw28iaKYml1Tfyh0i0+Vlic8t4q+LJP9GyHu9f+OMRv4/vD&#10;OTqtcqWuZtP9BkTAKfyF4Qef0SFjpr3ryXjRsF7HnOS7XIJgf3XLS/a/Wmap/M+ffQMAAP//AwBQ&#10;SwECLQAUAAYACAAAACEAtoM4kv4AAADhAQAAEwAAAAAAAAAAAAAAAAAAAAAAW0NvbnRlbnRfVHlw&#10;ZXNdLnhtbFBLAQItABQABgAIAAAAIQA4/SH/1gAAAJQBAAALAAAAAAAAAAAAAAAAAC8BAABfcmVs&#10;cy8ucmVsc1BLAQItABQABgAIAAAAIQBHErx1LgIAAFgEAAAOAAAAAAAAAAAAAAAAAC4CAABkcnMv&#10;ZTJvRG9jLnhtbFBLAQItABQABgAIAAAAIQDuWI/B2wAAAAcBAAAPAAAAAAAAAAAAAAAAAIgEAABk&#10;cnMvZG93bnJldi54bWxQSwUGAAAAAAQABADzAAAAkAUAAAAA&#10;" strokecolor="windowText" strokeweight="2pt">
                      <v:stroke endarrow="open"/>
                      <v:shadow on="t" color="black" opacity="24903f" origin=",.5" offset="0,.55556mm"/>
                      <o:lock v:ext="edit" shapetype="f"/>
                    </v:shape>
                  </w:pict>
                </mc:Fallback>
              </mc:AlternateContent>
            </w:r>
          </w:p>
        </w:tc>
      </w:tr>
    </w:tbl>
    <w:p w14:paraId="434A5C5B" w14:textId="77777777" w:rsidR="009068CE" w:rsidRPr="00363EE1" w:rsidRDefault="009068CE" w:rsidP="009068CE">
      <w:pPr>
        <w:rPr>
          <w:rFonts w:cs="Arial"/>
          <w:b/>
          <w:szCs w:val="24"/>
        </w:rPr>
      </w:pPr>
    </w:p>
    <w:p w14:paraId="16C5EB4C" w14:textId="77777777" w:rsidR="009068CE" w:rsidRDefault="009068CE" w:rsidP="00383282">
      <w:pPr>
        <w:pStyle w:val="ListParagraph"/>
        <w:numPr>
          <w:ilvl w:val="0"/>
          <w:numId w:val="40"/>
        </w:numPr>
        <w:ind w:left="142" w:hanging="426"/>
        <w:rPr>
          <w:rFonts w:cs="Arial"/>
          <w:szCs w:val="24"/>
        </w:rPr>
      </w:pPr>
      <w:r w:rsidRPr="009068CE">
        <w:rPr>
          <w:rFonts w:cs="Arial"/>
          <w:szCs w:val="24"/>
        </w:rPr>
        <w:t xml:space="preserve">The Forecast Evaluation Report (FER) commission 2018 return was submitted on time, (outlining the root causes of any material differences in the forecast return for 2017-18 against the actual outturn). </w:t>
      </w:r>
    </w:p>
    <w:p w14:paraId="41E08D17" w14:textId="77777777" w:rsidR="009068CE" w:rsidRDefault="009068CE" w:rsidP="00383282">
      <w:pPr>
        <w:ind w:left="142" w:hanging="426"/>
        <w:rPr>
          <w:rFonts w:cs="Arial"/>
          <w:szCs w:val="24"/>
        </w:rPr>
      </w:pPr>
    </w:p>
    <w:p w14:paraId="5E9173F6" w14:textId="77777777" w:rsidR="009068CE" w:rsidRPr="00F2476E" w:rsidRDefault="009068CE" w:rsidP="00383282">
      <w:pPr>
        <w:pStyle w:val="ListParagraph"/>
        <w:numPr>
          <w:ilvl w:val="0"/>
          <w:numId w:val="40"/>
        </w:numPr>
        <w:ind w:left="142" w:hanging="426"/>
        <w:rPr>
          <w:rFonts w:cs="Arial"/>
          <w:szCs w:val="24"/>
        </w:rPr>
      </w:pPr>
      <w:r w:rsidRPr="009068CE">
        <w:rPr>
          <w:rFonts w:cs="Arial"/>
          <w:szCs w:val="24"/>
        </w:rPr>
        <w:t>The autumn OBR forecast was delivered on time as per the timetable, the challenge session was attended by TP and DfE with answers to the queries raised submitted. The forecast w</w:t>
      </w:r>
      <w:r w:rsidR="00EF2FC4">
        <w:rPr>
          <w:rFonts w:cs="Arial"/>
          <w:szCs w:val="24"/>
        </w:rPr>
        <w:t>as</w:t>
      </w:r>
      <w:r w:rsidRPr="009068CE">
        <w:rPr>
          <w:rFonts w:cs="Arial"/>
          <w:szCs w:val="24"/>
        </w:rPr>
        <w:t xml:space="preserve"> updated o</w:t>
      </w:r>
      <w:r w:rsidR="00EF2FC4">
        <w:rPr>
          <w:rFonts w:cs="Arial"/>
          <w:szCs w:val="24"/>
        </w:rPr>
        <w:t xml:space="preserve">nce </w:t>
      </w:r>
      <w:r w:rsidRPr="009068CE">
        <w:rPr>
          <w:rFonts w:cs="Arial"/>
          <w:szCs w:val="24"/>
        </w:rPr>
        <w:t xml:space="preserve">September actuals </w:t>
      </w:r>
      <w:r w:rsidR="00EF2FC4">
        <w:rPr>
          <w:rFonts w:cs="Arial"/>
          <w:szCs w:val="24"/>
        </w:rPr>
        <w:t xml:space="preserve">were available </w:t>
      </w:r>
      <w:r w:rsidRPr="009068CE">
        <w:rPr>
          <w:rFonts w:cs="Arial"/>
          <w:szCs w:val="24"/>
        </w:rPr>
        <w:t xml:space="preserve">and </w:t>
      </w:r>
      <w:r w:rsidR="00EF6A50">
        <w:rPr>
          <w:rFonts w:cs="Arial"/>
          <w:szCs w:val="24"/>
        </w:rPr>
        <w:t xml:space="preserve">was </w:t>
      </w:r>
      <w:r w:rsidRPr="009068CE">
        <w:rPr>
          <w:rFonts w:cs="Arial"/>
          <w:szCs w:val="24"/>
        </w:rPr>
        <w:t xml:space="preserve">resubmitted in October. </w:t>
      </w:r>
    </w:p>
    <w:p w14:paraId="0D1A7E96" w14:textId="77777777" w:rsidR="009068CE" w:rsidRDefault="009068CE" w:rsidP="009068CE">
      <w:pPr>
        <w:rPr>
          <w:rFonts w:cs="Arial"/>
          <w:b/>
          <w:szCs w:val="24"/>
        </w:rPr>
      </w:pPr>
    </w:p>
    <w:tbl>
      <w:tblPr>
        <w:tblStyle w:val="TableGrid"/>
        <w:tblW w:w="0" w:type="auto"/>
        <w:tblInd w:w="108" w:type="dxa"/>
        <w:tblLook w:val="04A0" w:firstRow="1" w:lastRow="0" w:firstColumn="1" w:lastColumn="0" w:noHBand="0" w:noVBand="1"/>
      </w:tblPr>
      <w:tblGrid>
        <w:gridCol w:w="7230"/>
        <w:gridCol w:w="1134"/>
      </w:tblGrid>
      <w:tr w:rsidR="009068CE" w:rsidRPr="00363EE1" w14:paraId="7600DFCF" w14:textId="77777777" w:rsidTr="00A47035">
        <w:tc>
          <w:tcPr>
            <w:tcW w:w="7230" w:type="dxa"/>
            <w:tcBorders>
              <w:top w:val="single" w:sz="4" w:space="0" w:color="auto"/>
              <w:left w:val="single" w:sz="4" w:space="0" w:color="auto"/>
              <w:bottom w:val="single" w:sz="4" w:space="0" w:color="auto"/>
              <w:right w:val="single" w:sz="4" w:space="0" w:color="auto"/>
            </w:tcBorders>
          </w:tcPr>
          <w:p w14:paraId="4C76E847" w14:textId="77777777" w:rsidR="009068CE" w:rsidRPr="00363EE1" w:rsidRDefault="009068CE" w:rsidP="00A47035">
            <w:pPr>
              <w:rPr>
                <w:rFonts w:cs="Arial"/>
                <w:b/>
                <w:szCs w:val="24"/>
              </w:rPr>
            </w:pPr>
            <w:r w:rsidRPr="00363EE1">
              <w:rPr>
                <w:rFonts w:cs="Arial"/>
                <w:b/>
                <w:szCs w:val="24"/>
              </w:rPr>
              <w:t>End of Year Certificates (EOYC) 2015-16 &amp; 2016-17</w:t>
            </w:r>
          </w:p>
          <w:p w14:paraId="08B9D6F2" w14:textId="77777777" w:rsidR="009068CE" w:rsidRPr="00363EE1" w:rsidRDefault="009068CE" w:rsidP="00A47035">
            <w:pPr>
              <w:rPr>
                <w:rFonts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5C77ABA6" w14:textId="77777777" w:rsidR="009068CE" w:rsidRPr="00363EE1" w:rsidRDefault="009068CE" w:rsidP="00A47035">
            <w:pPr>
              <w:rPr>
                <w:rFonts w:cs="Arial"/>
                <w:szCs w:val="24"/>
              </w:rPr>
            </w:pPr>
            <w:r w:rsidRPr="00363EE1">
              <w:rPr>
                <w:rFonts w:cs="Arial"/>
                <w:noProof/>
                <w:szCs w:val="24"/>
              </w:rPr>
              <mc:AlternateContent>
                <mc:Choice Requires="wps">
                  <w:drawing>
                    <wp:anchor distT="4294967293" distB="4294967293" distL="114300" distR="114300" simplePos="0" relativeHeight="251675648" behindDoc="0" locked="0" layoutInCell="1" allowOverlap="1" wp14:anchorId="694F595E" wp14:editId="2424521A">
                      <wp:simplePos x="0" y="0"/>
                      <wp:positionH relativeFrom="column">
                        <wp:posOffset>146685</wp:posOffset>
                      </wp:positionH>
                      <wp:positionV relativeFrom="paragraph">
                        <wp:posOffset>262890</wp:posOffset>
                      </wp:positionV>
                      <wp:extent cx="350520" cy="0"/>
                      <wp:effectExtent l="0" t="76200" r="30480" b="152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C2D1012" id="Straight Arrow Connector 2" o:spid="_x0000_s1026" type="#_x0000_t32" style="position:absolute;margin-left:11.55pt;margin-top:20.7pt;width:27.6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zrLQIAAFgEAAAOAAAAZHJzL2Uyb0RvYy54bWysVE2P0zAQvSPxHyzfadouRauo6Qq1LJcV&#10;VHQR56njJBaObc24TfvvGTtt2YUbIgfL4/nwe2/GWT6ceiuOGsl4V8nZZCqFdsrXxrWV/P78+O5e&#10;CorgarDe6UqeNcmH1ds3yyGUeu47b2uNgos4KodQyS7GUBYFqU73QBMftGNn47GHyCa2RY0wcPXe&#10;FvPp9EMxeKwDeqWJ+HQzOuUq128areLXpiEdha0kY4t5xbzu01qsllC2CKEz6gID/gFFD8bxpbdS&#10;G4ggDmj+KtUbhZ58EyfK94VvGqN05sBsZtM/2Ow6CDpzYXEo3GSi/1dWfTluUZi6knMpHPTcol1E&#10;MG0XxUdEP4i1d45l9CjmSa0hUMlJa7fFxFed3C48efWT2Fe8ciaDwhh2arBP4UxYnLL655v6+hSF&#10;4sO7xXQx5x6pq6uA8poXkOJn7XuRNpWkC8QbtlkWH45PFBMOKK8J6VLnH421udPWiYGpLt5P00XA&#10;A9dYiLztA0tArpUCbMuTrCLmkuStqVN6KkRnWlsUR+Bh4hms/fDM4KWwQJEdzCh/SSaG8Co14dkA&#10;dWNydo2zF8HYT64W8RxYe0iSX/KtS3fqPMTMK8t3iBp3XT2IvT3gN2DMzCRxqU3ShV/EaDCWxDFb&#10;6OMPE7s8TEn0zATb/Y1KjhvPwYYORox39yn7QmUMz7T8FUO2XsDL3R8bnlq/9/V5iyk/WTy+Of7y&#10;1NL7eGnnqN8/hNUvAAAA//8DAFBLAwQUAAYACAAAACEAMuNLn9wAAAAHAQAADwAAAGRycy9kb3du&#10;cmV2LnhtbEyOy07DMBBF90j8gzVI7KiTtrRViFPxlrpBIu0HTOMhCY3HUew8ytdjxAKWV/fq3JNu&#10;J9OIgTpXW1YQzyIQxIXVNZcKDvuXmw0I55E1NpZJwZkcbLPLixQTbUd+pyH3pQgQdgkqqLxvEyld&#10;UZFBN7Mtceg+bGfQh9iVUnc4Brhp5DyKVtJgzeGhwpYeKypOeW8UfJknfjbD7Wv/Oax249vDOTqt&#10;c6Wur6b7OxCeJv83hh/9oA5ZcDranrUTjYL5Ig5LBct4CSL0680CxPE3yyyV//2zbwAAAP//AwBQ&#10;SwECLQAUAAYACAAAACEAtoM4kv4AAADhAQAAEwAAAAAAAAAAAAAAAAAAAAAAW0NvbnRlbnRfVHlw&#10;ZXNdLnhtbFBLAQItABQABgAIAAAAIQA4/SH/1gAAAJQBAAALAAAAAAAAAAAAAAAAAC8BAABfcmVs&#10;cy8ucmVsc1BLAQItABQABgAIAAAAIQBoMHzrLQIAAFgEAAAOAAAAAAAAAAAAAAAAAC4CAABkcnMv&#10;ZTJvRG9jLnhtbFBLAQItABQABgAIAAAAIQAy40uf3AAAAAcBAAAPAAAAAAAAAAAAAAAAAIcEAABk&#10;cnMvZG93bnJldi54bWxQSwUGAAAAAAQABADzAAAAkAUAAAAA&#10;" strokecolor="windowText" strokeweight="2pt">
                      <v:stroke endarrow="open"/>
                      <v:shadow on="t" color="black" opacity="24903f" origin=",.5" offset="0,.55556mm"/>
                      <o:lock v:ext="edit" shapetype="f"/>
                    </v:shape>
                  </w:pict>
                </mc:Fallback>
              </mc:AlternateContent>
            </w:r>
          </w:p>
        </w:tc>
      </w:tr>
    </w:tbl>
    <w:p w14:paraId="1A97069B" w14:textId="77777777" w:rsidR="009068CE" w:rsidRDefault="009068CE" w:rsidP="009068CE">
      <w:pPr>
        <w:rPr>
          <w:rFonts w:cs="Arial"/>
          <w:b/>
          <w:szCs w:val="24"/>
        </w:rPr>
      </w:pPr>
    </w:p>
    <w:p w14:paraId="2EE52C45" w14:textId="77777777" w:rsidR="009068CE" w:rsidRPr="009068CE" w:rsidRDefault="009068CE" w:rsidP="00383282">
      <w:pPr>
        <w:pStyle w:val="ListParagraph"/>
        <w:numPr>
          <w:ilvl w:val="0"/>
          <w:numId w:val="40"/>
        </w:numPr>
        <w:ind w:left="142" w:hanging="426"/>
        <w:rPr>
          <w:rFonts w:cs="Arial"/>
          <w:szCs w:val="24"/>
        </w:rPr>
      </w:pPr>
      <w:r w:rsidRPr="009068CE">
        <w:rPr>
          <w:rFonts w:cs="Arial"/>
          <w:szCs w:val="24"/>
        </w:rPr>
        <w:t xml:space="preserve">Four of the five returns in respect of 2015-16 remain outstanding (one academy and three independents). TPR has now written to these employers to understand their reasons for non-submission. </w:t>
      </w:r>
    </w:p>
    <w:p w14:paraId="28E0233E" w14:textId="77777777" w:rsidR="009068CE" w:rsidRPr="00363EE1" w:rsidRDefault="009068CE" w:rsidP="00383282">
      <w:pPr>
        <w:ind w:left="142" w:hanging="426"/>
        <w:rPr>
          <w:rFonts w:cs="Arial"/>
          <w:szCs w:val="24"/>
        </w:rPr>
      </w:pPr>
    </w:p>
    <w:p w14:paraId="39B4C2A3" w14:textId="77777777" w:rsidR="009068CE" w:rsidRPr="009068CE" w:rsidRDefault="009068CE" w:rsidP="00383282">
      <w:pPr>
        <w:pStyle w:val="ListParagraph"/>
        <w:numPr>
          <w:ilvl w:val="0"/>
          <w:numId w:val="40"/>
        </w:numPr>
        <w:ind w:left="142" w:hanging="426"/>
        <w:rPr>
          <w:rFonts w:cs="Arial"/>
          <w:szCs w:val="24"/>
        </w:rPr>
      </w:pPr>
      <w:r w:rsidRPr="009068CE">
        <w:rPr>
          <w:rFonts w:cs="Arial"/>
          <w:szCs w:val="24"/>
        </w:rPr>
        <w:t xml:space="preserve">In the quarter, there were six further returns received during October in respect of the 2016-17 exercise – 16 remain outstanding. This equates to 7,646 returns received of the 7,662 issued (99.8%).  </w:t>
      </w:r>
    </w:p>
    <w:p w14:paraId="669BBB22" w14:textId="77777777" w:rsidR="009068CE" w:rsidRPr="00363EE1" w:rsidRDefault="009068CE" w:rsidP="00383282">
      <w:pPr>
        <w:ind w:left="142" w:hanging="426"/>
        <w:rPr>
          <w:rFonts w:cs="Arial"/>
          <w:szCs w:val="24"/>
        </w:rPr>
      </w:pPr>
    </w:p>
    <w:p w14:paraId="7F66F1F9" w14:textId="77777777" w:rsidR="009068CE" w:rsidRPr="009068CE" w:rsidRDefault="009068CE" w:rsidP="00383282">
      <w:pPr>
        <w:pStyle w:val="ListParagraph"/>
        <w:numPr>
          <w:ilvl w:val="0"/>
          <w:numId w:val="40"/>
        </w:numPr>
        <w:ind w:left="142" w:hanging="426"/>
        <w:rPr>
          <w:rFonts w:cs="Arial"/>
          <w:szCs w:val="24"/>
        </w:rPr>
      </w:pPr>
      <w:r w:rsidRPr="009068CE">
        <w:rPr>
          <w:rFonts w:cs="Arial"/>
          <w:szCs w:val="24"/>
        </w:rPr>
        <w:t xml:space="preserve">The 16 consist of two academies; 10 independents; two free schools; one studio school; and one multi academy trust (MAT). All 16 were again reported to TPR this month. Further chase up action will be taken during November.  </w:t>
      </w:r>
    </w:p>
    <w:p w14:paraId="2B5DC981" w14:textId="77777777" w:rsidR="009068CE" w:rsidRPr="00363EE1" w:rsidRDefault="009068CE" w:rsidP="00383282">
      <w:pPr>
        <w:ind w:left="142" w:hanging="426"/>
        <w:rPr>
          <w:rFonts w:cs="Arial"/>
          <w:szCs w:val="24"/>
        </w:rPr>
      </w:pPr>
    </w:p>
    <w:p w14:paraId="48083101" w14:textId="77777777" w:rsidR="00687D50" w:rsidRPr="00D760BA" w:rsidRDefault="009068CE" w:rsidP="00383282">
      <w:pPr>
        <w:pStyle w:val="ListParagraph"/>
        <w:numPr>
          <w:ilvl w:val="0"/>
          <w:numId w:val="40"/>
        </w:numPr>
        <w:ind w:left="142" w:hanging="426"/>
        <w:rPr>
          <w:rFonts w:cs="Arial"/>
          <w:szCs w:val="24"/>
        </w:rPr>
      </w:pPr>
      <w:r w:rsidRPr="009068CE">
        <w:rPr>
          <w:rFonts w:cs="Arial"/>
          <w:szCs w:val="24"/>
        </w:rPr>
        <w:t>Over 7,000 audited returns in respect of 2017-18 have been received (non-LA and LA). The first reminder will be issued in November.</w:t>
      </w:r>
    </w:p>
    <w:p w14:paraId="7D4CD6B7" w14:textId="77777777" w:rsidR="00687D50" w:rsidRPr="00363EE1" w:rsidRDefault="00687D50" w:rsidP="009068CE">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9068CE" w:rsidRPr="00363EE1" w14:paraId="2B2903E8" w14:textId="77777777" w:rsidTr="00A47035">
        <w:tc>
          <w:tcPr>
            <w:tcW w:w="7230" w:type="dxa"/>
            <w:tcBorders>
              <w:top w:val="single" w:sz="4" w:space="0" w:color="auto"/>
              <w:left w:val="single" w:sz="4" w:space="0" w:color="auto"/>
              <w:bottom w:val="single" w:sz="4" w:space="0" w:color="auto"/>
              <w:right w:val="single" w:sz="4" w:space="0" w:color="auto"/>
            </w:tcBorders>
          </w:tcPr>
          <w:p w14:paraId="07D62524" w14:textId="77777777" w:rsidR="009068CE" w:rsidRPr="00363EE1" w:rsidRDefault="009068CE" w:rsidP="00A47035">
            <w:pPr>
              <w:rPr>
                <w:rFonts w:cs="Arial"/>
                <w:b/>
                <w:szCs w:val="24"/>
              </w:rPr>
            </w:pPr>
            <w:r w:rsidRPr="00363EE1">
              <w:rPr>
                <w:rFonts w:cs="Arial"/>
                <w:b/>
                <w:szCs w:val="24"/>
              </w:rPr>
              <w:t>Unallocated Contributions</w:t>
            </w:r>
          </w:p>
          <w:p w14:paraId="3D5B96E4" w14:textId="77777777" w:rsidR="003B3C28" w:rsidRPr="00363EE1" w:rsidRDefault="003B3C28" w:rsidP="00A47035">
            <w:pPr>
              <w:rPr>
                <w:rFonts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7DB8873C" w14:textId="77777777" w:rsidR="009068CE" w:rsidRPr="00363EE1" w:rsidRDefault="009068CE" w:rsidP="00A47035">
            <w:pPr>
              <w:rPr>
                <w:rFonts w:cs="Arial"/>
                <w:szCs w:val="24"/>
              </w:rPr>
            </w:pPr>
            <w:r w:rsidRPr="00363EE1">
              <w:rPr>
                <w:rFonts w:cs="Arial"/>
                <w:noProof/>
                <w:szCs w:val="24"/>
              </w:rPr>
              <mc:AlternateContent>
                <mc:Choice Requires="wps">
                  <w:drawing>
                    <wp:anchor distT="4294967293" distB="4294967293" distL="114300" distR="114300" simplePos="0" relativeHeight="251676672" behindDoc="0" locked="0" layoutInCell="1" allowOverlap="1" wp14:anchorId="206E78F4" wp14:editId="4922E362">
                      <wp:simplePos x="0" y="0"/>
                      <wp:positionH relativeFrom="column">
                        <wp:posOffset>118110</wp:posOffset>
                      </wp:positionH>
                      <wp:positionV relativeFrom="paragraph">
                        <wp:posOffset>91440</wp:posOffset>
                      </wp:positionV>
                      <wp:extent cx="350520" cy="0"/>
                      <wp:effectExtent l="0" t="76200" r="30480" b="1524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62D1E32" id="Straight Arrow Connector 7" o:spid="_x0000_s1026" type="#_x0000_t32" style="position:absolute;margin-left:9.3pt;margin-top:7.2pt;width:27.6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TXLgIAAFgEAAAOAAAAZHJzL2Uyb0RvYy54bWysVE2P0zAQvSPxHyzfabpdyq6ipivUslxW&#10;UNFFnKeOk1g4tjV2m/bfM+O0ZRduiBwsj+fD770ZZ/Fw7K04aIzGu0reTKZSaKd8bVxbye/Pj+/u&#10;pYgJXA3WO13Jk47yYfn2zWIIpZ75zttao6AiLpZDqGSXUiiLIqpO9xAnPmhHzsZjD4lMbIsaYaDq&#10;vS1m0+mHYvBYB/RKx0in69Epl7l+02iVvjZN1EnYShK2lFfM647XYrmAskUInVFnGPAPKHowji69&#10;llpDArFH81ep3ij00Tdponxf+KYxSmcOxOZm+gebbQdBZy4kTgxXmeL/K6u+HDYoTF3JOykc9NSi&#10;bUIwbZfER0Q/iJV3jmT0KO5YrSHEkpJWboPMVx3dNjx59TOSr3jlZCOGMezYYM/hRFgcs/qnq/r6&#10;mISiw9v5dD6jHqmLq4Dykhcwps/a94I3lYxniFdsN1l8ODzFxDigvCTwpc4/Gmtzp60TQyVn8/dT&#10;vgho4BoLibZ9IAmia6UA29Ikq4S5ZPTW1JzOheIpriyKA9Aw0QzWfngm8FJYiIkcxCh/LBNBeJXK&#10;eNYQuzE5u8bZS2DsJ1eLdAqkPbDk53zr+E6dh5h4Zfn2SeO2qwexs3v8BoSZmDCX2rAu9CJGg7Aw&#10;x2yhTz9M6vIwseiZCba7K5UcN56DDR2MGG/vOftMZQzPtPwFQ7ZewMvdHxvOrd/5+rRBzmeLxjfH&#10;n58av4+Xdo76/UNY/gIAAP//AwBQSwMEFAAGAAgAAAAhAO5Yj8HbAAAABwEAAA8AAABkcnMvZG93&#10;bnJldi54bWxMj81OwzAQhO9IvIO1lbhRp1DSKo1T8S9xQSL0Adx4m6SN11Hs/JSnZxEHOK1GM5r9&#10;Jt1OthEDdr52pGAxj0AgFc7UVCrYfb5cr0H4oMnoxhEqOKOHbXZ5kerEuJE+cMhDKbiEfKIVVCG0&#10;iZS+qNBqP3ctEnsH11kdWHalNJ0eudw28iaKYml1Tfyh0i0+Vlic8t4q+LJP9GyHu9f+OMRv4/vD&#10;OTqtcqWuZtP9BkTAKfyF4Qef0SFjpr3ryXjRsF7HnOS7XIJgf3XLS/a/Wmap/M+ffQMAAP//AwBQ&#10;SwECLQAUAAYACAAAACEAtoM4kv4AAADhAQAAEwAAAAAAAAAAAAAAAAAAAAAAW0NvbnRlbnRfVHlw&#10;ZXNdLnhtbFBLAQItABQABgAIAAAAIQA4/SH/1gAAAJQBAAALAAAAAAAAAAAAAAAAAC8BAABfcmVs&#10;cy8ucmVsc1BLAQItABQABgAIAAAAIQBwgGTXLgIAAFgEAAAOAAAAAAAAAAAAAAAAAC4CAABkcnMv&#10;ZTJvRG9jLnhtbFBLAQItABQABgAIAAAAIQDuWI/B2wAAAAcBAAAPAAAAAAAAAAAAAAAAAIgEAABk&#10;cnMvZG93bnJldi54bWxQSwUGAAAAAAQABADzAAAAkAUAAAAA&#10;" strokecolor="windowText" strokeweight="2pt">
                      <v:stroke endarrow="open"/>
                      <v:shadow on="t" color="black" opacity="24903f" origin=",.5" offset="0,.55556mm"/>
                      <o:lock v:ext="edit" shapetype="f"/>
                    </v:shape>
                  </w:pict>
                </mc:Fallback>
              </mc:AlternateContent>
            </w:r>
          </w:p>
        </w:tc>
      </w:tr>
    </w:tbl>
    <w:p w14:paraId="5F879F8A" w14:textId="77777777" w:rsidR="003B3C28" w:rsidRDefault="003B3C28" w:rsidP="003B3C28">
      <w:pPr>
        <w:pStyle w:val="ListParagraph"/>
        <w:ind w:left="360"/>
        <w:rPr>
          <w:rFonts w:cs="Arial"/>
          <w:szCs w:val="24"/>
        </w:rPr>
      </w:pPr>
    </w:p>
    <w:p w14:paraId="71005D2D" w14:textId="77777777" w:rsidR="00687D50" w:rsidRDefault="009068CE" w:rsidP="00EF7B63">
      <w:pPr>
        <w:pStyle w:val="ListParagraph"/>
        <w:numPr>
          <w:ilvl w:val="0"/>
          <w:numId w:val="40"/>
        </w:numPr>
        <w:ind w:left="142" w:hanging="426"/>
        <w:rPr>
          <w:rFonts w:cs="Arial"/>
          <w:szCs w:val="24"/>
        </w:rPr>
      </w:pPr>
      <w:r w:rsidRPr="009068CE">
        <w:rPr>
          <w:rFonts w:cs="Arial"/>
          <w:szCs w:val="24"/>
        </w:rPr>
        <w:t xml:space="preserve">The account balance over the quarter fell significantly </w:t>
      </w:r>
      <w:r w:rsidR="00A27396">
        <w:rPr>
          <w:rFonts w:cs="Arial"/>
          <w:szCs w:val="24"/>
        </w:rPr>
        <w:t>over the quarter</w:t>
      </w:r>
      <w:r w:rsidRPr="009068CE">
        <w:rPr>
          <w:rFonts w:cs="Arial"/>
          <w:szCs w:val="24"/>
        </w:rPr>
        <w:t xml:space="preserve"> by over £16m, from £62m to £46m, and the volume of items decreased by 346 from 2,672 to 2,326.  </w:t>
      </w:r>
      <w:r w:rsidR="00687D50">
        <w:rPr>
          <w:rFonts w:cs="Arial"/>
          <w:szCs w:val="24"/>
        </w:rPr>
        <w:t>Work remains ongoing to maintain the position within the expected 1% tolerance target (against annual contributions)</w:t>
      </w:r>
      <w:r w:rsidR="00687D50" w:rsidRPr="009879A0">
        <w:rPr>
          <w:rFonts w:cs="Arial"/>
          <w:szCs w:val="24"/>
        </w:rPr>
        <w:t>.</w:t>
      </w:r>
    </w:p>
    <w:p w14:paraId="360384B4" w14:textId="77777777" w:rsidR="00687D50" w:rsidRDefault="00687D50" w:rsidP="00EF7B63">
      <w:pPr>
        <w:pStyle w:val="ListParagraph"/>
        <w:ind w:left="142" w:hanging="426"/>
        <w:rPr>
          <w:rFonts w:cs="Arial"/>
          <w:szCs w:val="24"/>
        </w:rPr>
      </w:pPr>
    </w:p>
    <w:p w14:paraId="4006C2E2" w14:textId="77777777" w:rsidR="00687D50" w:rsidRPr="009879A0" w:rsidRDefault="00687D50" w:rsidP="00EF7B63">
      <w:pPr>
        <w:pStyle w:val="DeptBullets"/>
        <w:numPr>
          <w:ilvl w:val="0"/>
          <w:numId w:val="40"/>
        </w:numPr>
        <w:tabs>
          <w:tab w:val="left" w:pos="720"/>
        </w:tabs>
        <w:spacing w:after="0"/>
        <w:ind w:left="142" w:right="84" w:hanging="426"/>
        <w:textAlignment w:val="auto"/>
        <w:rPr>
          <w:rFonts w:cs="Arial"/>
          <w:szCs w:val="24"/>
        </w:rPr>
      </w:pPr>
      <w:r w:rsidRPr="009879A0">
        <w:rPr>
          <w:rFonts w:cs="Arial"/>
          <w:szCs w:val="24"/>
        </w:rPr>
        <w:t>The breakdown by sector shows the majority is attributa</w:t>
      </w:r>
      <w:r>
        <w:rPr>
          <w:rFonts w:cs="Arial"/>
          <w:szCs w:val="24"/>
        </w:rPr>
        <w:t>ble to the following areas - £18</w:t>
      </w:r>
      <w:r w:rsidRPr="009879A0">
        <w:rPr>
          <w:rFonts w:cs="Arial"/>
          <w:szCs w:val="24"/>
        </w:rPr>
        <w:t xml:space="preserve">.8m to Local </w:t>
      </w:r>
      <w:r>
        <w:rPr>
          <w:rFonts w:cs="Arial"/>
          <w:szCs w:val="24"/>
        </w:rPr>
        <w:t>Authorities (down from the £27.8m previously reported) and £13.6m to Academies (down from £15.4</w:t>
      </w:r>
      <w:r w:rsidRPr="009879A0">
        <w:rPr>
          <w:rFonts w:cs="Arial"/>
          <w:szCs w:val="24"/>
        </w:rPr>
        <w:t xml:space="preserve">m).   </w:t>
      </w:r>
    </w:p>
    <w:p w14:paraId="5E6F3B9B" w14:textId="77777777" w:rsidR="00687D50" w:rsidRPr="00687D50" w:rsidRDefault="00687D50" w:rsidP="00EF7B63">
      <w:pPr>
        <w:pStyle w:val="ListParagraph"/>
        <w:ind w:left="142" w:hanging="426"/>
        <w:rPr>
          <w:rFonts w:cs="Arial"/>
          <w:szCs w:val="24"/>
        </w:rPr>
      </w:pPr>
    </w:p>
    <w:p w14:paraId="6C4E8B8A" w14:textId="77777777" w:rsidR="009068CE" w:rsidRDefault="009068CE" w:rsidP="00EF7B63">
      <w:pPr>
        <w:pStyle w:val="ListParagraph"/>
        <w:numPr>
          <w:ilvl w:val="0"/>
          <w:numId w:val="40"/>
        </w:numPr>
        <w:ind w:left="142" w:hanging="426"/>
        <w:rPr>
          <w:rFonts w:cs="Arial"/>
          <w:szCs w:val="24"/>
        </w:rPr>
      </w:pPr>
      <w:r w:rsidRPr="009068CE">
        <w:rPr>
          <w:rFonts w:cs="Arial"/>
          <w:szCs w:val="24"/>
        </w:rPr>
        <w:t>The balance of 2016-17 is such that TP will now be seeking agreement for clear down from the DfE Accounts team.</w:t>
      </w:r>
    </w:p>
    <w:p w14:paraId="1C4C0BFF" w14:textId="77777777" w:rsidR="00CD4805" w:rsidRPr="00CD4805" w:rsidRDefault="00CD4805" w:rsidP="00EF7B63">
      <w:pPr>
        <w:pStyle w:val="ListParagraph"/>
        <w:ind w:left="142" w:hanging="426"/>
        <w:rPr>
          <w:rFonts w:cs="Arial"/>
          <w:szCs w:val="24"/>
        </w:rPr>
      </w:pPr>
    </w:p>
    <w:p w14:paraId="2C74E79E" w14:textId="77777777" w:rsidR="00CD4805" w:rsidRPr="00CD4805" w:rsidRDefault="00CD4805" w:rsidP="00EF7B63">
      <w:pPr>
        <w:pStyle w:val="DeptBullets"/>
        <w:numPr>
          <w:ilvl w:val="0"/>
          <w:numId w:val="40"/>
        </w:numPr>
        <w:tabs>
          <w:tab w:val="left" w:pos="720"/>
        </w:tabs>
        <w:spacing w:after="0"/>
        <w:ind w:left="142" w:hanging="426"/>
        <w:textAlignment w:val="auto"/>
        <w:rPr>
          <w:rFonts w:cs="Arial"/>
          <w:szCs w:val="24"/>
        </w:rPr>
      </w:pPr>
      <w:r w:rsidRPr="009879A0">
        <w:rPr>
          <w:rFonts w:cs="Arial"/>
          <w:szCs w:val="24"/>
        </w:rPr>
        <w:t>DfE continue to monitor, support and challenge TP on the ongoing position at the monthly finance meetings and senior management KITs.</w:t>
      </w:r>
    </w:p>
    <w:p w14:paraId="1BE651CC" w14:textId="77777777" w:rsidR="00F2476E" w:rsidRPr="00F2476E" w:rsidRDefault="00F2476E" w:rsidP="00F2476E">
      <w:pPr>
        <w:pStyle w:val="ListParagraph"/>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9068CE" w:rsidRPr="00363EE1" w14:paraId="0781D6BA" w14:textId="77777777" w:rsidTr="00A47035">
        <w:tc>
          <w:tcPr>
            <w:tcW w:w="7230" w:type="dxa"/>
            <w:tcBorders>
              <w:top w:val="single" w:sz="4" w:space="0" w:color="auto"/>
              <w:left w:val="single" w:sz="4" w:space="0" w:color="auto"/>
              <w:bottom w:val="single" w:sz="4" w:space="0" w:color="auto"/>
              <w:right w:val="single" w:sz="4" w:space="0" w:color="auto"/>
            </w:tcBorders>
          </w:tcPr>
          <w:p w14:paraId="6DDCB7D4" w14:textId="77777777" w:rsidR="009068CE" w:rsidRPr="00363EE1" w:rsidRDefault="009068CE" w:rsidP="00A47035">
            <w:pPr>
              <w:rPr>
                <w:rFonts w:cs="Arial"/>
                <w:b/>
                <w:szCs w:val="24"/>
              </w:rPr>
            </w:pPr>
            <w:r w:rsidRPr="00363EE1">
              <w:rPr>
                <w:rFonts w:cs="Arial"/>
                <w:b/>
                <w:szCs w:val="24"/>
              </w:rPr>
              <w:t>Debt – Overpayments</w:t>
            </w:r>
          </w:p>
          <w:p w14:paraId="47852D1C" w14:textId="77777777" w:rsidR="003B3C28" w:rsidRPr="00363EE1" w:rsidRDefault="003B3C28" w:rsidP="00A47035">
            <w:pPr>
              <w:rPr>
                <w:rFonts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5B2076FE" w14:textId="77777777" w:rsidR="009068CE" w:rsidRPr="00363EE1" w:rsidRDefault="009068CE" w:rsidP="00A47035">
            <w:pPr>
              <w:rPr>
                <w:rFonts w:cs="Arial"/>
                <w:szCs w:val="24"/>
              </w:rPr>
            </w:pPr>
            <w:r w:rsidRPr="00363EE1">
              <w:rPr>
                <w:rFonts w:cs="Arial"/>
                <w:noProof/>
                <w:szCs w:val="24"/>
              </w:rPr>
              <mc:AlternateContent>
                <mc:Choice Requires="wps">
                  <w:drawing>
                    <wp:anchor distT="4294967293" distB="4294967293" distL="114300" distR="114300" simplePos="0" relativeHeight="251677696" behindDoc="0" locked="0" layoutInCell="1" allowOverlap="1" wp14:anchorId="5A7A1006" wp14:editId="17C5A5D3">
                      <wp:simplePos x="0" y="0"/>
                      <wp:positionH relativeFrom="column">
                        <wp:posOffset>118110</wp:posOffset>
                      </wp:positionH>
                      <wp:positionV relativeFrom="paragraph">
                        <wp:posOffset>91440</wp:posOffset>
                      </wp:positionV>
                      <wp:extent cx="350520" cy="0"/>
                      <wp:effectExtent l="0" t="76200" r="30480" b="1524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39A72B9" id="Straight Arrow Connector 12" o:spid="_x0000_s1026" type="#_x0000_t32" style="position:absolute;margin-left:9.3pt;margin-top:7.2pt;width:27.6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fhLgIAAFoEAAAOAAAAZHJzL2Uyb0RvYy54bWysVE2P0zAQvSPxHyzfadouRauo6Qq1LJcV&#10;VHQR56njJBaObc24TfvvGTtt2YUbIgfL4/nwe2/GWT6ceiuOGsl4V8nZZCqFdsrXxrWV/P78+O5e&#10;CorgarDe6UqeNcmH1ds3yyGUeu47b2uNgos4KodQyS7GUBYFqU73QBMftGNn47GHyCa2RY0wcPXe&#10;FvPp9EMxeKwDeqWJ+HQzOuUq128areLXpiEdha0kY4t5xbzu01qsllC2CKEz6gID/gFFD8bxpbdS&#10;G4ggDmj+KtUbhZ58EyfK94VvGqN05sBsZtM/2Ow6CDpzYXEo3GSi/1dWfTluUZiaezeXwkHPPdpF&#10;BNN2UXxE9INYe+dYR4+CQ1ivIVDJaWu3xcRYndwuPHn1k9hXvHImg8IYdmqwT+FMWZyy/ueb/voU&#10;heLDu8V0MecuqaurgPKaF5DiZ+17kTaVpAvGG7hZlh+OTxQTDiivCelS5x+NtbnX1omhkvPF+2m6&#10;CHjkGguRt31gEci1UoBteZZVxFySvDV1Sk+F6Exri+IIPE48hbUfnhm8FBYosoMZ5S/JxBBepSY8&#10;G6BuTM6ucfoiGPvJ1SKeA4sPSfNLvnXpTp3HmHll+Q5R466rB7G3B/wGjJmZJC61SbrwmxgNxpI4&#10;Zgt9/GFil8cpiZ6ZYLu/Uclx4znY0MGI8e4+ZV+ojOGZlr9iyNYLeLn7Y8NT6/e+Pm8x5SeLBzjH&#10;Xx5beiEv7Rz1+5ew+gUAAP//AwBQSwMEFAAGAAgAAAAhAO5Yj8HbAAAABwEAAA8AAABkcnMvZG93&#10;bnJldi54bWxMj81OwzAQhO9IvIO1lbhRp1DSKo1T8S9xQSL0Adx4m6SN11Hs/JSnZxEHOK1GM5r9&#10;Jt1OthEDdr52pGAxj0AgFc7UVCrYfb5cr0H4oMnoxhEqOKOHbXZ5kerEuJE+cMhDKbiEfKIVVCG0&#10;iZS+qNBqP3ctEnsH11kdWHalNJ0eudw28iaKYml1Tfyh0i0+Vlic8t4q+LJP9GyHu9f+OMRv4/vD&#10;OTqtcqWuZtP9BkTAKfyF4Qef0SFjpr3ryXjRsF7HnOS7XIJgf3XLS/a/Wmap/M+ffQMAAP//AwBQ&#10;SwECLQAUAAYACAAAACEAtoM4kv4AAADhAQAAEwAAAAAAAAAAAAAAAAAAAAAAW0NvbnRlbnRfVHlw&#10;ZXNdLnhtbFBLAQItABQABgAIAAAAIQA4/SH/1gAAAJQBAAALAAAAAAAAAAAAAAAAAC8BAABfcmVs&#10;cy8ucmVsc1BLAQItABQABgAIAAAAIQB7e4fhLgIAAFoEAAAOAAAAAAAAAAAAAAAAAC4CAABkcnMv&#10;ZTJvRG9jLnhtbFBLAQItABQABgAIAAAAIQDuWI/B2wAAAAcBAAAPAAAAAAAAAAAAAAAAAIgEAABk&#10;cnMvZG93bnJldi54bWxQSwUGAAAAAAQABADzAAAAkAUAAAAA&#10;" strokecolor="windowText" strokeweight="2pt">
                      <v:stroke endarrow="open"/>
                      <v:shadow on="t" color="black" opacity="24903f" origin=",.5" offset="0,.55556mm"/>
                      <o:lock v:ext="edit" shapetype="f"/>
                    </v:shape>
                  </w:pict>
                </mc:Fallback>
              </mc:AlternateContent>
            </w:r>
          </w:p>
        </w:tc>
      </w:tr>
    </w:tbl>
    <w:p w14:paraId="1B1758FE" w14:textId="77777777" w:rsidR="009068CE" w:rsidRDefault="009068CE" w:rsidP="009068CE">
      <w:pPr>
        <w:rPr>
          <w:rFonts w:cs="Arial"/>
          <w:b/>
          <w:szCs w:val="24"/>
        </w:rPr>
      </w:pPr>
    </w:p>
    <w:p w14:paraId="69BDBD52" w14:textId="77777777" w:rsidR="009068CE" w:rsidRPr="009068CE" w:rsidRDefault="009068CE" w:rsidP="00EF7B63">
      <w:pPr>
        <w:pStyle w:val="ListParagraph"/>
        <w:numPr>
          <w:ilvl w:val="0"/>
          <w:numId w:val="40"/>
        </w:numPr>
        <w:ind w:left="142" w:hanging="426"/>
        <w:rPr>
          <w:rFonts w:cs="Arial"/>
          <w:szCs w:val="24"/>
        </w:rPr>
      </w:pPr>
      <w:r w:rsidRPr="009068CE">
        <w:rPr>
          <w:rFonts w:cs="Arial"/>
          <w:szCs w:val="24"/>
        </w:rPr>
        <w:t>The overpayment balance at the end of October reduced by £260k from £13.050m to £12.790m. The volume of outstanding cases also decreased from 2,983 to 2,795 (188 cases). The balance outstanding includes £6.955m in recovery equating to 54%, excluding death cases this percentage increases to 63%. In volume terms</w:t>
      </w:r>
      <w:r w:rsidR="005D30BF">
        <w:rPr>
          <w:rFonts w:cs="Arial"/>
          <w:szCs w:val="24"/>
        </w:rPr>
        <w:t>,</w:t>
      </w:r>
      <w:r w:rsidRPr="009068CE">
        <w:rPr>
          <w:rFonts w:cs="Arial"/>
          <w:szCs w:val="24"/>
        </w:rPr>
        <w:t xml:space="preserve"> 39% of cases are in recovery, rising to 68% when excluding death</w:t>
      </w:r>
      <w:r w:rsidR="005D30BF">
        <w:rPr>
          <w:rFonts w:cs="Arial"/>
          <w:szCs w:val="24"/>
        </w:rPr>
        <w:t xml:space="preserve"> cases</w:t>
      </w:r>
      <w:r w:rsidRPr="009068CE">
        <w:rPr>
          <w:rFonts w:cs="Arial"/>
          <w:szCs w:val="24"/>
        </w:rPr>
        <w:t xml:space="preserve">. There were receipts from 1,097 debtors this month (up from 944), nine debts have a future offset in place and nine have a charge on property secured against them. </w:t>
      </w:r>
    </w:p>
    <w:p w14:paraId="2F14E3B5" w14:textId="77777777" w:rsidR="009068CE" w:rsidRPr="00363EE1" w:rsidRDefault="009068CE" w:rsidP="00EF7B63">
      <w:pPr>
        <w:ind w:left="142" w:hanging="426"/>
        <w:rPr>
          <w:rFonts w:cs="Arial"/>
          <w:szCs w:val="24"/>
        </w:rPr>
      </w:pPr>
      <w:r w:rsidRPr="00363EE1">
        <w:rPr>
          <w:rFonts w:cs="Arial"/>
          <w:szCs w:val="24"/>
        </w:rPr>
        <w:t xml:space="preserve"> </w:t>
      </w:r>
    </w:p>
    <w:p w14:paraId="4F706654" w14:textId="77777777" w:rsidR="009068CE" w:rsidRPr="009068CE" w:rsidRDefault="009068CE" w:rsidP="00EF7B63">
      <w:pPr>
        <w:pStyle w:val="ListParagraph"/>
        <w:numPr>
          <w:ilvl w:val="0"/>
          <w:numId w:val="40"/>
        </w:numPr>
        <w:ind w:left="142" w:hanging="426"/>
        <w:rPr>
          <w:rFonts w:cs="Arial"/>
          <w:szCs w:val="24"/>
        </w:rPr>
      </w:pPr>
      <w:r w:rsidRPr="009068CE">
        <w:rPr>
          <w:rFonts w:cs="Arial"/>
          <w:szCs w:val="24"/>
        </w:rPr>
        <w:t xml:space="preserve">New invoices raised totalled £1.085m with the 912 invoices returning a cost per case of £1,190. This compares to the monthly average across the latest quarter of £1.162m raised from an average 766 invoices per month, with an average unit cost of £1,516. The value of recoveries </w:t>
      </w:r>
      <w:r w:rsidR="00A27396">
        <w:rPr>
          <w:rFonts w:cs="Arial"/>
          <w:szCs w:val="24"/>
        </w:rPr>
        <w:t>in October</w:t>
      </w:r>
      <w:r w:rsidRPr="009068CE">
        <w:rPr>
          <w:rFonts w:cs="Arial"/>
          <w:szCs w:val="24"/>
        </w:rPr>
        <w:t xml:space="preserve"> was £1.35m which is the highest in the last year.</w:t>
      </w:r>
    </w:p>
    <w:p w14:paraId="26127A9C" w14:textId="77777777" w:rsidR="009068CE" w:rsidRPr="00363EE1" w:rsidRDefault="009068CE" w:rsidP="00EF7B63">
      <w:pPr>
        <w:ind w:left="142" w:hanging="426"/>
        <w:rPr>
          <w:rFonts w:cs="Arial"/>
          <w:szCs w:val="24"/>
        </w:rPr>
      </w:pPr>
    </w:p>
    <w:p w14:paraId="2DF68133" w14:textId="77777777" w:rsidR="009068CE" w:rsidRPr="009068CE" w:rsidRDefault="009068CE" w:rsidP="00EF7B63">
      <w:pPr>
        <w:pStyle w:val="ListParagraph"/>
        <w:numPr>
          <w:ilvl w:val="0"/>
          <w:numId w:val="40"/>
        </w:numPr>
        <w:ind w:left="142" w:hanging="426"/>
        <w:rPr>
          <w:rFonts w:cs="Arial"/>
          <w:szCs w:val="24"/>
        </w:rPr>
      </w:pPr>
      <w:r w:rsidRPr="009068CE">
        <w:rPr>
          <w:rFonts w:cs="Arial"/>
          <w:szCs w:val="24"/>
        </w:rPr>
        <w:t>The majority of the total outstanding represents re-marriage at £4.95m (38%); re-employment of £1.87m; lump sums of £2.02m; and death cases of £1.33m. Of the £5.41m being actively chased</w:t>
      </w:r>
      <w:r w:rsidR="005D30BF">
        <w:rPr>
          <w:rFonts w:cs="Arial"/>
          <w:szCs w:val="24"/>
        </w:rPr>
        <w:t>,</w:t>
      </w:r>
      <w:r w:rsidRPr="009068CE">
        <w:rPr>
          <w:rFonts w:cs="Arial"/>
          <w:szCs w:val="24"/>
        </w:rPr>
        <w:t xml:space="preserve"> £1.66m relates to re-marriage; £1.14m to death; and £1.09m to lump sums.</w:t>
      </w:r>
    </w:p>
    <w:p w14:paraId="64C742CA" w14:textId="77777777" w:rsidR="009068CE" w:rsidRPr="00363EE1" w:rsidRDefault="009068CE" w:rsidP="009068CE">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9068CE" w:rsidRPr="00363EE1" w14:paraId="0984C76A" w14:textId="77777777" w:rsidTr="00A47035">
        <w:tc>
          <w:tcPr>
            <w:tcW w:w="7230" w:type="dxa"/>
            <w:tcBorders>
              <w:top w:val="single" w:sz="4" w:space="0" w:color="auto"/>
              <w:left w:val="single" w:sz="4" w:space="0" w:color="auto"/>
              <w:bottom w:val="single" w:sz="4" w:space="0" w:color="auto"/>
              <w:right w:val="single" w:sz="4" w:space="0" w:color="auto"/>
            </w:tcBorders>
          </w:tcPr>
          <w:p w14:paraId="4B5A213D" w14:textId="77777777" w:rsidR="009068CE" w:rsidRDefault="009068CE" w:rsidP="00A47035">
            <w:pPr>
              <w:rPr>
                <w:rFonts w:cs="Arial"/>
                <w:b/>
                <w:szCs w:val="24"/>
              </w:rPr>
            </w:pPr>
            <w:r w:rsidRPr="00363EE1">
              <w:rPr>
                <w:rFonts w:cs="Arial"/>
                <w:b/>
                <w:szCs w:val="24"/>
              </w:rPr>
              <w:t xml:space="preserve">Debt – Arrears of Contributions </w:t>
            </w:r>
          </w:p>
          <w:p w14:paraId="5BBA038A" w14:textId="77777777" w:rsidR="009068CE" w:rsidRPr="00363EE1" w:rsidRDefault="009068CE" w:rsidP="00A47035">
            <w:pPr>
              <w:rPr>
                <w:rFonts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0A26B1EF" w14:textId="77777777" w:rsidR="009068CE" w:rsidRPr="00363EE1" w:rsidRDefault="009068CE" w:rsidP="00A47035">
            <w:pPr>
              <w:rPr>
                <w:rFonts w:cs="Arial"/>
                <w:szCs w:val="24"/>
              </w:rPr>
            </w:pPr>
            <w:r w:rsidRPr="00363EE1">
              <w:rPr>
                <w:rFonts w:cs="Arial"/>
                <w:noProof/>
                <w:szCs w:val="24"/>
              </w:rPr>
              <mc:AlternateContent>
                <mc:Choice Requires="wps">
                  <w:drawing>
                    <wp:anchor distT="4294967293" distB="4294967293" distL="114300" distR="114300" simplePos="0" relativeHeight="251678720" behindDoc="0" locked="0" layoutInCell="1" allowOverlap="1" wp14:anchorId="14775BDB" wp14:editId="420BAFFC">
                      <wp:simplePos x="0" y="0"/>
                      <wp:positionH relativeFrom="column">
                        <wp:posOffset>89535</wp:posOffset>
                      </wp:positionH>
                      <wp:positionV relativeFrom="paragraph">
                        <wp:posOffset>158115</wp:posOffset>
                      </wp:positionV>
                      <wp:extent cx="350520" cy="0"/>
                      <wp:effectExtent l="0" t="76200" r="30480" b="1524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82713F9" id="Straight Arrow Connector 13" o:spid="_x0000_s1026" type="#_x0000_t32" style="position:absolute;margin-left:7.05pt;margin-top:12.45pt;width:27.6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38LgIAAFoEAAAOAAAAZHJzL2Uyb0RvYy54bWysVE2P0zAQvSPxHyzfafpB0SpqukIty2UF&#10;K7qI89RxEgvHY43dpv33jJ227MINkYPl8Xz4vTfjrO5PvRVHTcGgq+RsMpVCO4W1cW0lvz8/vLuT&#10;IkRwNVh0upJnHeT9+u2b1eBLPccOba1JcBEXysFXsovRl0URVKd7CBP02rGzQeohskltURMMXL23&#10;xXw6/VAMSLUnVDoEPt2OTrnO9ZtGq/i1aYKOwlaSscW8Ul73aS3WKyhbAt8ZdYEB/4CiB+P40lup&#10;LUQQBzJ/leqNIgzYxInCvsCmMUpnDsxmNv2Dza4DrzMXFif4m0zh/5VVX45PJEzNvVtI4aDnHu0i&#10;gWm7KD4S4SA26BzriCQ4hPUafCg5beOeKDFWJ7fzj6h+BvYVr5zJCH4MOzXUp3CmLE5Z//NNf32K&#10;QvHhYjldzrlL6uoqoLzmeQrxs8ZepE0lwwXjDdwsyw/HxxATDiivCelShw/G2txr68RQyfny/TRd&#10;BDxyjYXI296zCMG1UoBteZZVpFwyoDV1Sk+FwjlsLIkj8DjxFNY4PDN4KSyEyA5mlL8kE0N4lZrw&#10;bCF0Y3J2jdMXwdhPrhbx7Fl8SJpf8q1Ld+o8xswry3eImnZdPYi9PdA3YMzMJHGpTdKF38RoMJbE&#10;MVuE8YeJXR6nJHpmQu3+RiXHjedgfQcjxsVdyr5QGcMzLbxiyNYLeLn7Y8NT6/dYn58o5SeLBzjH&#10;Xx5beiEv7Rz1+5ew/gUAAP//AwBQSwMEFAAGAAgAAAAhAPtC1WrbAAAABwEAAA8AAABkcnMvZG93&#10;bnJldi54bWxMjstOwzAQRfdI/QdrkNhRp6UEGuJUvKVuKhH4ADcekrTxOIqdR/l6BrGA5dG9uvek&#10;m8k2YsDO144ULOYRCKTCmZpKBR/vL5e3IHzQZHTjCBWc0MMmm52lOjFupDcc8lAKHiGfaAVVCG0i&#10;pS8qtNrPXYvE2afrrA6MXSlNp0cet41cRlEsra6JHyrd4mOFxTHvrYIv+0TPdrh+7Q9DvB13D6fo&#10;eJMrdXE+3d+BCDiFvzL86LM6ZOy0dz0ZLxrm1YKbCparNQjO4/UViP0vyyyV//2zbwAAAP//AwBQ&#10;SwECLQAUAAYACAAAACEAtoM4kv4AAADhAQAAEwAAAAAAAAAAAAAAAAAAAAAAW0NvbnRlbnRfVHlw&#10;ZXNdLnhtbFBLAQItABQABgAIAAAAIQA4/SH/1gAAAJQBAAALAAAAAAAAAAAAAAAAAC8BAABfcmVs&#10;cy8ucmVsc1BLAQItABQABgAIAAAAIQAxow38LgIAAFoEAAAOAAAAAAAAAAAAAAAAAC4CAABkcnMv&#10;ZTJvRG9jLnhtbFBLAQItABQABgAIAAAAIQD7QtVq2wAAAAcBAAAPAAAAAAAAAAAAAAAAAIgEAABk&#10;cnMvZG93bnJldi54bWxQSwUGAAAAAAQABADzAAAAkAUAAAAA&#10;" strokecolor="windowText" strokeweight="2pt">
                      <v:stroke endarrow="open"/>
                      <v:shadow on="t" color="black" opacity="24903f" origin=",.5" offset="0,.55556mm"/>
                      <o:lock v:ext="edit" shapetype="f"/>
                    </v:shape>
                  </w:pict>
                </mc:Fallback>
              </mc:AlternateContent>
            </w:r>
          </w:p>
        </w:tc>
      </w:tr>
    </w:tbl>
    <w:p w14:paraId="45E2D9B7" w14:textId="77777777" w:rsidR="00F2476E" w:rsidRPr="00363EE1" w:rsidRDefault="00F2476E" w:rsidP="009068CE">
      <w:pPr>
        <w:rPr>
          <w:rFonts w:cs="Arial"/>
          <w:b/>
          <w:szCs w:val="24"/>
        </w:rPr>
      </w:pPr>
    </w:p>
    <w:p w14:paraId="2AC721C4" w14:textId="77777777" w:rsidR="009068CE" w:rsidRPr="009068CE" w:rsidRDefault="009068CE" w:rsidP="00EF7B63">
      <w:pPr>
        <w:pStyle w:val="ListParagraph"/>
        <w:numPr>
          <w:ilvl w:val="0"/>
          <w:numId w:val="40"/>
        </w:numPr>
        <w:ind w:left="284" w:hanging="568"/>
        <w:rPr>
          <w:rFonts w:cs="Arial"/>
          <w:szCs w:val="24"/>
        </w:rPr>
      </w:pPr>
      <w:r w:rsidRPr="009068CE">
        <w:rPr>
          <w:rFonts w:cs="Arial"/>
          <w:szCs w:val="24"/>
        </w:rPr>
        <w:t xml:space="preserve">The arrears balance increased this month from £4.41m to £4.99m (£591k). There were 847 cases outstanding compared to 814 last month. Of which 485 represent employee arrears (plus compound interest - CI) and 362 relate to employer arrears (plus CI). </w:t>
      </w:r>
    </w:p>
    <w:p w14:paraId="34671F57" w14:textId="77777777" w:rsidR="009068CE" w:rsidRPr="00363EE1" w:rsidRDefault="009068CE" w:rsidP="00EF7B63">
      <w:pPr>
        <w:ind w:left="284" w:hanging="568"/>
        <w:rPr>
          <w:rFonts w:cs="Arial"/>
          <w:szCs w:val="24"/>
        </w:rPr>
      </w:pPr>
      <w:r w:rsidRPr="00363EE1">
        <w:rPr>
          <w:rFonts w:cs="Arial"/>
          <w:szCs w:val="24"/>
        </w:rPr>
        <w:t xml:space="preserve">  </w:t>
      </w:r>
    </w:p>
    <w:p w14:paraId="732A1CDA" w14:textId="77777777" w:rsidR="009068CE" w:rsidRPr="009068CE" w:rsidRDefault="009068CE" w:rsidP="00EF7B63">
      <w:pPr>
        <w:pStyle w:val="ListParagraph"/>
        <w:numPr>
          <w:ilvl w:val="0"/>
          <w:numId w:val="40"/>
        </w:numPr>
        <w:ind w:left="284" w:hanging="568"/>
        <w:rPr>
          <w:rFonts w:cs="Arial"/>
          <w:szCs w:val="24"/>
        </w:rPr>
      </w:pPr>
      <w:r w:rsidRPr="009068CE">
        <w:rPr>
          <w:rFonts w:cs="Arial"/>
          <w:szCs w:val="24"/>
        </w:rPr>
        <w:t xml:space="preserve">At the end of October, the arrears balance increased from £4.81m to £5.01m (£198k). There were 906 cases outstanding compared to 838 last month. Of which 534 represent employee arrears (plus compound interest - CI) and 372 relate to employer arrears (plus CI). The outstanding balance includes £576k in recovery via plans. </w:t>
      </w:r>
    </w:p>
    <w:p w14:paraId="31A1C5A4" w14:textId="77777777" w:rsidR="009068CE" w:rsidRPr="00363EE1" w:rsidRDefault="009068CE" w:rsidP="009068CE">
      <w:pPr>
        <w:rPr>
          <w:rFonts w:cs="Arial"/>
          <w:szCs w:val="24"/>
        </w:rPr>
      </w:pPr>
      <w:r w:rsidRPr="00363EE1">
        <w:rPr>
          <w:rFonts w:cs="Arial"/>
          <w:szCs w:val="24"/>
        </w:rPr>
        <w:t xml:space="preserve"> </w:t>
      </w:r>
    </w:p>
    <w:p w14:paraId="2627F487" w14:textId="77777777" w:rsidR="00EF47E6" w:rsidRPr="009068CE" w:rsidRDefault="009068CE" w:rsidP="00F22118">
      <w:pPr>
        <w:pStyle w:val="ListParagraph"/>
        <w:numPr>
          <w:ilvl w:val="0"/>
          <w:numId w:val="40"/>
        </w:numPr>
        <w:ind w:left="426" w:hanging="568"/>
        <w:rPr>
          <w:rFonts w:cs="Arial"/>
          <w:szCs w:val="24"/>
        </w:rPr>
      </w:pPr>
      <w:r w:rsidRPr="009068CE">
        <w:rPr>
          <w:rFonts w:cs="Arial"/>
          <w:szCs w:val="24"/>
        </w:rPr>
        <w:t xml:space="preserve">There were 30 debts worth £238k over three months old that were recovered in the quarter. Overall £435k of prior months’ debts were fully recovered, consisting of £40k of member debt and £395k of employer debt. </w:t>
      </w:r>
    </w:p>
    <w:p w14:paraId="65DCB19D" w14:textId="77777777" w:rsidR="00EF47E6" w:rsidRPr="007B367A" w:rsidRDefault="00EF47E6" w:rsidP="00A77E6C">
      <w:pPr>
        <w:pStyle w:val="DeptBullets"/>
        <w:numPr>
          <w:ilvl w:val="0"/>
          <w:numId w:val="0"/>
        </w:numPr>
        <w:tabs>
          <w:tab w:val="left" w:pos="720"/>
        </w:tabs>
        <w:spacing w:after="0"/>
        <w:ind w:left="360" w:right="-58"/>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EF47E6" w:rsidRPr="007B367A" w14:paraId="5238926A" w14:textId="77777777" w:rsidTr="00A521C3">
        <w:tc>
          <w:tcPr>
            <w:tcW w:w="7230" w:type="dxa"/>
            <w:tcBorders>
              <w:top w:val="single" w:sz="4" w:space="0" w:color="auto"/>
              <w:left w:val="single" w:sz="4" w:space="0" w:color="auto"/>
              <w:bottom w:val="single" w:sz="4" w:space="0" w:color="auto"/>
              <w:right w:val="single" w:sz="4" w:space="0" w:color="auto"/>
            </w:tcBorders>
          </w:tcPr>
          <w:p w14:paraId="5E96B451" w14:textId="77777777" w:rsidR="00EF47E6" w:rsidRPr="007B367A" w:rsidRDefault="00EF47E6" w:rsidP="00A77E6C">
            <w:pPr>
              <w:rPr>
                <w:rFonts w:cs="Arial"/>
                <w:b/>
                <w:color w:val="FF0000"/>
                <w:szCs w:val="24"/>
              </w:rPr>
            </w:pPr>
            <w:r w:rsidRPr="007B367A">
              <w:rPr>
                <w:rFonts w:cs="Arial"/>
                <w:b/>
                <w:szCs w:val="24"/>
              </w:rPr>
              <w:t>Contractor &amp; DfE Cos</w:t>
            </w:r>
            <w:r w:rsidR="00C52F3A">
              <w:rPr>
                <w:rFonts w:cs="Arial"/>
                <w:b/>
                <w:szCs w:val="24"/>
              </w:rPr>
              <w:t>ts</w:t>
            </w:r>
          </w:p>
          <w:p w14:paraId="569070EC" w14:textId="77777777" w:rsidR="003B3C28" w:rsidRPr="007B367A" w:rsidRDefault="003B3C28" w:rsidP="00A77E6C">
            <w:pPr>
              <w:rPr>
                <w:rFonts w:cs="Arial"/>
                <w:b/>
                <w:color w:val="FF000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14:paraId="7E490458" w14:textId="77777777" w:rsidR="00EF47E6" w:rsidRPr="007B367A" w:rsidRDefault="00EF47E6" w:rsidP="00A77E6C">
            <w:pPr>
              <w:rPr>
                <w:rFonts w:cs="Arial"/>
                <w:szCs w:val="24"/>
              </w:rPr>
            </w:pPr>
            <w:r w:rsidRPr="007B367A">
              <w:rPr>
                <w:rFonts w:cs="Arial"/>
                <w:noProof/>
                <w:szCs w:val="24"/>
              </w:rPr>
              <mc:AlternateContent>
                <mc:Choice Requires="wps">
                  <w:drawing>
                    <wp:anchor distT="4294967293" distB="4294967293" distL="114300" distR="114300" simplePos="0" relativeHeight="251668480" behindDoc="0" locked="0" layoutInCell="1" allowOverlap="1" wp14:anchorId="556B1EB4" wp14:editId="0985B629">
                      <wp:simplePos x="0" y="0"/>
                      <wp:positionH relativeFrom="column">
                        <wp:posOffset>148590</wp:posOffset>
                      </wp:positionH>
                      <wp:positionV relativeFrom="paragraph">
                        <wp:posOffset>161290</wp:posOffset>
                      </wp:positionV>
                      <wp:extent cx="350520" cy="0"/>
                      <wp:effectExtent l="0" t="76200" r="30480" b="1524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76A63EA" id="Straight Arrow Connector 15" o:spid="_x0000_s1026" type="#_x0000_t32" style="position:absolute;margin-left:11.7pt;margin-top:12.7pt;width:27.6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OxLgIAAFoEAAAOAAAAZHJzL2Uyb0RvYy54bWysVE2P0zAQvSPxHyzfadouRauo6Qq1LJcV&#10;VHQR56njJBaOxxq7TfvvGTtt2YUbIgfL4/nwe2/GWT6ceiuOmoJBV8nZZCqFdgpr49pKfn9+fHcv&#10;RYjgarDodCXPOsiH1ds3y8GXeo4d2lqT4CIulIOvZBejL4siqE73ECbotWNng9RDZJPaoiYYuHpv&#10;i/l0+qEYkGpPqHQIfLoZnXKV6zeNVvFr0wQdha0kY4t5pbzu01qsllC2BL4z6gID/gFFD8bxpbdS&#10;G4ggDmT+KtUbRRiwiROFfYFNY5TOHJjNbPoHm10HXmcuLE7wN5nC/yurvhy3JEzNvVtI4aDnHu0i&#10;gWm7KD4S4SDW6BzriCQ4hPUafCg5be22lBirk9v5J1Q/A/uKV85kBD+GnRrqUzhTFqes//mmvz5F&#10;ofjwbjFdzLlL6uoqoLzmeQrxs8ZepE0lwwXjDdwsyw/HpxATDiivCelSh4/G2txr68RQyfni/TRd&#10;BDxyjYXI296zCMG1UoBteZZVpFwyoDV1Sk+FwjmsLYkj8DjxFNY4PDN4KSyEyA5mlL8kE0N4lZrw&#10;bCB0Y3J2jdMXwdhPrhbx7Fl8SJpf8q1Ld+o8xswry3eImnZdPYi9PdA3YMzMJHGpTdKF38RoMJbE&#10;MVuE8YeJXR6nJHpmQu3+RiXHjedgfQcjxrv7lH2hMoZnWnjFkK0X8HL3x4an1u+xPm8p5SeLBzjH&#10;Xx5beiEv7Rz1+5ew+gUAAP//AwBQSwMEFAAGAAgAAAAhAKhw6STbAAAABwEAAA8AAABkcnMvZG93&#10;bnJldi54bWxMjs1OwzAQhO9IfQdrK3GjDoWmVYhTtfxJvSAReAA3XpLQeB3Fzk95ehZxgNNoNKOZ&#10;L91OthEDdr52pOB6EYFAKpypqVTw/vZ0tQHhgyajG0eo4IwettnsItWJcSO94pCHUvAI+UQrqEJo&#10;Eyl9UaHVfuFaJM4+XGd1YNuV0nR65HHbyGUUxdLqmvih0i3eV1ic8t4q+LIP9GiH1XP/OcSH8WV/&#10;jk7rXKnL+bS7AxFwCn9l+MFndMiY6eh6Ml40CpY3t9xkXbFyvt7EII6/Xmap/M+ffQMAAP//AwBQ&#10;SwECLQAUAAYACAAAACEAtoM4kv4AAADhAQAAEwAAAAAAAAAAAAAAAAAAAAAAW0NvbnRlbnRfVHlw&#10;ZXNdLnhtbFBLAQItABQABgAIAAAAIQA4/SH/1gAAAJQBAAALAAAAAAAAAAAAAAAAAC8BAABfcmVs&#10;cy8ucmVsc1BLAQItABQABgAIAAAAIQCNcjOxLgIAAFoEAAAOAAAAAAAAAAAAAAAAAC4CAABkcnMv&#10;ZTJvRG9jLnhtbFBLAQItABQABgAIAAAAIQCocOkk2wAAAAcBAAAPAAAAAAAAAAAAAAAAAIgEAABk&#10;cnMvZG93bnJldi54bWxQSwUGAAAAAAQABADzAAAAkAUAAAAA&#10;" strokecolor="windowText" strokeweight="2pt">
                      <v:stroke endarrow="open"/>
                      <v:shadow on="t" color="black" opacity="24903f" origin=",.5" offset="0,.55556mm"/>
                      <o:lock v:ext="edit" shapetype="f"/>
                    </v:shape>
                  </w:pict>
                </mc:Fallback>
              </mc:AlternateContent>
            </w:r>
            <w:r w:rsidRPr="007B367A">
              <w:rPr>
                <w:rFonts w:cs="Arial"/>
                <w:szCs w:val="24"/>
              </w:rPr>
              <w:t xml:space="preserve"> </w:t>
            </w:r>
          </w:p>
        </w:tc>
      </w:tr>
    </w:tbl>
    <w:p w14:paraId="5F55BC74" w14:textId="77777777" w:rsidR="00EF47E6" w:rsidRPr="007B367A" w:rsidRDefault="00EF47E6" w:rsidP="00A77E6C">
      <w:pPr>
        <w:rPr>
          <w:rFonts w:cs="Arial"/>
          <w:b/>
          <w:color w:val="0070C0"/>
          <w:szCs w:val="24"/>
          <w:u w:val="single"/>
          <w:lang w:eastAsia="en-GB"/>
        </w:rPr>
      </w:pPr>
    </w:p>
    <w:p w14:paraId="772BA712" w14:textId="77777777" w:rsidR="00EF47E6" w:rsidRPr="007B367A" w:rsidRDefault="00EF47E6" w:rsidP="00694C80">
      <w:pPr>
        <w:pStyle w:val="DeptBullets"/>
        <w:numPr>
          <w:ilvl w:val="0"/>
          <w:numId w:val="40"/>
        </w:numPr>
        <w:tabs>
          <w:tab w:val="left" w:pos="426"/>
        </w:tabs>
        <w:spacing w:after="0"/>
        <w:ind w:left="284" w:right="-58"/>
        <w:textAlignment w:val="auto"/>
        <w:rPr>
          <w:rFonts w:cs="Arial"/>
          <w:szCs w:val="24"/>
          <w:lang w:eastAsia="en-GB"/>
        </w:rPr>
      </w:pPr>
      <w:r w:rsidRPr="007B367A">
        <w:rPr>
          <w:rFonts w:cs="Arial"/>
          <w:szCs w:val="24"/>
          <w:lang w:eastAsia="en-GB"/>
        </w:rPr>
        <w:t>The administrative levy (0.08% of employer contributions) has been in place from September 2015.  For the period of this report, the amount collected from the levy totalled £</w:t>
      </w:r>
      <w:r w:rsidR="001A35F5">
        <w:rPr>
          <w:rFonts w:cs="Arial"/>
          <w:szCs w:val="24"/>
          <w:lang w:eastAsia="en-GB"/>
        </w:rPr>
        <w:t>4.7</w:t>
      </w:r>
      <w:r w:rsidRPr="007B367A">
        <w:rPr>
          <w:rFonts w:cs="Arial"/>
          <w:szCs w:val="24"/>
          <w:lang w:eastAsia="en-GB"/>
        </w:rPr>
        <w:t>m.</w:t>
      </w:r>
      <w:r w:rsidR="001D529C">
        <w:rPr>
          <w:rFonts w:cs="Arial"/>
          <w:szCs w:val="24"/>
          <w:lang w:eastAsia="en-GB"/>
        </w:rPr>
        <w:t xml:space="preserve"> </w:t>
      </w:r>
    </w:p>
    <w:p w14:paraId="60B5642F" w14:textId="77777777" w:rsidR="00EF47E6" w:rsidRPr="007B367A" w:rsidRDefault="00EF47E6" w:rsidP="00A77E6C">
      <w:pPr>
        <w:tabs>
          <w:tab w:val="left" w:pos="426"/>
        </w:tabs>
        <w:ind w:left="284" w:hanging="720"/>
        <w:rPr>
          <w:rFonts w:cs="Arial"/>
          <w:szCs w:val="24"/>
          <w:lang w:eastAsia="en-GB"/>
        </w:rPr>
      </w:pPr>
    </w:p>
    <w:p w14:paraId="29D148A6" w14:textId="77777777" w:rsidR="00EF47E6" w:rsidRPr="007B367A" w:rsidRDefault="00EF47E6" w:rsidP="00694C80">
      <w:pPr>
        <w:pStyle w:val="DeptBullets"/>
        <w:numPr>
          <w:ilvl w:val="0"/>
          <w:numId w:val="40"/>
        </w:numPr>
        <w:tabs>
          <w:tab w:val="left" w:pos="426"/>
        </w:tabs>
        <w:spacing w:after="0"/>
        <w:ind w:left="284" w:right="-58"/>
        <w:textAlignment w:val="auto"/>
        <w:rPr>
          <w:rFonts w:cs="Arial"/>
          <w:szCs w:val="24"/>
          <w:lang w:eastAsia="en-GB"/>
        </w:rPr>
      </w:pPr>
      <w:r w:rsidRPr="007B367A">
        <w:rPr>
          <w:rFonts w:cs="Arial"/>
          <w:szCs w:val="24"/>
          <w:lang w:eastAsia="en-GB"/>
        </w:rPr>
        <w:t>The figures below represent spend to date in the current financial year.</w:t>
      </w:r>
    </w:p>
    <w:p w14:paraId="5CDCDF85" w14:textId="77777777" w:rsidR="001D529C" w:rsidRDefault="001D529C" w:rsidP="001D529C">
      <w:pPr>
        <w:pStyle w:val="DeptBullets"/>
        <w:numPr>
          <w:ilvl w:val="0"/>
          <w:numId w:val="0"/>
        </w:numPr>
        <w:tabs>
          <w:tab w:val="left" w:pos="720"/>
        </w:tabs>
        <w:spacing w:after="0"/>
        <w:ind w:left="360" w:right="-58"/>
        <w:rPr>
          <w:rFonts w:cs="Arial"/>
          <w:szCs w:val="24"/>
          <w:lang w:eastAsia="en-GB"/>
        </w:rPr>
      </w:pPr>
    </w:p>
    <w:tbl>
      <w:tblPr>
        <w:tblStyle w:val="TableGrid"/>
        <w:tblW w:w="8959" w:type="dxa"/>
        <w:tblInd w:w="108" w:type="dxa"/>
        <w:tblLayout w:type="fixed"/>
        <w:tblLook w:val="04A0" w:firstRow="1" w:lastRow="0" w:firstColumn="1" w:lastColumn="0" w:noHBand="0" w:noVBand="1"/>
      </w:tblPr>
      <w:tblGrid>
        <w:gridCol w:w="1276"/>
        <w:gridCol w:w="1446"/>
        <w:gridCol w:w="1560"/>
        <w:gridCol w:w="1701"/>
        <w:gridCol w:w="2976"/>
      </w:tblGrid>
      <w:tr w:rsidR="001D529C" w14:paraId="5A85E874" w14:textId="77777777" w:rsidTr="001D529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7DBA4" w14:textId="77777777" w:rsidR="001D529C" w:rsidRDefault="001D529C" w:rsidP="001D529C">
            <w:pPr>
              <w:rPr>
                <w:rFonts w:cs="Arial"/>
                <w:b/>
                <w:szCs w:val="24"/>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131F2C1" w14:textId="77777777" w:rsidR="001D529C" w:rsidRDefault="001D529C" w:rsidP="001D529C">
            <w:pPr>
              <w:jc w:val="center"/>
              <w:rPr>
                <w:rFonts w:cs="Arial"/>
                <w:b/>
                <w:szCs w:val="24"/>
              </w:rPr>
            </w:pPr>
            <w:r>
              <w:rPr>
                <w:rFonts w:cs="Arial"/>
                <w:b/>
                <w:szCs w:val="24"/>
              </w:rPr>
              <w:t>YTD Profile</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43A9739" w14:textId="77777777" w:rsidR="001D529C" w:rsidRDefault="001D529C" w:rsidP="001D529C">
            <w:pPr>
              <w:jc w:val="center"/>
              <w:rPr>
                <w:rFonts w:cs="Arial"/>
                <w:b/>
                <w:szCs w:val="24"/>
              </w:rPr>
            </w:pPr>
            <w:r>
              <w:rPr>
                <w:rFonts w:cs="Arial"/>
                <w:b/>
                <w:szCs w:val="24"/>
              </w:rPr>
              <w:t>YTD actual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C85FFE" w14:textId="77777777" w:rsidR="001D529C" w:rsidRDefault="001D529C" w:rsidP="001D529C">
            <w:pPr>
              <w:rPr>
                <w:rFonts w:cs="Arial"/>
                <w:b/>
                <w:szCs w:val="24"/>
              </w:rPr>
            </w:pPr>
            <w:r>
              <w:rPr>
                <w:rFonts w:cs="Arial"/>
                <w:b/>
                <w:szCs w:val="24"/>
              </w:rPr>
              <w:t>Variance</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175789" w14:textId="77777777" w:rsidR="001D529C" w:rsidRDefault="001D529C" w:rsidP="001D529C">
            <w:pPr>
              <w:rPr>
                <w:rFonts w:cs="Arial"/>
                <w:b/>
                <w:szCs w:val="24"/>
              </w:rPr>
            </w:pPr>
            <w:r>
              <w:rPr>
                <w:rFonts w:cs="Arial"/>
                <w:b/>
                <w:szCs w:val="24"/>
              </w:rPr>
              <w:t>Narrative</w:t>
            </w:r>
          </w:p>
        </w:tc>
      </w:tr>
      <w:tr w:rsidR="001D529C" w14:paraId="06ABF3FA" w14:textId="77777777" w:rsidTr="001D529C">
        <w:tc>
          <w:tcPr>
            <w:tcW w:w="1276" w:type="dxa"/>
            <w:tcBorders>
              <w:top w:val="single" w:sz="4" w:space="0" w:color="auto"/>
              <w:left w:val="single" w:sz="4" w:space="0" w:color="auto"/>
              <w:bottom w:val="single" w:sz="4" w:space="0" w:color="auto"/>
              <w:right w:val="single" w:sz="4" w:space="0" w:color="auto"/>
            </w:tcBorders>
            <w:hideMark/>
          </w:tcPr>
          <w:p w14:paraId="5E338121" w14:textId="77777777" w:rsidR="001D529C" w:rsidRDefault="001D529C" w:rsidP="001D529C">
            <w:pPr>
              <w:rPr>
                <w:rFonts w:cs="Arial"/>
                <w:szCs w:val="24"/>
              </w:rPr>
            </w:pPr>
            <w:r>
              <w:rPr>
                <w:rFonts w:cs="Arial"/>
                <w:szCs w:val="24"/>
              </w:rPr>
              <w:t>Capita</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DCAC4" w14:textId="0D8F90F0" w:rsidR="001D529C" w:rsidRPr="00D97DF6" w:rsidRDefault="001D529C" w:rsidP="00690EB3">
            <w:pPr>
              <w:jc w:val="right"/>
              <w:rPr>
                <w:rFonts w:cs="Arial"/>
                <w:szCs w:val="24"/>
              </w:rPr>
            </w:pPr>
            <w:r w:rsidRPr="00D97DF6">
              <w:rPr>
                <w:rFonts w:cs="Arial"/>
                <w:szCs w:val="24"/>
              </w:rPr>
              <w:t>£,</w:t>
            </w:r>
            <w:r w:rsidR="00690EB3" w:rsidRPr="00690EB3">
              <w:rPr>
                <w:rFonts w:cs="Arial"/>
                <w:szCs w:val="24"/>
                <w:highlight w:val="black"/>
              </w:rPr>
              <w:t>Redacted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8C41A" w14:textId="5867EBE3" w:rsidR="001D529C" w:rsidRPr="00D97DF6" w:rsidRDefault="001D529C" w:rsidP="00690EB3">
            <w:pPr>
              <w:jc w:val="right"/>
              <w:rPr>
                <w:rFonts w:cs="Arial"/>
                <w:szCs w:val="24"/>
              </w:rPr>
            </w:pPr>
            <w:r w:rsidRPr="00D97DF6">
              <w:rPr>
                <w:rFonts w:cs="Arial"/>
                <w:szCs w:val="24"/>
              </w:rPr>
              <w:t>£</w:t>
            </w:r>
            <w:r w:rsidR="00690EB3" w:rsidRPr="00690EB3">
              <w:rPr>
                <w:rFonts w:cs="Arial"/>
                <w:szCs w:val="24"/>
                <w:highlight w:val="black"/>
              </w:rPr>
              <w:t>redacted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7FFDE" w14:textId="66E2FC16" w:rsidR="001D529C" w:rsidRPr="00D97DF6" w:rsidRDefault="001D529C" w:rsidP="00690EB3">
            <w:pPr>
              <w:jc w:val="right"/>
              <w:rPr>
                <w:rFonts w:cs="Arial"/>
                <w:szCs w:val="24"/>
              </w:rPr>
            </w:pPr>
            <w:r>
              <w:rPr>
                <w:rFonts w:cs="Arial"/>
                <w:szCs w:val="24"/>
              </w:rPr>
              <w:t>-</w:t>
            </w:r>
            <w:r w:rsidRPr="00D97DF6">
              <w:rPr>
                <w:rFonts w:cs="Arial"/>
                <w:szCs w:val="24"/>
              </w:rPr>
              <w:t>£</w:t>
            </w:r>
            <w:r w:rsidR="00690EB3" w:rsidRPr="00690EB3">
              <w:rPr>
                <w:rFonts w:cs="Arial"/>
                <w:szCs w:val="24"/>
                <w:highlight w:val="black"/>
              </w:rPr>
              <w:t>redacted</w:t>
            </w:r>
          </w:p>
        </w:tc>
        <w:tc>
          <w:tcPr>
            <w:tcW w:w="2976" w:type="dxa"/>
            <w:tcBorders>
              <w:top w:val="single" w:sz="4" w:space="0" w:color="auto"/>
              <w:left w:val="single" w:sz="4" w:space="0" w:color="auto"/>
              <w:bottom w:val="single" w:sz="4" w:space="0" w:color="auto"/>
              <w:right w:val="single" w:sz="4" w:space="0" w:color="auto"/>
            </w:tcBorders>
            <w:hideMark/>
          </w:tcPr>
          <w:p w14:paraId="4B7FF377" w14:textId="77777777" w:rsidR="001D529C" w:rsidRDefault="001D529C" w:rsidP="001D529C">
            <w:pPr>
              <w:rPr>
                <w:rFonts w:cs="Arial"/>
                <w:szCs w:val="24"/>
              </w:rPr>
            </w:pPr>
            <w:r>
              <w:rPr>
                <w:rFonts w:cs="Arial"/>
                <w:szCs w:val="24"/>
              </w:rPr>
              <w:t>Base Charge has been less than profiled due to service credits.  Some costs profiled have not been invoiced.</w:t>
            </w:r>
          </w:p>
        </w:tc>
      </w:tr>
      <w:tr w:rsidR="001D529C" w14:paraId="43A1ABAE" w14:textId="77777777" w:rsidTr="001D529C">
        <w:tc>
          <w:tcPr>
            <w:tcW w:w="1276" w:type="dxa"/>
            <w:tcBorders>
              <w:top w:val="single" w:sz="4" w:space="0" w:color="auto"/>
              <w:left w:val="single" w:sz="4" w:space="0" w:color="auto"/>
              <w:bottom w:val="single" w:sz="4" w:space="0" w:color="auto"/>
              <w:right w:val="single" w:sz="4" w:space="0" w:color="auto"/>
            </w:tcBorders>
            <w:hideMark/>
          </w:tcPr>
          <w:p w14:paraId="0DBB65D6" w14:textId="77777777" w:rsidR="001D529C" w:rsidRDefault="001D529C" w:rsidP="001D529C">
            <w:pPr>
              <w:rPr>
                <w:rFonts w:cs="Arial"/>
                <w:szCs w:val="24"/>
              </w:rPr>
            </w:pPr>
            <w:r>
              <w:rPr>
                <w:rFonts w:cs="Arial"/>
                <w:szCs w:val="24"/>
              </w:rPr>
              <w:t>TPSPB</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E7611" w14:textId="75641CB2" w:rsidR="001D529C" w:rsidRPr="00D97DF6" w:rsidRDefault="001D529C" w:rsidP="00690EB3">
            <w:pPr>
              <w:jc w:val="right"/>
              <w:rPr>
                <w:rFonts w:cs="Arial"/>
                <w:color w:val="FF0000"/>
                <w:szCs w:val="24"/>
              </w:rPr>
            </w:pPr>
            <w:r w:rsidRPr="008C630C">
              <w:rPr>
                <w:rFonts w:cs="Arial"/>
                <w:szCs w:val="24"/>
              </w:rPr>
              <w:t>£</w:t>
            </w:r>
            <w:r w:rsidR="00690EB3" w:rsidRPr="00690EB3">
              <w:rPr>
                <w:rFonts w:cs="Arial"/>
                <w:szCs w:val="24"/>
                <w:highlight w:val="black"/>
              </w:rPr>
              <w:t>redacted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45447" w14:textId="6911C8EA" w:rsidR="001D529C" w:rsidRPr="00D97DF6" w:rsidRDefault="001D529C" w:rsidP="00690EB3">
            <w:pPr>
              <w:jc w:val="center"/>
              <w:rPr>
                <w:rFonts w:cs="Arial"/>
                <w:color w:val="FF0000"/>
                <w:szCs w:val="24"/>
              </w:rPr>
            </w:pPr>
            <w:r w:rsidRPr="008C630C">
              <w:rPr>
                <w:rFonts w:cs="Arial"/>
                <w:szCs w:val="24"/>
              </w:rPr>
              <w:t>£</w:t>
            </w:r>
            <w:r w:rsidR="00690EB3" w:rsidRPr="00690EB3">
              <w:rPr>
                <w:rFonts w:cs="Arial"/>
                <w:szCs w:val="24"/>
                <w:highlight w:val="black"/>
              </w:rPr>
              <w:t>redacted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61E311" w14:textId="23AFC775" w:rsidR="001D529C" w:rsidRPr="00D97DF6" w:rsidRDefault="001D529C" w:rsidP="00690EB3">
            <w:pPr>
              <w:jc w:val="right"/>
              <w:rPr>
                <w:rFonts w:cs="Arial"/>
                <w:color w:val="FF0000"/>
                <w:szCs w:val="24"/>
              </w:rPr>
            </w:pPr>
            <w:r w:rsidRPr="008C630C">
              <w:rPr>
                <w:rFonts w:cs="Arial"/>
                <w:szCs w:val="24"/>
              </w:rPr>
              <w:t>-£</w:t>
            </w:r>
            <w:r w:rsidR="00690EB3" w:rsidRPr="00690EB3">
              <w:rPr>
                <w:rFonts w:cs="Arial"/>
                <w:szCs w:val="24"/>
                <w:highlight w:val="black"/>
              </w:rPr>
              <w:t>redacted</w:t>
            </w:r>
          </w:p>
        </w:tc>
        <w:tc>
          <w:tcPr>
            <w:tcW w:w="2976" w:type="dxa"/>
            <w:tcBorders>
              <w:top w:val="single" w:sz="4" w:space="0" w:color="auto"/>
              <w:left w:val="single" w:sz="4" w:space="0" w:color="auto"/>
              <w:bottom w:val="single" w:sz="4" w:space="0" w:color="auto"/>
              <w:right w:val="single" w:sz="4" w:space="0" w:color="auto"/>
            </w:tcBorders>
            <w:hideMark/>
          </w:tcPr>
          <w:p w14:paraId="3A50AA4A" w14:textId="77777777" w:rsidR="001D529C" w:rsidRDefault="001D529C" w:rsidP="001D529C">
            <w:pPr>
              <w:rPr>
                <w:rFonts w:cs="Arial"/>
                <w:szCs w:val="24"/>
              </w:rPr>
            </w:pPr>
            <w:r>
              <w:rPr>
                <w:rFonts w:cs="Arial"/>
                <w:szCs w:val="24"/>
              </w:rPr>
              <w:t>Fees, travel and expenses and pension specialist.   Meeting expenses have been lower than profiled.</w:t>
            </w:r>
          </w:p>
        </w:tc>
      </w:tr>
      <w:tr w:rsidR="001D529C" w14:paraId="3C523DCC" w14:textId="77777777" w:rsidTr="001D529C">
        <w:tc>
          <w:tcPr>
            <w:tcW w:w="1276" w:type="dxa"/>
            <w:tcBorders>
              <w:top w:val="single" w:sz="4" w:space="0" w:color="auto"/>
              <w:left w:val="single" w:sz="4" w:space="0" w:color="auto"/>
              <w:bottom w:val="single" w:sz="4" w:space="0" w:color="auto"/>
              <w:right w:val="single" w:sz="4" w:space="0" w:color="auto"/>
            </w:tcBorders>
            <w:hideMark/>
          </w:tcPr>
          <w:p w14:paraId="2C440109" w14:textId="77777777" w:rsidR="001D529C" w:rsidRDefault="001D529C" w:rsidP="001D529C">
            <w:pPr>
              <w:rPr>
                <w:rFonts w:cs="Arial"/>
                <w:szCs w:val="24"/>
              </w:rPr>
            </w:pPr>
            <w:r>
              <w:rPr>
                <w:rFonts w:cs="Arial"/>
                <w:szCs w:val="24"/>
              </w:rPr>
              <w:t>GAD</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89368" w14:textId="3ECE03F5" w:rsidR="001D529C" w:rsidRPr="00D97DF6" w:rsidRDefault="001D529C" w:rsidP="00690EB3">
            <w:pPr>
              <w:jc w:val="right"/>
              <w:rPr>
                <w:rFonts w:cs="Arial"/>
                <w:color w:val="FF0000"/>
                <w:szCs w:val="24"/>
              </w:rPr>
            </w:pPr>
            <w:r w:rsidRPr="0022162C">
              <w:rPr>
                <w:rFonts w:cs="Arial"/>
                <w:szCs w:val="24"/>
              </w:rPr>
              <w:t>£</w:t>
            </w:r>
            <w:r w:rsidR="00690EB3" w:rsidRPr="00690EB3">
              <w:rPr>
                <w:rFonts w:cs="Arial"/>
                <w:szCs w:val="24"/>
                <w:highlight w:val="black"/>
              </w:rPr>
              <w:t>redacted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6BCE27" w14:textId="340AE33A" w:rsidR="001D529C" w:rsidRPr="0022162C" w:rsidRDefault="001D529C" w:rsidP="00690EB3">
            <w:pPr>
              <w:jc w:val="right"/>
              <w:rPr>
                <w:rFonts w:cs="Arial"/>
                <w:szCs w:val="24"/>
              </w:rPr>
            </w:pPr>
            <w:r w:rsidRPr="0022162C">
              <w:rPr>
                <w:rFonts w:cs="Arial"/>
                <w:szCs w:val="24"/>
              </w:rPr>
              <w:t>£</w:t>
            </w:r>
            <w:r w:rsidR="00690EB3" w:rsidRPr="00690EB3">
              <w:rPr>
                <w:rFonts w:cs="Arial"/>
                <w:szCs w:val="24"/>
                <w:highlight w:val="black"/>
              </w:rPr>
              <w:t>redacted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0920D" w14:textId="05856A05" w:rsidR="001D529C" w:rsidRPr="0022162C" w:rsidRDefault="001D529C" w:rsidP="00690EB3">
            <w:pPr>
              <w:jc w:val="right"/>
              <w:rPr>
                <w:rFonts w:cs="Arial"/>
                <w:szCs w:val="24"/>
              </w:rPr>
            </w:pPr>
            <w:r w:rsidRPr="0022162C">
              <w:rPr>
                <w:rFonts w:cs="Arial"/>
                <w:szCs w:val="24"/>
              </w:rPr>
              <w:t>-£</w:t>
            </w:r>
            <w:r w:rsidR="00690EB3" w:rsidRPr="00690EB3">
              <w:rPr>
                <w:rFonts w:cs="Arial"/>
                <w:szCs w:val="24"/>
                <w:highlight w:val="black"/>
              </w:rPr>
              <w:t>redacted</w:t>
            </w:r>
          </w:p>
        </w:tc>
        <w:tc>
          <w:tcPr>
            <w:tcW w:w="2976" w:type="dxa"/>
            <w:tcBorders>
              <w:top w:val="single" w:sz="4" w:space="0" w:color="auto"/>
              <w:left w:val="single" w:sz="4" w:space="0" w:color="auto"/>
              <w:bottom w:val="single" w:sz="4" w:space="0" w:color="auto"/>
              <w:right w:val="single" w:sz="4" w:space="0" w:color="auto"/>
            </w:tcBorders>
            <w:hideMark/>
          </w:tcPr>
          <w:p w14:paraId="167FB512" w14:textId="77777777" w:rsidR="001D529C" w:rsidRDefault="001D529C" w:rsidP="001D529C">
            <w:pPr>
              <w:rPr>
                <w:rFonts w:cs="Arial"/>
                <w:szCs w:val="24"/>
              </w:rPr>
            </w:pPr>
            <w:r>
              <w:rPr>
                <w:rFonts w:cs="Arial"/>
                <w:szCs w:val="24"/>
              </w:rPr>
              <w:t>Invoices have been less than profiled.  October’s invoice will not be received until November.</w:t>
            </w:r>
          </w:p>
        </w:tc>
      </w:tr>
      <w:tr w:rsidR="001D529C" w14:paraId="420E6A0A" w14:textId="77777777" w:rsidTr="001D529C">
        <w:tc>
          <w:tcPr>
            <w:tcW w:w="1276" w:type="dxa"/>
            <w:tcBorders>
              <w:top w:val="single" w:sz="4" w:space="0" w:color="auto"/>
              <w:left w:val="single" w:sz="4" w:space="0" w:color="auto"/>
              <w:bottom w:val="single" w:sz="4" w:space="0" w:color="auto"/>
              <w:right w:val="single" w:sz="4" w:space="0" w:color="auto"/>
            </w:tcBorders>
            <w:hideMark/>
          </w:tcPr>
          <w:p w14:paraId="3A1985D0" w14:textId="77777777" w:rsidR="001D529C" w:rsidRDefault="001D529C" w:rsidP="001D529C">
            <w:pPr>
              <w:rPr>
                <w:rFonts w:cs="Arial"/>
                <w:szCs w:val="24"/>
              </w:rPr>
            </w:pPr>
            <w:r>
              <w:rPr>
                <w:rFonts w:cs="Arial"/>
                <w:szCs w:val="24"/>
              </w:rPr>
              <w:t>OH Assist</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2F5A14" w14:textId="24E4203B" w:rsidR="001D529C" w:rsidRPr="00A93024" w:rsidRDefault="001D529C" w:rsidP="00690EB3">
            <w:pPr>
              <w:jc w:val="right"/>
              <w:rPr>
                <w:rFonts w:cs="Arial"/>
                <w:szCs w:val="24"/>
              </w:rPr>
            </w:pPr>
            <w:r w:rsidRPr="00A93024">
              <w:rPr>
                <w:rFonts w:cs="Arial"/>
                <w:szCs w:val="24"/>
              </w:rPr>
              <w:t>£</w:t>
            </w:r>
            <w:r w:rsidR="00690EB3" w:rsidRPr="00690EB3">
              <w:rPr>
                <w:rFonts w:cs="Arial"/>
                <w:szCs w:val="24"/>
                <w:highlight w:val="black"/>
              </w:rPr>
              <w:t>redacted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F58C1" w14:textId="296C6F72" w:rsidR="001D529C" w:rsidRPr="00A93024" w:rsidRDefault="001D529C" w:rsidP="00690EB3">
            <w:pPr>
              <w:jc w:val="right"/>
              <w:rPr>
                <w:rFonts w:cs="Arial"/>
                <w:szCs w:val="24"/>
              </w:rPr>
            </w:pPr>
            <w:r w:rsidRPr="00A93024">
              <w:rPr>
                <w:rFonts w:cs="Arial"/>
                <w:szCs w:val="24"/>
              </w:rPr>
              <w:t>£</w:t>
            </w:r>
            <w:r w:rsidR="00690EB3" w:rsidRPr="00690EB3">
              <w:rPr>
                <w:rFonts w:cs="Arial"/>
                <w:szCs w:val="24"/>
                <w:highlight w:val="black"/>
              </w:rPr>
              <w:t>redacted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1CB365" w14:textId="6C2FEDDA" w:rsidR="001D529C" w:rsidRPr="00A93024" w:rsidRDefault="001D529C" w:rsidP="00690EB3">
            <w:pPr>
              <w:jc w:val="right"/>
              <w:rPr>
                <w:rFonts w:cs="Arial"/>
                <w:szCs w:val="24"/>
              </w:rPr>
            </w:pPr>
            <w:r w:rsidRPr="00A93024">
              <w:rPr>
                <w:rFonts w:cs="Arial"/>
                <w:szCs w:val="24"/>
              </w:rPr>
              <w:t>-£</w:t>
            </w:r>
            <w:r w:rsidR="00690EB3" w:rsidRPr="00690EB3">
              <w:rPr>
                <w:rFonts w:cs="Arial"/>
                <w:szCs w:val="24"/>
                <w:highlight w:val="black"/>
              </w:rPr>
              <w:t>redacted</w:t>
            </w:r>
          </w:p>
        </w:tc>
        <w:tc>
          <w:tcPr>
            <w:tcW w:w="2976" w:type="dxa"/>
            <w:tcBorders>
              <w:top w:val="single" w:sz="4" w:space="0" w:color="auto"/>
              <w:left w:val="single" w:sz="4" w:space="0" w:color="auto"/>
              <w:bottom w:val="single" w:sz="4" w:space="0" w:color="auto"/>
              <w:right w:val="single" w:sz="4" w:space="0" w:color="auto"/>
            </w:tcBorders>
            <w:hideMark/>
          </w:tcPr>
          <w:p w14:paraId="7F1ACBEE" w14:textId="77777777" w:rsidR="001D529C" w:rsidRPr="00A93024" w:rsidRDefault="001D529C" w:rsidP="001D529C">
            <w:pPr>
              <w:rPr>
                <w:rFonts w:cs="Arial"/>
                <w:szCs w:val="24"/>
              </w:rPr>
            </w:pPr>
            <w:r w:rsidRPr="00A93024">
              <w:rPr>
                <w:rFonts w:cs="Arial"/>
                <w:szCs w:val="24"/>
              </w:rPr>
              <w:t>October’s invoice not due until November.</w:t>
            </w:r>
          </w:p>
        </w:tc>
      </w:tr>
      <w:tr w:rsidR="001D529C" w14:paraId="34D7B9E1" w14:textId="77777777" w:rsidTr="001D529C">
        <w:trPr>
          <w:trHeight w:val="261"/>
        </w:trPr>
        <w:tc>
          <w:tcPr>
            <w:tcW w:w="1276" w:type="dxa"/>
            <w:tcBorders>
              <w:top w:val="single" w:sz="4" w:space="0" w:color="auto"/>
              <w:left w:val="single" w:sz="4" w:space="0" w:color="auto"/>
              <w:bottom w:val="single" w:sz="4" w:space="0" w:color="auto"/>
              <w:right w:val="single" w:sz="4" w:space="0" w:color="auto"/>
            </w:tcBorders>
            <w:hideMark/>
          </w:tcPr>
          <w:p w14:paraId="3E06E6DD" w14:textId="77777777" w:rsidR="001D529C" w:rsidRDefault="001D529C" w:rsidP="001D529C">
            <w:pPr>
              <w:rPr>
                <w:rFonts w:cs="Arial"/>
                <w:szCs w:val="24"/>
              </w:rPr>
            </w:pPr>
            <w:r>
              <w:rPr>
                <w:rFonts w:cs="Arial"/>
                <w:szCs w:val="24"/>
              </w:rPr>
              <w:t>DfE</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36EF9" w14:textId="5AB1F320" w:rsidR="001D529C" w:rsidRPr="00D97DF6" w:rsidRDefault="001D529C" w:rsidP="00690EB3">
            <w:pPr>
              <w:jc w:val="right"/>
              <w:rPr>
                <w:rFonts w:cs="Arial"/>
                <w:color w:val="FF0000"/>
                <w:szCs w:val="24"/>
              </w:rPr>
            </w:pPr>
            <w:r>
              <w:rPr>
                <w:rFonts w:cs="Arial"/>
                <w:szCs w:val="24"/>
              </w:rPr>
              <w:t>£</w:t>
            </w:r>
            <w:r w:rsidR="00690EB3" w:rsidRPr="00690EB3">
              <w:rPr>
                <w:rFonts w:cs="Arial"/>
                <w:szCs w:val="24"/>
                <w:highlight w:val="black"/>
              </w:rPr>
              <w:t>redacted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51343" w14:textId="6C082ABD" w:rsidR="001D529C" w:rsidRPr="00BB1E9B" w:rsidRDefault="001D529C" w:rsidP="00690EB3">
            <w:pPr>
              <w:jc w:val="right"/>
              <w:rPr>
                <w:rFonts w:cs="Arial"/>
                <w:szCs w:val="24"/>
              </w:rPr>
            </w:pPr>
            <w:r w:rsidRPr="00BB1E9B">
              <w:rPr>
                <w:rFonts w:cs="Arial"/>
                <w:szCs w:val="24"/>
              </w:rPr>
              <w:t>£</w:t>
            </w:r>
            <w:r w:rsidR="00690EB3" w:rsidRPr="00690EB3">
              <w:rPr>
                <w:rFonts w:cs="Arial"/>
                <w:szCs w:val="24"/>
                <w:highlight w:val="black"/>
              </w:rPr>
              <w:t>redacted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0ABC8" w14:textId="7C6B57E7" w:rsidR="001D529C" w:rsidRPr="00BB1E9B" w:rsidRDefault="001D529C" w:rsidP="00690EB3">
            <w:pPr>
              <w:jc w:val="right"/>
              <w:rPr>
                <w:rFonts w:cs="Arial"/>
                <w:szCs w:val="24"/>
              </w:rPr>
            </w:pPr>
            <w:r w:rsidRPr="00BB1E9B">
              <w:rPr>
                <w:rFonts w:cs="Arial"/>
                <w:szCs w:val="24"/>
              </w:rPr>
              <w:t>-£</w:t>
            </w:r>
            <w:r w:rsidR="00690EB3" w:rsidRPr="00690EB3">
              <w:rPr>
                <w:rFonts w:cs="Arial"/>
                <w:szCs w:val="24"/>
                <w:highlight w:val="black"/>
              </w:rPr>
              <w:t>redacted</w:t>
            </w:r>
          </w:p>
        </w:tc>
        <w:tc>
          <w:tcPr>
            <w:tcW w:w="2976" w:type="dxa"/>
            <w:tcBorders>
              <w:top w:val="single" w:sz="4" w:space="0" w:color="auto"/>
              <w:left w:val="single" w:sz="4" w:space="0" w:color="auto"/>
              <w:bottom w:val="single" w:sz="4" w:space="0" w:color="auto"/>
              <w:right w:val="single" w:sz="4" w:space="0" w:color="auto"/>
            </w:tcBorders>
            <w:hideMark/>
          </w:tcPr>
          <w:p w14:paraId="795B0B91" w14:textId="77777777" w:rsidR="001D529C" w:rsidRDefault="001D529C" w:rsidP="001D529C">
            <w:pPr>
              <w:rPr>
                <w:rFonts w:cs="Arial"/>
                <w:szCs w:val="24"/>
              </w:rPr>
            </w:pPr>
            <w:r>
              <w:rPr>
                <w:rFonts w:cs="Arial"/>
                <w:szCs w:val="24"/>
              </w:rPr>
              <w:t>Pensions Team and Finance costs</w:t>
            </w:r>
          </w:p>
        </w:tc>
      </w:tr>
    </w:tbl>
    <w:p w14:paraId="5302BE7C" w14:textId="77777777" w:rsidR="001D529C" w:rsidRDefault="001D529C" w:rsidP="001D529C"/>
    <w:p w14:paraId="2B527B68" w14:textId="77777777" w:rsidR="00772F9D" w:rsidRPr="00772F9D" w:rsidRDefault="00EF47E6" w:rsidP="00772F9D">
      <w:pPr>
        <w:rPr>
          <w:rFonts w:cs="Arial"/>
          <w:b/>
          <w:szCs w:val="24"/>
        </w:rPr>
      </w:pPr>
      <w:r w:rsidRPr="00772F9D">
        <w:rPr>
          <w:rFonts w:cs="Arial"/>
          <w:b/>
          <w:szCs w:val="24"/>
        </w:rPr>
        <w:t>Risk</w:t>
      </w:r>
      <w:r w:rsidR="003B0386" w:rsidRPr="00772F9D">
        <w:rPr>
          <w:rFonts w:cs="Arial"/>
          <w:b/>
          <w:szCs w:val="24"/>
        </w:rPr>
        <w:t xml:space="preserve"> </w:t>
      </w:r>
    </w:p>
    <w:p w14:paraId="16550EE3" w14:textId="77777777" w:rsidR="00772F9D" w:rsidRPr="00772F9D" w:rsidRDefault="00772F9D" w:rsidP="00772F9D">
      <w:pPr>
        <w:rPr>
          <w:rFonts w:cs="Arial"/>
          <w:b/>
          <w:szCs w:val="24"/>
        </w:rPr>
      </w:pPr>
    </w:p>
    <w:p w14:paraId="5828E697" w14:textId="77777777" w:rsidR="00772F9D" w:rsidRPr="00772F9D" w:rsidRDefault="00772F9D" w:rsidP="00F22118">
      <w:pPr>
        <w:pStyle w:val="ListParagraph"/>
        <w:numPr>
          <w:ilvl w:val="0"/>
          <w:numId w:val="40"/>
        </w:numPr>
        <w:ind w:left="709" w:hanging="709"/>
        <w:rPr>
          <w:rFonts w:cs="Arial"/>
          <w:b/>
          <w:szCs w:val="24"/>
        </w:rPr>
      </w:pPr>
      <w:r w:rsidRPr="00772F9D">
        <w:rPr>
          <w:rFonts w:cs="Arial"/>
          <w:szCs w:val="24"/>
        </w:rPr>
        <w:t>MCR risks are being managed via the project board and are reviewed monthly. Without the MCR development and implementation, there is significant risk that:</w:t>
      </w:r>
    </w:p>
    <w:p w14:paraId="34231DAD" w14:textId="77777777" w:rsidR="00772F9D" w:rsidRPr="00772F9D" w:rsidRDefault="00772F9D" w:rsidP="00694C80">
      <w:pPr>
        <w:pStyle w:val="ListParagraph"/>
        <w:numPr>
          <w:ilvl w:val="0"/>
          <w:numId w:val="35"/>
        </w:numPr>
        <w:rPr>
          <w:rFonts w:cs="Arial"/>
          <w:szCs w:val="24"/>
        </w:rPr>
      </w:pPr>
      <w:r w:rsidRPr="00772F9D">
        <w:rPr>
          <w:rFonts w:cs="Arial"/>
          <w:szCs w:val="24"/>
        </w:rPr>
        <w:t>TP will not be able to continue to satisfy good governance around the managing public money rules due to divergence between employers’ systems for submitting salary and service data and contributions</w:t>
      </w:r>
    </w:p>
    <w:p w14:paraId="42364220" w14:textId="30909259" w:rsidR="00772F9D" w:rsidRPr="00772F9D" w:rsidRDefault="00772F9D" w:rsidP="00694C80">
      <w:pPr>
        <w:pStyle w:val="ListParagraph"/>
        <w:numPr>
          <w:ilvl w:val="0"/>
          <w:numId w:val="35"/>
        </w:numPr>
        <w:rPr>
          <w:rFonts w:cs="Arial"/>
          <w:szCs w:val="24"/>
        </w:rPr>
      </w:pPr>
      <w:r w:rsidRPr="00772F9D">
        <w:rPr>
          <w:rFonts w:cs="Arial"/>
          <w:szCs w:val="24"/>
        </w:rPr>
        <w:t xml:space="preserve">TP will not be able </w:t>
      </w:r>
      <w:r w:rsidR="00F75037">
        <w:rPr>
          <w:rFonts w:cs="Arial"/>
          <w:szCs w:val="24"/>
        </w:rPr>
        <w:t xml:space="preserve">to </w:t>
      </w:r>
      <w:r w:rsidRPr="00772F9D">
        <w:rPr>
          <w:rFonts w:cs="Arial"/>
          <w:szCs w:val="24"/>
        </w:rPr>
        <w:t>continue reconciling membership and contributions within the tolerances prescribed within the annual audit underpinning the annual scheme accounts</w:t>
      </w:r>
    </w:p>
    <w:p w14:paraId="36939C05" w14:textId="77777777" w:rsidR="00772F9D" w:rsidRDefault="00772F9D" w:rsidP="00694C80">
      <w:pPr>
        <w:pStyle w:val="ListParagraph"/>
        <w:numPr>
          <w:ilvl w:val="0"/>
          <w:numId w:val="35"/>
        </w:numPr>
        <w:rPr>
          <w:rFonts w:cs="Arial"/>
          <w:szCs w:val="24"/>
        </w:rPr>
      </w:pPr>
      <w:r w:rsidRPr="00772F9D">
        <w:rPr>
          <w:rFonts w:cs="Arial"/>
          <w:szCs w:val="24"/>
        </w:rPr>
        <w:t>TP data strategy will fall short of demonstrating continued progress on data quality and the ability to reduce revisions to benefit awards.</w:t>
      </w:r>
    </w:p>
    <w:p w14:paraId="57D52FDA" w14:textId="77777777" w:rsidR="003E7654" w:rsidRDefault="003E7654" w:rsidP="003E7654">
      <w:pPr>
        <w:jc w:val="both"/>
        <w:rPr>
          <w:rFonts w:cs="Arial"/>
          <w:b/>
          <w:szCs w:val="24"/>
        </w:rPr>
      </w:pPr>
    </w:p>
    <w:p w14:paraId="28999557" w14:textId="77777777" w:rsidR="003E7654" w:rsidRDefault="003E7654" w:rsidP="003E7654">
      <w:pPr>
        <w:jc w:val="both"/>
        <w:rPr>
          <w:rFonts w:cs="Arial"/>
          <w:b/>
          <w:szCs w:val="24"/>
        </w:rPr>
      </w:pPr>
      <w:r>
        <w:rPr>
          <w:rFonts w:cs="Arial"/>
          <w:b/>
          <w:szCs w:val="24"/>
        </w:rPr>
        <w:t>Scheme Valuation key r</w:t>
      </w:r>
      <w:r w:rsidRPr="003C6831">
        <w:rPr>
          <w:rFonts w:cs="Arial"/>
          <w:b/>
          <w:szCs w:val="24"/>
        </w:rPr>
        <w:t xml:space="preserve">isks </w:t>
      </w:r>
      <w:r>
        <w:rPr>
          <w:rFonts w:cs="Arial"/>
          <w:b/>
          <w:szCs w:val="24"/>
        </w:rPr>
        <w:t>(not exhaustive)</w:t>
      </w:r>
    </w:p>
    <w:p w14:paraId="2702E799" w14:textId="77777777" w:rsidR="003E7654" w:rsidRPr="0021189D" w:rsidRDefault="003E7654" w:rsidP="003E7654">
      <w:pPr>
        <w:jc w:val="both"/>
        <w:rPr>
          <w:rFonts w:cs="Arial"/>
          <w:b/>
          <w:szCs w:val="24"/>
        </w:rPr>
      </w:pPr>
    </w:p>
    <w:p w14:paraId="357BACE1" w14:textId="77777777" w:rsidR="003E7654" w:rsidRDefault="003E7654" w:rsidP="00EF78D3">
      <w:pPr>
        <w:pStyle w:val="ListParagraph"/>
        <w:widowControl/>
        <w:numPr>
          <w:ilvl w:val="0"/>
          <w:numId w:val="40"/>
        </w:numPr>
        <w:overflowPunct/>
        <w:autoSpaceDE/>
        <w:autoSpaceDN/>
        <w:adjustRightInd/>
        <w:spacing w:after="160" w:line="259" w:lineRule="auto"/>
        <w:ind w:left="567" w:hanging="425"/>
        <w:textAlignment w:val="auto"/>
        <w:rPr>
          <w:rFonts w:cs="Arial"/>
          <w:szCs w:val="24"/>
        </w:rPr>
      </w:pPr>
      <w:r w:rsidRPr="003E7654">
        <w:rPr>
          <w:rFonts w:cs="Arial"/>
          <w:i/>
          <w:szCs w:val="24"/>
        </w:rPr>
        <w:t>Timeline</w:t>
      </w:r>
      <w:r w:rsidRPr="003E7654">
        <w:rPr>
          <w:rFonts w:cs="Arial"/>
          <w:szCs w:val="24"/>
        </w:rPr>
        <w:t xml:space="preserve"> – There are many issues to handle and conclude within a challenging period of time e.g. SAB to make recommendations to the DfE SoS, when to implement changes to the contribution tiers, etc. However, these will be mitigated by maintaining tight programme management arrangements and maintaining clear and open communication channels with all stakeholders.  There are further safeguards, for example, the default option of changing the accrual rate applies if SAB are unable to agree a recommendation or the Secretary of State considers that other options are not appropriate.</w:t>
      </w:r>
    </w:p>
    <w:p w14:paraId="00E6C3C4" w14:textId="77777777" w:rsidR="00EF2FC4" w:rsidRDefault="00EF2FC4" w:rsidP="003E7654">
      <w:pPr>
        <w:pStyle w:val="ListParagraph"/>
        <w:widowControl/>
        <w:overflowPunct/>
        <w:autoSpaceDE/>
        <w:autoSpaceDN/>
        <w:adjustRightInd/>
        <w:spacing w:after="160" w:line="259" w:lineRule="auto"/>
        <w:ind w:left="360"/>
        <w:textAlignment w:val="auto"/>
        <w:rPr>
          <w:rFonts w:cs="Arial"/>
          <w:szCs w:val="24"/>
        </w:rPr>
      </w:pPr>
    </w:p>
    <w:p w14:paraId="2FF0E8B5" w14:textId="3DE640FE" w:rsidR="003E7654" w:rsidRPr="00EF78D3" w:rsidRDefault="003E7654" w:rsidP="00EF78D3">
      <w:pPr>
        <w:pStyle w:val="ListParagraph"/>
        <w:widowControl/>
        <w:numPr>
          <w:ilvl w:val="0"/>
          <w:numId w:val="40"/>
        </w:numPr>
        <w:overflowPunct/>
        <w:autoSpaceDE/>
        <w:autoSpaceDN/>
        <w:adjustRightInd/>
        <w:spacing w:after="160" w:line="259" w:lineRule="auto"/>
        <w:ind w:left="709" w:hanging="567"/>
        <w:textAlignment w:val="auto"/>
        <w:rPr>
          <w:rFonts w:cs="Arial"/>
          <w:szCs w:val="24"/>
        </w:rPr>
      </w:pPr>
      <w:r w:rsidRPr="00EF78D3">
        <w:rPr>
          <w:rFonts w:cs="Arial"/>
          <w:i/>
          <w:szCs w:val="24"/>
        </w:rPr>
        <w:t>Employer and member understanding</w:t>
      </w:r>
      <w:r w:rsidRPr="00EF78D3">
        <w:rPr>
          <w:rFonts w:cs="Arial"/>
          <w:szCs w:val="24"/>
        </w:rPr>
        <w:t xml:space="preserve"> – There is a prevalent risk that both employers and members do not engage with or understand or accept the valuation implications. TP will commence early engagement supported by DfE and SAB, and involving the TPSPB.  A communication and stakeholder strategy will be employed and kept under constant review, to make sure this is mitigated appropriately. </w:t>
      </w:r>
    </w:p>
    <w:p w14:paraId="481C2B91" w14:textId="77777777" w:rsidR="003E7654" w:rsidRPr="003E7654" w:rsidRDefault="003E7654" w:rsidP="003E7654">
      <w:pPr>
        <w:pStyle w:val="ListParagraph"/>
        <w:rPr>
          <w:rFonts w:cs="Arial"/>
          <w:i/>
          <w:szCs w:val="24"/>
        </w:rPr>
      </w:pPr>
    </w:p>
    <w:p w14:paraId="7BC02769" w14:textId="77777777" w:rsidR="003E7654" w:rsidRDefault="003E7654" w:rsidP="001E3EF0">
      <w:pPr>
        <w:pStyle w:val="ListParagraph"/>
        <w:widowControl/>
        <w:numPr>
          <w:ilvl w:val="0"/>
          <w:numId w:val="40"/>
        </w:numPr>
        <w:overflowPunct/>
        <w:autoSpaceDE/>
        <w:autoSpaceDN/>
        <w:adjustRightInd/>
        <w:spacing w:after="160" w:line="259" w:lineRule="auto"/>
        <w:ind w:left="709" w:hanging="578"/>
        <w:textAlignment w:val="auto"/>
        <w:rPr>
          <w:rFonts w:cs="Arial"/>
          <w:szCs w:val="24"/>
        </w:rPr>
      </w:pPr>
      <w:r w:rsidRPr="003E7654">
        <w:rPr>
          <w:rFonts w:cs="Arial"/>
          <w:i/>
          <w:szCs w:val="24"/>
        </w:rPr>
        <w:t>SAB decisions make delivery overly complex</w:t>
      </w:r>
      <w:r w:rsidRPr="003E7654">
        <w:rPr>
          <w:rFonts w:cs="Arial"/>
          <w:szCs w:val="24"/>
        </w:rPr>
        <w:t xml:space="preserve"> – There is a risk that SAB come up with a recommendation that involves a range of benefit changes that make implementing, administrating and communicating them more difficult, adding to complexity and cost.  DfE and TP are working with SAB to ensure that a suitable range of policy tests and considerations are applied including one that looks specifically at deliverability.  The Secretary of State also has power to apply the default option of changing the accrual rate if he deems that appropriate. </w:t>
      </w:r>
    </w:p>
    <w:p w14:paraId="15B4E57A" w14:textId="77777777" w:rsidR="003E7654" w:rsidRPr="003E7654" w:rsidRDefault="003E7654" w:rsidP="003E7654">
      <w:pPr>
        <w:pStyle w:val="ListParagraph"/>
        <w:rPr>
          <w:rFonts w:cs="Arial"/>
          <w:i/>
          <w:szCs w:val="24"/>
        </w:rPr>
      </w:pPr>
    </w:p>
    <w:p w14:paraId="57D43663" w14:textId="77777777" w:rsidR="003E7654" w:rsidRDefault="003E7654" w:rsidP="001E3EF0">
      <w:pPr>
        <w:pStyle w:val="ListParagraph"/>
        <w:widowControl/>
        <w:numPr>
          <w:ilvl w:val="0"/>
          <w:numId w:val="40"/>
        </w:numPr>
        <w:overflowPunct/>
        <w:autoSpaceDE/>
        <w:autoSpaceDN/>
        <w:adjustRightInd/>
        <w:spacing w:after="160" w:line="259" w:lineRule="auto"/>
        <w:ind w:left="709" w:hanging="567"/>
        <w:textAlignment w:val="auto"/>
        <w:rPr>
          <w:rFonts w:cs="Arial"/>
          <w:szCs w:val="24"/>
        </w:rPr>
      </w:pPr>
      <w:r w:rsidRPr="003E7654">
        <w:rPr>
          <w:rFonts w:cs="Arial"/>
          <w:i/>
          <w:szCs w:val="24"/>
        </w:rPr>
        <w:t>Delays in IT and system changes</w:t>
      </w:r>
      <w:r w:rsidRPr="003E7654">
        <w:rPr>
          <w:rFonts w:cs="Arial"/>
          <w:szCs w:val="24"/>
        </w:rPr>
        <w:t xml:space="preserve"> – If the time taken to implement changes to IT and other systems is prolonged that increases the number of cases that have to be handled manually or re-worked subsequently, increasing the risk of errors and complaints.  This will be handled as a distinct strand of the overall programme and managed closely to ensure issues are dealt with appropriately and promptly.  Work will be front loaded as far as is possible and sensible, with a close eye kept on developments from SAB discussions and work prioritised accordingly.  The blueprint from recent scheme reforms adds to mitigation, helping understanding of what needs to be changed and where if a particular benefit is to be amended.  </w:t>
      </w:r>
    </w:p>
    <w:p w14:paraId="03374F3B" w14:textId="77777777" w:rsidR="003E7654" w:rsidRPr="003E7654" w:rsidRDefault="003E7654" w:rsidP="003E7654">
      <w:pPr>
        <w:pStyle w:val="ListParagraph"/>
        <w:rPr>
          <w:rFonts w:cs="Arial"/>
          <w:i/>
          <w:szCs w:val="24"/>
        </w:rPr>
      </w:pPr>
    </w:p>
    <w:p w14:paraId="7BE7470C" w14:textId="7E2020DB" w:rsidR="003E7654" w:rsidRPr="003E7654" w:rsidRDefault="003E7654" w:rsidP="001E3EF0">
      <w:pPr>
        <w:pStyle w:val="ListParagraph"/>
        <w:widowControl/>
        <w:numPr>
          <w:ilvl w:val="0"/>
          <w:numId w:val="40"/>
        </w:numPr>
        <w:overflowPunct/>
        <w:autoSpaceDE/>
        <w:autoSpaceDN/>
        <w:adjustRightInd/>
        <w:spacing w:after="160" w:line="259" w:lineRule="auto"/>
        <w:ind w:left="709" w:hanging="501"/>
        <w:textAlignment w:val="auto"/>
        <w:rPr>
          <w:rFonts w:cs="Arial"/>
          <w:b/>
          <w:szCs w:val="24"/>
        </w:rPr>
      </w:pPr>
      <w:r w:rsidRPr="003E7654">
        <w:rPr>
          <w:rFonts w:cs="Arial"/>
          <w:i/>
          <w:szCs w:val="24"/>
        </w:rPr>
        <w:t>Competing priorities</w:t>
      </w:r>
      <w:r w:rsidRPr="003E7654">
        <w:rPr>
          <w:rFonts w:cs="Arial"/>
          <w:szCs w:val="24"/>
        </w:rPr>
        <w:t xml:space="preserve"> – The completion of the GMP reconciliation and rectification projects, along with much of this work falling during the busy September retirement period, increases the risk of delays, problems or errors.  Progress across the piece will be continuously monitored under the existing contract reporting arrangements and valuation work will be subject to specific programme management arrangements handled by a dedicated project manager.  This will ensure competing priorities and resource issues are spotted early and managed.  </w:t>
      </w:r>
    </w:p>
    <w:p w14:paraId="729D958A" w14:textId="77777777" w:rsidR="003E7654" w:rsidRPr="003E7654" w:rsidRDefault="003E7654" w:rsidP="003E7654">
      <w:pPr>
        <w:pStyle w:val="ListParagraph"/>
        <w:rPr>
          <w:rFonts w:cs="Arial"/>
          <w:i/>
          <w:szCs w:val="24"/>
        </w:rPr>
      </w:pPr>
    </w:p>
    <w:p w14:paraId="227EBB8E" w14:textId="77777777" w:rsidR="00806D63" w:rsidRPr="00A265A7" w:rsidRDefault="003E7654" w:rsidP="001E3EF0">
      <w:pPr>
        <w:pStyle w:val="ListParagraph"/>
        <w:widowControl/>
        <w:numPr>
          <w:ilvl w:val="0"/>
          <w:numId w:val="40"/>
        </w:numPr>
        <w:overflowPunct/>
        <w:autoSpaceDE/>
        <w:autoSpaceDN/>
        <w:adjustRightInd/>
        <w:ind w:left="709" w:hanging="501"/>
        <w:textAlignment w:val="auto"/>
        <w:rPr>
          <w:rFonts w:cs="Arial"/>
          <w:b/>
          <w:szCs w:val="24"/>
        </w:rPr>
      </w:pPr>
      <w:r w:rsidRPr="003E7654">
        <w:rPr>
          <w:rFonts w:cs="Arial"/>
          <w:i/>
          <w:szCs w:val="24"/>
        </w:rPr>
        <w:t>Regulations</w:t>
      </w:r>
      <w:r w:rsidRPr="003E7654">
        <w:rPr>
          <w:rFonts w:cs="Arial"/>
          <w:szCs w:val="24"/>
        </w:rPr>
        <w:t xml:space="preserve"> – Amendments will require public consultation and given parliamentary legislation pressures, there is a risk that amended TPS regulations may not be laid in the summer in time for a 1</w:t>
      </w:r>
      <w:r w:rsidRPr="003E7654">
        <w:rPr>
          <w:rFonts w:cs="Arial"/>
          <w:szCs w:val="24"/>
          <w:vertAlign w:val="superscript"/>
        </w:rPr>
        <w:t>st</w:t>
      </w:r>
      <w:r w:rsidRPr="003E7654">
        <w:rPr>
          <w:rFonts w:cs="Arial"/>
          <w:szCs w:val="24"/>
        </w:rPr>
        <w:t xml:space="preserve"> September commencement. The mitigation is that the current regulations do allow for the implementation of changes to the employer contribution rate without further change and the benefit improvements plus change to contribution tiers can if necessary be implemented in anticipation of the changes being cemented in regulations.  </w:t>
      </w:r>
    </w:p>
    <w:p w14:paraId="72EE0A21" w14:textId="77777777" w:rsidR="00A265A7" w:rsidRPr="00A265A7" w:rsidRDefault="00A265A7" w:rsidP="00A265A7">
      <w:pPr>
        <w:widowControl/>
        <w:overflowPunct/>
        <w:autoSpaceDE/>
        <w:autoSpaceDN/>
        <w:adjustRightInd/>
        <w:textAlignment w:val="auto"/>
        <w:rPr>
          <w:rFonts w:cs="Arial"/>
          <w:b/>
          <w:szCs w:val="24"/>
        </w:rPr>
      </w:pPr>
    </w:p>
    <w:p w14:paraId="31078222" w14:textId="77777777" w:rsidR="000B2D41" w:rsidRDefault="000B2D41" w:rsidP="00A265A7">
      <w:pPr>
        <w:widowControl/>
        <w:overflowPunct/>
        <w:autoSpaceDE/>
        <w:autoSpaceDN/>
        <w:adjustRightInd/>
        <w:textAlignment w:val="auto"/>
        <w:rPr>
          <w:rFonts w:cs="Arial"/>
          <w:b/>
          <w:szCs w:val="24"/>
        </w:rPr>
      </w:pPr>
      <w:r>
        <w:rPr>
          <w:rFonts w:cs="Arial"/>
          <w:b/>
          <w:szCs w:val="24"/>
        </w:rPr>
        <w:t>General Risks</w:t>
      </w:r>
    </w:p>
    <w:p w14:paraId="08182CCB" w14:textId="77777777" w:rsidR="009E7876" w:rsidRPr="000B2D41" w:rsidRDefault="009E7876" w:rsidP="00A265A7">
      <w:pPr>
        <w:widowControl/>
        <w:overflowPunct/>
        <w:autoSpaceDE/>
        <w:autoSpaceDN/>
        <w:adjustRightInd/>
        <w:textAlignment w:val="auto"/>
        <w:rPr>
          <w:rFonts w:cs="Arial"/>
          <w:b/>
          <w:szCs w:val="24"/>
        </w:rPr>
      </w:pPr>
    </w:p>
    <w:p w14:paraId="227B2471" w14:textId="77777777" w:rsidR="00903AF7" w:rsidRDefault="007F3B9D" w:rsidP="001E3EF0">
      <w:pPr>
        <w:pStyle w:val="ListParagraph"/>
        <w:widowControl/>
        <w:numPr>
          <w:ilvl w:val="0"/>
          <w:numId w:val="40"/>
        </w:numPr>
        <w:overflowPunct/>
        <w:autoSpaceDE/>
        <w:autoSpaceDN/>
        <w:adjustRightInd/>
        <w:ind w:left="709" w:hanging="567"/>
        <w:textAlignment w:val="auto"/>
        <w:rPr>
          <w:rFonts w:cs="Arial"/>
          <w:szCs w:val="24"/>
        </w:rPr>
      </w:pPr>
      <w:r>
        <w:rPr>
          <w:rFonts w:cs="Arial"/>
          <w:szCs w:val="24"/>
        </w:rPr>
        <w:t xml:space="preserve">TPSPB Chair, </w:t>
      </w:r>
      <w:r w:rsidR="00903AF7">
        <w:rPr>
          <w:rFonts w:cs="Arial"/>
          <w:szCs w:val="24"/>
        </w:rPr>
        <w:t xml:space="preserve">Neville </w:t>
      </w:r>
      <w:r>
        <w:rPr>
          <w:rFonts w:cs="Arial"/>
          <w:szCs w:val="24"/>
        </w:rPr>
        <w:t>McKay</w:t>
      </w:r>
      <w:r w:rsidR="00F0668A">
        <w:rPr>
          <w:rFonts w:cs="Arial"/>
          <w:szCs w:val="24"/>
        </w:rPr>
        <w:t>,</w:t>
      </w:r>
      <w:r>
        <w:rPr>
          <w:rFonts w:cs="Arial"/>
          <w:szCs w:val="24"/>
        </w:rPr>
        <w:t xml:space="preserve"> has built links with the Audit and Risk Committee (ARC) and will be attending the ARC meeting scheduled for Wednesday 19</w:t>
      </w:r>
      <w:r w:rsidRPr="007F3B9D">
        <w:rPr>
          <w:rFonts w:cs="Arial"/>
          <w:szCs w:val="24"/>
          <w:vertAlign w:val="superscript"/>
        </w:rPr>
        <w:t>th</w:t>
      </w:r>
      <w:r>
        <w:rPr>
          <w:rFonts w:cs="Arial"/>
          <w:szCs w:val="24"/>
        </w:rPr>
        <w:t xml:space="preserve"> December as a guest.  Nigel Johnson, ARC Chair, will be attending TPSPB on 23</w:t>
      </w:r>
      <w:r w:rsidRPr="007F3B9D">
        <w:rPr>
          <w:rFonts w:cs="Arial"/>
          <w:szCs w:val="24"/>
          <w:vertAlign w:val="superscript"/>
        </w:rPr>
        <w:t>rd</w:t>
      </w:r>
      <w:r>
        <w:rPr>
          <w:rFonts w:cs="Arial"/>
          <w:szCs w:val="24"/>
        </w:rPr>
        <w:t xml:space="preserve"> January 2019 as a guest. </w:t>
      </w:r>
    </w:p>
    <w:p w14:paraId="6931BB78" w14:textId="77777777" w:rsidR="00C67095" w:rsidRDefault="00C67095" w:rsidP="001E3EF0">
      <w:pPr>
        <w:pStyle w:val="ListParagraph"/>
        <w:widowControl/>
        <w:overflowPunct/>
        <w:autoSpaceDE/>
        <w:autoSpaceDN/>
        <w:adjustRightInd/>
        <w:ind w:left="709" w:hanging="567"/>
        <w:textAlignment w:val="auto"/>
        <w:rPr>
          <w:rFonts w:cs="Arial"/>
          <w:szCs w:val="24"/>
        </w:rPr>
      </w:pPr>
    </w:p>
    <w:p w14:paraId="33F1E22E" w14:textId="77777777" w:rsidR="00C67095" w:rsidRDefault="00EF47E6" w:rsidP="001E3EF0">
      <w:pPr>
        <w:pStyle w:val="ListParagraph"/>
        <w:widowControl/>
        <w:numPr>
          <w:ilvl w:val="0"/>
          <w:numId w:val="40"/>
        </w:numPr>
        <w:overflowPunct/>
        <w:autoSpaceDE/>
        <w:autoSpaceDN/>
        <w:adjustRightInd/>
        <w:ind w:left="709" w:hanging="567"/>
        <w:textAlignment w:val="auto"/>
        <w:rPr>
          <w:rFonts w:cs="Arial"/>
          <w:szCs w:val="24"/>
        </w:rPr>
      </w:pPr>
      <w:r w:rsidRPr="007B367A">
        <w:rPr>
          <w:rFonts w:cs="Arial"/>
          <w:szCs w:val="24"/>
        </w:rPr>
        <w:t xml:space="preserve">The risk management process remains robust, with regular monthly meetings held between the DfE Senior Risk and Finance Manager, DfE contract Manager and TP Risk Manager, to assess the level and status of active risks, to discuss potential emerging risks and approaches to continuously improve risk management. </w:t>
      </w:r>
    </w:p>
    <w:p w14:paraId="617ED4A7" w14:textId="77777777" w:rsidR="00C67095" w:rsidRPr="00C67095" w:rsidRDefault="00C67095" w:rsidP="001E3EF0">
      <w:pPr>
        <w:pStyle w:val="ListParagraph"/>
        <w:ind w:left="709" w:hanging="567"/>
        <w:rPr>
          <w:rFonts w:cs="Arial"/>
          <w:szCs w:val="24"/>
        </w:rPr>
      </w:pPr>
    </w:p>
    <w:p w14:paraId="59B0F19E" w14:textId="77777777" w:rsidR="00C67095" w:rsidRDefault="007C055C" w:rsidP="001E3EF0">
      <w:pPr>
        <w:pStyle w:val="ListParagraph"/>
        <w:widowControl/>
        <w:numPr>
          <w:ilvl w:val="0"/>
          <w:numId w:val="40"/>
        </w:numPr>
        <w:overflowPunct/>
        <w:autoSpaceDE/>
        <w:autoSpaceDN/>
        <w:adjustRightInd/>
        <w:ind w:left="709" w:hanging="567"/>
        <w:textAlignment w:val="auto"/>
        <w:rPr>
          <w:rFonts w:cs="Arial"/>
          <w:szCs w:val="24"/>
        </w:rPr>
      </w:pPr>
      <w:r w:rsidRPr="00C67095">
        <w:rPr>
          <w:rFonts w:cs="Arial"/>
          <w:szCs w:val="24"/>
        </w:rPr>
        <w:t>The Teachers’ Pension Scheme Risk Appetite has been reviewed and approved by the Quarterly Strategy Board (QSB).  The Scheme Manager has overall ownership of the Appetite.  Risks that require intervention will be escalated to QSB for review and action.</w:t>
      </w:r>
    </w:p>
    <w:p w14:paraId="74322A43" w14:textId="77777777" w:rsidR="00C67095" w:rsidRPr="00C67095" w:rsidRDefault="00C67095" w:rsidP="00C67095">
      <w:pPr>
        <w:pStyle w:val="ListParagraph"/>
        <w:rPr>
          <w:rFonts w:cs="Arial"/>
          <w:szCs w:val="24"/>
        </w:rPr>
      </w:pPr>
    </w:p>
    <w:p w14:paraId="438C53CF" w14:textId="77777777" w:rsidR="00C67095" w:rsidRDefault="00EF47E6" w:rsidP="001E3EF0">
      <w:pPr>
        <w:pStyle w:val="ListParagraph"/>
        <w:widowControl/>
        <w:numPr>
          <w:ilvl w:val="0"/>
          <w:numId w:val="40"/>
        </w:numPr>
        <w:overflowPunct/>
        <w:autoSpaceDE/>
        <w:autoSpaceDN/>
        <w:adjustRightInd/>
        <w:ind w:left="709" w:hanging="567"/>
        <w:textAlignment w:val="auto"/>
        <w:rPr>
          <w:rFonts w:cs="Arial"/>
          <w:szCs w:val="24"/>
        </w:rPr>
      </w:pPr>
      <w:r w:rsidRPr="00C67095">
        <w:rPr>
          <w:rFonts w:cs="Arial"/>
          <w:szCs w:val="24"/>
        </w:rPr>
        <w:t>There are 2</w:t>
      </w:r>
      <w:r w:rsidR="00C87CA9" w:rsidRPr="00C67095">
        <w:rPr>
          <w:rFonts w:cs="Arial"/>
          <w:szCs w:val="24"/>
        </w:rPr>
        <w:t>6</w:t>
      </w:r>
      <w:r w:rsidRPr="00C67095">
        <w:rPr>
          <w:rFonts w:cs="Arial"/>
          <w:szCs w:val="24"/>
        </w:rPr>
        <w:t xml:space="preserve"> strategic risks under management (2</w:t>
      </w:r>
      <w:r w:rsidR="00C87CA9" w:rsidRPr="00C67095">
        <w:rPr>
          <w:rFonts w:cs="Arial"/>
          <w:szCs w:val="24"/>
        </w:rPr>
        <w:t>7</w:t>
      </w:r>
      <w:r w:rsidRPr="00C67095">
        <w:rPr>
          <w:rFonts w:cs="Arial"/>
          <w:szCs w:val="24"/>
        </w:rPr>
        <w:t xml:space="preserve"> at last reporting period). Three of the risks have MEDIUM net r</w:t>
      </w:r>
      <w:r w:rsidR="00C87CA9" w:rsidRPr="00C67095">
        <w:rPr>
          <w:rFonts w:cs="Arial"/>
          <w:szCs w:val="24"/>
        </w:rPr>
        <w:t>isk scores and the remaining 23</w:t>
      </w:r>
      <w:r w:rsidRPr="00C67095">
        <w:rPr>
          <w:rFonts w:cs="Arial"/>
          <w:szCs w:val="24"/>
        </w:rPr>
        <w:t xml:space="preserve"> are LOW. All have a number of existing controls in place and continue to be actively monitored and mitigated.</w:t>
      </w:r>
    </w:p>
    <w:p w14:paraId="7978159F" w14:textId="77777777" w:rsidR="00C67095" w:rsidRPr="00C67095" w:rsidRDefault="00C67095" w:rsidP="001E3EF0">
      <w:pPr>
        <w:pStyle w:val="ListParagraph"/>
        <w:ind w:left="709" w:hanging="567"/>
        <w:rPr>
          <w:rFonts w:cs="Arial"/>
          <w:szCs w:val="24"/>
        </w:rPr>
      </w:pPr>
    </w:p>
    <w:p w14:paraId="0EE26469" w14:textId="77777777" w:rsidR="00EF47E6" w:rsidRPr="00C67095" w:rsidRDefault="00EF47E6" w:rsidP="001E3EF0">
      <w:pPr>
        <w:pStyle w:val="ListParagraph"/>
        <w:widowControl/>
        <w:numPr>
          <w:ilvl w:val="0"/>
          <w:numId w:val="40"/>
        </w:numPr>
        <w:overflowPunct/>
        <w:autoSpaceDE/>
        <w:autoSpaceDN/>
        <w:adjustRightInd/>
        <w:ind w:left="709" w:hanging="567"/>
        <w:textAlignment w:val="auto"/>
        <w:rPr>
          <w:rFonts w:cs="Arial"/>
          <w:szCs w:val="24"/>
        </w:rPr>
      </w:pPr>
      <w:r w:rsidRPr="00C67095">
        <w:rPr>
          <w:rFonts w:cs="Arial"/>
          <w:szCs w:val="24"/>
        </w:rPr>
        <w:t>In</w:t>
      </w:r>
      <w:r w:rsidR="00C87CA9" w:rsidRPr="00C67095">
        <w:rPr>
          <w:rFonts w:cs="Arial"/>
          <w:szCs w:val="24"/>
        </w:rPr>
        <w:t xml:space="preserve"> addition, there are a further 18</w:t>
      </w:r>
      <w:r w:rsidRPr="00C67095">
        <w:rPr>
          <w:rFonts w:cs="Arial"/>
          <w:szCs w:val="24"/>
        </w:rPr>
        <w:t xml:space="preserve"> operational (service deli</w:t>
      </w:r>
      <w:r w:rsidR="00C87CA9" w:rsidRPr="00C67095">
        <w:rPr>
          <w:rFonts w:cs="Arial"/>
          <w:szCs w:val="24"/>
        </w:rPr>
        <w:t>very) risks under management (21</w:t>
      </w:r>
      <w:r w:rsidRPr="00C67095">
        <w:rPr>
          <w:rFonts w:cs="Arial"/>
          <w:szCs w:val="24"/>
        </w:rPr>
        <w:t xml:space="preserve"> at last reporting period). One risk is rated as HIGH. This risk relates to the significant increase in the volume of member engagements and transactions (including data amendments from employers). The remaining risks a</w:t>
      </w:r>
      <w:r w:rsidR="00C87CA9" w:rsidRPr="00C67095">
        <w:rPr>
          <w:rFonts w:cs="Arial"/>
          <w:szCs w:val="24"/>
        </w:rPr>
        <w:t>re rated MEDIUM (3</w:t>
      </w:r>
      <w:r w:rsidRPr="00C67095">
        <w:rPr>
          <w:rFonts w:cs="Arial"/>
          <w:szCs w:val="24"/>
        </w:rPr>
        <w:t>) and LOW (1</w:t>
      </w:r>
      <w:r w:rsidR="00C87CA9" w:rsidRPr="00C67095">
        <w:rPr>
          <w:rFonts w:cs="Arial"/>
          <w:szCs w:val="24"/>
        </w:rPr>
        <w:t>4</w:t>
      </w:r>
      <w:r w:rsidRPr="00C67095">
        <w:rPr>
          <w:rFonts w:cs="Arial"/>
          <w:szCs w:val="24"/>
        </w:rPr>
        <w:t>).</w:t>
      </w:r>
    </w:p>
    <w:p w14:paraId="1E32B623" w14:textId="77777777" w:rsidR="006B3E5C" w:rsidRDefault="006B3E5C" w:rsidP="00A77E6C">
      <w:pPr>
        <w:pStyle w:val="DeptBullets"/>
        <w:numPr>
          <w:ilvl w:val="0"/>
          <w:numId w:val="0"/>
        </w:numPr>
        <w:tabs>
          <w:tab w:val="left" w:pos="720"/>
        </w:tabs>
        <w:spacing w:after="0"/>
        <w:ind w:right="-58"/>
        <w:textAlignment w:val="auto"/>
        <w:rPr>
          <w:rFonts w:cs="Arial"/>
          <w:b/>
          <w:szCs w:val="24"/>
        </w:rPr>
      </w:pPr>
    </w:p>
    <w:p w14:paraId="1A8213B7" w14:textId="77777777" w:rsidR="00EF47E6" w:rsidRPr="007B367A" w:rsidRDefault="00EF47E6" w:rsidP="00A77E6C">
      <w:pPr>
        <w:pStyle w:val="DeptBullets"/>
        <w:numPr>
          <w:ilvl w:val="0"/>
          <w:numId w:val="0"/>
        </w:numPr>
        <w:tabs>
          <w:tab w:val="left" w:pos="720"/>
        </w:tabs>
        <w:spacing w:after="0"/>
        <w:ind w:right="-58"/>
        <w:textAlignment w:val="auto"/>
        <w:rPr>
          <w:rFonts w:cs="Arial"/>
          <w:b/>
          <w:szCs w:val="24"/>
        </w:rPr>
      </w:pPr>
      <w:r w:rsidRPr="007B367A">
        <w:rPr>
          <w:rFonts w:cs="Arial"/>
          <w:b/>
          <w:szCs w:val="24"/>
        </w:rPr>
        <w:t>GIA</w:t>
      </w:r>
      <w:r w:rsidR="003B0386" w:rsidRPr="007B367A">
        <w:rPr>
          <w:rFonts w:cs="Arial"/>
          <w:b/>
          <w:szCs w:val="24"/>
        </w:rPr>
        <w:t xml:space="preserve"> </w:t>
      </w:r>
    </w:p>
    <w:p w14:paraId="0B3B1366" w14:textId="77777777" w:rsidR="00C67095" w:rsidRDefault="00C67095" w:rsidP="00C67095">
      <w:pPr>
        <w:rPr>
          <w:rFonts w:cs="Arial"/>
          <w:szCs w:val="24"/>
        </w:rPr>
      </w:pPr>
    </w:p>
    <w:p w14:paraId="7463E134" w14:textId="77777777" w:rsidR="003633E6" w:rsidRPr="005E3EA0" w:rsidRDefault="00EF47E6" w:rsidP="001E3EF0">
      <w:pPr>
        <w:pStyle w:val="ListParagraph"/>
        <w:widowControl/>
        <w:numPr>
          <w:ilvl w:val="0"/>
          <w:numId w:val="40"/>
        </w:numPr>
        <w:overflowPunct/>
        <w:autoSpaceDE/>
        <w:adjustRightInd/>
        <w:ind w:left="709" w:hanging="567"/>
        <w:rPr>
          <w:rFonts w:cs="Arial"/>
          <w:b/>
          <w:szCs w:val="24"/>
          <w:lang w:eastAsia="en-GB"/>
        </w:rPr>
      </w:pPr>
      <w:r w:rsidRPr="005E3EA0">
        <w:rPr>
          <w:rFonts w:cs="Arial"/>
          <w:szCs w:val="24"/>
        </w:rPr>
        <w:t>The Capita Group Internal Audit (GIA) Plan continues to progress well with the table below confirming position against the plan.</w:t>
      </w:r>
    </w:p>
    <w:p w14:paraId="36C38E17" w14:textId="77777777" w:rsidR="003633E6" w:rsidRPr="007B367A" w:rsidRDefault="003633E6" w:rsidP="00D664A1">
      <w:pPr>
        <w:widowControl/>
        <w:overflowPunct/>
        <w:autoSpaceDE/>
        <w:adjustRightInd/>
        <w:rPr>
          <w:rFonts w:cs="Arial"/>
          <w:b/>
          <w:szCs w:val="24"/>
          <w:lang w:eastAsia="en-GB"/>
        </w:rPr>
      </w:pPr>
    </w:p>
    <w:p w14:paraId="072EC820" w14:textId="77777777" w:rsidR="00FD222F" w:rsidRDefault="00FD222F" w:rsidP="00FD222F">
      <w:pPr>
        <w:widowControl/>
        <w:overflowPunct/>
        <w:autoSpaceDE/>
        <w:adjustRightInd/>
        <w:ind w:left="15"/>
        <w:jc w:val="center"/>
        <w:rPr>
          <w:rFonts w:cs="Arial"/>
          <w:b/>
          <w:szCs w:val="24"/>
          <w:lang w:eastAsia="en-GB"/>
        </w:rPr>
      </w:pPr>
    </w:p>
    <w:p w14:paraId="28C016D8" w14:textId="77777777" w:rsidR="009E7876" w:rsidRDefault="009E7876" w:rsidP="00FD222F">
      <w:pPr>
        <w:widowControl/>
        <w:overflowPunct/>
        <w:autoSpaceDE/>
        <w:adjustRightInd/>
        <w:ind w:left="15"/>
        <w:jc w:val="center"/>
        <w:rPr>
          <w:rFonts w:cs="Arial"/>
          <w:b/>
          <w:szCs w:val="24"/>
          <w:lang w:eastAsia="en-GB"/>
        </w:rPr>
      </w:pPr>
    </w:p>
    <w:p w14:paraId="6C391E2E" w14:textId="77777777" w:rsidR="009E7876" w:rsidRDefault="009E7876" w:rsidP="00FD222F">
      <w:pPr>
        <w:widowControl/>
        <w:overflowPunct/>
        <w:autoSpaceDE/>
        <w:adjustRightInd/>
        <w:ind w:left="15"/>
        <w:jc w:val="center"/>
        <w:rPr>
          <w:rFonts w:cs="Arial"/>
          <w:b/>
          <w:szCs w:val="24"/>
          <w:lang w:eastAsia="en-GB"/>
        </w:rPr>
      </w:pPr>
    </w:p>
    <w:p w14:paraId="6647B003" w14:textId="77777777" w:rsidR="009E7876" w:rsidRDefault="009E7876" w:rsidP="00FD222F">
      <w:pPr>
        <w:widowControl/>
        <w:overflowPunct/>
        <w:autoSpaceDE/>
        <w:adjustRightInd/>
        <w:ind w:left="15"/>
        <w:jc w:val="center"/>
        <w:rPr>
          <w:rFonts w:cs="Arial"/>
          <w:b/>
          <w:szCs w:val="24"/>
          <w:lang w:eastAsia="en-GB"/>
        </w:rPr>
      </w:pPr>
    </w:p>
    <w:p w14:paraId="6738531B" w14:textId="77777777" w:rsidR="009E7876" w:rsidRDefault="009E7876" w:rsidP="00FD222F">
      <w:pPr>
        <w:widowControl/>
        <w:overflowPunct/>
        <w:autoSpaceDE/>
        <w:adjustRightInd/>
        <w:ind w:left="15"/>
        <w:jc w:val="center"/>
        <w:rPr>
          <w:rFonts w:cs="Arial"/>
          <w:b/>
          <w:szCs w:val="24"/>
          <w:lang w:eastAsia="en-GB"/>
        </w:rPr>
      </w:pPr>
    </w:p>
    <w:p w14:paraId="76D921D9" w14:textId="77777777" w:rsidR="009E7876" w:rsidRDefault="009E7876" w:rsidP="00FD222F">
      <w:pPr>
        <w:widowControl/>
        <w:overflowPunct/>
        <w:autoSpaceDE/>
        <w:adjustRightInd/>
        <w:ind w:left="15"/>
        <w:jc w:val="center"/>
        <w:rPr>
          <w:rFonts w:cs="Arial"/>
          <w:b/>
          <w:szCs w:val="24"/>
          <w:lang w:eastAsia="en-GB"/>
        </w:rPr>
      </w:pPr>
    </w:p>
    <w:p w14:paraId="02F48962" w14:textId="77777777" w:rsidR="009E7876" w:rsidRDefault="009E7876" w:rsidP="00FD222F">
      <w:pPr>
        <w:widowControl/>
        <w:overflowPunct/>
        <w:autoSpaceDE/>
        <w:adjustRightInd/>
        <w:ind w:left="15"/>
        <w:jc w:val="center"/>
        <w:rPr>
          <w:rFonts w:cs="Arial"/>
          <w:b/>
          <w:szCs w:val="24"/>
          <w:lang w:eastAsia="en-GB"/>
        </w:rPr>
      </w:pPr>
    </w:p>
    <w:tbl>
      <w:tblPr>
        <w:tblW w:w="0" w:type="dxa"/>
        <w:jc w:val="center"/>
        <w:tblLayout w:type="fixed"/>
        <w:tblLook w:val="04A0" w:firstRow="1" w:lastRow="0" w:firstColumn="1" w:lastColumn="0" w:noHBand="0" w:noVBand="1"/>
      </w:tblPr>
      <w:tblGrid>
        <w:gridCol w:w="1963"/>
        <w:gridCol w:w="490"/>
        <w:gridCol w:w="490"/>
        <w:gridCol w:w="531"/>
        <w:gridCol w:w="438"/>
        <w:gridCol w:w="433"/>
        <w:gridCol w:w="472"/>
        <w:gridCol w:w="452"/>
        <w:gridCol w:w="453"/>
        <w:gridCol w:w="393"/>
        <w:gridCol w:w="452"/>
        <w:gridCol w:w="413"/>
        <w:gridCol w:w="513"/>
        <w:gridCol w:w="452"/>
        <w:gridCol w:w="472"/>
        <w:gridCol w:w="452"/>
        <w:gridCol w:w="434"/>
        <w:gridCol w:w="944"/>
        <w:gridCol w:w="30"/>
        <w:gridCol w:w="236"/>
      </w:tblGrid>
      <w:tr w:rsidR="00FD222F" w14:paraId="147DB41A" w14:textId="77777777" w:rsidTr="00502E80">
        <w:trPr>
          <w:gridAfter w:val="1"/>
          <w:wAfter w:w="144" w:type="dxa"/>
          <w:trHeight w:val="772"/>
          <w:jc w:val="center"/>
        </w:trPr>
        <w:tc>
          <w:tcPr>
            <w:tcW w:w="10250" w:type="dxa"/>
            <w:gridSpan w:val="19"/>
            <w:tcBorders>
              <w:top w:val="single" w:sz="8" w:space="0" w:color="auto"/>
              <w:left w:val="single" w:sz="8" w:space="0" w:color="auto"/>
              <w:bottom w:val="single" w:sz="8" w:space="0" w:color="auto"/>
              <w:right w:val="single" w:sz="8" w:space="0" w:color="000000"/>
            </w:tcBorders>
            <w:shd w:val="clear" w:color="auto" w:fill="969696"/>
            <w:vAlign w:val="bottom"/>
            <w:hideMark/>
          </w:tcPr>
          <w:p w14:paraId="7A471857" w14:textId="77777777" w:rsidR="00FD222F" w:rsidRDefault="00FD222F" w:rsidP="00502E80">
            <w:pPr>
              <w:rPr>
                <w:rFonts w:cs="Arial"/>
                <w:szCs w:val="24"/>
              </w:rPr>
            </w:pPr>
            <w:r>
              <w:rPr>
                <w:rFonts w:cs="Arial"/>
                <w:szCs w:val="24"/>
              </w:rPr>
              <w:t>Overdue 1-30 days: Green; 31-60 days: Amber; 60 days plus: Red</w:t>
            </w:r>
          </w:p>
        </w:tc>
      </w:tr>
      <w:tr w:rsidR="00FD222F" w14:paraId="52528708" w14:textId="77777777" w:rsidTr="00502E80">
        <w:trPr>
          <w:gridAfter w:val="1"/>
          <w:wAfter w:w="144" w:type="dxa"/>
          <w:trHeight w:val="736"/>
          <w:jc w:val="center"/>
        </w:trPr>
        <w:tc>
          <w:tcPr>
            <w:tcW w:w="1963" w:type="dxa"/>
            <w:vMerge w:val="restart"/>
            <w:tcBorders>
              <w:top w:val="nil"/>
              <w:left w:val="single" w:sz="8" w:space="0" w:color="auto"/>
              <w:bottom w:val="single" w:sz="8" w:space="0" w:color="000000"/>
              <w:right w:val="single" w:sz="8" w:space="0" w:color="auto"/>
            </w:tcBorders>
            <w:shd w:val="clear" w:color="auto" w:fill="C0C0C0"/>
            <w:vAlign w:val="bottom"/>
            <w:hideMark/>
          </w:tcPr>
          <w:p w14:paraId="3573029E" w14:textId="77777777" w:rsidR="00FD222F" w:rsidRDefault="00FD222F" w:rsidP="00502E80">
            <w:pPr>
              <w:rPr>
                <w:rFonts w:cs="Arial"/>
                <w:szCs w:val="24"/>
              </w:rPr>
            </w:pPr>
            <w:r>
              <w:rPr>
                <w:rFonts w:cs="Arial"/>
                <w:szCs w:val="24"/>
              </w:rPr>
              <w:t>Source</w:t>
            </w:r>
          </w:p>
        </w:tc>
        <w:tc>
          <w:tcPr>
            <w:tcW w:w="1949" w:type="dxa"/>
            <w:gridSpan w:val="4"/>
            <w:tcBorders>
              <w:top w:val="single" w:sz="8" w:space="0" w:color="auto"/>
              <w:left w:val="nil"/>
              <w:bottom w:val="single" w:sz="8" w:space="0" w:color="auto"/>
              <w:right w:val="single" w:sz="8" w:space="0" w:color="000000"/>
            </w:tcBorders>
            <w:shd w:val="clear" w:color="auto" w:fill="C0C0C0"/>
            <w:vAlign w:val="bottom"/>
            <w:hideMark/>
          </w:tcPr>
          <w:p w14:paraId="18383195" w14:textId="77777777" w:rsidR="00FD222F" w:rsidRDefault="00FD222F" w:rsidP="00502E80">
            <w:pPr>
              <w:jc w:val="center"/>
              <w:rPr>
                <w:rFonts w:cs="Arial"/>
                <w:szCs w:val="24"/>
              </w:rPr>
            </w:pPr>
            <w:r>
              <w:rPr>
                <w:rFonts w:cs="Arial"/>
                <w:szCs w:val="24"/>
              </w:rPr>
              <w:t>Total Open</w:t>
            </w:r>
          </w:p>
        </w:tc>
        <w:tc>
          <w:tcPr>
            <w:tcW w:w="1810" w:type="dxa"/>
            <w:gridSpan w:val="4"/>
            <w:tcBorders>
              <w:top w:val="single" w:sz="8" w:space="0" w:color="auto"/>
              <w:left w:val="nil"/>
              <w:bottom w:val="single" w:sz="8" w:space="0" w:color="auto"/>
              <w:right w:val="single" w:sz="8" w:space="0" w:color="000000"/>
            </w:tcBorders>
            <w:shd w:val="clear" w:color="auto" w:fill="C0C0C0"/>
            <w:vAlign w:val="bottom"/>
            <w:hideMark/>
          </w:tcPr>
          <w:p w14:paraId="3ED2CDDD" w14:textId="77777777" w:rsidR="00FD222F" w:rsidRDefault="00FD222F" w:rsidP="00502E80">
            <w:pPr>
              <w:jc w:val="center"/>
              <w:rPr>
                <w:rFonts w:cs="Arial"/>
                <w:szCs w:val="24"/>
              </w:rPr>
            </w:pPr>
            <w:r>
              <w:rPr>
                <w:rFonts w:cs="Arial"/>
                <w:szCs w:val="24"/>
              </w:rPr>
              <w:t xml:space="preserve">0 to 30 days </w:t>
            </w:r>
          </w:p>
        </w:tc>
        <w:tc>
          <w:tcPr>
            <w:tcW w:w="1771" w:type="dxa"/>
            <w:gridSpan w:val="4"/>
            <w:tcBorders>
              <w:top w:val="single" w:sz="8" w:space="0" w:color="auto"/>
              <w:left w:val="nil"/>
              <w:bottom w:val="single" w:sz="8" w:space="0" w:color="auto"/>
              <w:right w:val="single" w:sz="8" w:space="0" w:color="000000"/>
            </w:tcBorders>
            <w:shd w:val="clear" w:color="auto" w:fill="C0C0C0"/>
            <w:vAlign w:val="bottom"/>
            <w:hideMark/>
          </w:tcPr>
          <w:p w14:paraId="38305B9F" w14:textId="77777777" w:rsidR="00FD222F" w:rsidRDefault="00FD222F" w:rsidP="00502E80">
            <w:pPr>
              <w:jc w:val="center"/>
              <w:rPr>
                <w:rFonts w:cs="Arial"/>
                <w:szCs w:val="24"/>
              </w:rPr>
            </w:pPr>
            <w:r>
              <w:rPr>
                <w:rFonts w:cs="Arial"/>
                <w:szCs w:val="24"/>
              </w:rPr>
              <w:t>31 to 60 days</w:t>
            </w:r>
          </w:p>
        </w:tc>
        <w:tc>
          <w:tcPr>
            <w:tcW w:w="1810" w:type="dxa"/>
            <w:gridSpan w:val="4"/>
            <w:tcBorders>
              <w:top w:val="single" w:sz="8" w:space="0" w:color="auto"/>
              <w:left w:val="nil"/>
              <w:bottom w:val="single" w:sz="8" w:space="0" w:color="auto"/>
              <w:right w:val="single" w:sz="8" w:space="0" w:color="000000"/>
            </w:tcBorders>
            <w:shd w:val="clear" w:color="auto" w:fill="C0C0C0"/>
            <w:vAlign w:val="bottom"/>
            <w:hideMark/>
          </w:tcPr>
          <w:p w14:paraId="3237AF6A" w14:textId="77777777" w:rsidR="00FD222F" w:rsidRDefault="00FD222F" w:rsidP="00502E80">
            <w:pPr>
              <w:jc w:val="center"/>
              <w:rPr>
                <w:rFonts w:cs="Arial"/>
                <w:szCs w:val="24"/>
              </w:rPr>
            </w:pPr>
            <w:r>
              <w:rPr>
                <w:rFonts w:cs="Arial"/>
                <w:szCs w:val="24"/>
              </w:rPr>
              <w:t>60 days +</w:t>
            </w:r>
          </w:p>
        </w:tc>
        <w:tc>
          <w:tcPr>
            <w:tcW w:w="944" w:type="dxa"/>
            <w:gridSpan w:val="2"/>
            <w:vMerge w:val="restart"/>
            <w:tcBorders>
              <w:top w:val="nil"/>
              <w:left w:val="single" w:sz="8" w:space="0" w:color="auto"/>
              <w:bottom w:val="single" w:sz="8" w:space="0" w:color="000000"/>
              <w:right w:val="single" w:sz="8" w:space="0" w:color="auto"/>
            </w:tcBorders>
            <w:shd w:val="clear" w:color="auto" w:fill="C0C0C0"/>
            <w:vAlign w:val="bottom"/>
            <w:hideMark/>
          </w:tcPr>
          <w:p w14:paraId="1D514862" w14:textId="77777777" w:rsidR="00FD222F" w:rsidRDefault="00FD222F" w:rsidP="00502E80">
            <w:pPr>
              <w:jc w:val="center"/>
              <w:rPr>
                <w:rFonts w:cs="Arial"/>
                <w:szCs w:val="24"/>
              </w:rPr>
            </w:pPr>
            <w:r>
              <w:rPr>
                <w:rFonts w:cs="Arial"/>
                <w:szCs w:val="24"/>
              </w:rPr>
              <w:t>Trend</w:t>
            </w:r>
          </w:p>
        </w:tc>
      </w:tr>
      <w:tr w:rsidR="00FD222F" w14:paraId="70C965B3" w14:textId="77777777" w:rsidTr="00502E80">
        <w:trPr>
          <w:gridAfter w:val="1"/>
          <w:wAfter w:w="8" w:type="dxa"/>
          <w:trHeight w:val="736"/>
          <w:jc w:val="center"/>
        </w:trPr>
        <w:tc>
          <w:tcPr>
            <w:tcW w:w="10250" w:type="dxa"/>
            <w:vMerge/>
            <w:tcBorders>
              <w:top w:val="nil"/>
              <w:left w:val="single" w:sz="8" w:space="0" w:color="auto"/>
              <w:bottom w:val="single" w:sz="8" w:space="0" w:color="000000"/>
              <w:right w:val="single" w:sz="8" w:space="0" w:color="auto"/>
            </w:tcBorders>
            <w:vAlign w:val="center"/>
            <w:hideMark/>
          </w:tcPr>
          <w:p w14:paraId="431316EC" w14:textId="77777777" w:rsidR="00FD222F" w:rsidRDefault="00FD222F" w:rsidP="00502E80">
            <w:pPr>
              <w:widowControl/>
              <w:overflowPunct/>
              <w:autoSpaceDE/>
              <w:autoSpaceDN/>
              <w:adjustRightInd/>
              <w:rPr>
                <w:rFonts w:cs="Arial"/>
                <w:szCs w:val="24"/>
              </w:rPr>
            </w:pPr>
          </w:p>
        </w:tc>
        <w:tc>
          <w:tcPr>
            <w:tcW w:w="490" w:type="dxa"/>
            <w:tcBorders>
              <w:top w:val="nil"/>
              <w:left w:val="nil"/>
              <w:bottom w:val="single" w:sz="8" w:space="0" w:color="auto"/>
              <w:right w:val="single" w:sz="8" w:space="0" w:color="auto"/>
            </w:tcBorders>
            <w:shd w:val="clear" w:color="auto" w:fill="C0C0C0"/>
            <w:vAlign w:val="bottom"/>
            <w:hideMark/>
          </w:tcPr>
          <w:p w14:paraId="4E632D7B" w14:textId="77777777" w:rsidR="00FD222F" w:rsidRDefault="00FD222F" w:rsidP="00502E80">
            <w:pPr>
              <w:jc w:val="center"/>
              <w:rPr>
                <w:rFonts w:cs="Arial"/>
                <w:szCs w:val="24"/>
              </w:rPr>
            </w:pPr>
            <w:r>
              <w:rPr>
                <w:rFonts w:cs="Arial"/>
                <w:szCs w:val="24"/>
              </w:rPr>
              <w:t>C</w:t>
            </w:r>
          </w:p>
        </w:tc>
        <w:tc>
          <w:tcPr>
            <w:tcW w:w="490" w:type="dxa"/>
            <w:tcBorders>
              <w:top w:val="nil"/>
              <w:left w:val="nil"/>
              <w:bottom w:val="single" w:sz="8" w:space="0" w:color="auto"/>
              <w:right w:val="single" w:sz="8" w:space="0" w:color="auto"/>
            </w:tcBorders>
            <w:shd w:val="clear" w:color="auto" w:fill="C0C0C0"/>
            <w:vAlign w:val="bottom"/>
            <w:hideMark/>
          </w:tcPr>
          <w:p w14:paraId="4DD4A80A" w14:textId="77777777" w:rsidR="00FD222F" w:rsidRDefault="00FD222F" w:rsidP="00502E80">
            <w:pPr>
              <w:jc w:val="center"/>
              <w:rPr>
                <w:rFonts w:cs="Arial"/>
                <w:szCs w:val="24"/>
              </w:rPr>
            </w:pPr>
            <w:r>
              <w:rPr>
                <w:rFonts w:cs="Arial"/>
                <w:szCs w:val="24"/>
              </w:rPr>
              <w:t>H</w:t>
            </w:r>
          </w:p>
        </w:tc>
        <w:tc>
          <w:tcPr>
            <w:tcW w:w="531" w:type="dxa"/>
            <w:tcBorders>
              <w:top w:val="nil"/>
              <w:left w:val="nil"/>
              <w:bottom w:val="single" w:sz="8" w:space="0" w:color="auto"/>
              <w:right w:val="single" w:sz="8" w:space="0" w:color="auto"/>
            </w:tcBorders>
            <w:shd w:val="clear" w:color="auto" w:fill="C0C0C0"/>
            <w:vAlign w:val="bottom"/>
            <w:hideMark/>
          </w:tcPr>
          <w:p w14:paraId="723F7819" w14:textId="77777777" w:rsidR="00FD222F" w:rsidRDefault="00FD222F" w:rsidP="00502E80">
            <w:pPr>
              <w:jc w:val="center"/>
              <w:rPr>
                <w:rFonts w:cs="Arial"/>
                <w:szCs w:val="24"/>
              </w:rPr>
            </w:pPr>
            <w:r>
              <w:rPr>
                <w:rFonts w:cs="Arial"/>
                <w:szCs w:val="24"/>
              </w:rPr>
              <w:t>M</w:t>
            </w:r>
          </w:p>
        </w:tc>
        <w:tc>
          <w:tcPr>
            <w:tcW w:w="437" w:type="dxa"/>
            <w:tcBorders>
              <w:top w:val="nil"/>
              <w:left w:val="nil"/>
              <w:bottom w:val="single" w:sz="8" w:space="0" w:color="auto"/>
              <w:right w:val="single" w:sz="8" w:space="0" w:color="auto"/>
            </w:tcBorders>
            <w:shd w:val="clear" w:color="auto" w:fill="C0C0C0"/>
            <w:vAlign w:val="bottom"/>
            <w:hideMark/>
          </w:tcPr>
          <w:p w14:paraId="07EF4994" w14:textId="77777777" w:rsidR="00FD222F" w:rsidRDefault="00FD222F" w:rsidP="00502E80">
            <w:pPr>
              <w:jc w:val="center"/>
              <w:rPr>
                <w:rFonts w:cs="Arial"/>
                <w:szCs w:val="24"/>
              </w:rPr>
            </w:pPr>
            <w:r>
              <w:rPr>
                <w:rFonts w:cs="Arial"/>
                <w:szCs w:val="24"/>
              </w:rPr>
              <w:t>L</w:t>
            </w:r>
          </w:p>
        </w:tc>
        <w:tc>
          <w:tcPr>
            <w:tcW w:w="433" w:type="dxa"/>
            <w:tcBorders>
              <w:top w:val="nil"/>
              <w:left w:val="nil"/>
              <w:bottom w:val="single" w:sz="8" w:space="0" w:color="auto"/>
              <w:right w:val="single" w:sz="8" w:space="0" w:color="auto"/>
            </w:tcBorders>
            <w:shd w:val="clear" w:color="auto" w:fill="C0C0C0"/>
            <w:vAlign w:val="bottom"/>
            <w:hideMark/>
          </w:tcPr>
          <w:p w14:paraId="01E654DD" w14:textId="77777777" w:rsidR="00FD222F" w:rsidRDefault="00FD222F" w:rsidP="00502E80">
            <w:pPr>
              <w:jc w:val="center"/>
              <w:rPr>
                <w:rFonts w:cs="Arial"/>
                <w:szCs w:val="24"/>
              </w:rPr>
            </w:pPr>
            <w:r>
              <w:rPr>
                <w:rFonts w:cs="Arial"/>
                <w:szCs w:val="24"/>
              </w:rPr>
              <w:t>C</w:t>
            </w:r>
          </w:p>
        </w:tc>
        <w:tc>
          <w:tcPr>
            <w:tcW w:w="472" w:type="dxa"/>
            <w:tcBorders>
              <w:top w:val="nil"/>
              <w:left w:val="nil"/>
              <w:bottom w:val="single" w:sz="8" w:space="0" w:color="auto"/>
              <w:right w:val="single" w:sz="8" w:space="0" w:color="auto"/>
            </w:tcBorders>
            <w:shd w:val="clear" w:color="auto" w:fill="C0C0C0"/>
            <w:vAlign w:val="bottom"/>
            <w:hideMark/>
          </w:tcPr>
          <w:p w14:paraId="7C524832" w14:textId="77777777" w:rsidR="00FD222F" w:rsidRDefault="00FD222F" w:rsidP="00502E80">
            <w:pPr>
              <w:jc w:val="center"/>
              <w:rPr>
                <w:rFonts w:cs="Arial"/>
                <w:szCs w:val="24"/>
              </w:rPr>
            </w:pPr>
            <w:r>
              <w:rPr>
                <w:rFonts w:cs="Arial"/>
                <w:szCs w:val="24"/>
              </w:rPr>
              <w:t>H</w:t>
            </w:r>
          </w:p>
        </w:tc>
        <w:tc>
          <w:tcPr>
            <w:tcW w:w="452" w:type="dxa"/>
            <w:tcBorders>
              <w:top w:val="nil"/>
              <w:left w:val="nil"/>
              <w:bottom w:val="single" w:sz="8" w:space="0" w:color="auto"/>
              <w:right w:val="single" w:sz="8" w:space="0" w:color="auto"/>
            </w:tcBorders>
            <w:shd w:val="clear" w:color="auto" w:fill="C0C0C0"/>
            <w:vAlign w:val="bottom"/>
            <w:hideMark/>
          </w:tcPr>
          <w:p w14:paraId="7BA8A2EB" w14:textId="77777777" w:rsidR="00FD222F" w:rsidRDefault="00FD222F" w:rsidP="00502E80">
            <w:pPr>
              <w:jc w:val="center"/>
              <w:rPr>
                <w:rFonts w:cs="Arial"/>
                <w:szCs w:val="24"/>
              </w:rPr>
            </w:pPr>
            <w:r>
              <w:rPr>
                <w:rFonts w:cs="Arial"/>
                <w:szCs w:val="24"/>
              </w:rPr>
              <w:t>M</w:t>
            </w:r>
          </w:p>
        </w:tc>
        <w:tc>
          <w:tcPr>
            <w:tcW w:w="452" w:type="dxa"/>
            <w:tcBorders>
              <w:top w:val="nil"/>
              <w:left w:val="nil"/>
              <w:bottom w:val="single" w:sz="8" w:space="0" w:color="auto"/>
              <w:right w:val="single" w:sz="8" w:space="0" w:color="auto"/>
            </w:tcBorders>
            <w:shd w:val="clear" w:color="auto" w:fill="C0C0C0"/>
            <w:vAlign w:val="bottom"/>
            <w:hideMark/>
          </w:tcPr>
          <w:p w14:paraId="0F7F12C7" w14:textId="77777777" w:rsidR="00FD222F" w:rsidRDefault="00FD222F" w:rsidP="00502E80">
            <w:pPr>
              <w:jc w:val="center"/>
              <w:rPr>
                <w:rFonts w:cs="Arial"/>
                <w:szCs w:val="24"/>
              </w:rPr>
            </w:pPr>
            <w:r>
              <w:rPr>
                <w:rFonts w:cs="Arial"/>
                <w:szCs w:val="24"/>
              </w:rPr>
              <w:t>L</w:t>
            </w:r>
          </w:p>
        </w:tc>
        <w:tc>
          <w:tcPr>
            <w:tcW w:w="393" w:type="dxa"/>
            <w:tcBorders>
              <w:top w:val="nil"/>
              <w:left w:val="nil"/>
              <w:bottom w:val="single" w:sz="8" w:space="0" w:color="auto"/>
              <w:right w:val="single" w:sz="8" w:space="0" w:color="auto"/>
            </w:tcBorders>
            <w:shd w:val="clear" w:color="auto" w:fill="C0C0C0"/>
            <w:vAlign w:val="bottom"/>
            <w:hideMark/>
          </w:tcPr>
          <w:p w14:paraId="19000415" w14:textId="77777777" w:rsidR="00FD222F" w:rsidRDefault="00FD222F" w:rsidP="00502E80">
            <w:pPr>
              <w:jc w:val="center"/>
              <w:rPr>
                <w:rFonts w:cs="Arial"/>
                <w:szCs w:val="24"/>
              </w:rPr>
            </w:pPr>
            <w:r>
              <w:rPr>
                <w:rFonts w:cs="Arial"/>
                <w:szCs w:val="24"/>
              </w:rPr>
              <w:t>C</w:t>
            </w:r>
          </w:p>
        </w:tc>
        <w:tc>
          <w:tcPr>
            <w:tcW w:w="452" w:type="dxa"/>
            <w:tcBorders>
              <w:top w:val="nil"/>
              <w:left w:val="nil"/>
              <w:bottom w:val="single" w:sz="8" w:space="0" w:color="auto"/>
              <w:right w:val="single" w:sz="8" w:space="0" w:color="auto"/>
            </w:tcBorders>
            <w:shd w:val="clear" w:color="auto" w:fill="C0C0C0"/>
            <w:vAlign w:val="bottom"/>
            <w:hideMark/>
          </w:tcPr>
          <w:p w14:paraId="30A95E6A" w14:textId="77777777" w:rsidR="00FD222F" w:rsidRDefault="00FD222F" w:rsidP="00502E80">
            <w:pPr>
              <w:jc w:val="center"/>
              <w:rPr>
                <w:rFonts w:cs="Arial"/>
                <w:szCs w:val="24"/>
              </w:rPr>
            </w:pPr>
            <w:r>
              <w:rPr>
                <w:rFonts w:cs="Arial"/>
                <w:szCs w:val="24"/>
              </w:rPr>
              <w:t>H</w:t>
            </w:r>
          </w:p>
        </w:tc>
        <w:tc>
          <w:tcPr>
            <w:tcW w:w="413" w:type="dxa"/>
            <w:tcBorders>
              <w:top w:val="nil"/>
              <w:left w:val="nil"/>
              <w:bottom w:val="single" w:sz="8" w:space="0" w:color="auto"/>
              <w:right w:val="single" w:sz="8" w:space="0" w:color="auto"/>
            </w:tcBorders>
            <w:shd w:val="clear" w:color="auto" w:fill="C0C0C0"/>
            <w:vAlign w:val="bottom"/>
            <w:hideMark/>
          </w:tcPr>
          <w:p w14:paraId="6C97D89B" w14:textId="77777777" w:rsidR="00FD222F" w:rsidRDefault="00FD222F" w:rsidP="00502E80">
            <w:pPr>
              <w:jc w:val="center"/>
              <w:rPr>
                <w:rFonts w:cs="Arial"/>
                <w:szCs w:val="24"/>
              </w:rPr>
            </w:pPr>
            <w:r>
              <w:rPr>
                <w:rFonts w:cs="Arial"/>
                <w:szCs w:val="24"/>
              </w:rPr>
              <w:t>M</w:t>
            </w:r>
          </w:p>
        </w:tc>
        <w:tc>
          <w:tcPr>
            <w:tcW w:w="511" w:type="dxa"/>
            <w:tcBorders>
              <w:top w:val="nil"/>
              <w:left w:val="nil"/>
              <w:bottom w:val="single" w:sz="8" w:space="0" w:color="auto"/>
              <w:right w:val="single" w:sz="8" w:space="0" w:color="auto"/>
            </w:tcBorders>
            <w:shd w:val="clear" w:color="auto" w:fill="C0C0C0"/>
            <w:vAlign w:val="bottom"/>
            <w:hideMark/>
          </w:tcPr>
          <w:p w14:paraId="185D92D2" w14:textId="77777777" w:rsidR="00FD222F" w:rsidRDefault="00FD222F" w:rsidP="00502E80">
            <w:pPr>
              <w:jc w:val="center"/>
              <w:rPr>
                <w:rFonts w:cs="Arial"/>
                <w:szCs w:val="24"/>
              </w:rPr>
            </w:pPr>
            <w:r>
              <w:rPr>
                <w:rFonts w:cs="Arial"/>
                <w:szCs w:val="24"/>
              </w:rPr>
              <w:t>L</w:t>
            </w:r>
          </w:p>
        </w:tc>
        <w:tc>
          <w:tcPr>
            <w:tcW w:w="452" w:type="dxa"/>
            <w:tcBorders>
              <w:top w:val="nil"/>
              <w:left w:val="nil"/>
              <w:bottom w:val="single" w:sz="8" w:space="0" w:color="auto"/>
              <w:right w:val="single" w:sz="8" w:space="0" w:color="auto"/>
            </w:tcBorders>
            <w:shd w:val="clear" w:color="auto" w:fill="C0C0C0"/>
            <w:vAlign w:val="bottom"/>
            <w:hideMark/>
          </w:tcPr>
          <w:p w14:paraId="58D633F7" w14:textId="77777777" w:rsidR="00FD222F" w:rsidRDefault="00FD222F" w:rsidP="00502E80">
            <w:pPr>
              <w:jc w:val="center"/>
              <w:rPr>
                <w:rFonts w:cs="Arial"/>
                <w:szCs w:val="24"/>
              </w:rPr>
            </w:pPr>
            <w:r>
              <w:rPr>
                <w:rFonts w:cs="Arial"/>
                <w:szCs w:val="24"/>
              </w:rPr>
              <w:t>C</w:t>
            </w:r>
          </w:p>
        </w:tc>
        <w:tc>
          <w:tcPr>
            <w:tcW w:w="472" w:type="dxa"/>
            <w:tcBorders>
              <w:top w:val="nil"/>
              <w:left w:val="nil"/>
              <w:bottom w:val="single" w:sz="8" w:space="0" w:color="auto"/>
              <w:right w:val="single" w:sz="8" w:space="0" w:color="auto"/>
            </w:tcBorders>
            <w:shd w:val="clear" w:color="auto" w:fill="C0C0C0"/>
            <w:vAlign w:val="bottom"/>
            <w:hideMark/>
          </w:tcPr>
          <w:p w14:paraId="2C9474FB" w14:textId="77777777" w:rsidR="00FD222F" w:rsidRDefault="00FD222F" w:rsidP="00502E80">
            <w:pPr>
              <w:jc w:val="center"/>
              <w:rPr>
                <w:rFonts w:cs="Arial"/>
                <w:szCs w:val="24"/>
              </w:rPr>
            </w:pPr>
            <w:r>
              <w:rPr>
                <w:rFonts w:cs="Arial"/>
                <w:szCs w:val="24"/>
              </w:rPr>
              <w:t>H</w:t>
            </w:r>
          </w:p>
        </w:tc>
        <w:tc>
          <w:tcPr>
            <w:tcW w:w="452" w:type="dxa"/>
            <w:tcBorders>
              <w:top w:val="nil"/>
              <w:left w:val="nil"/>
              <w:bottom w:val="single" w:sz="8" w:space="0" w:color="auto"/>
              <w:right w:val="single" w:sz="8" w:space="0" w:color="auto"/>
            </w:tcBorders>
            <w:shd w:val="clear" w:color="auto" w:fill="C0C0C0"/>
            <w:vAlign w:val="bottom"/>
            <w:hideMark/>
          </w:tcPr>
          <w:p w14:paraId="56588A63" w14:textId="77777777" w:rsidR="00FD222F" w:rsidRDefault="00FD222F" w:rsidP="00502E80">
            <w:pPr>
              <w:jc w:val="center"/>
              <w:rPr>
                <w:rFonts w:cs="Arial"/>
                <w:szCs w:val="24"/>
              </w:rPr>
            </w:pPr>
            <w:r>
              <w:rPr>
                <w:rFonts w:cs="Arial"/>
                <w:szCs w:val="24"/>
              </w:rPr>
              <w:t>M</w:t>
            </w:r>
          </w:p>
        </w:tc>
        <w:tc>
          <w:tcPr>
            <w:tcW w:w="433" w:type="dxa"/>
            <w:tcBorders>
              <w:top w:val="nil"/>
              <w:left w:val="nil"/>
              <w:bottom w:val="single" w:sz="8" w:space="0" w:color="auto"/>
              <w:right w:val="single" w:sz="8" w:space="0" w:color="auto"/>
            </w:tcBorders>
            <w:shd w:val="clear" w:color="auto" w:fill="C0C0C0"/>
            <w:vAlign w:val="bottom"/>
            <w:hideMark/>
          </w:tcPr>
          <w:p w14:paraId="1DC1E390" w14:textId="77777777" w:rsidR="00FD222F" w:rsidRDefault="00FD222F" w:rsidP="00502E80">
            <w:pPr>
              <w:jc w:val="center"/>
              <w:rPr>
                <w:rFonts w:cs="Arial"/>
                <w:szCs w:val="24"/>
              </w:rPr>
            </w:pPr>
            <w:r>
              <w:rPr>
                <w:rFonts w:cs="Arial"/>
                <w:szCs w:val="24"/>
              </w:rPr>
              <w:t>L</w:t>
            </w:r>
          </w:p>
        </w:tc>
        <w:tc>
          <w:tcPr>
            <w:tcW w:w="1088" w:type="dxa"/>
            <w:gridSpan w:val="2"/>
            <w:vMerge/>
            <w:tcBorders>
              <w:top w:val="nil"/>
              <w:left w:val="nil"/>
              <w:bottom w:val="single" w:sz="8" w:space="0" w:color="auto"/>
              <w:right w:val="single" w:sz="8" w:space="0" w:color="auto"/>
            </w:tcBorders>
            <w:vAlign w:val="center"/>
            <w:hideMark/>
          </w:tcPr>
          <w:p w14:paraId="3243DEDC" w14:textId="77777777" w:rsidR="00FD222F" w:rsidRDefault="00FD222F" w:rsidP="00502E80">
            <w:pPr>
              <w:widowControl/>
              <w:overflowPunct/>
              <w:autoSpaceDE/>
              <w:autoSpaceDN/>
              <w:adjustRightInd/>
              <w:rPr>
                <w:rFonts w:cs="Arial"/>
                <w:szCs w:val="24"/>
              </w:rPr>
            </w:pPr>
          </w:p>
        </w:tc>
      </w:tr>
      <w:tr w:rsidR="00FD222F" w14:paraId="1AF6BE40" w14:textId="77777777" w:rsidTr="00502E80">
        <w:trPr>
          <w:trHeight w:val="736"/>
          <w:jc w:val="center"/>
        </w:trPr>
        <w:tc>
          <w:tcPr>
            <w:tcW w:w="1963" w:type="dxa"/>
            <w:tcBorders>
              <w:top w:val="nil"/>
              <w:left w:val="single" w:sz="8" w:space="0" w:color="auto"/>
              <w:bottom w:val="single" w:sz="8" w:space="0" w:color="auto"/>
              <w:right w:val="single" w:sz="8" w:space="0" w:color="auto"/>
            </w:tcBorders>
            <w:noWrap/>
            <w:vAlign w:val="bottom"/>
            <w:hideMark/>
          </w:tcPr>
          <w:p w14:paraId="794F84AD" w14:textId="77777777" w:rsidR="00FD222F" w:rsidRDefault="00FD222F" w:rsidP="00502E80">
            <w:pPr>
              <w:rPr>
                <w:rFonts w:cs="Arial"/>
                <w:szCs w:val="24"/>
              </w:rPr>
            </w:pPr>
            <w:r>
              <w:rPr>
                <w:rFonts w:cs="Arial"/>
                <w:szCs w:val="24"/>
              </w:rPr>
              <w:t>TPS Operations</w:t>
            </w:r>
          </w:p>
        </w:tc>
        <w:tc>
          <w:tcPr>
            <w:tcW w:w="490" w:type="dxa"/>
            <w:tcBorders>
              <w:top w:val="nil"/>
              <w:left w:val="nil"/>
              <w:bottom w:val="single" w:sz="8" w:space="0" w:color="auto"/>
              <w:right w:val="single" w:sz="8" w:space="0" w:color="auto"/>
            </w:tcBorders>
            <w:noWrap/>
            <w:vAlign w:val="bottom"/>
            <w:hideMark/>
          </w:tcPr>
          <w:p w14:paraId="7AA1DC67" w14:textId="77777777" w:rsidR="00FD222F" w:rsidRDefault="00FD222F" w:rsidP="00502E80">
            <w:pPr>
              <w:jc w:val="center"/>
              <w:rPr>
                <w:rFonts w:cs="Arial"/>
                <w:szCs w:val="24"/>
              </w:rPr>
            </w:pPr>
            <w:r>
              <w:rPr>
                <w:rFonts w:cs="Arial"/>
                <w:szCs w:val="24"/>
              </w:rPr>
              <w:t>0</w:t>
            </w:r>
          </w:p>
        </w:tc>
        <w:tc>
          <w:tcPr>
            <w:tcW w:w="490" w:type="dxa"/>
            <w:tcBorders>
              <w:top w:val="nil"/>
              <w:left w:val="nil"/>
              <w:bottom w:val="single" w:sz="8" w:space="0" w:color="auto"/>
              <w:right w:val="single" w:sz="8" w:space="0" w:color="auto"/>
            </w:tcBorders>
            <w:noWrap/>
            <w:vAlign w:val="bottom"/>
            <w:hideMark/>
          </w:tcPr>
          <w:p w14:paraId="2E91497D" w14:textId="77777777" w:rsidR="00FD222F" w:rsidRDefault="00FD222F" w:rsidP="00502E80">
            <w:pPr>
              <w:jc w:val="center"/>
              <w:rPr>
                <w:rFonts w:cs="Arial"/>
                <w:szCs w:val="24"/>
              </w:rPr>
            </w:pPr>
            <w:r>
              <w:rPr>
                <w:rFonts w:cs="Arial"/>
                <w:szCs w:val="24"/>
              </w:rPr>
              <w:t>0</w:t>
            </w:r>
          </w:p>
        </w:tc>
        <w:tc>
          <w:tcPr>
            <w:tcW w:w="531" w:type="dxa"/>
            <w:tcBorders>
              <w:top w:val="nil"/>
              <w:left w:val="nil"/>
              <w:bottom w:val="single" w:sz="8" w:space="0" w:color="auto"/>
              <w:right w:val="single" w:sz="8" w:space="0" w:color="auto"/>
            </w:tcBorders>
            <w:noWrap/>
            <w:vAlign w:val="bottom"/>
            <w:hideMark/>
          </w:tcPr>
          <w:p w14:paraId="16BD13CF" w14:textId="77777777" w:rsidR="00FD222F" w:rsidRDefault="00FD222F" w:rsidP="00502E80">
            <w:pPr>
              <w:jc w:val="center"/>
              <w:rPr>
                <w:rFonts w:cs="Arial"/>
                <w:szCs w:val="24"/>
              </w:rPr>
            </w:pPr>
            <w:r>
              <w:rPr>
                <w:rFonts w:cs="Arial"/>
                <w:szCs w:val="24"/>
              </w:rPr>
              <w:t>1</w:t>
            </w:r>
          </w:p>
        </w:tc>
        <w:tc>
          <w:tcPr>
            <w:tcW w:w="437" w:type="dxa"/>
            <w:tcBorders>
              <w:top w:val="nil"/>
              <w:left w:val="nil"/>
              <w:bottom w:val="single" w:sz="8" w:space="0" w:color="auto"/>
              <w:right w:val="single" w:sz="8" w:space="0" w:color="auto"/>
            </w:tcBorders>
            <w:noWrap/>
            <w:vAlign w:val="bottom"/>
            <w:hideMark/>
          </w:tcPr>
          <w:p w14:paraId="6EADA60B" w14:textId="77777777" w:rsidR="00FD222F" w:rsidRDefault="00FD222F" w:rsidP="00502E80">
            <w:pPr>
              <w:jc w:val="center"/>
              <w:rPr>
                <w:rFonts w:cs="Arial"/>
                <w:szCs w:val="24"/>
              </w:rPr>
            </w:pPr>
            <w:r>
              <w:rPr>
                <w:rFonts w:cs="Arial"/>
                <w:szCs w:val="24"/>
              </w:rPr>
              <w:t>0</w:t>
            </w:r>
          </w:p>
        </w:tc>
        <w:tc>
          <w:tcPr>
            <w:tcW w:w="433" w:type="dxa"/>
            <w:tcBorders>
              <w:top w:val="nil"/>
              <w:left w:val="nil"/>
              <w:bottom w:val="single" w:sz="8" w:space="0" w:color="auto"/>
              <w:right w:val="single" w:sz="8" w:space="0" w:color="auto"/>
            </w:tcBorders>
            <w:shd w:val="clear" w:color="auto" w:fill="00FF00"/>
            <w:noWrap/>
            <w:vAlign w:val="bottom"/>
            <w:hideMark/>
          </w:tcPr>
          <w:p w14:paraId="16C7D688" w14:textId="77777777" w:rsidR="00FD222F" w:rsidRDefault="00FD222F" w:rsidP="00502E80">
            <w:pPr>
              <w:jc w:val="center"/>
              <w:rPr>
                <w:rFonts w:cs="Arial"/>
                <w:szCs w:val="24"/>
              </w:rPr>
            </w:pPr>
            <w:r>
              <w:rPr>
                <w:rFonts w:cs="Arial"/>
                <w:szCs w:val="24"/>
              </w:rPr>
              <w:t>0</w:t>
            </w:r>
          </w:p>
        </w:tc>
        <w:tc>
          <w:tcPr>
            <w:tcW w:w="472" w:type="dxa"/>
            <w:tcBorders>
              <w:top w:val="nil"/>
              <w:left w:val="nil"/>
              <w:bottom w:val="single" w:sz="8" w:space="0" w:color="auto"/>
              <w:right w:val="single" w:sz="8" w:space="0" w:color="auto"/>
            </w:tcBorders>
            <w:shd w:val="clear" w:color="auto" w:fill="00FF00"/>
            <w:noWrap/>
            <w:vAlign w:val="bottom"/>
            <w:hideMark/>
          </w:tcPr>
          <w:p w14:paraId="0B7DCD7E" w14:textId="77777777" w:rsidR="00FD222F" w:rsidRDefault="00FD222F" w:rsidP="00502E80">
            <w:pPr>
              <w:jc w:val="center"/>
              <w:rPr>
                <w:rFonts w:cs="Arial"/>
                <w:szCs w:val="24"/>
              </w:rPr>
            </w:pPr>
            <w:r>
              <w:rPr>
                <w:rFonts w:cs="Arial"/>
                <w:szCs w:val="24"/>
              </w:rPr>
              <w:t>0</w:t>
            </w:r>
          </w:p>
        </w:tc>
        <w:tc>
          <w:tcPr>
            <w:tcW w:w="452" w:type="dxa"/>
            <w:tcBorders>
              <w:top w:val="nil"/>
              <w:left w:val="nil"/>
              <w:bottom w:val="single" w:sz="8" w:space="0" w:color="auto"/>
              <w:right w:val="single" w:sz="8" w:space="0" w:color="auto"/>
            </w:tcBorders>
            <w:shd w:val="clear" w:color="auto" w:fill="00FF00"/>
            <w:noWrap/>
            <w:vAlign w:val="bottom"/>
            <w:hideMark/>
          </w:tcPr>
          <w:p w14:paraId="74410315" w14:textId="77777777" w:rsidR="00FD222F" w:rsidRDefault="00FD222F" w:rsidP="00502E80">
            <w:pPr>
              <w:jc w:val="center"/>
              <w:rPr>
                <w:rFonts w:cs="Arial"/>
                <w:szCs w:val="24"/>
              </w:rPr>
            </w:pPr>
            <w:r>
              <w:rPr>
                <w:rFonts w:cs="Arial"/>
                <w:szCs w:val="24"/>
              </w:rPr>
              <w:t>0</w:t>
            </w:r>
          </w:p>
        </w:tc>
        <w:tc>
          <w:tcPr>
            <w:tcW w:w="452" w:type="dxa"/>
            <w:tcBorders>
              <w:top w:val="nil"/>
              <w:left w:val="nil"/>
              <w:bottom w:val="single" w:sz="8" w:space="0" w:color="auto"/>
              <w:right w:val="single" w:sz="8" w:space="0" w:color="auto"/>
            </w:tcBorders>
            <w:shd w:val="clear" w:color="auto" w:fill="00FF00"/>
            <w:noWrap/>
            <w:vAlign w:val="bottom"/>
            <w:hideMark/>
          </w:tcPr>
          <w:p w14:paraId="7D203230" w14:textId="77777777" w:rsidR="00FD222F" w:rsidRDefault="00FD222F" w:rsidP="00502E80">
            <w:pPr>
              <w:jc w:val="center"/>
              <w:rPr>
                <w:rFonts w:cs="Arial"/>
                <w:szCs w:val="24"/>
              </w:rPr>
            </w:pPr>
            <w:r>
              <w:rPr>
                <w:rFonts w:cs="Arial"/>
                <w:szCs w:val="24"/>
              </w:rPr>
              <w:t>0</w:t>
            </w:r>
          </w:p>
        </w:tc>
        <w:tc>
          <w:tcPr>
            <w:tcW w:w="393" w:type="dxa"/>
            <w:tcBorders>
              <w:top w:val="nil"/>
              <w:left w:val="nil"/>
              <w:bottom w:val="single" w:sz="8" w:space="0" w:color="auto"/>
              <w:right w:val="single" w:sz="8" w:space="0" w:color="auto"/>
            </w:tcBorders>
            <w:shd w:val="clear" w:color="auto" w:fill="FFCC00"/>
            <w:vAlign w:val="bottom"/>
            <w:hideMark/>
          </w:tcPr>
          <w:p w14:paraId="57325B7D" w14:textId="77777777" w:rsidR="00FD222F" w:rsidRDefault="00FD222F" w:rsidP="00502E80">
            <w:pPr>
              <w:jc w:val="center"/>
              <w:rPr>
                <w:rFonts w:cs="Arial"/>
                <w:szCs w:val="24"/>
              </w:rPr>
            </w:pPr>
            <w:r>
              <w:rPr>
                <w:rFonts w:cs="Arial"/>
                <w:szCs w:val="24"/>
              </w:rPr>
              <w:t>0</w:t>
            </w:r>
          </w:p>
        </w:tc>
        <w:tc>
          <w:tcPr>
            <w:tcW w:w="452" w:type="dxa"/>
            <w:tcBorders>
              <w:top w:val="nil"/>
              <w:left w:val="nil"/>
              <w:bottom w:val="single" w:sz="8" w:space="0" w:color="auto"/>
              <w:right w:val="single" w:sz="8" w:space="0" w:color="auto"/>
            </w:tcBorders>
            <w:shd w:val="clear" w:color="auto" w:fill="FFCC00"/>
            <w:vAlign w:val="bottom"/>
            <w:hideMark/>
          </w:tcPr>
          <w:p w14:paraId="41ECB495" w14:textId="77777777" w:rsidR="00FD222F" w:rsidRDefault="00FD222F" w:rsidP="00502E80">
            <w:pPr>
              <w:jc w:val="center"/>
              <w:rPr>
                <w:rFonts w:cs="Arial"/>
                <w:szCs w:val="24"/>
              </w:rPr>
            </w:pPr>
            <w:r>
              <w:rPr>
                <w:rFonts w:cs="Arial"/>
                <w:szCs w:val="24"/>
              </w:rPr>
              <w:t>0</w:t>
            </w:r>
          </w:p>
        </w:tc>
        <w:tc>
          <w:tcPr>
            <w:tcW w:w="413" w:type="dxa"/>
            <w:tcBorders>
              <w:top w:val="nil"/>
              <w:left w:val="nil"/>
              <w:bottom w:val="single" w:sz="8" w:space="0" w:color="auto"/>
              <w:right w:val="single" w:sz="8" w:space="0" w:color="auto"/>
            </w:tcBorders>
            <w:shd w:val="clear" w:color="auto" w:fill="FFCC00"/>
            <w:vAlign w:val="bottom"/>
            <w:hideMark/>
          </w:tcPr>
          <w:p w14:paraId="30D8A0BB" w14:textId="77777777" w:rsidR="00FD222F" w:rsidRDefault="00FD222F" w:rsidP="00502E80">
            <w:pPr>
              <w:jc w:val="center"/>
              <w:rPr>
                <w:rFonts w:cs="Arial"/>
                <w:szCs w:val="24"/>
              </w:rPr>
            </w:pPr>
            <w:r>
              <w:rPr>
                <w:rFonts w:cs="Arial"/>
                <w:szCs w:val="24"/>
              </w:rPr>
              <w:t>0</w:t>
            </w:r>
          </w:p>
        </w:tc>
        <w:tc>
          <w:tcPr>
            <w:tcW w:w="511" w:type="dxa"/>
            <w:tcBorders>
              <w:top w:val="nil"/>
              <w:left w:val="nil"/>
              <w:bottom w:val="single" w:sz="8" w:space="0" w:color="auto"/>
              <w:right w:val="single" w:sz="8" w:space="0" w:color="auto"/>
            </w:tcBorders>
            <w:shd w:val="clear" w:color="auto" w:fill="FFCC00"/>
            <w:vAlign w:val="bottom"/>
            <w:hideMark/>
          </w:tcPr>
          <w:p w14:paraId="019AEF4B" w14:textId="77777777" w:rsidR="00FD222F" w:rsidRDefault="00FD222F" w:rsidP="00502E80">
            <w:pPr>
              <w:jc w:val="center"/>
              <w:rPr>
                <w:rFonts w:cs="Arial"/>
                <w:szCs w:val="24"/>
              </w:rPr>
            </w:pPr>
            <w:r>
              <w:rPr>
                <w:rFonts w:cs="Arial"/>
                <w:szCs w:val="24"/>
              </w:rPr>
              <w:t>0</w:t>
            </w:r>
          </w:p>
        </w:tc>
        <w:tc>
          <w:tcPr>
            <w:tcW w:w="452" w:type="dxa"/>
            <w:tcBorders>
              <w:top w:val="nil"/>
              <w:left w:val="nil"/>
              <w:bottom w:val="single" w:sz="8" w:space="0" w:color="auto"/>
              <w:right w:val="single" w:sz="8" w:space="0" w:color="auto"/>
            </w:tcBorders>
            <w:shd w:val="clear" w:color="auto" w:fill="FF0000"/>
            <w:vAlign w:val="bottom"/>
            <w:hideMark/>
          </w:tcPr>
          <w:p w14:paraId="2FDABD0E" w14:textId="77777777" w:rsidR="00FD222F" w:rsidRDefault="00FD222F" w:rsidP="00502E80">
            <w:pPr>
              <w:jc w:val="center"/>
              <w:rPr>
                <w:rFonts w:cs="Arial"/>
                <w:szCs w:val="24"/>
              </w:rPr>
            </w:pPr>
            <w:r>
              <w:rPr>
                <w:rFonts w:cs="Arial"/>
                <w:szCs w:val="24"/>
              </w:rPr>
              <w:t>0</w:t>
            </w:r>
          </w:p>
        </w:tc>
        <w:tc>
          <w:tcPr>
            <w:tcW w:w="472" w:type="dxa"/>
            <w:tcBorders>
              <w:top w:val="nil"/>
              <w:left w:val="nil"/>
              <w:bottom w:val="single" w:sz="8" w:space="0" w:color="auto"/>
              <w:right w:val="single" w:sz="8" w:space="0" w:color="auto"/>
            </w:tcBorders>
            <w:shd w:val="clear" w:color="auto" w:fill="FF0000"/>
            <w:vAlign w:val="bottom"/>
            <w:hideMark/>
          </w:tcPr>
          <w:p w14:paraId="75938D63" w14:textId="77777777" w:rsidR="00FD222F" w:rsidRDefault="00FD222F" w:rsidP="00502E80">
            <w:pPr>
              <w:jc w:val="center"/>
              <w:rPr>
                <w:rFonts w:cs="Arial"/>
                <w:szCs w:val="24"/>
              </w:rPr>
            </w:pPr>
            <w:r>
              <w:rPr>
                <w:rFonts w:cs="Arial"/>
                <w:szCs w:val="24"/>
              </w:rPr>
              <w:t>0</w:t>
            </w:r>
          </w:p>
        </w:tc>
        <w:tc>
          <w:tcPr>
            <w:tcW w:w="452" w:type="dxa"/>
            <w:tcBorders>
              <w:top w:val="nil"/>
              <w:left w:val="nil"/>
              <w:bottom w:val="single" w:sz="8" w:space="0" w:color="auto"/>
              <w:right w:val="single" w:sz="8" w:space="0" w:color="auto"/>
            </w:tcBorders>
            <w:shd w:val="clear" w:color="auto" w:fill="FF0000"/>
            <w:vAlign w:val="bottom"/>
            <w:hideMark/>
          </w:tcPr>
          <w:p w14:paraId="38A4095C" w14:textId="77777777" w:rsidR="00FD222F" w:rsidRDefault="00FD222F" w:rsidP="00502E80">
            <w:pPr>
              <w:jc w:val="center"/>
              <w:rPr>
                <w:rFonts w:cs="Arial"/>
                <w:szCs w:val="24"/>
              </w:rPr>
            </w:pPr>
            <w:r>
              <w:rPr>
                <w:rFonts w:cs="Arial"/>
                <w:szCs w:val="24"/>
              </w:rPr>
              <w:t>0</w:t>
            </w:r>
          </w:p>
        </w:tc>
        <w:tc>
          <w:tcPr>
            <w:tcW w:w="433" w:type="dxa"/>
            <w:tcBorders>
              <w:top w:val="nil"/>
              <w:left w:val="nil"/>
              <w:bottom w:val="single" w:sz="8" w:space="0" w:color="auto"/>
              <w:right w:val="single" w:sz="8" w:space="0" w:color="auto"/>
            </w:tcBorders>
            <w:shd w:val="clear" w:color="auto" w:fill="FF0000"/>
            <w:vAlign w:val="bottom"/>
            <w:hideMark/>
          </w:tcPr>
          <w:p w14:paraId="0807F05B" w14:textId="77777777" w:rsidR="00FD222F" w:rsidRDefault="00FD222F" w:rsidP="00502E80">
            <w:pPr>
              <w:jc w:val="center"/>
              <w:rPr>
                <w:rFonts w:cs="Arial"/>
                <w:szCs w:val="24"/>
              </w:rPr>
            </w:pPr>
            <w:r>
              <w:rPr>
                <w:rFonts w:cs="Arial"/>
                <w:szCs w:val="24"/>
              </w:rPr>
              <w:t>0</w:t>
            </w:r>
          </w:p>
        </w:tc>
        <w:tc>
          <w:tcPr>
            <w:tcW w:w="944" w:type="dxa"/>
            <w:tcBorders>
              <w:top w:val="nil"/>
              <w:left w:val="nil"/>
              <w:bottom w:val="single" w:sz="8" w:space="0" w:color="auto"/>
              <w:right w:val="single" w:sz="8" w:space="0" w:color="auto"/>
            </w:tcBorders>
            <w:vAlign w:val="bottom"/>
            <w:hideMark/>
          </w:tcPr>
          <w:p w14:paraId="339C960C" w14:textId="77777777" w:rsidR="00FD222F" w:rsidRDefault="00FD222F" w:rsidP="00502E80">
            <w:pPr>
              <w:jc w:val="center"/>
              <w:rPr>
                <w:rFonts w:cs="Arial"/>
                <w:szCs w:val="24"/>
              </w:rPr>
            </w:pPr>
            <w:r>
              <w:rPr>
                <w:rFonts w:ascii="Wingdings 3" w:hAnsi="Wingdings 3" w:cs="Arial"/>
                <w:b/>
                <w:bCs/>
                <w:lang w:eastAsia="en-GB"/>
              </w:rPr>
              <w:t></w:t>
            </w:r>
          </w:p>
        </w:tc>
        <w:tc>
          <w:tcPr>
            <w:tcW w:w="15" w:type="dxa"/>
            <w:tcBorders>
              <w:top w:val="nil"/>
              <w:left w:val="nil"/>
              <w:bottom w:val="nil"/>
              <w:right w:val="nil"/>
            </w:tcBorders>
            <w:tcMar>
              <w:top w:w="0" w:type="dxa"/>
              <w:left w:w="0" w:type="dxa"/>
              <w:bottom w:w="0" w:type="dxa"/>
              <w:right w:w="0" w:type="dxa"/>
            </w:tcMar>
            <w:vAlign w:val="center"/>
            <w:hideMark/>
          </w:tcPr>
          <w:p w14:paraId="19350CAC" w14:textId="77777777" w:rsidR="00FD222F" w:rsidRDefault="00FD222F" w:rsidP="00502E80">
            <w:r>
              <w:t> </w:t>
            </w:r>
          </w:p>
        </w:tc>
        <w:tc>
          <w:tcPr>
            <w:tcW w:w="144" w:type="dxa"/>
            <w:vAlign w:val="center"/>
            <w:hideMark/>
          </w:tcPr>
          <w:p w14:paraId="2333F2CF" w14:textId="77777777" w:rsidR="00BC1685" w:rsidRDefault="00BC1685" w:rsidP="00502E80">
            <w:pPr>
              <w:widowControl/>
              <w:overflowPunct/>
              <w:autoSpaceDE/>
              <w:autoSpaceDN/>
              <w:adjustRightInd/>
              <w:rPr>
                <w:rFonts w:ascii="Times New Roman" w:hAnsi="Times New Roman"/>
                <w:sz w:val="20"/>
                <w:lang w:eastAsia="en-GB"/>
              </w:rPr>
            </w:pPr>
          </w:p>
        </w:tc>
      </w:tr>
    </w:tbl>
    <w:p w14:paraId="06ED68EE" w14:textId="77777777" w:rsidR="0089761C" w:rsidRPr="007B367A" w:rsidRDefault="0089761C" w:rsidP="00A77E6C">
      <w:pPr>
        <w:rPr>
          <w:rFonts w:cs="Arial"/>
          <w:szCs w:val="24"/>
        </w:rPr>
        <w:sectPr w:rsidR="0089761C" w:rsidRPr="007B367A" w:rsidSect="00A521C3">
          <w:pgSz w:w="11906" w:h="16838"/>
          <w:pgMar w:top="1440" w:right="1416" w:bottom="1134" w:left="1440" w:header="709" w:footer="709" w:gutter="0"/>
          <w:cols w:space="708"/>
          <w:docGrid w:linePitch="360"/>
        </w:sectPr>
      </w:pPr>
    </w:p>
    <w:p w14:paraId="5CDF3778" w14:textId="77777777" w:rsidR="00EF47E6" w:rsidRPr="00AE4E74" w:rsidRDefault="00EF47E6" w:rsidP="00A77E6C">
      <w:pPr>
        <w:rPr>
          <w:rFonts w:cs="Arial"/>
          <w:szCs w:val="24"/>
          <w:lang w:eastAsia="en-GB"/>
        </w:rPr>
      </w:pPr>
      <w:r w:rsidRPr="00AE4E74">
        <w:rPr>
          <w:rFonts w:cs="Arial"/>
          <w:szCs w:val="24"/>
        </w:rPr>
        <w:t>Progress against 2017/18 Assurance Pl</w:t>
      </w:r>
      <w:r w:rsidR="003B0386" w:rsidRPr="00AE4E74">
        <w:rPr>
          <w:rFonts w:cs="Arial"/>
          <w:szCs w:val="24"/>
        </w:rPr>
        <w:t xml:space="preserve"> </w:t>
      </w:r>
    </w:p>
    <w:p w14:paraId="7A5FDB98" w14:textId="77777777" w:rsidR="00EF47E6" w:rsidRPr="00AE4E74" w:rsidRDefault="00EF47E6" w:rsidP="00A77E6C">
      <w:pPr>
        <w:rPr>
          <w:rFonts w:cs="Arial"/>
          <w:szCs w:val="24"/>
        </w:rPr>
      </w:pPr>
    </w:p>
    <w:p w14:paraId="4A7850BA" w14:textId="77777777" w:rsidR="00FD222F" w:rsidRPr="00CD4805" w:rsidRDefault="00EF47E6" w:rsidP="00CD4805">
      <w:pPr>
        <w:pStyle w:val="Heading2"/>
        <w:spacing w:before="0"/>
        <w:rPr>
          <w:rFonts w:cs="Arial"/>
          <w:b w:val="0"/>
          <w:szCs w:val="24"/>
        </w:rPr>
      </w:pPr>
      <w:r w:rsidRPr="00AE4E74">
        <w:rPr>
          <w:rFonts w:cs="Arial"/>
          <w:b w:val="0"/>
          <w:color w:val="000000"/>
          <w:szCs w:val="24"/>
          <w:u w:val="single"/>
        </w:rPr>
        <w:t xml:space="preserve">KEY:  </w:t>
      </w:r>
      <w:r w:rsidRPr="00AE4E74">
        <w:rPr>
          <w:rFonts w:cs="Arial"/>
          <w:b w:val="0"/>
          <w:szCs w:val="24"/>
          <w:vertAlign w:val="superscript"/>
        </w:rPr>
        <w:t>1</w:t>
      </w:r>
      <w:r w:rsidRPr="00AE4E74">
        <w:rPr>
          <w:rFonts w:cs="Arial"/>
          <w:b w:val="0"/>
          <w:szCs w:val="24"/>
        </w:rPr>
        <w:t>GIA Report Rating: E=Effective; IR=Improvement Required; SIR=Significant Improvement Required; Business Assurance Rating (Aligned to Group Risk Framework): WT = Within Tolerance; AT = At Tolerance; U = Uncomfortable; C = Critical)</w:t>
      </w:r>
    </w:p>
    <w:tbl>
      <w:tblPr>
        <w:tblpPr w:leftFromText="180" w:rightFromText="180" w:vertAnchor="text" w:horzAnchor="margin" w:tblpXSpec="center" w:tblpY="29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52"/>
        <w:gridCol w:w="442"/>
        <w:gridCol w:w="511"/>
        <w:gridCol w:w="511"/>
        <w:gridCol w:w="511"/>
        <w:gridCol w:w="1127"/>
        <w:gridCol w:w="20"/>
        <w:gridCol w:w="1109"/>
        <w:gridCol w:w="1025"/>
        <w:gridCol w:w="923"/>
        <w:gridCol w:w="1025"/>
        <w:gridCol w:w="1025"/>
        <w:gridCol w:w="989"/>
        <w:gridCol w:w="993"/>
        <w:gridCol w:w="511"/>
        <w:gridCol w:w="511"/>
        <w:gridCol w:w="511"/>
        <w:gridCol w:w="511"/>
        <w:gridCol w:w="30"/>
      </w:tblGrid>
      <w:tr w:rsidR="00FD222F" w14:paraId="4B5ED35E" w14:textId="77777777" w:rsidTr="00502E80">
        <w:trPr>
          <w:gridAfter w:val="1"/>
          <w:wAfter w:w="30" w:type="dxa"/>
          <w:trHeight w:val="814"/>
          <w:tblHeader/>
        </w:trPr>
        <w:tc>
          <w:tcPr>
            <w:tcW w:w="2452" w:type="dxa"/>
            <w:tcBorders>
              <w:top w:val="single" w:sz="4" w:space="0" w:color="auto"/>
              <w:left w:val="single" w:sz="4" w:space="0" w:color="auto"/>
              <w:bottom w:val="single" w:sz="4" w:space="0" w:color="auto"/>
              <w:right w:val="single" w:sz="4" w:space="0" w:color="auto"/>
            </w:tcBorders>
            <w:shd w:val="clear" w:color="auto" w:fill="004E73"/>
            <w:hideMark/>
          </w:tcPr>
          <w:p w14:paraId="04BDC8D0" w14:textId="77777777" w:rsidR="00FD222F" w:rsidRDefault="00FD222F" w:rsidP="00502E80">
            <w:pPr>
              <w:pStyle w:val="TableHeading"/>
              <w:spacing w:line="276" w:lineRule="auto"/>
              <w:jc w:val="center"/>
              <w:rPr>
                <w:rFonts w:cs="Arial"/>
                <w:lang w:eastAsia="en-US"/>
              </w:rPr>
            </w:pPr>
            <w:r>
              <w:rPr>
                <w:rFonts w:cs="Arial"/>
                <w:lang w:eastAsia="en-US"/>
              </w:rPr>
              <w:t>Review Title</w:t>
            </w:r>
          </w:p>
        </w:tc>
        <w:tc>
          <w:tcPr>
            <w:tcW w:w="442" w:type="dxa"/>
            <w:tcBorders>
              <w:top w:val="single" w:sz="4" w:space="0" w:color="auto"/>
              <w:left w:val="single" w:sz="4" w:space="0" w:color="auto"/>
              <w:bottom w:val="single" w:sz="4" w:space="0" w:color="auto"/>
              <w:right w:val="single" w:sz="4" w:space="0" w:color="auto"/>
            </w:tcBorders>
            <w:shd w:val="clear" w:color="auto" w:fill="004E73"/>
            <w:hideMark/>
          </w:tcPr>
          <w:p w14:paraId="7FCD93D9" w14:textId="77777777" w:rsidR="00FD222F" w:rsidRDefault="00FD222F" w:rsidP="00502E80">
            <w:pPr>
              <w:pStyle w:val="TableHeading"/>
              <w:spacing w:line="276" w:lineRule="auto"/>
              <w:jc w:val="center"/>
              <w:rPr>
                <w:rFonts w:cs="Arial"/>
                <w:lang w:eastAsia="en-US"/>
              </w:rPr>
            </w:pPr>
            <w:r>
              <w:rPr>
                <w:rFonts w:cs="Arial"/>
                <w:lang w:eastAsia="en-US"/>
              </w:rPr>
              <w:t>Q1</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0CADE632" w14:textId="77777777" w:rsidR="00FD222F" w:rsidRDefault="00FD222F" w:rsidP="00502E80">
            <w:pPr>
              <w:pStyle w:val="TableHeading"/>
              <w:spacing w:line="276" w:lineRule="auto"/>
              <w:jc w:val="center"/>
              <w:rPr>
                <w:rFonts w:cs="Arial"/>
                <w:lang w:eastAsia="en-US"/>
              </w:rPr>
            </w:pPr>
            <w:r>
              <w:rPr>
                <w:rFonts w:cs="Arial"/>
                <w:lang w:eastAsia="en-US"/>
              </w:rPr>
              <w:t>Q2</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0664B11C" w14:textId="77777777" w:rsidR="00FD222F" w:rsidRDefault="00FD222F" w:rsidP="00502E80">
            <w:pPr>
              <w:pStyle w:val="TableHeading"/>
              <w:spacing w:line="276" w:lineRule="auto"/>
              <w:jc w:val="center"/>
              <w:rPr>
                <w:rFonts w:cs="Arial"/>
                <w:lang w:eastAsia="en-US"/>
              </w:rPr>
            </w:pPr>
            <w:r>
              <w:rPr>
                <w:rFonts w:cs="Arial"/>
                <w:lang w:eastAsia="en-US"/>
              </w:rPr>
              <w:t>Q3</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5FEB2156" w14:textId="77777777" w:rsidR="00FD222F" w:rsidRDefault="00FD222F" w:rsidP="00502E80">
            <w:pPr>
              <w:pStyle w:val="TableHeading"/>
              <w:spacing w:line="276" w:lineRule="auto"/>
              <w:jc w:val="center"/>
              <w:rPr>
                <w:rFonts w:cs="Arial"/>
                <w:lang w:eastAsia="en-US"/>
              </w:rPr>
            </w:pPr>
            <w:r>
              <w:rPr>
                <w:rFonts w:cs="Arial"/>
                <w:lang w:eastAsia="en-US"/>
              </w:rPr>
              <w:t>Q4</w:t>
            </w:r>
          </w:p>
        </w:tc>
        <w:tc>
          <w:tcPr>
            <w:tcW w:w="1127" w:type="dxa"/>
            <w:tcBorders>
              <w:top w:val="single" w:sz="4" w:space="0" w:color="auto"/>
              <w:left w:val="single" w:sz="4" w:space="0" w:color="auto"/>
              <w:bottom w:val="single" w:sz="4" w:space="0" w:color="auto"/>
              <w:right w:val="single" w:sz="4" w:space="0" w:color="auto"/>
            </w:tcBorders>
            <w:shd w:val="clear" w:color="auto" w:fill="004E73"/>
            <w:tcMar>
              <w:top w:w="0" w:type="dxa"/>
              <w:left w:w="113" w:type="dxa"/>
              <w:bottom w:w="0" w:type="dxa"/>
              <w:right w:w="85" w:type="dxa"/>
            </w:tcMar>
            <w:hideMark/>
          </w:tcPr>
          <w:p w14:paraId="5A6AD9D9" w14:textId="77777777" w:rsidR="00FD222F" w:rsidRDefault="00FD222F" w:rsidP="00502E80">
            <w:pPr>
              <w:pStyle w:val="TableHeading"/>
              <w:spacing w:line="276" w:lineRule="auto"/>
              <w:jc w:val="center"/>
              <w:rPr>
                <w:rFonts w:cs="Arial"/>
                <w:lang w:eastAsia="en-US"/>
              </w:rPr>
            </w:pPr>
            <w:r>
              <w:rPr>
                <w:rFonts w:cs="Arial"/>
                <w:lang w:eastAsia="en-US"/>
              </w:rPr>
              <w:t>Current Status</w:t>
            </w:r>
          </w:p>
        </w:tc>
        <w:tc>
          <w:tcPr>
            <w:tcW w:w="1129" w:type="dxa"/>
            <w:gridSpan w:val="2"/>
            <w:tcBorders>
              <w:top w:val="single" w:sz="4" w:space="0" w:color="auto"/>
              <w:left w:val="single" w:sz="4" w:space="0" w:color="auto"/>
              <w:bottom w:val="single" w:sz="4" w:space="0" w:color="auto"/>
              <w:right w:val="single" w:sz="4" w:space="0" w:color="auto"/>
            </w:tcBorders>
            <w:shd w:val="clear" w:color="auto" w:fill="004E73"/>
            <w:hideMark/>
          </w:tcPr>
          <w:p w14:paraId="50345277" w14:textId="77777777" w:rsidR="00A54E20" w:rsidRDefault="00FD222F" w:rsidP="00A54E20">
            <w:pPr>
              <w:pStyle w:val="TableHeading"/>
              <w:spacing w:line="276" w:lineRule="auto"/>
              <w:jc w:val="center"/>
              <w:rPr>
                <w:rFonts w:cs="Arial"/>
                <w:lang w:eastAsia="en-US"/>
              </w:rPr>
            </w:pPr>
            <w:r>
              <w:rPr>
                <w:rFonts w:cs="Arial"/>
                <w:lang w:eastAsia="en-US"/>
              </w:rPr>
              <w:t>Target Final Draft ToR</w:t>
            </w:r>
          </w:p>
        </w:tc>
        <w:tc>
          <w:tcPr>
            <w:tcW w:w="1025" w:type="dxa"/>
            <w:tcBorders>
              <w:top w:val="single" w:sz="4" w:space="0" w:color="auto"/>
              <w:left w:val="single" w:sz="4" w:space="0" w:color="auto"/>
              <w:bottom w:val="single" w:sz="4" w:space="0" w:color="auto"/>
              <w:right w:val="single" w:sz="4" w:space="0" w:color="auto"/>
            </w:tcBorders>
            <w:shd w:val="clear" w:color="auto" w:fill="004E73"/>
            <w:hideMark/>
          </w:tcPr>
          <w:p w14:paraId="024C8A02" w14:textId="77777777" w:rsidR="00FD222F" w:rsidRDefault="00FD222F" w:rsidP="00502E80">
            <w:pPr>
              <w:pStyle w:val="TableHeading"/>
              <w:spacing w:line="276" w:lineRule="auto"/>
              <w:jc w:val="center"/>
              <w:rPr>
                <w:rFonts w:cs="Arial"/>
                <w:lang w:eastAsia="en-US"/>
              </w:rPr>
            </w:pPr>
            <w:r>
              <w:rPr>
                <w:rFonts w:cs="Arial"/>
                <w:lang w:eastAsia="en-US"/>
              </w:rPr>
              <w:t>Actual Final Draft ToR</w:t>
            </w:r>
          </w:p>
        </w:tc>
        <w:tc>
          <w:tcPr>
            <w:tcW w:w="923" w:type="dxa"/>
            <w:tcBorders>
              <w:top w:val="single" w:sz="4" w:space="0" w:color="auto"/>
              <w:left w:val="single" w:sz="4" w:space="0" w:color="auto"/>
              <w:bottom w:val="single" w:sz="4" w:space="0" w:color="auto"/>
              <w:right w:val="single" w:sz="4" w:space="0" w:color="auto"/>
            </w:tcBorders>
            <w:shd w:val="clear" w:color="auto" w:fill="004E73"/>
            <w:hideMark/>
          </w:tcPr>
          <w:p w14:paraId="4D571BFC" w14:textId="77777777" w:rsidR="00FD222F" w:rsidRDefault="00FD222F" w:rsidP="00502E80">
            <w:pPr>
              <w:pStyle w:val="TableHeading"/>
              <w:spacing w:line="276" w:lineRule="auto"/>
              <w:jc w:val="center"/>
              <w:rPr>
                <w:rFonts w:cs="Arial"/>
                <w:lang w:eastAsia="en-US"/>
              </w:rPr>
            </w:pPr>
            <w:r>
              <w:rPr>
                <w:rFonts w:cs="Arial"/>
                <w:lang w:eastAsia="en-US"/>
              </w:rPr>
              <w:t>Final ToR</w:t>
            </w:r>
          </w:p>
        </w:tc>
        <w:tc>
          <w:tcPr>
            <w:tcW w:w="1025" w:type="dxa"/>
            <w:tcBorders>
              <w:top w:val="single" w:sz="4" w:space="0" w:color="auto"/>
              <w:left w:val="single" w:sz="4" w:space="0" w:color="auto"/>
              <w:bottom w:val="single" w:sz="4" w:space="0" w:color="auto"/>
              <w:right w:val="single" w:sz="4" w:space="0" w:color="auto"/>
            </w:tcBorders>
            <w:shd w:val="clear" w:color="auto" w:fill="004E73"/>
            <w:hideMark/>
          </w:tcPr>
          <w:p w14:paraId="21D9614D" w14:textId="77777777" w:rsidR="00FD222F" w:rsidRDefault="00FD222F" w:rsidP="00502E80">
            <w:pPr>
              <w:pStyle w:val="TableHeading"/>
              <w:spacing w:line="276" w:lineRule="auto"/>
              <w:jc w:val="center"/>
              <w:rPr>
                <w:rFonts w:cs="Arial"/>
                <w:lang w:eastAsia="en-US"/>
              </w:rPr>
            </w:pPr>
            <w:r>
              <w:rPr>
                <w:rFonts w:cs="Arial"/>
                <w:lang w:eastAsia="en-US"/>
              </w:rPr>
              <w:t>Target Final Draft Report</w:t>
            </w:r>
          </w:p>
        </w:tc>
        <w:tc>
          <w:tcPr>
            <w:tcW w:w="1025" w:type="dxa"/>
            <w:tcBorders>
              <w:top w:val="single" w:sz="4" w:space="0" w:color="auto"/>
              <w:left w:val="single" w:sz="4" w:space="0" w:color="auto"/>
              <w:bottom w:val="single" w:sz="4" w:space="0" w:color="auto"/>
              <w:right w:val="single" w:sz="4" w:space="0" w:color="auto"/>
            </w:tcBorders>
            <w:shd w:val="clear" w:color="auto" w:fill="004E73"/>
            <w:hideMark/>
          </w:tcPr>
          <w:p w14:paraId="2B768DC8" w14:textId="77777777" w:rsidR="00FD222F" w:rsidRDefault="00FD222F" w:rsidP="00502E80">
            <w:pPr>
              <w:pStyle w:val="TableHeading"/>
              <w:spacing w:line="276" w:lineRule="auto"/>
              <w:jc w:val="center"/>
              <w:rPr>
                <w:rFonts w:cs="Arial"/>
                <w:lang w:eastAsia="en-US"/>
              </w:rPr>
            </w:pPr>
            <w:r>
              <w:rPr>
                <w:rFonts w:cs="Arial"/>
                <w:lang w:eastAsia="en-US"/>
              </w:rPr>
              <w:t>Actual Final Draft Report</w:t>
            </w:r>
          </w:p>
        </w:tc>
        <w:tc>
          <w:tcPr>
            <w:tcW w:w="989" w:type="dxa"/>
            <w:tcBorders>
              <w:top w:val="single" w:sz="4" w:space="0" w:color="auto"/>
              <w:left w:val="single" w:sz="4" w:space="0" w:color="auto"/>
              <w:bottom w:val="single" w:sz="4" w:space="0" w:color="auto"/>
              <w:right w:val="single" w:sz="4" w:space="0" w:color="auto"/>
            </w:tcBorders>
            <w:shd w:val="clear" w:color="auto" w:fill="004E73"/>
            <w:hideMark/>
          </w:tcPr>
          <w:p w14:paraId="7E29FE14" w14:textId="77777777" w:rsidR="00FD222F" w:rsidRDefault="00FD222F" w:rsidP="00502E80">
            <w:pPr>
              <w:pStyle w:val="TableHeading"/>
              <w:spacing w:line="276" w:lineRule="auto"/>
              <w:jc w:val="center"/>
              <w:rPr>
                <w:rFonts w:cs="Arial"/>
                <w:lang w:eastAsia="en-US"/>
              </w:rPr>
            </w:pPr>
            <w:r>
              <w:rPr>
                <w:rFonts w:cs="Arial"/>
                <w:lang w:eastAsia="en-US"/>
              </w:rPr>
              <w:t>Final Report</w:t>
            </w:r>
          </w:p>
        </w:tc>
        <w:tc>
          <w:tcPr>
            <w:tcW w:w="993" w:type="dxa"/>
            <w:tcBorders>
              <w:top w:val="single" w:sz="4" w:space="0" w:color="auto"/>
              <w:left w:val="single" w:sz="4" w:space="0" w:color="auto"/>
              <w:bottom w:val="single" w:sz="4" w:space="0" w:color="auto"/>
              <w:right w:val="single" w:sz="4" w:space="0" w:color="auto"/>
            </w:tcBorders>
            <w:shd w:val="clear" w:color="auto" w:fill="004E73"/>
            <w:hideMark/>
          </w:tcPr>
          <w:p w14:paraId="2C054FF6" w14:textId="77777777" w:rsidR="00FD222F" w:rsidRDefault="00FD222F" w:rsidP="00502E80">
            <w:pPr>
              <w:pStyle w:val="TableHeading"/>
              <w:spacing w:line="276" w:lineRule="auto"/>
              <w:jc w:val="center"/>
              <w:rPr>
                <w:rFonts w:cs="Arial"/>
                <w:vertAlign w:val="superscript"/>
                <w:lang w:eastAsia="en-US"/>
              </w:rPr>
            </w:pPr>
            <w:r>
              <w:rPr>
                <w:rFonts w:cs="Arial"/>
                <w:lang w:eastAsia="en-US"/>
              </w:rPr>
              <w:t>E/IR/ SIR/I2</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62D94C3C" w14:textId="77777777" w:rsidR="00FD222F" w:rsidRDefault="00FD222F" w:rsidP="00502E80">
            <w:pPr>
              <w:pStyle w:val="TableHeading"/>
              <w:spacing w:line="276" w:lineRule="auto"/>
              <w:jc w:val="center"/>
              <w:rPr>
                <w:rFonts w:cs="Arial"/>
                <w:lang w:eastAsia="en-US"/>
              </w:rPr>
            </w:pPr>
            <w:r>
              <w:rPr>
                <w:rFonts w:cs="Arial"/>
                <w:lang w:eastAsia="en-US"/>
              </w:rPr>
              <w:t>C</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454E78A8" w14:textId="77777777" w:rsidR="00FD222F" w:rsidRDefault="00FD222F" w:rsidP="00502E80">
            <w:pPr>
              <w:pStyle w:val="TableHeading"/>
              <w:spacing w:line="276" w:lineRule="auto"/>
              <w:jc w:val="center"/>
              <w:rPr>
                <w:rFonts w:cs="Arial"/>
                <w:lang w:eastAsia="en-US"/>
              </w:rPr>
            </w:pPr>
            <w:r>
              <w:rPr>
                <w:rFonts w:cs="Arial"/>
                <w:lang w:eastAsia="en-US"/>
              </w:rPr>
              <w:t>H</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6E779D38" w14:textId="77777777" w:rsidR="00FD222F" w:rsidRDefault="00FD222F" w:rsidP="00502E80">
            <w:pPr>
              <w:pStyle w:val="TableHeading"/>
              <w:spacing w:line="276" w:lineRule="auto"/>
              <w:jc w:val="center"/>
              <w:rPr>
                <w:rFonts w:cs="Arial"/>
                <w:lang w:eastAsia="en-US"/>
              </w:rPr>
            </w:pPr>
            <w:r>
              <w:rPr>
                <w:rFonts w:cs="Arial"/>
                <w:lang w:eastAsia="en-US"/>
              </w:rPr>
              <w:t>M</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7DD76586" w14:textId="77777777" w:rsidR="00FD222F" w:rsidRDefault="00FD222F" w:rsidP="00502E80">
            <w:pPr>
              <w:pStyle w:val="TableHeading"/>
              <w:spacing w:line="276" w:lineRule="auto"/>
              <w:jc w:val="center"/>
              <w:rPr>
                <w:rFonts w:cs="Arial"/>
                <w:lang w:eastAsia="en-US"/>
              </w:rPr>
            </w:pPr>
            <w:r>
              <w:rPr>
                <w:rFonts w:cs="Arial"/>
                <w:lang w:eastAsia="en-US"/>
              </w:rPr>
              <w:t>L</w:t>
            </w:r>
          </w:p>
        </w:tc>
      </w:tr>
      <w:tr w:rsidR="00FD222F" w14:paraId="12791983" w14:textId="77777777" w:rsidTr="00502E80">
        <w:trPr>
          <w:trHeight w:val="280"/>
        </w:trPr>
        <w:tc>
          <w:tcPr>
            <w:tcW w:w="14737" w:type="dxa"/>
            <w:gridSpan w:val="19"/>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FDFA993" w14:textId="77777777" w:rsidR="00FD222F" w:rsidRDefault="00FD222F" w:rsidP="00502E80">
            <w:pPr>
              <w:spacing w:line="276" w:lineRule="auto"/>
              <w:rPr>
                <w:rFonts w:cs="Arial"/>
                <w:b/>
                <w:szCs w:val="24"/>
                <w:lang w:eastAsia="en-GB"/>
              </w:rPr>
            </w:pPr>
            <w:r>
              <w:rPr>
                <w:rFonts w:cs="Arial"/>
                <w:b/>
                <w:szCs w:val="24"/>
              </w:rPr>
              <w:t>Capita Group Internal Audit (GIA)</w:t>
            </w:r>
          </w:p>
        </w:tc>
      </w:tr>
      <w:tr w:rsidR="00FD222F" w14:paraId="58F7A612" w14:textId="77777777" w:rsidTr="00502E80">
        <w:trPr>
          <w:gridAfter w:val="1"/>
          <w:wAfter w:w="30" w:type="dxa"/>
          <w:trHeight w:val="33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AD47767" w14:textId="77777777" w:rsidR="00FD222F" w:rsidRPr="00912428" w:rsidRDefault="00FD222F" w:rsidP="00502E80">
            <w:pPr>
              <w:spacing w:line="276" w:lineRule="auto"/>
              <w:rPr>
                <w:rFonts w:cs="Arial"/>
                <w:szCs w:val="24"/>
              </w:rPr>
            </w:pPr>
            <w:r w:rsidRPr="00912428">
              <w:rPr>
                <w:rFonts w:cs="Arial"/>
                <w:szCs w:val="24"/>
              </w:rPr>
              <w:t>Payment Out Controls</w:t>
            </w:r>
          </w:p>
        </w:tc>
        <w:tc>
          <w:tcPr>
            <w:tcW w:w="442" w:type="dxa"/>
            <w:tcBorders>
              <w:top w:val="single" w:sz="4" w:space="0" w:color="auto"/>
              <w:left w:val="single" w:sz="4" w:space="0" w:color="auto"/>
              <w:bottom w:val="single" w:sz="4" w:space="0" w:color="auto"/>
              <w:right w:val="single" w:sz="4" w:space="0" w:color="auto"/>
            </w:tcBorders>
            <w:vAlign w:val="center"/>
            <w:hideMark/>
          </w:tcPr>
          <w:p w14:paraId="53F588D4" w14:textId="77777777" w:rsidR="00FD222F" w:rsidRPr="00912428" w:rsidRDefault="00FD222F" w:rsidP="00502E80">
            <w:pPr>
              <w:spacing w:line="276" w:lineRule="auto"/>
              <w:jc w:val="center"/>
              <w:rPr>
                <w:rFonts w:cs="Arial"/>
                <w:szCs w:val="24"/>
                <w:lang w:eastAsia="en-GB"/>
              </w:rPr>
            </w:pPr>
            <w:r w:rsidRPr="00912428">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0D8F01C3"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42435A06"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2CE17D42" w14:textId="77777777" w:rsidR="00FD222F" w:rsidRPr="00912428" w:rsidRDefault="00FD222F" w:rsidP="00502E80">
            <w:pPr>
              <w:spacing w:line="276" w:lineRule="auto"/>
              <w:jc w:val="center"/>
              <w:rPr>
                <w:rFonts w:cs="Arial"/>
                <w:szCs w:val="24"/>
                <w:lang w:eastAsia="en-GB"/>
              </w:rPr>
            </w:pPr>
          </w:p>
        </w:tc>
        <w:tc>
          <w:tcPr>
            <w:tcW w:w="1147"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618F2816" w14:textId="77777777" w:rsidR="00FD222F" w:rsidRPr="00912428" w:rsidRDefault="00FD222F" w:rsidP="00502E80">
            <w:pPr>
              <w:spacing w:line="276" w:lineRule="auto"/>
              <w:ind w:left="-113" w:right="-85"/>
              <w:jc w:val="center"/>
              <w:rPr>
                <w:rFonts w:cs="Arial"/>
                <w:szCs w:val="24"/>
              </w:rPr>
            </w:pPr>
            <w:r w:rsidRPr="00912428">
              <w:rPr>
                <w:rFonts w:cs="Arial"/>
                <w:szCs w:val="24"/>
              </w:rPr>
              <w:t>Final Report</w:t>
            </w:r>
          </w:p>
        </w:tc>
        <w:tc>
          <w:tcPr>
            <w:tcW w:w="1109" w:type="dxa"/>
            <w:tcBorders>
              <w:top w:val="single" w:sz="4" w:space="0" w:color="auto"/>
              <w:left w:val="single" w:sz="4" w:space="0" w:color="auto"/>
              <w:bottom w:val="single" w:sz="4" w:space="0" w:color="auto"/>
              <w:right w:val="single" w:sz="4" w:space="0" w:color="auto"/>
            </w:tcBorders>
            <w:hideMark/>
          </w:tcPr>
          <w:p w14:paraId="4C01CF66" w14:textId="77777777" w:rsidR="00FD222F" w:rsidRPr="00912428" w:rsidRDefault="00FD222F" w:rsidP="00502E80">
            <w:pPr>
              <w:spacing w:line="276" w:lineRule="auto"/>
              <w:jc w:val="center"/>
              <w:rPr>
                <w:rFonts w:cs="Arial"/>
                <w:szCs w:val="24"/>
              </w:rPr>
            </w:pPr>
            <w:r w:rsidRPr="00912428">
              <w:rPr>
                <w:rFonts w:cs="Arial"/>
                <w:szCs w:val="24"/>
              </w:rPr>
              <w:t>Jan  2018</w:t>
            </w:r>
          </w:p>
        </w:tc>
        <w:tc>
          <w:tcPr>
            <w:tcW w:w="1025" w:type="dxa"/>
            <w:tcBorders>
              <w:top w:val="single" w:sz="4" w:space="0" w:color="auto"/>
              <w:left w:val="single" w:sz="4" w:space="0" w:color="auto"/>
              <w:bottom w:val="single" w:sz="4" w:space="0" w:color="auto"/>
              <w:right w:val="single" w:sz="4" w:space="0" w:color="auto"/>
            </w:tcBorders>
            <w:shd w:val="clear" w:color="auto" w:fill="00B050"/>
            <w:hideMark/>
          </w:tcPr>
          <w:p w14:paraId="7C7E5C1C" w14:textId="77777777" w:rsidR="00FD222F" w:rsidRPr="00912428" w:rsidRDefault="00FD222F" w:rsidP="00502E80">
            <w:pPr>
              <w:spacing w:line="276" w:lineRule="auto"/>
              <w:jc w:val="center"/>
              <w:rPr>
                <w:rFonts w:cs="Arial"/>
                <w:sz w:val="22"/>
                <w:szCs w:val="22"/>
              </w:rPr>
            </w:pPr>
            <w:r w:rsidRPr="00912428">
              <w:rPr>
                <w:rFonts w:cs="Arial"/>
                <w:sz w:val="22"/>
                <w:szCs w:val="22"/>
              </w:rPr>
              <w:t>24/01/18</w:t>
            </w:r>
          </w:p>
        </w:tc>
        <w:tc>
          <w:tcPr>
            <w:tcW w:w="923" w:type="dxa"/>
            <w:tcBorders>
              <w:top w:val="single" w:sz="4" w:space="0" w:color="auto"/>
              <w:left w:val="single" w:sz="4" w:space="0" w:color="auto"/>
              <w:bottom w:val="single" w:sz="4" w:space="0" w:color="auto"/>
              <w:right w:val="single" w:sz="4" w:space="0" w:color="auto"/>
            </w:tcBorders>
            <w:hideMark/>
          </w:tcPr>
          <w:p w14:paraId="16A09922" w14:textId="77777777" w:rsidR="00FD222F" w:rsidRPr="00912428" w:rsidRDefault="00FD222F" w:rsidP="00502E80">
            <w:pPr>
              <w:spacing w:line="276" w:lineRule="auto"/>
              <w:jc w:val="center"/>
              <w:rPr>
                <w:rFonts w:cs="Arial"/>
                <w:sz w:val="20"/>
              </w:rPr>
            </w:pPr>
            <w:r w:rsidRPr="00912428">
              <w:rPr>
                <w:rFonts w:cs="Arial"/>
                <w:sz w:val="20"/>
              </w:rPr>
              <w:t>31/01/18</w:t>
            </w:r>
          </w:p>
        </w:tc>
        <w:tc>
          <w:tcPr>
            <w:tcW w:w="1025" w:type="dxa"/>
            <w:tcBorders>
              <w:top w:val="single" w:sz="4" w:space="0" w:color="auto"/>
              <w:left w:val="single" w:sz="4" w:space="0" w:color="auto"/>
              <w:bottom w:val="single" w:sz="4" w:space="0" w:color="auto"/>
              <w:right w:val="single" w:sz="4" w:space="0" w:color="auto"/>
            </w:tcBorders>
            <w:hideMark/>
          </w:tcPr>
          <w:p w14:paraId="2A1F63AD" w14:textId="77777777" w:rsidR="00FD222F" w:rsidRPr="00912428" w:rsidRDefault="00FD222F" w:rsidP="00502E80">
            <w:pPr>
              <w:spacing w:line="276" w:lineRule="auto"/>
              <w:jc w:val="center"/>
              <w:rPr>
                <w:rFonts w:cs="Arial"/>
                <w:sz w:val="22"/>
                <w:szCs w:val="22"/>
              </w:rPr>
            </w:pPr>
            <w:r w:rsidRPr="00912428">
              <w:rPr>
                <w:rFonts w:cs="Arial"/>
                <w:sz w:val="22"/>
                <w:szCs w:val="22"/>
              </w:rPr>
              <w:t>Mar 18</w:t>
            </w:r>
          </w:p>
        </w:tc>
        <w:tc>
          <w:tcPr>
            <w:tcW w:w="1025" w:type="dxa"/>
            <w:tcBorders>
              <w:top w:val="single" w:sz="4" w:space="0" w:color="auto"/>
              <w:left w:val="single" w:sz="4" w:space="0" w:color="auto"/>
              <w:bottom w:val="single" w:sz="4" w:space="0" w:color="auto"/>
              <w:right w:val="single" w:sz="4" w:space="0" w:color="auto"/>
            </w:tcBorders>
            <w:shd w:val="clear" w:color="auto" w:fill="00B050"/>
            <w:hideMark/>
          </w:tcPr>
          <w:p w14:paraId="113FB1C7" w14:textId="77777777" w:rsidR="00FD222F" w:rsidRPr="00912428" w:rsidRDefault="00FD222F" w:rsidP="00502E80">
            <w:pPr>
              <w:spacing w:line="276" w:lineRule="auto"/>
              <w:jc w:val="center"/>
              <w:rPr>
                <w:rFonts w:cs="Arial"/>
                <w:sz w:val="22"/>
                <w:szCs w:val="22"/>
              </w:rPr>
            </w:pPr>
            <w:r w:rsidRPr="00912428">
              <w:rPr>
                <w:rFonts w:cs="Arial"/>
                <w:sz w:val="22"/>
                <w:szCs w:val="22"/>
              </w:rPr>
              <w:t>12/03/18</w:t>
            </w:r>
          </w:p>
        </w:tc>
        <w:tc>
          <w:tcPr>
            <w:tcW w:w="989" w:type="dxa"/>
            <w:tcBorders>
              <w:top w:val="single" w:sz="4" w:space="0" w:color="auto"/>
              <w:left w:val="single" w:sz="4" w:space="0" w:color="auto"/>
              <w:bottom w:val="single" w:sz="4" w:space="0" w:color="auto"/>
              <w:right w:val="single" w:sz="4" w:space="0" w:color="auto"/>
            </w:tcBorders>
            <w:hideMark/>
          </w:tcPr>
          <w:p w14:paraId="5393CF2C" w14:textId="77777777" w:rsidR="00FD222F" w:rsidRPr="00912428" w:rsidRDefault="00FD222F" w:rsidP="00502E80">
            <w:pPr>
              <w:spacing w:line="276" w:lineRule="auto"/>
              <w:jc w:val="center"/>
              <w:rPr>
                <w:rFonts w:cs="Arial"/>
                <w:sz w:val="20"/>
              </w:rPr>
            </w:pPr>
            <w:r w:rsidRPr="00912428">
              <w:rPr>
                <w:rFonts w:cs="Arial"/>
                <w:sz w:val="20"/>
              </w:rPr>
              <w:t>28/03/18</w:t>
            </w:r>
          </w:p>
        </w:tc>
        <w:tc>
          <w:tcPr>
            <w:tcW w:w="993" w:type="dxa"/>
            <w:tcBorders>
              <w:top w:val="single" w:sz="4" w:space="0" w:color="auto"/>
              <w:left w:val="single" w:sz="4" w:space="0" w:color="auto"/>
              <w:bottom w:val="single" w:sz="4" w:space="0" w:color="auto"/>
              <w:right w:val="single" w:sz="4" w:space="0" w:color="auto"/>
            </w:tcBorders>
            <w:hideMark/>
          </w:tcPr>
          <w:p w14:paraId="687FA772" w14:textId="77777777" w:rsidR="00FD222F" w:rsidRPr="00912428" w:rsidRDefault="00FD222F" w:rsidP="00502E80">
            <w:pPr>
              <w:spacing w:line="276" w:lineRule="auto"/>
              <w:jc w:val="center"/>
              <w:rPr>
                <w:rFonts w:cs="Arial"/>
                <w:sz w:val="22"/>
                <w:szCs w:val="22"/>
              </w:rPr>
            </w:pPr>
            <w:r w:rsidRPr="00912428">
              <w:rPr>
                <w:rFonts w:cs="Arial"/>
                <w:sz w:val="22"/>
                <w:szCs w:val="22"/>
              </w:rPr>
              <w:t>E</w:t>
            </w:r>
          </w:p>
        </w:tc>
        <w:tc>
          <w:tcPr>
            <w:tcW w:w="511" w:type="dxa"/>
            <w:tcBorders>
              <w:top w:val="single" w:sz="4" w:space="0" w:color="auto"/>
              <w:left w:val="single" w:sz="4" w:space="0" w:color="auto"/>
              <w:bottom w:val="single" w:sz="4" w:space="0" w:color="auto"/>
              <w:right w:val="single" w:sz="4" w:space="0" w:color="auto"/>
            </w:tcBorders>
            <w:hideMark/>
          </w:tcPr>
          <w:p w14:paraId="04479FCD" w14:textId="77777777" w:rsidR="00FD222F" w:rsidRPr="00912428" w:rsidRDefault="00FD222F" w:rsidP="00502E80">
            <w:pPr>
              <w:spacing w:line="276" w:lineRule="auto"/>
              <w:jc w:val="center"/>
              <w:rPr>
                <w:rFonts w:cs="Arial"/>
                <w:sz w:val="22"/>
                <w:szCs w:val="22"/>
              </w:rPr>
            </w:pPr>
            <w:r w:rsidRPr="00912428">
              <w:rPr>
                <w:rFonts w:cs="Arial"/>
                <w:sz w:val="22"/>
                <w:szCs w:val="22"/>
              </w:rPr>
              <w:t>-</w:t>
            </w:r>
          </w:p>
        </w:tc>
        <w:tc>
          <w:tcPr>
            <w:tcW w:w="511" w:type="dxa"/>
            <w:tcBorders>
              <w:top w:val="single" w:sz="4" w:space="0" w:color="auto"/>
              <w:left w:val="single" w:sz="4" w:space="0" w:color="auto"/>
              <w:bottom w:val="single" w:sz="4" w:space="0" w:color="auto"/>
              <w:right w:val="single" w:sz="4" w:space="0" w:color="auto"/>
            </w:tcBorders>
            <w:hideMark/>
          </w:tcPr>
          <w:p w14:paraId="4ACA37B7" w14:textId="77777777" w:rsidR="00FD222F" w:rsidRPr="00912428" w:rsidRDefault="00FD222F" w:rsidP="00502E80">
            <w:pPr>
              <w:spacing w:line="276" w:lineRule="auto"/>
              <w:jc w:val="center"/>
              <w:rPr>
                <w:rFonts w:cs="Arial"/>
                <w:sz w:val="22"/>
                <w:szCs w:val="22"/>
              </w:rPr>
            </w:pPr>
            <w:r w:rsidRPr="00912428">
              <w:rPr>
                <w:rFonts w:cs="Arial"/>
                <w:sz w:val="22"/>
                <w:szCs w:val="22"/>
              </w:rPr>
              <w:t>-</w:t>
            </w:r>
          </w:p>
        </w:tc>
        <w:tc>
          <w:tcPr>
            <w:tcW w:w="511" w:type="dxa"/>
            <w:tcBorders>
              <w:top w:val="single" w:sz="4" w:space="0" w:color="auto"/>
              <w:left w:val="single" w:sz="4" w:space="0" w:color="auto"/>
              <w:bottom w:val="single" w:sz="4" w:space="0" w:color="auto"/>
              <w:right w:val="single" w:sz="4" w:space="0" w:color="auto"/>
            </w:tcBorders>
            <w:hideMark/>
          </w:tcPr>
          <w:p w14:paraId="4AC842D1" w14:textId="77777777" w:rsidR="00FD222F" w:rsidRPr="00912428" w:rsidRDefault="00FD222F" w:rsidP="00502E80">
            <w:pPr>
              <w:spacing w:line="276" w:lineRule="auto"/>
              <w:jc w:val="center"/>
              <w:rPr>
                <w:rFonts w:cs="Arial"/>
                <w:sz w:val="22"/>
                <w:szCs w:val="22"/>
              </w:rPr>
            </w:pPr>
            <w:r w:rsidRPr="00912428">
              <w:rPr>
                <w:rFonts w:cs="Arial"/>
                <w:sz w:val="22"/>
                <w:szCs w:val="22"/>
              </w:rPr>
              <w:t>1</w:t>
            </w:r>
          </w:p>
        </w:tc>
        <w:tc>
          <w:tcPr>
            <w:tcW w:w="511" w:type="dxa"/>
            <w:tcBorders>
              <w:top w:val="single" w:sz="4" w:space="0" w:color="auto"/>
              <w:left w:val="single" w:sz="4" w:space="0" w:color="auto"/>
              <w:bottom w:val="single" w:sz="4" w:space="0" w:color="auto"/>
              <w:right w:val="single" w:sz="4" w:space="0" w:color="auto"/>
            </w:tcBorders>
            <w:hideMark/>
          </w:tcPr>
          <w:p w14:paraId="7FB835DF" w14:textId="77777777" w:rsidR="00FD222F" w:rsidRPr="00912428" w:rsidRDefault="00FD222F" w:rsidP="00502E80">
            <w:pPr>
              <w:spacing w:line="276" w:lineRule="auto"/>
              <w:jc w:val="center"/>
              <w:rPr>
                <w:rFonts w:cs="Arial"/>
                <w:sz w:val="22"/>
                <w:szCs w:val="22"/>
              </w:rPr>
            </w:pPr>
            <w:r w:rsidRPr="00912428">
              <w:rPr>
                <w:rFonts w:cs="Arial"/>
                <w:sz w:val="22"/>
                <w:szCs w:val="22"/>
              </w:rPr>
              <w:t>4</w:t>
            </w:r>
          </w:p>
        </w:tc>
      </w:tr>
      <w:tr w:rsidR="00FD222F" w14:paraId="52F85EE1" w14:textId="77777777" w:rsidTr="00502E80">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2FAAD655" w14:textId="77777777" w:rsidR="00FD222F" w:rsidRPr="00912428" w:rsidRDefault="00FD222F" w:rsidP="00502E80">
            <w:pPr>
              <w:spacing w:line="276" w:lineRule="auto"/>
              <w:rPr>
                <w:rFonts w:cs="Arial"/>
                <w:szCs w:val="24"/>
              </w:rPr>
            </w:pPr>
            <w:r w:rsidRPr="00912428">
              <w:rPr>
                <w:rFonts w:cs="Arial"/>
                <w:szCs w:val="24"/>
              </w:rPr>
              <w:t>Business Continuity / Disaster Recovery</w:t>
            </w:r>
          </w:p>
        </w:tc>
        <w:tc>
          <w:tcPr>
            <w:tcW w:w="442" w:type="dxa"/>
            <w:tcBorders>
              <w:top w:val="single" w:sz="4" w:space="0" w:color="auto"/>
              <w:left w:val="single" w:sz="4" w:space="0" w:color="auto"/>
              <w:bottom w:val="single" w:sz="4" w:space="0" w:color="auto"/>
              <w:right w:val="single" w:sz="4" w:space="0" w:color="auto"/>
            </w:tcBorders>
            <w:vAlign w:val="center"/>
          </w:tcPr>
          <w:p w14:paraId="47ED53E5"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76B849EF" w14:textId="77777777" w:rsidR="00FD222F" w:rsidRPr="00912428" w:rsidRDefault="00FD222F" w:rsidP="00502E80">
            <w:pPr>
              <w:spacing w:line="276" w:lineRule="auto"/>
              <w:jc w:val="center"/>
              <w:rPr>
                <w:rFonts w:cs="Arial"/>
                <w:szCs w:val="24"/>
                <w:lang w:eastAsia="en-GB"/>
              </w:rPr>
            </w:pPr>
            <w:r w:rsidRPr="00912428">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16F95C8C"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7760311C" w14:textId="77777777" w:rsidR="00FD222F" w:rsidRPr="00912428" w:rsidRDefault="00FD222F" w:rsidP="00502E80">
            <w:pPr>
              <w:spacing w:line="276" w:lineRule="auto"/>
              <w:jc w:val="center"/>
              <w:rPr>
                <w:rFonts w:cs="Arial"/>
                <w:szCs w:val="24"/>
                <w:lang w:eastAsia="en-GB"/>
              </w:rPr>
            </w:pPr>
          </w:p>
        </w:tc>
        <w:tc>
          <w:tcPr>
            <w:tcW w:w="1147"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4048FF99" w14:textId="77777777" w:rsidR="00FD222F" w:rsidRPr="00912428" w:rsidRDefault="00FD222F" w:rsidP="00502E80">
            <w:pPr>
              <w:spacing w:line="276" w:lineRule="auto"/>
              <w:ind w:left="-113" w:right="-85"/>
              <w:jc w:val="center"/>
              <w:rPr>
                <w:rFonts w:cs="Arial"/>
                <w:szCs w:val="24"/>
              </w:rPr>
            </w:pPr>
            <w:r w:rsidRPr="00912428">
              <w:rPr>
                <w:rFonts w:cs="Arial"/>
                <w:szCs w:val="24"/>
              </w:rPr>
              <w:t>Final Report</w:t>
            </w:r>
          </w:p>
        </w:tc>
        <w:tc>
          <w:tcPr>
            <w:tcW w:w="1109" w:type="dxa"/>
            <w:tcBorders>
              <w:top w:val="single" w:sz="4" w:space="0" w:color="auto"/>
              <w:left w:val="single" w:sz="4" w:space="0" w:color="auto"/>
              <w:bottom w:val="single" w:sz="4" w:space="0" w:color="auto"/>
              <w:right w:val="single" w:sz="4" w:space="0" w:color="auto"/>
            </w:tcBorders>
            <w:hideMark/>
          </w:tcPr>
          <w:p w14:paraId="4B82774F" w14:textId="77777777" w:rsidR="00FD222F" w:rsidRPr="00912428" w:rsidRDefault="00FD222F" w:rsidP="00502E80">
            <w:pPr>
              <w:spacing w:line="276" w:lineRule="auto"/>
              <w:jc w:val="center"/>
              <w:rPr>
                <w:rFonts w:cs="Arial"/>
                <w:szCs w:val="24"/>
              </w:rPr>
            </w:pPr>
            <w:r w:rsidRPr="00912428">
              <w:rPr>
                <w:rFonts w:cs="Arial"/>
                <w:szCs w:val="24"/>
              </w:rPr>
              <w:t>Mar 2018</w:t>
            </w:r>
          </w:p>
        </w:tc>
        <w:tc>
          <w:tcPr>
            <w:tcW w:w="1025" w:type="dxa"/>
            <w:tcBorders>
              <w:top w:val="single" w:sz="4" w:space="0" w:color="auto"/>
              <w:left w:val="single" w:sz="4" w:space="0" w:color="auto"/>
              <w:bottom w:val="single" w:sz="4" w:space="0" w:color="auto"/>
              <w:right w:val="single" w:sz="4" w:space="0" w:color="auto"/>
            </w:tcBorders>
            <w:shd w:val="clear" w:color="auto" w:fill="00B050"/>
            <w:hideMark/>
          </w:tcPr>
          <w:p w14:paraId="6727ECA9" w14:textId="77777777" w:rsidR="00FD222F" w:rsidRPr="00912428" w:rsidRDefault="00FD222F" w:rsidP="00502E80">
            <w:pPr>
              <w:spacing w:line="276" w:lineRule="auto"/>
              <w:jc w:val="center"/>
              <w:rPr>
                <w:rFonts w:cs="Arial"/>
                <w:sz w:val="22"/>
                <w:szCs w:val="22"/>
              </w:rPr>
            </w:pPr>
            <w:r w:rsidRPr="00912428">
              <w:rPr>
                <w:rFonts w:cs="Arial"/>
                <w:sz w:val="22"/>
                <w:szCs w:val="22"/>
              </w:rPr>
              <w:t>20/03/18</w:t>
            </w:r>
          </w:p>
        </w:tc>
        <w:tc>
          <w:tcPr>
            <w:tcW w:w="923" w:type="dxa"/>
            <w:tcBorders>
              <w:top w:val="single" w:sz="4" w:space="0" w:color="auto"/>
              <w:left w:val="single" w:sz="4" w:space="0" w:color="auto"/>
              <w:bottom w:val="single" w:sz="4" w:space="0" w:color="auto"/>
              <w:right w:val="single" w:sz="4" w:space="0" w:color="auto"/>
            </w:tcBorders>
            <w:hideMark/>
          </w:tcPr>
          <w:p w14:paraId="01AEFCDE" w14:textId="77777777" w:rsidR="00FD222F" w:rsidRPr="00912428" w:rsidRDefault="00FD222F" w:rsidP="00502E80">
            <w:pPr>
              <w:spacing w:line="276" w:lineRule="auto"/>
              <w:jc w:val="center"/>
              <w:rPr>
                <w:rFonts w:cs="Arial"/>
                <w:sz w:val="20"/>
              </w:rPr>
            </w:pPr>
            <w:r w:rsidRPr="00912428">
              <w:rPr>
                <w:rFonts w:cs="Arial"/>
                <w:sz w:val="20"/>
              </w:rPr>
              <w:t>28/03/18</w:t>
            </w:r>
          </w:p>
        </w:tc>
        <w:tc>
          <w:tcPr>
            <w:tcW w:w="1025" w:type="dxa"/>
            <w:tcBorders>
              <w:top w:val="single" w:sz="4" w:space="0" w:color="auto"/>
              <w:left w:val="single" w:sz="4" w:space="0" w:color="auto"/>
              <w:bottom w:val="single" w:sz="4" w:space="0" w:color="auto"/>
              <w:right w:val="single" w:sz="4" w:space="0" w:color="auto"/>
            </w:tcBorders>
            <w:hideMark/>
          </w:tcPr>
          <w:p w14:paraId="31279296" w14:textId="77777777" w:rsidR="00FD222F" w:rsidRPr="00912428" w:rsidRDefault="00FD222F" w:rsidP="00502E80">
            <w:pPr>
              <w:spacing w:line="276" w:lineRule="auto"/>
              <w:jc w:val="center"/>
              <w:rPr>
                <w:rFonts w:cs="Arial"/>
                <w:sz w:val="22"/>
                <w:szCs w:val="22"/>
              </w:rPr>
            </w:pPr>
            <w:r w:rsidRPr="00912428">
              <w:rPr>
                <w:rFonts w:cs="Arial"/>
                <w:sz w:val="22"/>
                <w:szCs w:val="22"/>
              </w:rPr>
              <w:t>Jun 18</w:t>
            </w:r>
          </w:p>
        </w:tc>
        <w:tc>
          <w:tcPr>
            <w:tcW w:w="1025" w:type="dxa"/>
            <w:tcBorders>
              <w:top w:val="single" w:sz="4" w:space="0" w:color="auto"/>
              <w:left w:val="single" w:sz="4" w:space="0" w:color="auto"/>
              <w:bottom w:val="single" w:sz="4" w:space="0" w:color="auto"/>
              <w:right w:val="single" w:sz="4" w:space="0" w:color="auto"/>
            </w:tcBorders>
            <w:shd w:val="clear" w:color="auto" w:fill="FFC000"/>
            <w:hideMark/>
          </w:tcPr>
          <w:p w14:paraId="562F5857" w14:textId="77777777" w:rsidR="00FD222F" w:rsidRPr="00912428" w:rsidRDefault="00FD222F" w:rsidP="00502E80">
            <w:pPr>
              <w:spacing w:line="276" w:lineRule="auto"/>
              <w:jc w:val="center"/>
              <w:rPr>
                <w:rFonts w:cs="Arial"/>
                <w:sz w:val="22"/>
                <w:szCs w:val="22"/>
              </w:rPr>
            </w:pPr>
            <w:r w:rsidRPr="00912428">
              <w:rPr>
                <w:rFonts w:cs="Arial"/>
                <w:sz w:val="22"/>
                <w:szCs w:val="22"/>
              </w:rPr>
              <w:t>30/07/18</w:t>
            </w:r>
          </w:p>
        </w:tc>
        <w:tc>
          <w:tcPr>
            <w:tcW w:w="989" w:type="dxa"/>
            <w:tcBorders>
              <w:top w:val="single" w:sz="4" w:space="0" w:color="auto"/>
              <w:left w:val="single" w:sz="4" w:space="0" w:color="auto"/>
              <w:bottom w:val="single" w:sz="4" w:space="0" w:color="auto"/>
              <w:right w:val="single" w:sz="4" w:space="0" w:color="auto"/>
            </w:tcBorders>
          </w:tcPr>
          <w:p w14:paraId="715CD5E6" w14:textId="77777777" w:rsidR="00FD222F" w:rsidRPr="00912428" w:rsidRDefault="00FD222F" w:rsidP="00502E80">
            <w:pPr>
              <w:spacing w:line="276" w:lineRule="auto"/>
              <w:jc w:val="center"/>
              <w:rPr>
                <w:rFonts w:cs="Arial"/>
                <w:sz w:val="20"/>
              </w:rPr>
            </w:pPr>
            <w:r w:rsidRPr="00912428">
              <w:rPr>
                <w:rFonts w:cs="Arial"/>
                <w:sz w:val="20"/>
              </w:rPr>
              <w:t>17/08/18</w:t>
            </w:r>
          </w:p>
        </w:tc>
        <w:tc>
          <w:tcPr>
            <w:tcW w:w="993" w:type="dxa"/>
            <w:tcBorders>
              <w:top w:val="single" w:sz="4" w:space="0" w:color="auto"/>
              <w:left w:val="single" w:sz="4" w:space="0" w:color="auto"/>
              <w:bottom w:val="single" w:sz="4" w:space="0" w:color="auto"/>
              <w:right w:val="single" w:sz="4" w:space="0" w:color="auto"/>
            </w:tcBorders>
            <w:hideMark/>
          </w:tcPr>
          <w:p w14:paraId="1186BFA9" w14:textId="77777777" w:rsidR="00FD222F" w:rsidRPr="00912428" w:rsidRDefault="00FD222F" w:rsidP="00502E80">
            <w:pPr>
              <w:spacing w:line="276" w:lineRule="auto"/>
              <w:jc w:val="center"/>
              <w:rPr>
                <w:rFonts w:cs="Arial"/>
                <w:sz w:val="22"/>
                <w:szCs w:val="22"/>
              </w:rPr>
            </w:pPr>
            <w:r w:rsidRPr="00912428">
              <w:rPr>
                <w:rFonts w:cs="Arial"/>
                <w:sz w:val="22"/>
                <w:szCs w:val="22"/>
              </w:rPr>
              <w:t>IR</w:t>
            </w:r>
          </w:p>
        </w:tc>
        <w:tc>
          <w:tcPr>
            <w:tcW w:w="511" w:type="dxa"/>
            <w:tcBorders>
              <w:top w:val="single" w:sz="4" w:space="0" w:color="auto"/>
              <w:left w:val="single" w:sz="4" w:space="0" w:color="auto"/>
              <w:bottom w:val="single" w:sz="4" w:space="0" w:color="auto"/>
              <w:right w:val="single" w:sz="4" w:space="0" w:color="auto"/>
            </w:tcBorders>
            <w:hideMark/>
          </w:tcPr>
          <w:p w14:paraId="79736778" w14:textId="77777777" w:rsidR="00FD222F" w:rsidRPr="00912428" w:rsidRDefault="00FD222F" w:rsidP="00502E80">
            <w:pPr>
              <w:spacing w:line="276" w:lineRule="auto"/>
              <w:jc w:val="center"/>
              <w:rPr>
                <w:rFonts w:cs="Arial"/>
                <w:sz w:val="22"/>
                <w:szCs w:val="22"/>
              </w:rPr>
            </w:pPr>
            <w:r w:rsidRPr="00912428">
              <w:rPr>
                <w:rFonts w:cs="Arial"/>
                <w:sz w:val="22"/>
                <w:szCs w:val="22"/>
              </w:rPr>
              <w:t>-</w:t>
            </w:r>
          </w:p>
        </w:tc>
        <w:tc>
          <w:tcPr>
            <w:tcW w:w="511" w:type="dxa"/>
            <w:tcBorders>
              <w:top w:val="single" w:sz="4" w:space="0" w:color="auto"/>
              <w:left w:val="single" w:sz="4" w:space="0" w:color="auto"/>
              <w:bottom w:val="single" w:sz="4" w:space="0" w:color="auto"/>
              <w:right w:val="single" w:sz="4" w:space="0" w:color="auto"/>
            </w:tcBorders>
            <w:hideMark/>
          </w:tcPr>
          <w:p w14:paraId="5B5565D2" w14:textId="77777777" w:rsidR="00FD222F" w:rsidRPr="00912428" w:rsidRDefault="00FD222F" w:rsidP="00502E80">
            <w:pPr>
              <w:spacing w:line="276" w:lineRule="auto"/>
              <w:jc w:val="center"/>
              <w:rPr>
                <w:rFonts w:cs="Arial"/>
                <w:sz w:val="22"/>
                <w:szCs w:val="22"/>
              </w:rPr>
            </w:pPr>
            <w:r w:rsidRPr="00912428">
              <w:rPr>
                <w:rFonts w:cs="Arial"/>
                <w:sz w:val="22"/>
                <w:szCs w:val="22"/>
              </w:rPr>
              <w:t>-</w:t>
            </w:r>
          </w:p>
        </w:tc>
        <w:tc>
          <w:tcPr>
            <w:tcW w:w="511" w:type="dxa"/>
            <w:tcBorders>
              <w:top w:val="single" w:sz="4" w:space="0" w:color="auto"/>
              <w:left w:val="single" w:sz="4" w:space="0" w:color="auto"/>
              <w:bottom w:val="single" w:sz="4" w:space="0" w:color="auto"/>
              <w:right w:val="single" w:sz="4" w:space="0" w:color="auto"/>
            </w:tcBorders>
            <w:hideMark/>
          </w:tcPr>
          <w:p w14:paraId="7630139C" w14:textId="77777777" w:rsidR="00FD222F" w:rsidRPr="00912428" w:rsidRDefault="00FD222F" w:rsidP="00502E80">
            <w:pPr>
              <w:spacing w:line="276" w:lineRule="auto"/>
              <w:jc w:val="center"/>
              <w:rPr>
                <w:rFonts w:cs="Arial"/>
                <w:sz w:val="22"/>
                <w:szCs w:val="22"/>
              </w:rPr>
            </w:pPr>
            <w:r w:rsidRPr="00912428">
              <w:rPr>
                <w:rFonts w:cs="Arial"/>
                <w:sz w:val="22"/>
                <w:szCs w:val="22"/>
              </w:rPr>
              <w:t>4</w:t>
            </w:r>
          </w:p>
        </w:tc>
        <w:tc>
          <w:tcPr>
            <w:tcW w:w="511" w:type="dxa"/>
            <w:tcBorders>
              <w:top w:val="single" w:sz="4" w:space="0" w:color="auto"/>
              <w:left w:val="single" w:sz="4" w:space="0" w:color="auto"/>
              <w:bottom w:val="single" w:sz="4" w:space="0" w:color="auto"/>
              <w:right w:val="single" w:sz="4" w:space="0" w:color="auto"/>
            </w:tcBorders>
            <w:hideMark/>
          </w:tcPr>
          <w:p w14:paraId="2D6D3E36" w14:textId="77777777" w:rsidR="00FD222F" w:rsidRPr="00912428" w:rsidRDefault="00FD222F" w:rsidP="00502E80">
            <w:pPr>
              <w:spacing w:line="276" w:lineRule="auto"/>
              <w:jc w:val="center"/>
              <w:rPr>
                <w:rFonts w:cs="Arial"/>
                <w:sz w:val="22"/>
                <w:szCs w:val="22"/>
              </w:rPr>
            </w:pPr>
            <w:r w:rsidRPr="00912428">
              <w:rPr>
                <w:rFonts w:cs="Arial"/>
                <w:sz w:val="22"/>
                <w:szCs w:val="22"/>
              </w:rPr>
              <w:t>-</w:t>
            </w:r>
          </w:p>
        </w:tc>
      </w:tr>
      <w:tr w:rsidR="00FD222F" w14:paraId="194C031A" w14:textId="77777777" w:rsidTr="00502E80">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D5CBF99" w14:textId="77777777" w:rsidR="00FD222F" w:rsidRPr="00912428" w:rsidRDefault="00FD222F" w:rsidP="00502E80">
            <w:pPr>
              <w:spacing w:line="276" w:lineRule="auto"/>
              <w:rPr>
                <w:rFonts w:cs="Arial"/>
                <w:szCs w:val="24"/>
              </w:rPr>
            </w:pPr>
            <w:r w:rsidRPr="00912428">
              <w:rPr>
                <w:rFonts w:cs="Arial"/>
                <w:szCs w:val="24"/>
              </w:rPr>
              <w:t xml:space="preserve">RMH Environment </w:t>
            </w:r>
          </w:p>
        </w:tc>
        <w:tc>
          <w:tcPr>
            <w:tcW w:w="442" w:type="dxa"/>
            <w:tcBorders>
              <w:top w:val="single" w:sz="4" w:space="0" w:color="auto"/>
              <w:left w:val="single" w:sz="4" w:space="0" w:color="auto"/>
              <w:bottom w:val="single" w:sz="4" w:space="0" w:color="auto"/>
              <w:right w:val="single" w:sz="4" w:space="0" w:color="auto"/>
            </w:tcBorders>
            <w:vAlign w:val="center"/>
          </w:tcPr>
          <w:p w14:paraId="0A2F0C9A"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4A033661"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7849F72F"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489CBF02" w14:textId="77777777" w:rsidR="00FD222F" w:rsidRPr="00912428" w:rsidRDefault="00FD222F" w:rsidP="00502E80">
            <w:pPr>
              <w:spacing w:line="276" w:lineRule="auto"/>
              <w:jc w:val="center"/>
              <w:rPr>
                <w:rFonts w:cs="Arial"/>
                <w:szCs w:val="24"/>
                <w:lang w:eastAsia="en-GB"/>
              </w:rPr>
            </w:pPr>
          </w:p>
        </w:tc>
        <w:tc>
          <w:tcPr>
            <w:tcW w:w="1147"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40589029" w14:textId="77777777" w:rsidR="00FD222F" w:rsidRPr="00912428" w:rsidRDefault="00FD222F" w:rsidP="00502E80">
            <w:pPr>
              <w:spacing w:line="276" w:lineRule="auto"/>
              <w:ind w:left="-113" w:right="-85"/>
              <w:jc w:val="center"/>
              <w:rPr>
                <w:rFonts w:cs="Arial"/>
                <w:szCs w:val="24"/>
              </w:rPr>
            </w:pPr>
            <w:r w:rsidRPr="00912428">
              <w:rPr>
                <w:rFonts w:cs="Arial"/>
                <w:szCs w:val="24"/>
              </w:rPr>
              <w:t xml:space="preserve">Deferred </w:t>
            </w:r>
          </w:p>
        </w:tc>
        <w:tc>
          <w:tcPr>
            <w:tcW w:w="9133" w:type="dxa"/>
            <w:gridSpan w:val="11"/>
            <w:tcBorders>
              <w:top w:val="single" w:sz="4" w:space="0" w:color="auto"/>
              <w:left w:val="single" w:sz="4" w:space="0" w:color="auto"/>
              <w:bottom w:val="single" w:sz="4" w:space="0" w:color="auto"/>
              <w:right w:val="single" w:sz="4" w:space="0" w:color="auto"/>
            </w:tcBorders>
            <w:hideMark/>
          </w:tcPr>
          <w:p w14:paraId="209F45F8" w14:textId="77777777" w:rsidR="00FD222F" w:rsidRPr="00912428" w:rsidRDefault="00FD222F" w:rsidP="00502E80">
            <w:pPr>
              <w:spacing w:line="276" w:lineRule="auto"/>
              <w:jc w:val="center"/>
              <w:rPr>
                <w:rFonts w:cs="Arial"/>
                <w:szCs w:val="24"/>
              </w:rPr>
            </w:pPr>
            <w:r w:rsidRPr="00912428">
              <w:rPr>
                <w:rFonts w:cs="Arial"/>
                <w:szCs w:val="24"/>
              </w:rPr>
              <w:t xml:space="preserve">Review </w:t>
            </w:r>
            <w:r w:rsidRPr="00912428">
              <w:rPr>
                <w:rFonts w:cs="Arial"/>
                <w:i/>
                <w:szCs w:val="24"/>
              </w:rPr>
              <w:t>‘Deferred’</w:t>
            </w:r>
            <w:r w:rsidRPr="00912428">
              <w:rPr>
                <w:rFonts w:cs="Arial"/>
                <w:szCs w:val="24"/>
              </w:rPr>
              <w:t xml:space="preserve"> into 2019 Plan to review encompass new environment and replaced with DfE requested review of Exit Transition Plan (Q4, 2018)</w:t>
            </w:r>
          </w:p>
        </w:tc>
      </w:tr>
      <w:tr w:rsidR="00FD222F" w14:paraId="682CABA6" w14:textId="77777777" w:rsidTr="00502E80">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41FC547" w14:textId="77777777" w:rsidR="00FD222F" w:rsidRPr="00912428" w:rsidRDefault="00FD222F" w:rsidP="00502E80">
            <w:pPr>
              <w:spacing w:line="276" w:lineRule="auto"/>
              <w:rPr>
                <w:rFonts w:cs="Arial"/>
                <w:szCs w:val="24"/>
              </w:rPr>
            </w:pPr>
            <w:r w:rsidRPr="00912428">
              <w:rPr>
                <w:rFonts w:cs="Arial"/>
                <w:szCs w:val="24"/>
              </w:rPr>
              <w:t>Member Experience (Contact Centre)</w:t>
            </w:r>
          </w:p>
        </w:tc>
        <w:tc>
          <w:tcPr>
            <w:tcW w:w="442" w:type="dxa"/>
            <w:tcBorders>
              <w:top w:val="single" w:sz="4" w:space="0" w:color="auto"/>
              <w:left w:val="single" w:sz="4" w:space="0" w:color="auto"/>
              <w:bottom w:val="single" w:sz="4" w:space="0" w:color="auto"/>
              <w:right w:val="single" w:sz="4" w:space="0" w:color="auto"/>
            </w:tcBorders>
            <w:vAlign w:val="center"/>
          </w:tcPr>
          <w:p w14:paraId="21DFFD8D"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290ECC03"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37B55500"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428AA689" w14:textId="77777777" w:rsidR="00FD222F" w:rsidRPr="00912428" w:rsidRDefault="00FD222F" w:rsidP="00502E80">
            <w:pPr>
              <w:spacing w:line="276" w:lineRule="auto"/>
              <w:jc w:val="center"/>
              <w:rPr>
                <w:rFonts w:cs="Arial"/>
                <w:szCs w:val="24"/>
                <w:lang w:eastAsia="en-GB"/>
              </w:rPr>
            </w:pPr>
            <w:r w:rsidRPr="00912428">
              <w:rPr>
                <w:rFonts w:cs="Arial"/>
                <w:szCs w:val="24"/>
                <w:lang w:eastAsia="en-GB"/>
              </w:rPr>
              <w:sym w:font="Wingdings" w:char="F0FC"/>
            </w:r>
          </w:p>
        </w:tc>
        <w:tc>
          <w:tcPr>
            <w:tcW w:w="1147"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5C239ED3" w14:textId="77777777" w:rsidR="00FD222F" w:rsidRPr="00912428" w:rsidRDefault="00FD222F" w:rsidP="00502E80">
            <w:pPr>
              <w:spacing w:line="276" w:lineRule="auto"/>
              <w:ind w:left="-113" w:right="-85"/>
              <w:jc w:val="center"/>
              <w:rPr>
                <w:rFonts w:cs="Arial"/>
                <w:szCs w:val="24"/>
              </w:rPr>
            </w:pPr>
            <w:r w:rsidRPr="00912428">
              <w:rPr>
                <w:rFonts w:cs="Arial"/>
                <w:szCs w:val="24"/>
              </w:rPr>
              <w:t>Fieldwork</w:t>
            </w:r>
          </w:p>
        </w:tc>
        <w:tc>
          <w:tcPr>
            <w:tcW w:w="1109" w:type="dxa"/>
            <w:tcBorders>
              <w:top w:val="single" w:sz="4" w:space="0" w:color="auto"/>
              <w:left w:val="single" w:sz="4" w:space="0" w:color="auto"/>
              <w:bottom w:val="single" w:sz="4" w:space="0" w:color="auto"/>
              <w:right w:val="single" w:sz="4" w:space="0" w:color="auto"/>
            </w:tcBorders>
            <w:hideMark/>
          </w:tcPr>
          <w:p w14:paraId="5D90E250" w14:textId="77777777" w:rsidR="00FD222F" w:rsidRPr="00912428" w:rsidRDefault="00FD222F" w:rsidP="00502E80">
            <w:pPr>
              <w:spacing w:line="276" w:lineRule="auto"/>
              <w:jc w:val="center"/>
              <w:rPr>
                <w:rFonts w:cs="Arial"/>
                <w:szCs w:val="24"/>
              </w:rPr>
            </w:pPr>
            <w:r w:rsidRPr="00912428">
              <w:rPr>
                <w:rFonts w:cs="Arial"/>
                <w:szCs w:val="24"/>
              </w:rPr>
              <w:t>Oct  2018</w:t>
            </w:r>
          </w:p>
        </w:tc>
        <w:tc>
          <w:tcPr>
            <w:tcW w:w="1025" w:type="dxa"/>
            <w:tcBorders>
              <w:top w:val="single" w:sz="4" w:space="0" w:color="auto"/>
              <w:left w:val="single" w:sz="4" w:space="0" w:color="auto"/>
              <w:bottom w:val="single" w:sz="4" w:space="0" w:color="auto"/>
              <w:right w:val="single" w:sz="4" w:space="0" w:color="auto"/>
            </w:tcBorders>
            <w:shd w:val="clear" w:color="auto" w:fill="00B050"/>
          </w:tcPr>
          <w:p w14:paraId="1A46F2DA" w14:textId="77777777" w:rsidR="00FD222F" w:rsidRPr="00912428" w:rsidRDefault="00FD222F" w:rsidP="00502E80">
            <w:pPr>
              <w:spacing w:line="276" w:lineRule="auto"/>
              <w:jc w:val="center"/>
              <w:rPr>
                <w:rFonts w:cs="Arial"/>
                <w:sz w:val="22"/>
                <w:szCs w:val="22"/>
              </w:rPr>
            </w:pPr>
            <w:r w:rsidRPr="00912428">
              <w:rPr>
                <w:rFonts w:cs="Arial"/>
                <w:sz w:val="22"/>
                <w:szCs w:val="22"/>
              </w:rPr>
              <w:t>31/10/18</w:t>
            </w:r>
          </w:p>
        </w:tc>
        <w:tc>
          <w:tcPr>
            <w:tcW w:w="923" w:type="dxa"/>
            <w:tcBorders>
              <w:top w:val="single" w:sz="4" w:space="0" w:color="auto"/>
              <w:left w:val="single" w:sz="4" w:space="0" w:color="auto"/>
              <w:bottom w:val="single" w:sz="4" w:space="0" w:color="auto"/>
              <w:right w:val="single" w:sz="4" w:space="0" w:color="auto"/>
            </w:tcBorders>
          </w:tcPr>
          <w:p w14:paraId="2EDF5C3B" w14:textId="77777777" w:rsidR="00FD222F" w:rsidRPr="00912428" w:rsidRDefault="00FD222F" w:rsidP="00502E80">
            <w:pPr>
              <w:spacing w:line="276" w:lineRule="auto"/>
              <w:jc w:val="center"/>
              <w:rPr>
                <w:rFonts w:cs="Arial"/>
                <w:sz w:val="20"/>
              </w:rPr>
            </w:pPr>
            <w:r w:rsidRPr="00912428">
              <w:rPr>
                <w:rFonts w:cs="Arial"/>
                <w:sz w:val="20"/>
              </w:rPr>
              <w:t>05/11/18</w:t>
            </w:r>
          </w:p>
        </w:tc>
        <w:tc>
          <w:tcPr>
            <w:tcW w:w="1025" w:type="dxa"/>
            <w:tcBorders>
              <w:top w:val="single" w:sz="4" w:space="0" w:color="auto"/>
              <w:left w:val="single" w:sz="4" w:space="0" w:color="auto"/>
              <w:bottom w:val="single" w:sz="4" w:space="0" w:color="auto"/>
              <w:right w:val="single" w:sz="4" w:space="0" w:color="auto"/>
            </w:tcBorders>
          </w:tcPr>
          <w:p w14:paraId="49E1FE67" w14:textId="77777777" w:rsidR="00FD222F" w:rsidRPr="00912428" w:rsidRDefault="00FD222F" w:rsidP="00502E80">
            <w:pPr>
              <w:spacing w:line="276" w:lineRule="auto"/>
              <w:jc w:val="center"/>
              <w:rPr>
                <w:rFonts w:cs="Arial"/>
                <w:sz w:val="22"/>
                <w:szCs w:val="22"/>
              </w:rPr>
            </w:pPr>
            <w:r>
              <w:rPr>
                <w:rFonts w:cs="Arial"/>
                <w:sz w:val="22"/>
                <w:szCs w:val="22"/>
              </w:rPr>
              <w:t>Jan 19</w:t>
            </w:r>
          </w:p>
        </w:tc>
        <w:tc>
          <w:tcPr>
            <w:tcW w:w="1025" w:type="dxa"/>
            <w:tcBorders>
              <w:top w:val="single" w:sz="4" w:space="0" w:color="auto"/>
              <w:left w:val="single" w:sz="4" w:space="0" w:color="auto"/>
              <w:bottom w:val="single" w:sz="4" w:space="0" w:color="auto"/>
              <w:right w:val="single" w:sz="4" w:space="0" w:color="auto"/>
            </w:tcBorders>
          </w:tcPr>
          <w:p w14:paraId="7DE98D61" w14:textId="77777777" w:rsidR="00FD222F" w:rsidRPr="00912428" w:rsidRDefault="00FD222F" w:rsidP="00502E80">
            <w:pPr>
              <w:spacing w:line="276" w:lineRule="auto"/>
              <w:jc w:val="center"/>
              <w:rPr>
                <w:rFonts w:cs="Arial"/>
                <w:sz w:val="22"/>
                <w:szCs w:val="22"/>
              </w:rPr>
            </w:pPr>
          </w:p>
        </w:tc>
        <w:tc>
          <w:tcPr>
            <w:tcW w:w="989" w:type="dxa"/>
            <w:tcBorders>
              <w:top w:val="single" w:sz="4" w:space="0" w:color="auto"/>
              <w:left w:val="single" w:sz="4" w:space="0" w:color="auto"/>
              <w:bottom w:val="single" w:sz="4" w:space="0" w:color="auto"/>
              <w:right w:val="single" w:sz="4" w:space="0" w:color="auto"/>
            </w:tcBorders>
          </w:tcPr>
          <w:p w14:paraId="03E1CBE3" w14:textId="77777777" w:rsidR="00FD222F" w:rsidRPr="00912428" w:rsidRDefault="00FD222F" w:rsidP="00502E80">
            <w:pPr>
              <w:spacing w:line="276" w:lineRule="auto"/>
              <w:jc w:val="center"/>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08576A82" w14:textId="77777777" w:rsidR="00FD222F" w:rsidRPr="00912428" w:rsidRDefault="00FD222F" w:rsidP="00502E80">
            <w:pPr>
              <w:spacing w:line="276" w:lineRule="auto"/>
              <w:jc w:val="center"/>
              <w:rPr>
                <w:rFonts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1C9DA2B1" w14:textId="77777777" w:rsidR="00FD222F" w:rsidRPr="00912428" w:rsidRDefault="00FD222F" w:rsidP="00502E80">
            <w:pPr>
              <w:spacing w:line="276" w:lineRule="auto"/>
              <w:jc w:val="center"/>
              <w:rPr>
                <w:rFonts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6677333F" w14:textId="77777777" w:rsidR="00FD222F" w:rsidRPr="00912428" w:rsidRDefault="00FD222F" w:rsidP="00502E80">
            <w:pPr>
              <w:spacing w:line="276" w:lineRule="auto"/>
              <w:jc w:val="center"/>
              <w:rPr>
                <w:rFonts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05F5D4A7" w14:textId="77777777" w:rsidR="00FD222F" w:rsidRPr="00912428" w:rsidRDefault="00FD222F" w:rsidP="00502E80">
            <w:pPr>
              <w:spacing w:line="276" w:lineRule="auto"/>
              <w:jc w:val="center"/>
              <w:rPr>
                <w:rFonts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42EBB933" w14:textId="77777777" w:rsidR="00FD222F" w:rsidRPr="00912428" w:rsidRDefault="00FD222F" w:rsidP="00502E80">
            <w:pPr>
              <w:spacing w:line="276" w:lineRule="auto"/>
              <w:jc w:val="center"/>
              <w:rPr>
                <w:rFonts w:cs="Arial"/>
                <w:sz w:val="22"/>
                <w:szCs w:val="22"/>
              </w:rPr>
            </w:pPr>
          </w:p>
        </w:tc>
      </w:tr>
      <w:tr w:rsidR="00FD222F" w14:paraId="5A984587" w14:textId="77777777" w:rsidTr="00502E80">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4C1DC25" w14:textId="77777777" w:rsidR="00FD222F" w:rsidRPr="00912428" w:rsidRDefault="00FD222F" w:rsidP="00502E80">
            <w:pPr>
              <w:spacing w:line="276" w:lineRule="auto"/>
              <w:rPr>
                <w:rFonts w:cs="Arial"/>
                <w:szCs w:val="24"/>
              </w:rPr>
            </w:pPr>
            <w:r w:rsidRPr="00912428">
              <w:rPr>
                <w:rFonts w:cs="Arial"/>
                <w:szCs w:val="24"/>
              </w:rPr>
              <w:t xml:space="preserve">Exit Transition Plan </w:t>
            </w:r>
          </w:p>
        </w:tc>
        <w:tc>
          <w:tcPr>
            <w:tcW w:w="442" w:type="dxa"/>
            <w:tcBorders>
              <w:top w:val="single" w:sz="4" w:space="0" w:color="auto"/>
              <w:left w:val="single" w:sz="4" w:space="0" w:color="auto"/>
              <w:bottom w:val="single" w:sz="4" w:space="0" w:color="auto"/>
              <w:right w:val="single" w:sz="4" w:space="0" w:color="auto"/>
            </w:tcBorders>
            <w:vAlign w:val="center"/>
          </w:tcPr>
          <w:p w14:paraId="6C272CF0"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35F3E78D"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6906E982"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4938FF89" w14:textId="77777777" w:rsidR="00FD222F" w:rsidRPr="00912428" w:rsidRDefault="00FD222F" w:rsidP="00502E80">
            <w:pPr>
              <w:spacing w:line="276" w:lineRule="auto"/>
              <w:jc w:val="center"/>
              <w:rPr>
                <w:rFonts w:cs="Arial"/>
                <w:szCs w:val="24"/>
                <w:lang w:eastAsia="en-GB"/>
              </w:rPr>
            </w:pPr>
            <w:r w:rsidRPr="00912428">
              <w:rPr>
                <w:rFonts w:cs="Arial"/>
                <w:szCs w:val="24"/>
                <w:lang w:eastAsia="en-GB"/>
              </w:rPr>
              <w:sym w:font="Wingdings" w:char="F0FC"/>
            </w:r>
          </w:p>
        </w:tc>
        <w:tc>
          <w:tcPr>
            <w:tcW w:w="1147"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2AB00669" w14:textId="77777777" w:rsidR="00FD222F" w:rsidRPr="00912428" w:rsidRDefault="00FD222F" w:rsidP="00502E80">
            <w:pPr>
              <w:spacing w:line="276" w:lineRule="auto"/>
              <w:ind w:left="-113" w:right="-85"/>
              <w:jc w:val="center"/>
              <w:rPr>
                <w:rFonts w:cs="Arial"/>
                <w:szCs w:val="24"/>
              </w:rPr>
            </w:pPr>
            <w:r w:rsidRPr="00912428">
              <w:rPr>
                <w:rFonts w:cs="Arial"/>
                <w:szCs w:val="24"/>
              </w:rPr>
              <w:t xml:space="preserve">Fieldwork </w:t>
            </w:r>
          </w:p>
        </w:tc>
        <w:tc>
          <w:tcPr>
            <w:tcW w:w="1109" w:type="dxa"/>
            <w:tcBorders>
              <w:top w:val="single" w:sz="4" w:space="0" w:color="auto"/>
              <w:left w:val="single" w:sz="4" w:space="0" w:color="auto"/>
              <w:bottom w:val="single" w:sz="4" w:space="0" w:color="auto"/>
              <w:right w:val="single" w:sz="4" w:space="0" w:color="auto"/>
            </w:tcBorders>
            <w:hideMark/>
          </w:tcPr>
          <w:p w14:paraId="3DF2A33E" w14:textId="77777777" w:rsidR="00FD222F" w:rsidRPr="00912428" w:rsidRDefault="00FD222F" w:rsidP="00502E80">
            <w:pPr>
              <w:spacing w:line="276" w:lineRule="auto"/>
              <w:jc w:val="center"/>
              <w:rPr>
                <w:rFonts w:cs="Arial"/>
                <w:szCs w:val="24"/>
              </w:rPr>
            </w:pPr>
            <w:r w:rsidRPr="00912428">
              <w:rPr>
                <w:rFonts w:cs="Arial"/>
                <w:szCs w:val="24"/>
              </w:rPr>
              <w:t>Sep 2018</w:t>
            </w:r>
          </w:p>
        </w:tc>
        <w:tc>
          <w:tcPr>
            <w:tcW w:w="1025" w:type="dxa"/>
            <w:tcBorders>
              <w:top w:val="single" w:sz="4" w:space="0" w:color="auto"/>
              <w:left w:val="single" w:sz="4" w:space="0" w:color="auto"/>
              <w:bottom w:val="single" w:sz="4" w:space="0" w:color="auto"/>
              <w:right w:val="single" w:sz="4" w:space="0" w:color="auto"/>
            </w:tcBorders>
            <w:shd w:val="clear" w:color="auto" w:fill="00B050"/>
          </w:tcPr>
          <w:p w14:paraId="206D44BD" w14:textId="77777777" w:rsidR="00FD222F" w:rsidRPr="00912428" w:rsidRDefault="00FD222F" w:rsidP="00502E80">
            <w:pPr>
              <w:spacing w:line="276" w:lineRule="auto"/>
              <w:jc w:val="center"/>
              <w:rPr>
                <w:rFonts w:cs="Arial"/>
                <w:sz w:val="22"/>
                <w:szCs w:val="22"/>
              </w:rPr>
            </w:pPr>
            <w:r>
              <w:rPr>
                <w:rFonts w:cs="Arial"/>
                <w:sz w:val="22"/>
                <w:szCs w:val="22"/>
              </w:rPr>
              <w:t>06/09/18</w:t>
            </w:r>
          </w:p>
        </w:tc>
        <w:tc>
          <w:tcPr>
            <w:tcW w:w="923" w:type="dxa"/>
            <w:tcBorders>
              <w:top w:val="single" w:sz="4" w:space="0" w:color="auto"/>
              <w:left w:val="single" w:sz="4" w:space="0" w:color="auto"/>
              <w:bottom w:val="single" w:sz="4" w:space="0" w:color="auto"/>
              <w:right w:val="single" w:sz="4" w:space="0" w:color="auto"/>
            </w:tcBorders>
          </w:tcPr>
          <w:p w14:paraId="1AF2B784" w14:textId="77777777" w:rsidR="00FD222F" w:rsidRPr="00912428" w:rsidRDefault="00FD222F" w:rsidP="00502E80">
            <w:pPr>
              <w:spacing w:line="276" w:lineRule="auto"/>
              <w:jc w:val="center"/>
              <w:rPr>
                <w:rFonts w:cs="Arial"/>
                <w:sz w:val="20"/>
              </w:rPr>
            </w:pPr>
            <w:r w:rsidRPr="00912428">
              <w:rPr>
                <w:rFonts w:cs="Arial"/>
                <w:sz w:val="20"/>
              </w:rPr>
              <w:t>05/10/18</w:t>
            </w:r>
          </w:p>
        </w:tc>
        <w:tc>
          <w:tcPr>
            <w:tcW w:w="1025" w:type="dxa"/>
            <w:tcBorders>
              <w:top w:val="single" w:sz="4" w:space="0" w:color="auto"/>
              <w:left w:val="single" w:sz="4" w:space="0" w:color="auto"/>
              <w:bottom w:val="single" w:sz="4" w:space="0" w:color="auto"/>
              <w:right w:val="single" w:sz="4" w:space="0" w:color="auto"/>
            </w:tcBorders>
          </w:tcPr>
          <w:p w14:paraId="6C7706E9" w14:textId="77777777" w:rsidR="00FD222F" w:rsidRPr="00912428" w:rsidRDefault="00FD222F" w:rsidP="00502E80">
            <w:pPr>
              <w:spacing w:line="276" w:lineRule="auto"/>
              <w:jc w:val="center"/>
              <w:rPr>
                <w:rFonts w:cs="Arial"/>
                <w:sz w:val="22"/>
                <w:szCs w:val="22"/>
              </w:rPr>
            </w:pPr>
            <w:r>
              <w:rPr>
                <w:rFonts w:cs="Arial"/>
                <w:sz w:val="22"/>
                <w:szCs w:val="22"/>
              </w:rPr>
              <w:t>Dec 18</w:t>
            </w:r>
          </w:p>
        </w:tc>
        <w:tc>
          <w:tcPr>
            <w:tcW w:w="1025" w:type="dxa"/>
            <w:tcBorders>
              <w:top w:val="single" w:sz="4" w:space="0" w:color="auto"/>
              <w:left w:val="single" w:sz="4" w:space="0" w:color="auto"/>
              <w:bottom w:val="single" w:sz="4" w:space="0" w:color="auto"/>
              <w:right w:val="single" w:sz="4" w:space="0" w:color="auto"/>
            </w:tcBorders>
          </w:tcPr>
          <w:p w14:paraId="2D510F2F" w14:textId="77777777" w:rsidR="00FD222F" w:rsidRPr="00912428" w:rsidRDefault="00FD222F" w:rsidP="00502E80">
            <w:pPr>
              <w:spacing w:line="276" w:lineRule="auto"/>
              <w:jc w:val="center"/>
              <w:rPr>
                <w:rFonts w:cs="Arial"/>
                <w:sz w:val="22"/>
                <w:szCs w:val="22"/>
              </w:rPr>
            </w:pPr>
          </w:p>
        </w:tc>
        <w:tc>
          <w:tcPr>
            <w:tcW w:w="989" w:type="dxa"/>
            <w:tcBorders>
              <w:top w:val="single" w:sz="4" w:space="0" w:color="auto"/>
              <w:left w:val="single" w:sz="4" w:space="0" w:color="auto"/>
              <w:bottom w:val="single" w:sz="4" w:space="0" w:color="auto"/>
              <w:right w:val="single" w:sz="4" w:space="0" w:color="auto"/>
            </w:tcBorders>
          </w:tcPr>
          <w:p w14:paraId="19C03F57" w14:textId="77777777" w:rsidR="00FD222F" w:rsidRPr="00912428" w:rsidRDefault="00FD222F" w:rsidP="00502E80">
            <w:pPr>
              <w:spacing w:line="276" w:lineRule="auto"/>
              <w:jc w:val="center"/>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7F4AA818" w14:textId="77777777" w:rsidR="00FD222F" w:rsidRPr="00912428" w:rsidRDefault="00FD222F" w:rsidP="00502E80">
            <w:pPr>
              <w:spacing w:line="276" w:lineRule="auto"/>
              <w:jc w:val="center"/>
              <w:rPr>
                <w:rFonts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6E1FA976" w14:textId="77777777" w:rsidR="00FD222F" w:rsidRPr="00912428" w:rsidRDefault="00FD222F" w:rsidP="00502E80">
            <w:pPr>
              <w:spacing w:line="276" w:lineRule="auto"/>
              <w:jc w:val="center"/>
              <w:rPr>
                <w:rFonts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4FB500BD" w14:textId="77777777" w:rsidR="00FD222F" w:rsidRPr="00912428" w:rsidRDefault="00FD222F" w:rsidP="00502E80">
            <w:pPr>
              <w:spacing w:line="276" w:lineRule="auto"/>
              <w:jc w:val="center"/>
              <w:rPr>
                <w:rFonts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6DEA29A6" w14:textId="77777777" w:rsidR="00FD222F" w:rsidRPr="00912428" w:rsidRDefault="00FD222F" w:rsidP="00502E80">
            <w:pPr>
              <w:spacing w:line="276" w:lineRule="auto"/>
              <w:jc w:val="center"/>
              <w:rPr>
                <w:rFonts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4B4CC116" w14:textId="77777777" w:rsidR="00FD222F" w:rsidRPr="00912428" w:rsidRDefault="00FD222F" w:rsidP="00502E80">
            <w:pPr>
              <w:spacing w:line="276" w:lineRule="auto"/>
              <w:jc w:val="center"/>
              <w:rPr>
                <w:rFonts w:cs="Arial"/>
                <w:sz w:val="22"/>
                <w:szCs w:val="22"/>
              </w:rPr>
            </w:pPr>
          </w:p>
        </w:tc>
      </w:tr>
      <w:tr w:rsidR="00FD222F" w14:paraId="5AE36E91" w14:textId="77777777" w:rsidTr="00502E80">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1EB03266" w14:textId="77777777" w:rsidR="00FD222F" w:rsidRPr="00912428" w:rsidRDefault="00FD222F" w:rsidP="00502E80">
            <w:pPr>
              <w:spacing w:line="276" w:lineRule="auto"/>
              <w:rPr>
                <w:rFonts w:cs="Arial"/>
                <w:szCs w:val="24"/>
              </w:rPr>
            </w:pPr>
            <w:r w:rsidRPr="00912428">
              <w:rPr>
                <w:rFonts w:cs="Arial"/>
                <w:szCs w:val="24"/>
              </w:rPr>
              <w:t xml:space="preserve">GDPR </w:t>
            </w:r>
          </w:p>
        </w:tc>
        <w:tc>
          <w:tcPr>
            <w:tcW w:w="442" w:type="dxa"/>
            <w:tcBorders>
              <w:top w:val="single" w:sz="4" w:space="0" w:color="auto"/>
              <w:left w:val="single" w:sz="4" w:space="0" w:color="auto"/>
              <w:bottom w:val="single" w:sz="4" w:space="0" w:color="auto"/>
              <w:right w:val="single" w:sz="4" w:space="0" w:color="auto"/>
            </w:tcBorders>
            <w:vAlign w:val="center"/>
          </w:tcPr>
          <w:p w14:paraId="688A2B2D"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17A73910"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0544DAE1"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3D8DA8D4" w14:textId="77777777" w:rsidR="00FD222F" w:rsidRPr="00912428" w:rsidRDefault="00FD222F" w:rsidP="00502E80">
            <w:pPr>
              <w:spacing w:line="276" w:lineRule="auto"/>
              <w:jc w:val="center"/>
              <w:rPr>
                <w:rFonts w:cs="Arial"/>
                <w:szCs w:val="24"/>
                <w:lang w:eastAsia="en-GB"/>
              </w:rPr>
            </w:pPr>
            <w:r w:rsidRPr="00912428">
              <w:rPr>
                <w:rFonts w:cs="Arial"/>
                <w:szCs w:val="24"/>
                <w:lang w:eastAsia="en-GB"/>
              </w:rPr>
              <w:sym w:font="Wingdings" w:char="F0FC"/>
            </w:r>
          </w:p>
        </w:tc>
        <w:tc>
          <w:tcPr>
            <w:tcW w:w="1147"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tcPr>
          <w:p w14:paraId="7E92A49A" w14:textId="77777777" w:rsidR="00FD222F" w:rsidRPr="00912428" w:rsidRDefault="00FD222F" w:rsidP="00502E80">
            <w:pPr>
              <w:spacing w:line="276" w:lineRule="auto"/>
              <w:ind w:left="-113" w:right="-85"/>
              <w:jc w:val="center"/>
              <w:rPr>
                <w:rFonts w:cs="Arial"/>
                <w:szCs w:val="24"/>
              </w:rPr>
            </w:pPr>
            <w:r w:rsidRPr="00912428">
              <w:rPr>
                <w:rFonts w:cs="Arial"/>
                <w:szCs w:val="24"/>
              </w:rPr>
              <w:t xml:space="preserve">Planning </w:t>
            </w:r>
          </w:p>
        </w:tc>
        <w:tc>
          <w:tcPr>
            <w:tcW w:w="1109" w:type="dxa"/>
            <w:tcBorders>
              <w:top w:val="single" w:sz="4" w:space="0" w:color="auto"/>
              <w:left w:val="single" w:sz="4" w:space="0" w:color="auto"/>
              <w:bottom w:val="single" w:sz="4" w:space="0" w:color="auto"/>
              <w:right w:val="single" w:sz="4" w:space="0" w:color="auto"/>
            </w:tcBorders>
          </w:tcPr>
          <w:p w14:paraId="5AC1B51C" w14:textId="77777777" w:rsidR="00FD222F" w:rsidRPr="00912428" w:rsidRDefault="00FD222F" w:rsidP="00502E80">
            <w:pPr>
              <w:spacing w:line="276" w:lineRule="auto"/>
              <w:jc w:val="center"/>
              <w:rPr>
                <w:rFonts w:cs="Arial"/>
                <w:szCs w:val="24"/>
              </w:rPr>
            </w:pPr>
            <w:r w:rsidRPr="00912428">
              <w:rPr>
                <w:rFonts w:cs="Arial"/>
                <w:szCs w:val="24"/>
              </w:rPr>
              <w:t>Nov 2018</w:t>
            </w:r>
          </w:p>
        </w:tc>
        <w:tc>
          <w:tcPr>
            <w:tcW w:w="1025" w:type="dxa"/>
            <w:tcBorders>
              <w:top w:val="single" w:sz="4" w:space="0" w:color="auto"/>
              <w:left w:val="single" w:sz="4" w:space="0" w:color="auto"/>
              <w:bottom w:val="single" w:sz="4" w:space="0" w:color="auto"/>
              <w:right w:val="single" w:sz="4" w:space="0" w:color="auto"/>
            </w:tcBorders>
          </w:tcPr>
          <w:p w14:paraId="544DD51A" w14:textId="77777777" w:rsidR="00FD222F" w:rsidRPr="00912428" w:rsidRDefault="00FD222F" w:rsidP="00502E80">
            <w:pPr>
              <w:spacing w:line="276" w:lineRule="auto"/>
              <w:jc w:val="center"/>
              <w:rPr>
                <w:rFonts w:cs="Arial"/>
                <w:sz w:val="22"/>
                <w:szCs w:val="22"/>
              </w:rPr>
            </w:pPr>
          </w:p>
        </w:tc>
        <w:tc>
          <w:tcPr>
            <w:tcW w:w="923" w:type="dxa"/>
            <w:tcBorders>
              <w:top w:val="single" w:sz="4" w:space="0" w:color="auto"/>
              <w:left w:val="single" w:sz="4" w:space="0" w:color="auto"/>
              <w:bottom w:val="single" w:sz="4" w:space="0" w:color="auto"/>
              <w:right w:val="single" w:sz="4" w:space="0" w:color="auto"/>
            </w:tcBorders>
          </w:tcPr>
          <w:p w14:paraId="48F52FCB" w14:textId="77777777" w:rsidR="00FD222F" w:rsidRPr="00912428" w:rsidRDefault="00FD222F" w:rsidP="00502E80">
            <w:pPr>
              <w:spacing w:line="276" w:lineRule="auto"/>
              <w:jc w:val="center"/>
              <w:rPr>
                <w:rFonts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0137676D" w14:textId="77777777" w:rsidR="00FD222F" w:rsidRPr="00912428" w:rsidRDefault="00FD222F" w:rsidP="00502E80">
            <w:pPr>
              <w:spacing w:line="276" w:lineRule="auto"/>
              <w:jc w:val="center"/>
              <w:rPr>
                <w:rFonts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45876A8F" w14:textId="77777777" w:rsidR="00FD222F" w:rsidRPr="00912428" w:rsidRDefault="00FD222F" w:rsidP="00502E80">
            <w:pPr>
              <w:spacing w:line="276" w:lineRule="auto"/>
              <w:jc w:val="center"/>
              <w:rPr>
                <w:rFonts w:cs="Arial"/>
                <w:sz w:val="22"/>
                <w:szCs w:val="22"/>
              </w:rPr>
            </w:pPr>
          </w:p>
        </w:tc>
        <w:tc>
          <w:tcPr>
            <w:tcW w:w="989" w:type="dxa"/>
            <w:tcBorders>
              <w:top w:val="single" w:sz="4" w:space="0" w:color="auto"/>
              <w:left w:val="single" w:sz="4" w:space="0" w:color="auto"/>
              <w:bottom w:val="single" w:sz="4" w:space="0" w:color="auto"/>
              <w:right w:val="single" w:sz="4" w:space="0" w:color="auto"/>
            </w:tcBorders>
          </w:tcPr>
          <w:p w14:paraId="770FBEFF" w14:textId="77777777" w:rsidR="00FD222F" w:rsidRPr="00912428" w:rsidRDefault="00FD222F" w:rsidP="00502E80">
            <w:pPr>
              <w:spacing w:line="276" w:lineRule="auto"/>
              <w:jc w:val="center"/>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321F3A25" w14:textId="77777777" w:rsidR="00FD222F" w:rsidRPr="00912428" w:rsidRDefault="00FD222F" w:rsidP="00502E80">
            <w:pPr>
              <w:spacing w:line="276" w:lineRule="auto"/>
              <w:jc w:val="center"/>
              <w:rPr>
                <w:rFonts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73065A81" w14:textId="77777777" w:rsidR="00FD222F" w:rsidRPr="00912428" w:rsidRDefault="00FD222F" w:rsidP="00502E80">
            <w:pPr>
              <w:spacing w:line="276" w:lineRule="auto"/>
              <w:jc w:val="center"/>
              <w:rPr>
                <w:rFonts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55CB087D" w14:textId="77777777" w:rsidR="00FD222F" w:rsidRPr="00912428" w:rsidRDefault="00FD222F" w:rsidP="00502E80">
            <w:pPr>
              <w:spacing w:line="276" w:lineRule="auto"/>
              <w:jc w:val="center"/>
              <w:rPr>
                <w:rFonts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6911868A" w14:textId="77777777" w:rsidR="00FD222F" w:rsidRPr="00912428" w:rsidRDefault="00FD222F" w:rsidP="00502E80">
            <w:pPr>
              <w:spacing w:line="276" w:lineRule="auto"/>
              <w:jc w:val="center"/>
              <w:rPr>
                <w:rFonts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606341E2" w14:textId="77777777" w:rsidR="00FD222F" w:rsidRPr="00912428" w:rsidRDefault="00FD222F" w:rsidP="00502E80">
            <w:pPr>
              <w:spacing w:line="276" w:lineRule="auto"/>
              <w:jc w:val="center"/>
              <w:rPr>
                <w:rFonts w:cs="Arial"/>
                <w:sz w:val="22"/>
                <w:szCs w:val="22"/>
              </w:rPr>
            </w:pPr>
          </w:p>
        </w:tc>
      </w:tr>
      <w:tr w:rsidR="00FD222F" w14:paraId="0414ED53" w14:textId="77777777" w:rsidTr="00502E80">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21586FE" w14:textId="77777777" w:rsidR="00FD222F" w:rsidRDefault="00FD222F" w:rsidP="00502E80">
            <w:pPr>
              <w:spacing w:line="276" w:lineRule="auto"/>
              <w:rPr>
                <w:rFonts w:cs="Arial"/>
                <w:szCs w:val="24"/>
              </w:rPr>
            </w:pPr>
            <w:r w:rsidRPr="00912428">
              <w:rPr>
                <w:rFonts w:cs="Arial"/>
                <w:szCs w:val="24"/>
              </w:rPr>
              <w:t>GIA Annual Assurance Statement (2017 / 2018)</w:t>
            </w:r>
          </w:p>
          <w:p w14:paraId="6EE8A1B3" w14:textId="77777777" w:rsidR="002F362C" w:rsidRPr="00912428" w:rsidRDefault="002F362C" w:rsidP="00502E80">
            <w:pPr>
              <w:spacing w:line="276" w:lineRule="auto"/>
              <w:rPr>
                <w:rFonts w:cs="Arial"/>
                <w:szCs w:val="24"/>
              </w:rPr>
            </w:pPr>
          </w:p>
        </w:tc>
        <w:tc>
          <w:tcPr>
            <w:tcW w:w="442" w:type="dxa"/>
            <w:tcBorders>
              <w:top w:val="single" w:sz="4" w:space="0" w:color="auto"/>
              <w:left w:val="single" w:sz="4" w:space="0" w:color="auto"/>
              <w:bottom w:val="single" w:sz="4" w:space="0" w:color="auto"/>
              <w:right w:val="single" w:sz="4" w:space="0" w:color="auto"/>
            </w:tcBorders>
            <w:hideMark/>
          </w:tcPr>
          <w:p w14:paraId="6D9051A7" w14:textId="77777777" w:rsidR="00FD222F" w:rsidRPr="00912428" w:rsidRDefault="00FD222F" w:rsidP="00502E80">
            <w:pPr>
              <w:spacing w:line="276" w:lineRule="auto"/>
              <w:jc w:val="center"/>
              <w:rPr>
                <w:rFonts w:cs="Arial"/>
                <w:szCs w:val="24"/>
                <w:lang w:eastAsia="en-GB"/>
              </w:rPr>
            </w:pPr>
            <w:r w:rsidRPr="00912428">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549956CC"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19A3B5F1" w14:textId="77777777" w:rsidR="00FD222F" w:rsidRPr="00912428"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38878C42" w14:textId="77777777" w:rsidR="00FD222F" w:rsidRPr="00912428" w:rsidRDefault="00FD222F" w:rsidP="00502E80">
            <w:pPr>
              <w:spacing w:line="276" w:lineRule="auto"/>
              <w:jc w:val="center"/>
              <w:rPr>
                <w:rFonts w:cs="Arial"/>
                <w:szCs w:val="24"/>
                <w:lang w:eastAsia="en-GB"/>
              </w:rPr>
            </w:pPr>
          </w:p>
        </w:tc>
        <w:tc>
          <w:tcPr>
            <w:tcW w:w="1147"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431C922C" w14:textId="77777777" w:rsidR="00FD222F" w:rsidRPr="00912428" w:rsidRDefault="00FD222F" w:rsidP="00502E80">
            <w:pPr>
              <w:spacing w:line="276" w:lineRule="auto"/>
              <w:ind w:left="-113" w:right="-85"/>
              <w:jc w:val="center"/>
              <w:rPr>
                <w:rFonts w:cs="Arial"/>
                <w:szCs w:val="24"/>
                <w:lang w:eastAsia="en-GB"/>
              </w:rPr>
            </w:pPr>
            <w:r w:rsidRPr="00912428">
              <w:rPr>
                <w:rFonts w:cs="Arial"/>
                <w:szCs w:val="24"/>
              </w:rPr>
              <w:t xml:space="preserve">Final </w:t>
            </w:r>
          </w:p>
        </w:tc>
        <w:tc>
          <w:tcPr>
            <w:tcW w:w="1109" w:type="dxa"/>
            <w:tcBorders>
              <w:top w:val="single" w:sz="4" w:space="0" w:color="auto"/>
              <w:left w:val="single" w:sz="4" w:space="0" w:color="auto"/>
              <w:bottom w:val="single" w:sz="4" w:space="0" w:color="auto"/>
              <w:right w:val="single" w:sz="4" w:space="0" w:color="auto"/>
            </w:tcBorders>
            <w:hideMark/>
          </w:tcPr>
          <w:p w14:paraId="3A2085CA" w14:textId="77777777" w:rsidR="00FD222F" w:rsidRPr="00912428" w:rsidRDefault="00FD222F" w:rsidP="00502E80">
            <w:pPr>
              <w:spacing w:line="276" w:lineRule="auto"/>
              <w:jc w:val="center"/>
              <w:rPr>
                <w:rFonts w:cs="Arial"/>
                <w:color w:val="000000"/>
                <w:szCs w:val="24"/>
                <w:lang w:eastAsia="en-GB"/>
              </w:rPr>
            </w:pPr>
            <w:r w:rsidRPr="00912428">
              <w:rPr>
                <w:rFonts w:cs="Arial"/>
                <w:szCs w:val="24"/>
              </w:rPr>
              <w:t>N/A</w:t>
            </w:r>
          </w:p>
        </w:tc>
        <w:tc>
          <w:tcPr>
            <w:tcW w:w="1025" w:type="dxa"/>
            <w:tcBorders>
              <w:top w:val="single" w:sz="4" w:space="0" w:color="auto"/>
              <w:left w:val="single" w:sz="4" w:space="0" w:color="auto"/>
              <w:bottom w:val="single" w:sz="4" w:space="0" w:color="auto"/>
              <w:right w:val="single" w:sz="4" w:space="0" w:color="auto"/>
            </w:tcBorders>
            <w:hideMark/>
          </w:tcPr>
          <w:p w14:paraId="0CB96E21" w14:textId="77777777" w:rsidR="00FD222F" w:rsidRPr="00912428" w:rsidRDefault="00FD222F" w:rsidP="00502E80">
            <w:pPr>
              <w:spacing w:line="276" w:lineRule="auto"/>
              <w:jc w:val="center"/>
              <w:rPr>
                <w:rFonts w:cs="Arial"/>
                <w:sz w:val="22"/>
                <w:szCs w:val="22"/>
                <w:lang w:eastAsia="en-GB"/>
              </w:rPr>
            </w:pPr>
            <w:r w:rsidRPr="00912428">
              <w:rPr>
                <w:rFonts w:cs="Arial"/>
                <w:sz w:val="22"/>
                <w:szCs w:val="22"/>
              </w:rPr>
              <w:t>N/A</w:t>
            </w:r>
          </w:p>
        </w:tc>
        <w:tc>
          <w:tcPr>
            <w:tcW w:w="923" w:type="dxa"/>
            <w:tcBorders>
              <w:top w:val="single" w:sz="4" w:space="0" w:color="auto"/>
              <w:left w:val="single" w:sz="4" w:space="0" w:color="auto"/>
              <w:bottom w:val="single" w:sz="4" w:space="0" w:color="auto"/>
              <w:right w:val="single" w:sz="4" w:space="0" w:color="auto"/>
            </w:tcBorders>
            <w:hideMark/>
          </w:tcPr>
          <w:p w14:paraId="40C29000" w14:textId="77777777" w:rsidR="00FD222F" w:rsidRPr="00912428" w:rsidRDefault="00FD222F" w:rsidP="00502E80">
            <w:pPr>
              <w:spacing w:line="276" w:lineRule="auto"/>
              <w:jc w:val="center"/>
              <w:rPr>
                <w:rFonts w:cs="Arial"/>
                <w:sz w:val="22"/>
                <w:szCs w:val="22"/>
                <w:lang w:eastAsia="en-GB"/>
              </w:rPr>
            </w:pPr>
            <w:r w:rsidRPr="00912428">
              <w:rPr>
                <w:rFonts w:cs="Arial"/>
                <w:sz w:val="22"/>
                <w:szCs w:val="22"/>
              </w:rPr>
              <w:t>N/A</w:t>
            </w:r>
          </w:p>
        </w:tc>
        <w:tc>
          <w:tcPr>
            <w:tcW w:w="1025" w:type="dxa"/>
            <w:tcBorders>
              <w:top w:val="single" w:sz="4" w:space="0" w:color="auto"/>
              <w:left w:val="single" w:sz="4" w:space="0" w:color="auto"/>
              <w:bottom w:val="single" w:sz="4" w:space="0" w:color="auto"/>
              <w:right w:val="single" w:sz="4" w:space="0" w:color="auto"/>
            </w:tcBorders>
            <w:hideMark/>
          </w:tcPr>
          <w:p w14:paraId="031B29B1" w14:textId="77777777" w:rsidR="00FD222F" w:rsidRPr="00912428" w:rsidRDefault="00FD222F" w:rsidP="00502E80">
            <w:pPr>
              <w:spacing w:line="276" w:lineRule="auto"/>
              <w:jc w:val="center"/>
              <w:rPr>
                <w:rFonts w:cs="Arial"/>
                <w:sz w:val="22"/>
                <w:szCs w:val="22"/>
                <w:lang w:eastAsia="en-GB"/>
              </w:rPr>
            </w:pPr>
            <w:r w:rsidRPr="00912428">
              <w:rPr>
                <w:rFonts w:cs="Arial"/>
                <w:sz w:val="22"/>
                <w:szCs w:val="22"/>
              </w:rPr>
              <w:t>N/A</w:t>
            </w:r>
          </w:p>
        </w:tc>
        <w:tc>
          <w:tcPr>
            <w:tcW w:w="1025" w:type="dxa"/>
            <w:tcBorders>
              <w:top w:val="single" w:sz="4" w:space="0" w:color="auto"/>
              <w:left w:val="single" w:sz="4" w:space="0" w:color="auto"/>
              <w:bottom w:val="single" w:sz="4" w:space="0" w:color="auto"/>
              <w:right w:val="single" w:sz="4" w:space="0" w:color="auto"/>
            </w:tcBorders>
            <w:hideMark/>
          </w:tcPr>
          <w:p w14:paraId="441B2F09" w14:textId="77777777" w:rsidR="00FD222F" w:rsidRPr="00912428" w:rsidRDefault="00FD222F" w:rsidP="00502E80">
            <w:pPr>
              <w:spacing w:line="276" w:lineRule="auto"/>
              <w:jc w:val="center"/>
              <w:rPr>
                <w:rFonts w:cs="Arial"/>
                <w:sz w:val="22"/>
                <w:szCs w:val="22"/>
                <w:lang w:eastAsia="en-GB"/>
              </w:rPr>
            </w:pPr>
            <w:r w:rsidRPr="00912428">
              <w:rPr>
                <w:rFonts w:cs="Arial"/>
                <w:sz w:val="22"/>
                <w:szCs w:val="22"/>
              </w:rPr>
              <w:t>N/A</w:t>
            </w:r>
          </w:p>
        </w:tc>
        <w:tc>
          <w:tcPr>
            <w:tcW w:w="989" w:type="dxa"/>
            <w:tcBorders>
              <w:top w:val="single" w:sz="4" w:space="0" w:color="auto"/>
              <w:left w:val="single" w:sz="4" w:space="0" w:color="auto"/>
              <w:bottom w:val="single" w:sz="4" w:space="0" w:color="auto"/>
              <w:right w:val="single" w:sz="4" w:space="0" w:color="auto"/>
            </w:tcBorders>
            <w:hideMark/>
          </w:tcPr>
          <w:p w14:paraId="61E84DE7" w14:textId="77777777" w:rsidR="00FD222F" w:rsidRPr="00912428" w:rsidRDefault="00FD222F" w:rsidP="00502E80">
            <w:pPr>
              <w:spacing w:line="276" w:lineRule="auto"/>
              <w:jc w:val="center"/>
              <w:rPr>
                <w:rFonts w:cs="Arial"/>
                <w:sz w:val="22"/>
                <w:szCs w:val="22"/>
                <w:lang w:eastAsia="en-GB"/>
              </w:rPr>
            </w:pPr>
            <w:r w:rsidRPr="00912428">
              <w:rPr>
                <w:rFonts w:cs="Arial"/>
                <w:sz w:val="22"/>
                <w:szCs w:val="22"/>
              </w:rPr>
              <w:t>N/A</w:t>
            </w:r>
          </w:p>
        </w:tc>
        <w:tc>
          <w:tcPr>
            <w:tcW w:w="993" w:type="dxa"/>
            <w:tcBorders>
              <w:top w:val="single" w:sz="4" w:space="0" w:color="auto"/>
              <w:left w:val="single" w:sz="4" w:space="0" w:color="auto"/>
              <w:bottom w:val="single" w:sz="4" w:space="0" w:color="auto"/>
              <w:right w:val="single" w:sz="4" w:space="0" w:color="auto"/>
            </w:tcBorders>
            <w:hideMark/>
          </w:tcPr>
          <w:p w14:paraId="28017B66" w14:textId="77777777" w:rsidR="00FD222F" w:rsidRPr="00912428" w:rsidRDefault="00FD222F" w:rsidP="00502E80">
            <w:pPr>
              <w:spacing w:line="276" w:lineRule="auto"/>
              <w:jc w:val="center"/>
              <w:rPr>
                <w:rFonts w:cs="Arial"/>
                <w:sz w:val="22"/>
                <w:szCs w:val="22"/>
                <w:lang w:eastAsia="en-GB"/>
              </w:rPr>
            </w:pPr>
            <w:r w:rsidRPr="00912428">
              <w:rPr>
                <w:rFonts w:cs="Arial"/>
                <w:sz w:val="22"/>
                <w:szCs w:val="22"/>
              </w:rPr>
              <w:t>N/A</w:t>
            </w:r>
          </w:p>
        </w:tc>
        <w:tc>
          <w:tcPr>
            <w:tcW w:w="511" w:type="dxa"/>
            <w:tcBorders>
              <w:top w:val="single" w:sz="4" w:space="0" w:color="auto"/>
              <w:left w:val="single" w:sz="4" w:space="0" w:color="auto"/>
              <w:bottom w:val="single" w:sz="4" w:space="0" w:color="auto"/>
              <w:right w:val="single" w:sz="4" w:space="0" w:color="auto"/>
            </w:tcBorders>
            <w:hideMark/>
          </w:tcPr>
          <w:p w14:paraId="5BE7C1C8" w14:textId="77777777" w:rsidR="00FD222F" w:rsidRPr="00912428" w:rsidRDefault="00FD222F" w:rsidP="00502E80">
            <w:pPr>
              <w:spacing w:line="276" w:lineRule="auto"/>
              <w:jc w:val="center"/>
              <w:rPr>
                <w:rFonts w:cs="Arial"/>
                <w:sz w:val="22"/>
                <w:szCs w:val="22"/>
                <w:lang w:eastAsia="en-GB"/>
              </w:rPr>
            </w:pPr>
            <w:r w:rsidRPr="00912428">
              <w:rPr>
                <w:rFonts w:cs="Arial"/>
                <w:sz w:val="22"/>
                <w:szCs w:val="22"/>
              </w:rPr>
              <w:t>-</w:t>
            </w:r>
          </w:p>
        </w:tc>
        <w:tc>
          <w:tcPr>
            <w:tcW w:w="511" w:type="dxa"/>
            <w:tcBorders>
              <w:top w:val="single" w:sz="4" w:space="0" w:color="auto"/>
              <w:left w:val="single" w:sz="4" w:space="0" w:color="auto"/>
              <w:bottom w:val="single" w:sz="4" w:space="0" w:color="auto"/>
              <w:right w:val="single" w:sz="4" w:space="0" w:color="auto"/>
            </w:tcBorders>
            <w:hideMark/>
          </w:tcPr>
          <w:p w14:paraId="65020BAB" w14:textId="77777777" w:rsidR="00FD222F" w:rsidRPr="00912428" w:rsidRDefault="00FD222F" w:rsidP="00502E80">
            <w:pPr>
              <w:spacing w:line="276" w:lineRule="auto"/>
              <w:jc w:val="center"/>
              <w:rPr>
                <w:rFonts w:cs="Arial"/>
                <w:sz w:val="22"/>
                <w:szCs w:val="22"/>
                <w:lang w:eastAsia="en-GB"/>
              </w:rPr>
            </w:pPr>
            <w:r w:rsidRPr="00912428">
              <w:rPr>
                <w:rFonts w:cs="Arial"/>
                <w:sz w:val="22"/>
                <w:szCs w:val="22"/>
              </w:rPr>
              <w:t>-</w:t>
            </w:r>
          </w:p>
        </w:tc>
        <w:tc>
          <w:tcPr>
            <w:tcW w:w="511" w:type="dxa"/>
            <w:tcBorders>
              <w:top w:val="single" w:sz="4" w:space="0" w:color="auto"/>
              <w:left w:val="single" w:sz="4" w:space="0" w:color="auto"/>
              <w:bottom w:val="single" w:sz="4" w:space="0" w:color="auto"/>
              <w:right w:val="single" w:sz="4" w:space="0" w:color="auto"/>
            </w:tcBorders>
            <w:hideMark/>
          </w:tcPr>
          <w:p w14:paraId="1A867C2F" w14:textId="77777777" w:rsidR="00FD222F" w:rsidRPr="00912428" w:rsidRDefault="00FD222F" w:rsidP="00502E80">
            <w:pPr>
              <w:spacing w:line="276" w:lineRule="auto"/>
              <w:jc w:val="center"/>
              <w:rPr>
                <w:rFonts w:cs="Arial"/>
                <w:sz w:val="22"/>
                <w:szCs w:val="22"/>
                <w:lang w:eastAsia="en-GB"/>
              </w:rPr>
            </w:pPr>
            <w:r w:rsidRPr="00912428">
              <w:rPr>
                <w:rFonts w:cs="Arial"/>
                <w:sz w:val="22"/>
                <w:szCs w:val="22"/>
              </w:rPr>
              <w:t>-</w:t>
            </w:r>
          </w:p>
        </w:tc>
        <w:tc>
          <w:tcPr>
            <w:tcW w:w="511" w:type="dxa"/>
            <w:tcBorders>
              <w:top w:val="single" w:sz="4" w:space="0" w:color="auto"/>
              <w:left w:val="single" w:sz="4" w:space="0" w:color="auto"/>
              <w:bottom w:val="single" w:sz="4" w:space="0" w:color="auto"/>
              <w:right w:val="single" w:sz="4" w:space="0" w:color="auto"/>
            </w:tcBorders>
            <w:hideMark/>
          </w:tcPr>
          <w:p w14:paraId="3456E17B" w14:textId="77777777" w:rsidR="00FD222F" w:rsidRPr="00912428" w:rsidRDefault="00FD222F" w:rsidP="00502E80">
            <w:pPr>
              <w:spacing w:line="276" w:lineRule="auto"/>
              <w:jc w:val="center"/>
              <w:rPr>
                <w:rFonts w:cs="Arial"/>
                <w:sz w:val="22"/>
                <w:szCs w:val="22"/>
                <w:lang w:eastAsia="en-GB"/>
              </w:rPr>
            </w:pPr>
            <w:r w:rsidRPr="00912428">
              <w:rPr>
                <w:rFonts w:cs="Arial"/>
                <w:sz w:val="22"/>
                <w:szCs w:val="22"/>
              </w:rPr>
              <w:t>-</w:t>
            </w:r>
          </w:p>
        </w:tc>
      </w:tr>
      <w:tr w:rsidR="00FD222F" w14:paraId="298C3667" w14:textId="77777777" w:rsidTr="00502E80">
        <w:trPr>
          <w:trHeight w:val="188"/>
        </w:trPr>
        <w:tc>
          <w:tcPr>
            <w:tcW w:w="14737" w:type="dxa"/>
            <w:gridSpan w:val="19"/>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1E14120" w14:textId="77777777" w:rsidR="00FD222F" w:rsidRDefault="00FD222F" w:rsidP="00502E80">
            <w:pPr>
              <w:spacing w:line="276" w:lineRule="auto"/>
              <w:rPr>
                <w:rFonts w:cs="Arial"/>
                <w:b/>
                <w:szCs w:val="24"/>
                <w:lang w:eastAsia="en-GB"/>
              </w:rPr>
            </w:pPr>
            <w:r>
              <w:rPr>
                <w:rFonts w:cs="Arial"/>
                <w:b/>
                <w:szCs w:val="24"/>
              </w:rPr>
              <w:t>CES Head of Business Assurance Activity (HoBA)</w:t>
            </w:r>
          </w:p>
        </w:tc>
      </w:tr>
      <w:tr w:rsidR="00FD222F" w14:paraId="65896734" w14:textId="77777777" w:rsidTr="00502E80">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30FD5BA" w14:textId="77777777" w:rsidR="00FD222F" w:rsidRDefault="00FD222F" w:rsidP="00502E80">
            <w:pPr>
              <w:spacing w:line="276" w:lineRule="auto"/>
              <w:rPr>
                <w:rFonts w:cs="Arial"/>
                <w:szCs w:val="24"/>
                <w:lang w:eastAsia="en-GB"/>
              </w:rPr>
            </w:pPr>
            <w:r>
              <w:rPr>
                <w:rFonts w:cs="Arial"/>
                <w:szCs w:val="24"/>
              </w:rPr>
              <w:t>CES AAF 01/06 (KPMG)</w:t>
            </w:r>
          </w:p>
        </w:tc>
        <w:tc>
          <w:tcPr>
            <w:tcW w:w="442" w:type="dxa"/>
            <w:tcBorders>
              <w:top w:val="single" w:sz="4" w:space="0" w:color="auto"/>
              <w:left w:val="single" w:sz="4" w:space="0" w:color="auto"/>
              <w:bottom w:val="single" w:sz="4" w:space="0" w:color="auto"/>
              <w:right w:val="single" w:sz="4" w:space="0" w:color="auto"/>
            </w:tcBorders>
            <w:vAlign w:val="center"/>
            <w:hideMark/>
          </w:tcPr>
          <w:p w14:paraId="1186FEEA" w14:textId="77777777" w:rsidR="00FD222F" w:rsidRDefault="00FD222F" w:rsidP="00502E80">
            <w:pPr>
              <w:spacing w:line="276" w:lineRule="auto"/>
              <w:jc w:val="center"/>
              <w:rPr>
                <w:rFonts w:cs="Arial"/>
                <w:szCs w:val="24"/>
                <w:lang w:eastAsia="en-GB"/>
              </w:rPr>
            </w:pPr>
            <w:r>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02EE0F49"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01CD1773"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34094589" w14:textId="77777777" w:rsidR="00FD222F" w:rsidRDefault="00FD222F" w:rsidP="00502E80">
            <w:pPr>
              <w:spacing w:line="276" w:lineRule="auto"/>
              <w:jc w:val="center"/>
              <w:rPr>
                <w:rFonts w:cs="Arial"/>
                <w:szCs w:val="24"/>
                <w:lang w:eastAsia="en-GB"/>
              </w:rPr>
            </w:pPr>
          </w:p>
        </w:tc>
        <w:tc>
          <w:tcPr>
            <w:tcW w:w="1127" w:type="dxa"/>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62BD706E" w14:textId="77777777" w:rsidR="00FD222F" w:rsidRDefault="00FD222F" w:rsidP="00502E80">
            <w:pPr>
              <w:spacing w:line="276" w:lineRule="auto"/>
              <w:ind w:left="-113" w:right="-85"/>
              <w:jc w:val="center"/>
              <w:rPr>
                <w:rFonts w:cs="Arial"/>
                <w:szCs w:val="24"/>
                <w:lang w:eastAsia="en-GB"/>
              </w:rPr>
            </w:pPr>
            <w:r>
              <w:rPr>
                <w:rFonts w:cs="Arial"/>
                <w:szCs w:val="24"/>
              </w:rPr>
              <w:t>Final Report</w:t>
            </w:r>
          </w:p>
        </w:tc>
        <w:tc>
          <w:tcPr>
            <w:tcW w:w="1129" w:type="dxa"/>
            <w:gridSpan w:val="2"/>
            <w:tcBorders>
              <w:top w:val="single" w:sz="4" w:space="0" w:color="auto"/>
              <w:left w:val="single" w:sz="4" w:space="0" w:color="auto"/>
              <w:bottom w:val="single" w:sz="4" w:space="0" w:color="auto"/>
              <w:right w:val="single" w:sz="4" w:space="0" w:color="auto"/>
            </w:tcBorders>
            <w:hideMark/>
          </w:tcPr>
          <w:p w14:paraId="188F1217" w14:textId="77777777" w:rsidR="00FD222F" w:rsidRDefault="00FD222F" w:rsidP="00502E80">
            <w:pPr>
              <w:spacing w:line="276" w:lineRule="auto"/>
              <w:jc w:val="center"/>
              <w:rPr>
                <w:rFonts w:cs="Arial"/>
                <w:color w:val="000000"/>
                <w:szCs w:val="24"/>
                <w:lang w:eastAsia="en-GB"/>
              </w:rPr>
            </w:pPr>
            <w:r>
              <w:rPr>
                <w:rFonts w:cs="Arial"/>
                <w:szCs w:val="24"/>
              </w:rPr>
              <w:t xml:space="preserve"> N/A</w:t>
            </w:r>
          </w:p>
        </w:tc>
        <w:tc>
          <w:tcPr>
            <w:tcW w:w="1025" w:type="dxa"/>
            <w:tcBorders>
              <w:top w:val="single" w:sz="4" w:space="0" w:color="auto"/>
              <w:left w:val="single" w:sz="4" w:space="0" w:color="auto"/>
              <w:bottom w:val="single" w:sz="4" w:space="0" w:color="auto"/>
              <w:right w:val="single" w:sz="4" w:space="0" w:color="auto"/>
            </w:tcBorders>
            <w:hideMark/>
          </w:tcPr>
          <w:p w14:paraId="43B5C5EF" w14:textId="77777777" w:rsidR="00FD222F" w:rsidRDefault="00FD222F" w:rsidP="00502E80">
            <w:pPr>
              <w:spacing w:line="276" w:lineRule="auto"/>
              <w:jc w:val="center"/>
              <w:rPr>
                <w:rFonts w:cs="Arial"/>
                <w:szCs w:val="24"/>
                <w:lang w:eastAsia="en-GB"/>
              </w:rPr>
            </w:pPr>
            <w:r>
              <w:rPr>
                <w:rFonts w:cs="Arial"/>
                <w:szCs w:val="24"/>
              </w:rPr>
              <w:t>N/A</w:t>
            </w:r>
          </w:p>
        </w:tc>
        <w:tc>
          <w:tcPr>
            <w:tcW w:w="923" w:type="dxa"/>
            <w:tcBorders>
              <w:top w:val="single" w:sz="4" w:space="0" w:color="auto"/>
              <w:left w:val="single" w:sz="4" w:space="0" w:color="auto"/>
              <w:bottom w:val="single" w:sz="4" w:space="0" w:color="auto"/>
              <w:right w:val="single" w:sz="4" w:space="0" w:color="auto"/>
            </w:tcBorders>
            <w:hideMark/>
          </w:tcPr>
          <w:p w14:paraId="2F7749E7" w14:textId="77777777" w:rsidR="00FD222F" w:rsidRDefault="00FD222F" w:rsidP="00502E80">
            <w:pPr>
              <w:spacing w:line="276" w:lineRule="auto"/>
              <w:jc w:val="center"/>
              <w:rPr>
                <w:rFonts w:cs="Arial"/>
                <w:szCs w:val="24"/>
                <w:lang w:eastAsia="en-GB"/>
              </w:rPr>
            </w:pPr>
            <w:r>
              <w:rPr>
                <w:rFonts w:cs="Arial"/>
                <w:szCs w:val="24"/>
              </w:rPr>
              <w:t>N/A</w:t>
            </w:r>
          </w:p>
        </w:tc>
        <w:tc>
          <w:tcPr>
            <w:tcW w:w="1025" w:type="dxa"/>
            <w:tcBorders>
              <w:top w:val="single" w:sz="4" w:space="0" w:color="auto"/>
              <w:left w:val="single" w:sz="4" w:space="0" w:color="auto"/>
              <w:bottom w:val="single" w:sz="4" w:space="0" w:color="auto"/>
              <w:right w:val="single" w:sz="4" w:space="0" w:color="auto"/>
            </w:tcBorders>
            <w:hideMark/>
          </w:tcPr>
          <w:p w14:paraId="0E5AE1DC" w14:textId="77777777" w:rsidR="00FD222F" w:rsidRDefault="00FD222F" w:rsidP="00502E80">
            <w:pPr>
              <w:spacing w:line="276" w:lineRule="auto"/>
              <w:jc w:val="center"/>
              <w:rPr>
                <w:rFonts w:cs="Arial"/>
                <w:szCs w:val="24"/>
                <w:lang w:eastAsia="en-GB"/>
              </w:rPr>
            </w:pPr>
            <w:r>
              <w:rPr>
                <w:rFonts w:cs="Arial"/>
                <w:szCs w:val="24"/>
              </w:rPr>
              <w:t>N/A</w:t>
            </w:r>
          </w:p>
        </w:tc>
        <w:tc>
          <w:tcPr>
            <w:tcW w:w="1025" w:type="dxa"/>
            <w:tcBorders>
              <w:top w:val="single" w:sz="4" w:space="0" w:color="auto"/>
              <w:left w:val="single" w:sz="4" w:space="0" w:color="auto"/>
              <w:bottom w:val="single" w:sz="4" w:space="0" w:color="auto"/>
              <w:right w:val="single" w:sz="4" w:space="0" w:color="auto"/>
            </w:tcBorders>
            <w:hideMark/>
          </w:tcPr>
          <w:p w14:paraId="4F977E93" w14:textId="77777777" w:rsidR="00FD222F" w:rsidRDefault="00FD222F" w:rsidP="00502E80">
            <w:pPr>
              <w:spacing w:line="276" w:lineRule="auto"/>
              <w:jc w:val="center"/>
              <w:rPr>
                <w:rFonts w:cs="Arial"/>
                <w:szCs w:val="24"/>
                <w:lang w:eastAsia="en-GB"/>
              </w:rPr>
            </w:pPr>
            <w:r>
              <w:rPr>
                <w:rFonts w:cs="Arial"/>
                <w:szCs w:val="24"/>
              </w:rPr>
              <w:t>N/A</w:t>
            </w:r>
          </w:p>
        </w:tc>
        <w:tc>
          <w:tcPr>
            <w:tcW w:w="989" w:type="dxa"/>
            <w:tcBorders>
              <w:top w:val="single" w:sz="4" w:space="0" w:color="auto"/>
              <w:left w:val="single" w:sz="4" w:space="0" w:color="auto"/>
              <w:bottom w:val="single" w:sz="4" w:space="0" w:color="auto"/>
              <w:right w:val="single" w:sz="4" w:space="0" w:color="auto"/>
            </w:tcBorders>
            <w:hideMark/>
          </w:tcPr>
          <w:p w14:paraId="01DFBC73" w14:textId="77777777" w:rsidR="00FD222F" w:rsidRDefault="00FD222F" w:rsidP="00502E80">
            <w:pPr>
              <w:spacing w:line="276" w:lineRule="auto"/>
              <w:jc w:val="center"/>
              <w:rPr>
                <w:rFonts w:cs="Arial"/>
                <w:szCs w:val="24"/>
                <w:lang w:eastAsia="en-GB"/>
              </w:rPr>
            </w:pPr>
            <w:r>
              <w:rPr>
                <w:rFonts w:cs="Arial"/>
                <w:szCs w:val="24"/>
              </w:rPr>
              <w:t>30/04/18</w:t>
            </w:r>
          </w:p>
        </w:tc>
        <w:tc>
          <w:tcPr>
            <w:tcW w:w="993" w:type="dxa"/>
            <w:tcBorders>
              <w:top w:val="single" w:sz="4" w:space="0" w:color="auto"/>
              <w:left w:val="single" w:sz="4" w:space="0" w:color="auto"/>
              <w:bottom w:val="single" w:sz="4" w:space="0" w:color="auto"/>
              <w:right w:val="single" w:sz="4" w:space="0" w:color="auto"/>
            </w:tcBorders>
            <w:hideMark/>
          </w:tcPr>
          <w:p w14:paraId="7F4D4298" w14:textId="77777777" w:rsidR="00FD222F" w:rsidRDefault="00FD222F" w:rsidP="00502E80">
            <w:pPr>
              <w:spacing w:line="276" w:lineRule="auto"/>
              <w:jc w:val="center"/>
              <w:rPr>
                <w:rFonts w:cs="Arial"/>
                <w:szCs w:val="24"/>
                <w:lang w:eastAsia="en-GB"/>
              </w:rPr>
            </w:pPr>
            <w:r>
              <w:rPr>
                <w:rFonts w:cs="Arial"/>
                <w:szCs w:val="24"/>
              </w:rPr>
              <w:t>N/A</w:t>
            </w:r>
          </w:p>
        </w:tc>
        <w:tc>
          <w:tcPr>
            <w:tcW w:w="511" w:type="dxa"/>
            <w:tcBorders>
              <w:top w:val="single" w:sz="4" w:space="0" w:color="auto"/>
              <w:left w:val="single" w:sz="4" w:space="0" w:color="auto"/>
              <w:bottom w:val="single" w:sz="4" w:space="0" w:color="auto"/>
              <w:right w:val="single" w:sz="4" w:space="0" w:color="auto"/>
            </w:tcBorders>
            <w:hideMark/>
          </w:tcPr>
          <w:p w14:paraId="5200B19D" w14:textId="77777777" w:rsidR="00FD222F" w:rsidRDefault="00FD222F" w:rsidP="00502E80">
            <w:pPr>
              <w:spacing w:line="276" w:lineRule="auto"/>
              <w:jc w:val="center"/>
              <w:rPr>
                <w:rFonts w:cs="Arial"/>
                <w:szCs w:val="24"/>
                <w:lang w:eastAsia="en-GB"/>
              </w:rPr>
            </w:pPr>
            <w:r>
              <w:rPr>
                <w:rFonts w:cs="Arial"/>
                <w:szCs w:val="24"/>
              </w:rPr>
              <w:t>-</w:t>
            </w:r>
          </w:p>
        </w:tc>
        <w:tc>
          <w:tcPr>
            <w:tcW w:w="511" w:type="dxa"/>
            <w:tcBorders>
              <w:top w:val="single" w:sz="4" w:space="0" w:color="auto"/>
              <w:left w:val="single" w:sz="4" w:space="0" w:color="auto"/>
              <w:bottom w:val="single" w:sz="4" w:space="0" w:color="auto"/>
              <w:right w:val="single" w:sz="4" w:space="0" w:color="auto"/>
            </w:tcBorders>
            <w:hideMark/>
          </w:tcPr>
          <w:p w14:paraId="7FAAB045" w14:textId="77777777" w:rsidR="00FD222F" w:rsidRDefault="00FD222F" w:rsidP="00502E80">
            <w:pPr>
              <w:spacing w:line="276" w:lineRule="auto"/>
              <w:jc w:val="center"/>
              <w:rPr>
                <w:rFonts w:cs="Arial"/>
                <w:szCs w:val="24"/>
                <w:lang w:eastAsia="en-GB"/>
              </w:rPr>
            </w:pPr>
            <w:r>
              <w:rPr>
                <w:rFonts w:cs="Arial"/>
                <w:szCs w:val="24"/>
              </w:rPr>
              <w:t>-</w:t>
            </w:r>
          </w:p>
        </w:tc>
        <w:tc>
          <w:tcPr>
            <w:tcW w:w="511" w:type="dxa"/>
            <w:tcBorders>
              <w:top w:val="single" w:sz="4" w:space="0" w:color="auto"/>
              <w:left w:val="single" w:sz="4" w:space="0" w:color="auto"/>
              <w:bottom w:val="single" w:sz="4" w:space="0" w:color="auto"/>
              <w:right w:val="single" w:sz="4" w:space="0" w:color="auto"/>
            </w:tcBorders>
            <w:hideMark/>
          </w:tcPr>
          <w:p w14:paraId="523937E8" w14:textId="77777777" w:rsidR="00FD222F" w:rsidRDefault="00FD222F" w:rsidP="00502E80">
            <w:pPr>
              <w:spacing w:line="276" w:lineRule="auto"/>
              <w:jc w:val="center"/>
              <w:rPr>
                <w:rFonts w:cs="Arial"/>
                <w:szCs w:val="24"/>
                <w:lang w:eastAsia="en-GB"/>
              </w:rPr>
            </w:pPr>
            <w:r>
              <w:rPr>
                <w:rFonts w:cs="Arial"/>
                <w:szCs w:val="24"/>
              </w:rPr>
              <w:t>-</w:t>
            </w:r>
          </w:p>
        </w:tc>
        <w:tc>
          <w:tcPr>
            <w:tcW w:w="511" w:type="dxa"/>
            <w:tcBorders>
              <w:top w:val="single" w:sz="4" w:space="0" w:color="auto"/>
              <w:left w:val="single" w:sz="4" w:space="0" w:color="auto"/>
              <w:bottom w:val="single" w:sz="4" w:space="0" w:color="auto"/>
              <w:right w:val="single" w:sz="4" w:space="0" w:color="auto"/>
            </w:tcBorders>
            <w:hideMark/>
          </w:tcPr>
          <w:p w14:paraId="7822AE66" w14:textId="77777777" w:rsidR="00FD222F" w:rsidRDefault="00FD222F" w:rsidP="00502E80">
            <w:pPr>
              <w:spacing w:line="276" w:lineRule="auto"/>
              <w:jc w:val="center"/>
              <w:rPr>
                <w:rFonts w:cs="Arial"/>
                <w:szCs w:val="24"/>
                <w:lang w:eastAsia="en-GB"/>
              </w:rPr>
            </w:pPr>
            <w:r>
              <w:rPr>
                <w:rFonts w:cs="Arial"/>
                <w:szCs w:val="24"/>
              </w:rPr>
              <w:t>-</w:t>
            </w:r>
          </w:p>
        </w:tc>
      </w:tr>
      <w:tr w:rsidR="00FD222F" w14:paraId="6D055D7B" w14:textId="77777777" w:rsidTr="00502E80">
        <w:trPr>
          <w:gridAfter w:val="1"/>
          <w:wAfter w:w="30" w:type="dxa"/>
          <w:trHeight w:val="301"/>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349224F" w14:textId="77777777" w:rsidR="00FD222F" w:rsidRDefault="00FD222F" w:rsidP="00502E80">
            <w:pPr>
              <w:spacing w:line="276" w:lineRule="auto"/>
              <w:rPr>
                <w:rFonts w:cs="Arial"/>
                <w:szCs w:val="24"/>
              </w:rPr>
            </w:pPr>
            <w:r>
              <w:rPr>
                <w:rFonts w:cs="Arial"/>
                <w:szCs w:val="24"/>
              </w:rPr>
              <w:t>Contract Outcomes</w:t>
            </w:r>
          </w:p>
        </w:tc>
        <w:tc>
          <w:tcPr>
            <w:tcW w:w="442" w:type="dxa"/>
            <w:tcBorders>
              <w:top w:val="single" w:sz="4" w:space="0" w:color="auto"/>
              <w:left w:val="single" w:sz="4" w:space="0" w:color="auto"/>
              <w:bottom w:val="single" w:sz="4" w:space="0" w:color="auto"/>
              <w:right w:val="single" w:sz="4" w:space="0" w:color="auto"/>
            </w:tcBorders>
            <w:vAlign w:val="center"/>
          </w:tcPr>
          <w:p w14:paraId="07B62A89"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728A8A94"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47F3548A"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5CFF06E0" w14:textId="77777777" w:rsidR="00FD222F" w:rsidRDefault="00FD222F" w:rsidP="00502E80">
            <w:pPr>
              <w:spacing w:line="276" w:lineRule="auto"/>
              <w:jc w:val="center"/>
              <w:rPr>
                <w:rFonts w:cs="Arial"/>
                <w:szCs w:val="24"/>
                <w:lang w:eastAsia="en-GB"/>
              </w:rPr>
            </w:pPr>
            <w:r>
              <w:rPr>
                <w:rFonts w:cs="Arial"/>
                <w:szCs w:val="24"/>
                <w:lang w:eastAsia="en-GB"/>
              </w:rPr>
              <w:sym w:font="Wingdings" w:char="F0FC"/>
            </w:r>
          </w:p>
        </w:tc>
        <w:tc>
          <w:tcPr>
            <w:tcW w:w="1127" w:type="dxa"/>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3EB7A9EC" w14:textId="77777777" w:rsidR="00FD222F" w:rsidRDefault="00FD222F" w:rsidP="00502E80">
            <w:pPr>
              <w:spacing w:line="276" w:lineRule="auto"/>
              <w:ind w:left="-113" w:right="-85"/>
              <w:jc w:val="center"/>
              <w:rPr>
                <w:rFonts w:cs="Arial"/>
                <w:szCs w:val="24"/>
              </w:rPr>
            </w:pPr>
            <w:r>
              <w:rPr>
                <w:rFonts w:cs="Arial"/>
                <w:szCs w:val="24"/>
              </w:rPr>
              <w:t>Final Report</w:t>
            </w:r>
          </w:p>
        </w:tc>
        <w:tc>
          <w:tcPr>
            <w:tcW w:w="1129" w:type="dxa"/>
            <w:gridSpan w:val="2"/>
            <w:tcBorders>
              <w:top w:val="single" w:sz="4" w:space="0" w:color="auto"/>
              <w:left w:val="single" w:sz="4" w:space="0" w:color="auto"/>
              <w:bottom w:val="single" w:sz="4" w:space="0" w:color="auto"/>
              <w:right w:val="single" w:sz="4" w:space="0" w:color="auto"/>
            </w:tcBorders>
            <w:hideMark/>
          </w:tcPr>
          <w:p w14:paraId="26FEA7D1" w14:textId="77777777" w:rsidR="00FD222F" w:rsidRDefault="00FD222F" w:rsidP="00502E80">
            <w:pPr>
              <w:spacing w:line="276" w:lineRule="auto"/>
              <w:jc w:val="center"/>
              <w:rPr>
                <w:rFonts w:cs="Arial"/>
                <w:szCs w:val="24"/>
              </w:rPr>
            </w:pPr>
            <w:r>
              <w:rPr>
                <w:rFonts w:cs="Arial"/>
                <w:szCs w:val="24"/>
              </w:rPr>
              <w:t>Sep 2017</w:t>
            </w:r>
          </w:p>
        </w:tc>
        <w:tc>
          <w:tcPr>
            <w:tcW w:w="1025" w:type="dxa"/>
            <w:tcBorders>
              <w:top w:val="single" w:sz="4" w:space="0" w:color="auto"/>
              <w:left w:val="single" w:sz="4" w:space="0" w:color="auto"/>
              <w:bottom w:val="single" w:sz="4" w:space="0" w:color="auto"/>
              <w:right w:val="single" w:sz="4" w:space="0" w:color="auto"/>
            </w:tcBorders>
            <w:shd w:val="clear" w:color="auto" w:fill="00B050"/>
            <w:hideMark/>
          </w:tcPr>
          <w:p w14:paraId="1278B1AE" w14:textId="77777777" w:rsidR="00FD222F" w:rsidRDefault="00FD222F" w:rsidP="00502E80">
            <w:pPr>
              <w:spacing w:line="276" w:lineRule="auto"/>
              <w:jc w:val="center"/>
              <w:rPr>
                <w:rFonts w:cs="Arial"/>
                <w:sz w:val="22"/>
                <w:szCs w:val="22"/>
              </w:rPr>
            </w:pPr>
            <w:r>
              <w:rPr>
                <w:rFonts w:cs="Arial"/>
                <w:sz w:val="22"/>
                <w:szCs w:val="22"/>
              </w:rPr>
              <w:t>28/09/17</w:t>
            </w:r>
          </w:p>
        </w:tc>
        <w:tc>
          <w:tcPr>
            <w:tcW w:w="923" w:type="dxa"/>
            <w:tcBorders>
              <w:top w:val="single" w:sz="4" w:space="0" w:color="auto"/>
              <w:left w:val="single" w:sz="4" w:space="0" w:color="auto"/>
              <w:bottom w:val="single" w:sz="4" w:space="0" w:color="auto"/>
              <w:right w:val="single" w:sz="4" w:space="0" w:color="auto"/>
            </w:tcBorders>
            <w:hideMark/>
          </w:tcPr>
          <w:p w14:paraId="3B450EE4" w14:textId="77777777" w:rsidR="00FD222F" w:rsidRDefault="00FD222F" w:rsidP="00502E80">
            <w:pPr>
              <w:spacing w:line="276" w:lineRule="auto"/>
              <w:jc w:val="center"/>
              <w:rPr>
                <w:rFonts w:cs="Arial"/>
                <w:sz w:val="20"/>
              </w:rPr>
            </w:pPr>
            <w:r>
              <w:rPr>
                <w:rFonts w:cs="Arial"/>
                <w:sz w:val="20"/>
              </w:rPr>
              <w:t>09/10/17</w:t>
            </w:r>
          </w:p>
        </w:tc>
        <w:tc>
          <w:tcPr>
            <w:tcW w:w="1025" w:type="dxa"/>
            <w:tcBorders>
              <w:top w:val="single" w:sz="4" w:space="0" w:color="auto"/>
              <w:left w:val="single" w:sz="4" w:space="0" w:color="auto"/>
              <w:bottom w:val="single" w:sz="4" w:space="0" w:color="auto"/>
              <w:right w:val="single" w:sz="4" w:space="0" w:color="auto"/>
            </w:tcBorders>
            <w:hideMark/>
          </w:tcPr>
          <w:p w14:paraId="635920E2" w14:textId="77777777" w:rsidR="00FD222F" w:rsidRDefault="00FD222F" w:rsidP="00502E80">
            <w:pPr>
              <w:spacing w:line="276" w:lineRule="auto"/>
              <w:jc w:val="center"/>
              <w:rPr>
                <w:rFonts w:cs="Arial"/>
                <w:szCs w:val="24"/>
              </w:rPr>
            </w:pPr>
            <w:r>
              <w:rPr>
                <w:rFonts w:cs="Arial"/>
                <w:szCs w:val="24"/>
              </w:rPr>
              <w:t>Nov 17</w:t>
            </w:r>
          </w:p>
        </w:tc>
        <w:tc>
          <w:tcPr>
            <w:tcW w:w="1025" w:type="dxa"/>
            <w:tcBorders>
              <w:top w:val="single" w:sz="4" w:space="0" w:color="auto"/>
              <w:left w:val="single" w:sz="4" w:space="0" w:color="auto"/>
              <w:bottom w:val="single" w:sz="4" w:space="0" w:color="auto"/>
              <w:right w:val="single" w:sz="4" w:space="0" w:color="auto"/>
            </w:tcBorders>
            <w:shd w:val="clear" w:color="auto" w:fill="FFC000"/>
            <w:hideMark/>
          </w:tcPr>
          <w:p w14:paraId="6D4F790E" w14:textId="77777777" w:rsidR="00FD222F" w:rsidRDefault="00FD222F" w:rsidP="00502E80">
            <w:pPr>
              <w:spacing w:line="276" w:lineRule="auto"/>
              <w:jc w:val="center"/>
              <w:rPr>
                <w:rFonts w:cs="Arial"/>
                <w:sz w:val="22"/>
                <w:szCs w:val="22"/>
                <w:lang w:eastAsia="en-GB"/>
              </w:rPr>
            </w:pPr>
            <w:r>
              <w:rPr>
                <w:rFonts w:cs="Arial"/>
                <w:sz w:val="22"/>
                <w:szCs w:val="22"/>
                <w:lang w:eastAsia="en-GB"/>
              </w:rPr>
              <w:t>17/01/18</w:t>
            </w:r>
          </w:p>
        </w:tc>
        <w:tc>
          <w:tcPr>
            <w:tcW w:w="989" w:type="dxa"/>
            <w:tcBorders>
              <w:top w:val="single" w:sz="4" w:space="0" w:color="auto"/>
              <w:left w:val="single" w:sz="4" w:space="0" w:color="auto"/>
              <w:bottom w:val="single" w:sz="4" w:space="0" w:color="auto"/>
              <w:right w:val="single" w:sz="4" w:space="0" w:color="auto"/>
            </w:tcBorders>
            <w:hideMark/>
          </w:tcPr>
          <w:p w14:paraId="1CE41110" w14:textId="77777777" w:rsidR="00FD222F" w:rsidRDefault="00FD222F" w:rsidP="00502E80">
            <w:pPr>
              <w:spacing w:line="276" w:lineRule="auto"/>
              <w:jc w:val="center"/>
              <w:rPr>
                <w:rFonts w:cs="Arial"/>
                <w:sz w:val="22"/>
                <w:szCs w:val="22"/>
                <w:lang w:eastAsia="en-GB"/>
              </w:rPr>
            </w:pPr>
            <w:r>
              <w:rPr>
                <w:rFonts w:cs="Arial"/>
                <w:sz w:val="22"/>
                <w:szCs w:val="22"/>
                <w:lang w:eastAsia="en-GB"/>
              </w:rPr>
              <w:t>07/02/18</w:t>
            </w:r>
          </w:p>
        </w:tc>
        <w:tc>
          <w:tcPr>
            <w:tcW w:w="993" w:type="dxa"/>
            <w:tcBorders>
              <w:top w:val="single" w:sz="4" w:space="0" w:color="auto"/>
              <w:left w:val="single" w:sz="4" w:space="0" w:color="auto"/>
              <w:bottom w:val="single" w:sz="4" w:space="0" w:color="auto"/>
              <w:right w:val="single" w:sz="4" w:space="0" w:color="auto"/>
            </w:tcBorders>
            <w:hideMark/>
          </w:tcPr>
          <w:p w14:paraId="746F59C4" w14:textId="77777777" w:rsidR="00FD222F" w:rsidRDefault="00FD222F" w:rsidP="00502E80">
            <w:pPr>
              <w:spacing w:line="276" w:lineRule="auto"/>
              <w:jc w:val="center"/>
              <w:rPr>
                <w:rFonts w:cs="Arial"/>
                <w:szCs w:val="24"/>
                <w:lang w:eastAsia="en-GB"/>
              </w:rPr>
            </w:pPr>
            <w:r>
              <w:rPr>
                <w:rFonts w:cs="Arial"/>
                <w:szCs w:val="24"/>
                <w:lang w:eastAsia="en-GB"/>
              </w:rPr>
              <w:t>AT</w:t>
            </w:r>
          </w:p>
        </w:tc>
        <w:tc>
          <w:tcPr>
            <w:tcW w:w="511" w:type="dxa"/>
            <w:tcBorders>
              <w:top w:val="single" w:sz="4" w:space="0" w:color="auto"/>
              <w:left w:val="single" w:sz="4" w:space="0" w:color="auto"/>
              <w:bottom w:val="single" w:sz="4" w:space="0" w:color="auto"/>
              <w:right w:val="single" w:sz="4" w:space="0" w:color="auto"/>
            </w:tcBorders>
            <w:hideMark/>
          </w:tcPr>
          <w:p w14:paraId="6ED3B4ED" w14:textId="77777777" w:rsidR="00FD222F" w:rsidRDefault="00FD222F" w:rsidP="00502E80">
            <w:pPr>
              <w:spacing w:line="276" w:lineRule="auto"/>
              <w:jc w:val="center"/>
              <w:rPr>
                <w:rFonts w:cs="Arial"/>
                <w:szCs w:val="24"/>
                <w:lang w:eastAsia="en-GB"/>
              </w:rPr>
            </w:pPr>
            <w:r>
              <w:rPr>
                <w:rFonts w:cs="Arial"/>
                <w:szCs w:val="24"/>
                <w:lang w:eastAsia="en-GB"/>
              </w:rPr>
              <w:t>-</w:t>
            </w:r>
          </w:p>
        </w:tc>
        <w:tc>
          <w:tcPr>
            <w:tcW w:w="511" w:type="dxa"/>
            <w:tcBorders>
              <w:top w:val="single" w:sz="4" w:space="0" w:color="auto"/>
              <w:left w:val="single" w:sz="4" w:space="0" w:color="auto"/>
              <w:bottom w:val="single" w:sz="4" w:space="0" w:color="auto"/>
              <w:right w:val="single" w:sz="4" w:space="0" w:color="auto"/>
            </w:tcBorders>
            <w:hideMark/>
          </w:tcPr>
          <w:p w14:paraId="4AD0EAB3" w14:textId="77777777" w:rsidR="00FD222F" w:rsidRDefault="00FD222F" w:rsidP="00502E80">
            <w:pPr>
              <w:spacing w:line="276" w:lineRule="auto"/>
              <w:jc w:val="center"/>
              <w:rPr>
                <w:rFonts w:cs="Arial"/>
                <w:szCs w:val="24"/>
                <w:lang w:eastAsia="en-GB"/>
              </w:rPr>
            </w:pPr>
            <w:r>
              <w:rPr>
                <w:rFonts w:cs="Arial"/>
                <w:szCs w:val="24"/>
                <w:lang w:eastAsia="en-GB"/>
              </w:rPr>
              <w:t>-</w:t>
            </w:r>
          </w:p>
        </w:tc>
        <w:tc>
          <w:tcPr>
            <w:tcW w:w="511" w:type="dxa"/>
            <w:tcBorders>
              <w:top w:val="single" w:sz="4" w:space="0" w:color="auto"/>
              <w:left w:val="single" w:sz="4" w:space="0" w:color="auto"/>
              <w:bottom w:val="single" w:sz="4" w:space="0" w:color="auto"/>
              <w:right w:val="single" w:sz="4" w:space="0" w:color="auto"/>
            </w:tcBorders>
            <w:hideMark/>
          </w:tcPr>
          <w:p w14:paraId="4BC89F95" w14:textId="77777777" w:rsidR="00FD222F" w:rsidRDefault="00FD222F" w:rsidP="00502E80">
            <w:pPr>
              <w:spacing w:line="276" w:lineRule="auto"/>
              <w:jc w:val="center"/>
              <w:rPr>
                <w:rFonts w:cs="Arial"/>
                <w:szCs w:val="24"/>
                <w:lang w:eastAsia="en-GB"/>
              </w:rPr>
            </w:pPr>
            <w:r>
              <w:rPr>
                <w:rFonts w:cs="Arial"/>
                <w:szCs w:val="24"/>
                <w:lang w:eastAsia="en-GB"/>
              </w:rPr>
              <w:t>5</w:t>
            </w:r>
          </w:p>
        </w:tc>
        <w:tc>
          <w:tcPr>
            <w:tcW w:w="511" w:type="dxa"/>
            <w:tcBorders>
              <w:top w:val="single" w:sz="4" w:space="0" w:color="auto"/>
              <w:left w:val="single" w:sz="4" w:space="0" w:color="auto"/>
              <w:bottom w:val="single" w:sz="4" w:space="0" w:color="auto"/>
              <w:right w:val="single" w:sz="4" w:space="0" w:color="auto"/>
            </w:tcBorders>
            <w:hideMark/>
          </w:tcPr>
          <w:p w14:paraId="6A9EE6B3" w14:textId="77777777" w:rsidR="00FD222F" w:rsidRDefault="00FD222F" w:rsidP="00502E80">
            <w:pPr>
              <w:spacing w:line="276" w:lineRule="auto"/>
              <w:jc w:val="center"/>
              <w:rPr>
                <w:rFonts w:cs="Arial"/>
                <w:szCs w:val="24"/>
                <w:lang w:eastAsia="en-GB"/>
              </w:rPr>
            </w:pPr>
            <w:r>
              <w:rPr>
                <w:rFonts w:cs="Arial"/>
                <w:szCs w:val="24"/>
                <w:lang w:eastAsia="en-GB"/>
              </w:rPr>
              <w:t>2</w:t>
            </w:r>
          </w:p>
        </w:tc>
      </w:tr>
      <w:tr w:rsidR="00FD222F" w14:paraId="0DEED913" w14:textId="77777777" w:rsidTr="00502E80">
        <w:trPr>
          <w:gridAfter w:val="1"/>
          <w:wAfter w:w="30" w:type="dxa"/>
          <w:trHeight w:val="301"/>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1E02C93" w14:textId="77777777" w:rsidR="00FD222F" w:rsidRDefault="00FD222F" w:rsidP="00502E80">
            <w:pPr>
              <w:spacing w:line="276" w:lineRule="auto"/>
              <w:rPr>
                <w:rFonts w:cs="Arial"/>
                <w:szCs w:val="24"/>
                <w:lang w:eastAsia="en-GB"/>
              </w:rPr>
            </w:pPr>
            <w:r>
              <w:rPr>
                <w:rFonts w:cs="Arial"/>
                <w:szCs w:val="24"/>
              </w:rPr>
              <w:t xml:space="preserve">2nd Bite PI Remediation </w:t>
            </w:r>
          </w:p>
        </w:tc>
        <w:tc>
          <w:tcPr>
            <w:tcW w:w="442" w:type="dxa"/>
            <w:tcBorders>
              <w:top w:val="single" w:sz="4" w:space="0" w:color="auto"/>
              <w:left w:val="single" w:sz="4" w:space="0" w:color="auto"/>
              <w:bottom w:val="single" w:sz="4" w:space="0" w:color="auto"/>
              <w:right w:val="single" w:sz="4" w:space="0" w:color="auto"/>
            </w:tcBorders>
            <w:vAlign w:val="center"/>
          </w:tcPr>
          <w:p w14:paraId="101AC4AB"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6DF78F9D" w14:textId="77777777" w:rsidR="00FD222F" w:rsidRDefault="00FD222F" w:rsidP="00502E80">
            <w:pPr>
              <w:spacing w:line="276" w:lineRule="auto"/>
              <w:jc w:val="center"/>
              <w:rPr>
                <w:rFonts w:cs="Arial"/>
                <w:szCs w:val="24"/>
                <w:lang w:eastAsia="en-GB"/>
              </w:rPr>
            </w:pPr>
            <w:r>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4D4D736B"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2F51B39A" w14:textId="77777777" w:rsidR="00FD222F" w:rsidRDefault="00FD222F" w:rsidP="00502E80">
            <w:pPr>
              <w:spacing w:line="276" w:lineRule="auto"/>
              <w:jc w:val="center"/>
              <w:rPr>
                <w:rFonts w:cs="Arial"/>
                <w:szCs w:val="24"/>
                <w:lang w:eastAsia="en-GB"/>
              </w:rPr>
            </w:pPr>
          </w:p>
        </w:tc>
        <w:tc>
          <w:tcPr>
            <w:tcW w:w="1127" w:type="dxa"/>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6C63EBB7" w14:textId="77777777" w:rsidR="00FD222F" w:rsidRDefault="00FD222F" w:rsidP="00502E80">
            <w:pPr>
              <w:spacing w:line="276" w:lineRule="auto"/>
              <w:ind w:left="-113" w:right="-85"/>
              <w:jc w:val="center"/>
              <w:rPr>
                <w:rFonts w:cs="Arial"/>
                <w:szCs w:val="24"/>
                <w:lang w:eastAsia="en-GB"/>
              </w:rPr>
            </w:pPr>
            <w:r>
              <w:rPr>
                <w:rFonts w:cs="Arial"/>
                <w:szCs w:val="24"/>
              </w:rPr>
              <w:t>Final Report</w:t>
            </w:r>
          </w:p>
        </w:tc>
        <w:tc>
          <w:tcPr>
            <w:tcW w:w="1129" w:type="dxa"/>
            <w:gridSpan w:val="2"/>
            <w:tcBorders>
              <w:top w:val="single" w:sz="4" w:space="0" w:color="auto"/>
              <w:left w:val="single" w:sz="4" w:space="0" w:color="auto"/>
              <w:bottom w:val="single" w:sz="4" w:space="0" w:color="auto"/>
              <w:right w:val="single" w:sz="4" w:space="0" w:color="auto"/>
            </w:tcBorders>
            <w:hideMark/>
          </w:tcPr>
          <w:p w14:paraId="5056C457" w14:textId="77777777" w:rsidR="00FD222F" w:rsidRDefault="00FD222F" w:rsidP="00502E80">
            <w:pPr>
              <w:spacing w:line="276" w:lineRule="auto"/>
              <w:jc w:val="center"/>
              <w:rPr>
                <w:rFonts w:cs="Arial"/>
                <w:color w:val="000000"/>
                <w:szCs w:val="24"/>
                <w:lang w:eastAsia="en-GB"/>
              </w:rPr>
            </w:pPr>
            <w:r>
              <w:rPr>
                <w:rFonts w:cs="Arial"/>
                <w:szCs w:val="24"/>
              </w:rPr>
              <w:t>Mar 2017</w:t>
            </w:r>
          </w:p>
        </w:tc>
        <w:tc>
          <w:tcPr>
            <w:tcW w:w="1025" w:type="dxa"/>
            <w:tcBorders>
              <w:top w:val="single" w:sz="4" w:space="0" w:color="auto"/>
              <w:left w:val="single" w:sz="4" w:space="0" w:color="auto"/>
              <w:bottom w:val="single" w:sz="4" w:space="0" w:color="auto"/>
              <w:right w:val="single" w:sz="4" w:space="0" w:color="auto"/>
            </w:tcBorders>
            <w:shd w:val="clear" w:color="auto" w:fill="FFC000"/>
            <w:hideMark/>
          </w:tcPr>
          <w:p w14:paraId="2BB716FF" w14:textId="77777777" w:rsidR="00FD222F" w:rsidRDefault="00FD222F" w:rsidP="00502E80">
            <w:pPr>
              <w:spacing w:line="276" w:lineRule="auto"/>
              <w:jc w:val="center"/>
              <w:rPr>
                <w:rFonts w:cs="Arial"/>
                <w:sz w:val="22"/>
                <w:szCs w:val="22"/>
                <w:lang w:eastAsia="en-GB"/>
              </w:rPr>
            </w:pPr>
            <w:r>
              <w:rPr>
                <w:rFonts w:cs="Arial"/>
                <w:sz w:val="22"/>
                <w:szCs w:val="22"/>
              </w:rPr>
              <w:t>05/04/17</w:t>
            </w:r>
          </w:p>
        </w:tc>
        <w:tc>
          <w:tcPr>
            <w:tcW w:w="923" w:type="dxa"/>
            <w:tcBorders>
              <w:top w:val="single" w:sz="4" w:space="0" w:color="auto"/>
              <w:left w:val="single" w:sz="4" w:space="0" w:color="auto"/>
              <w:bottom w:val="single" w:sz="4" w:space="0" w:color="auto"/>
              <w:right w:val="single" w:sz="4" w:space="0" w:color="auto"/>
            </w:tcBorders>
            <w:hideMark/>
          </w:tcPr>
          <w:p w14:paraId="29FA02DD" w14:textId="77777777" w:rsidR="00FD222F" w:rsidRDefault="00FD222F" w:rsidP="00502E80">
            <w:pPr>
              <w:spacing w:line="276" w:lineRule="auto"/>
              <w:jc w:val="center"/>
              <w:rPr>
                <w:rFonts w:cs="Arial"/>
                <w:sz w:val="20"/>
                <w:lang w:eastAsia="en-GB"/>
              </w:rPr>
            </w:pPr>
            <w:r>
              <w:rPr>
                <w:rFonts w:cs="Arial"/>
                <w:sz w:val="20"/>
              </w:rPr>
              <w:t>09/05/17</w:t>
            </w:r>
          </w:p>
        </w:tc>
        <w:tc>
          <w:tcPr>
            <w:tcW w:w="1025" w:type="dxa"/>
            <w:tcBorders>
              <w:top w:val="single" w:sz="4" w:space="0" w:color="auto"/>
              <w:left w:val="single" w:sz="4" w:space="0" w:color="auto"/>
              <w:bottom w:val="single" w:sz="4" w:space="0" w:color="auto"/>
              <w:right w:val="single" w:sz="4" w:space="0" w:color="auto"/>
            </w:tcBorders>
            <w:hideMark/>
          </w:tcPr>
          <w:p w14:paraId="774CA409" w14:textId="77777777" w:rsidR="00FD222F" w:rsidRDefault="00FD222F" w:rsidP="00502E80">
            <w:pPr>
              <w:spacing w:line="276" w:lineRule="auto"/>
              <w:jc w:val="center"/>
              <w:rPr>
                <w:rFonts w:cs="Arial"/>
                <w:szCs w:val="24"/>
                <w:lang w:eastAsia="en-GB"/>
              </w:rPr>
            </w:pPr>
            <w:r>
              <w:rPr>
                <w:rFonts w:cs="Arial"/>
                <w:szCs w:val="24"/>
              </w:rPr>
              <w:t>Jun 17</w:t>
            </w:r>
          </w:p>
        </w:tc>
        <w:tc>
          <w:tcPr>
            <w:tcW w:w="1025" w:type="dxa"/>
            <w:tcBorders>
              <w:top w:val="single" w:sz="4" w:space="0" w:color="auto"/>
              <w:left w:val="single" w:sz="4" w:space="0" w:color="auto"/>
              <w:bottom w:val="single" w:sz="4" w:space="0" w:color="auto"/>
              <w:right w:val="single" w:sz="4" w:space="0" w:color="auto"/>
            </w:tcBorders>
            <w:shd w:val="clear" w:color="auto" w:fill="FFC000"/>
            <w:hideMark/>
          </w:tcPr>
          <w:p w14:paraId="523DDF9C" w14:textId="77777777" w:rsidR="00FD222F" w:rsidRDefault="00FD222F" w:rsidP="00502E80">
            <w:pPr>
              <w:spacing w:line="276" w:lineRule="auto"/>
              <w:jc w:val="center"/>
              <w:rPr>
                <w:rFonts w:cs="Arial"/>
                <w:sz w:val="22"/>
                <w:szCs w:val="22"/>
                <w:lang w:eastAsia="en-GB"/>
              </w:rPr>
            </w:pPr>
            <w:r>
              <w:rPr>
                <w:rFonts w:cs="Arial"/>
                <w:sz w:val="22"/>
                <w:szCs w:val="22"/>
                <w:lang w:eastAsia="en-GB"/>
              </w:rPr>
              <w:t>03/04/18</w:t>
            </w:r>
          </w:p>
        </w:tc>
        <w:tc>
          <w:tcPr>
            <w:tcW w:w="989" w:type="dxa"/>
            <w:tcBorders>
              <w:top w:val="single" w:sz="4" w:space="0" w:color="auto"/>
              <w:left w:val="single" w:sz="4" w:space="0" w:color="auto"/>
              <w:bottom w:val="single" w:sz="4" w:space="0" w:color="auto"/>
              <w:right w:val="single" w:sz="4" w:space="0" w:color="auto"/>
            </w:tcBorders>
            <w:hideMark/>
          </w:tcPr>
          <w:p w14:paraId="2AB844B5" w14:textId="77777777" w:rsidR="00FD222F" w:rsidRDefault="00FD222F" w:rsidP="00502E80">
            <w:pPr>
              <w:spacing w:line="276" w:lineRule="auto"/>
              <w:jc w:val="center"/>
              <w:rPr>
                <w:rFonts w:cs="Arial"/>
                <w:sz w:val="22"/>
                <w:szCs w:val="22"/>
                <w:lang w:eastAsia="en-GB"/>
              </w:rPr>
            </w:pPr>
            <w:r>
              <w:rPr>
                <w:rFonts w:cs="Arial"/>
                <w:sz w:val="22"/>
                <w:szCs w:val="22"/>
                <w:lang w:eastAsia="en-GB"/>
              </w:rPr>
              <w:t>30/04/18</w:t>
            </w:r>
          </w:p>
        </w:tc>
        <w:tc>
          <w:tcPr>
            <w:tcW w:w="993" w:type="dxa"/>
            <w:tcBorders>
              <w:top w:val="single" w:sz="4" w:space="0" w:color="auto"/>
              <w:left w:val="single" w:sz="4" w:space="0" w:color="auto"/>
              <w:bottom w:val="single" w:sz="4" w:space="0" w:color="auto"/>
              <w:right w:val="single" w:sz="4" w:space="0" w:color="auto"/>
            </w:tcBorders>
            <w:hideMark/>
          </w:tcPr>
          <w:p w14:paraId="7A308FD8" w14:textId="77777777" w:rsidR="00FD222F" w:rsidRDefault="00FD222F" w:rsidP="00502E80">
            <w:pPr>
              <w:spacing w:line="276" w:lineRule="auto"/>
              <w:jc w:val="center"/>
              <w:rPr>
                <w:rFonts w:cs="Arial"/>
                <w:szCs w:val="24"/>
                <w:lang w:eastAsia="en-GB"/>
              </w:rPr>
            </w:pPr>
            <w:r>
              <w:rPr>
                <w:rFonts w:cs="Arial"/>
                <w:szCs w:val="24"/>
                <w:lang w:eastAsia="en-GB"/>
              </w:rPr>
              <w:t>WT</w:t>
            </w:r>
          </w:p>
        </w:tc>
        <w:tc>
          <w:tcPr>
            <w:tcW w:w="511" w:type="dxa"/>
            <w:tcBorders>
              <w:top w:val="single" w:sz="4" w:space="0" w:color="auto"/>
              <w:left w:val="single" w:sz="4" w:space="0" w:color="auto"/>
              <w:bottom w:val="single" w:sz="4" w:space="0" w:color="auto"/>
              <w:right w:val="single" w:sz="4" w:space="0" w:color="auto"/>
            </w:tcBorders>
            <w:hideMark/>
          </w:tcPr>
          <w:p w14:paraId="340B453C" w14:textId="77777777" w:rsidR="00FD222F" w:rsidRDefault="00FD222F" w:rsidP="00502E80">
            <w:pPr>
              <w:spacing w:line="276" w:lineRule="auto"/>
              <w:jc w:val="center"/>
              <w:rPr>
                <w:rFonts w:cs="Arial"/>
                <w:szCs w:val="24"/>
                <w:lang w:eastAsia="en-GB"/>
              </w:rPr>
            </w:pPr>
            <w:r>
              <w:rPr>
                <w:rFonts w:cs="Arial"/>
                <w:szCs w:val="24"/>
                <w:lang w:eastAsia="en-GB"/>
              </w:rPr>
              <w:t>-</w:t>
            </w:r>
          </w:p>
        </w:tc>
        <w:tc>
          <w:tcPr>
            <w:tcW w:w="511" w:type="dxa"/>
            <w:tcBorders>
              <w:top w:val="single" w:sz="4" w:space="0" w:color="auto"/>
              <w:left w:val="single" w:sz="4" w:space="0" w:color="auto"/>
              <w:bottom w:val="single" w:sz="4" w:space="0" w:color="auto"/>
              <w:right w:val="single" w:sz="4" w:space="0" w:color="auto"/>
            </w:tcBorders>
            <w:hideMark/>
          </w:tcPr>
          <w:p w14:paraId="2F6BDAB3" w14:textId="77777777" w:rsidR="00FD222F" w:rsidRDefault="00FD222F" w:rsidP="00502E80">
            <w:pPr>
              <w:spacing w:line="276" w:lineRule="auto"/>
              <w:jc w:val="center"/>
              <w:rPr>
                <w:rFonts w:cs="Arial"/>
                <w:szCs w:val="24"/>
                <w:lang w:eastAsia="en-GB"/>
              </w:rPr>
            </w:pPr>
            <w:r>
              <w:rPr>
                <w:rFonts w:cs="Arial"/>
                <w:szCs w:val="24"/>
                <w:lang w:eastAsia="en-GB"/>
              </w:rPr>
              <w:t>-</w:t>
            </w:r>
          </w:p>
        </w:tc>
        <w:tc>
          <w:tcPr>
            <w:tcW w:w="511" w:type="dxa"/>
            <w:tcBorders>
              <w:top w:val="single" w:sz="4" w:space="0" w:color="auto"/>
              <w:left w:val="single" w:sz="4" w:space="0" w:color="auto"/>
              <w:bottom w:val="single" w:sz="4" w:space="0" w:color="auto"/>
              <w:right w:val="single" w:sz="4" w:space="0" w:color="auto"/>
            </w:tcBorders>
            <w:hideMark/>
          </w:tcPr>
          <w:p w14:paraId="57B1DEF1" w14:textId="77777777" w:rsidR="00FD222F" w:rsidRDefault="00FD222F" w:rsidP="00502E80">
            <w:pPr>
              <w:spacing w:line="276" w:lineRule="auto"/>
              <w:jc w:val="center"/>
              <w:rPr>
                <w:rFonts w:cs="Arial"/>
                <w:szCs w:val="24"/>
                <w:lang w:eastAsia="en-GB"/>
              </w:rPr>
            </w:pPr>
            <w:r>
              <w:rPr>
                <w:rFonts w:cs="Arial"/>
                <w:szCs w:val="24"/>
                <w:lang w:eastAsia="en-GB"/>
              </w:rPr>
              <w:t>-</w:t>
            </w:r>
          </w:p>
        </w:tc>
        <w:tc>
          <w:tcPr>
            <w:tcW w:w="511" w:type="dxa"/>
            <w:tcBorders>
              <w:top w:val="single" w:sz="4" w:space="0" w:color="auto"/>
              <w:left w:val="single" w:sz="4" w:space="0" w:color="auto"/>
              <w:bottom w:val="single" w:sz="4" w:space="0" w:color="auto"/>
              <w:right w:val="single" w:sz="4" w:space="0" w:color="auto"/>
            </w:tcBorders>
            <w:hideMark/>
          </w:tcPr>
          <w:p w14:paraId="5DC29C31" w14:textId="77777777" w:rsidR="00FD222F" w:rsidRDefault="00FD222F" w:rsidP="00502E80">
            <w:pPr>
              <w:spacing w:line="276" w:lineRule="auto"/>
              <w:jc w:val="center"/>
              <w:rPr>
                <w:rFonts w:cs="Arial"/>
                <w:szCs w:val="24"/>
                <w:lang w:eastAsia="en-GB"/>
              </w:rPr>
            </w:pPr>
            <w:r>
              <w:rPr>
                <w:rFonts w:cs="Arial"/>
                <w:szCs w:val="24"/>
                <w:lang w:eastAsia="en-GB"/>
              </w:rPr>
              <w:t>-</w:t>
            </w:r>
          </w:p>
        </w:tc>
      </w:tr>
      <w:tr w:rsidR="00FD222F" w14:paraId="00B75B2E" w14:textId="77777777" w:rsidTr="00502E80">
        <w:trPr>
          <w:gridAfter w:val="1"/>
          <w:wAfter w:w="30" w:type="dxa"/>
          <w:trHeight w:val="301"/>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F0A5624" w14:textId="77777777" w:rsidR="00FD222F" w:rsidRDefault="00FD222F" w:rsidP="00502E80">
            <w:pPr>
              <w:spacing w:line="276" w:lineRule="auto"/>
              <w:rPr>
                <w:rFonts w:cs="Arial"/>
                <w:szCs w:val="24"/>
              </w:rPr>
            </w:pPr>
            <w:r>
              <w:rPr>
                <w:rFonts w:cs="Arial"/>
                <w:szCs w:val="24"/>
              </w:rPr>
              <w:t xml:space="preserve">Quality Reporting </w:t>
            </w:r>
          </w:p>
        </w:tc>
        <w:tc>
          <w:tcPr>
            <w:tcW w:w="442" w:type="dxa"/>
            <w:tcBorders>
              <w:top w:val="single" w:sz="4" w:space="0" w:color="auto"/>
              <w:left w:val="single" w:sz="4" w:space="0" w:color="auto"/>
              <w:bottom w:val="single" w:sz="4" w:space="0" w:color="auto"/>
              <w:right w:val="single" w:sz="4" w:space="0" w:color="auto"/>
            </w:tcBorders>
            <w:vAlign w:val="center"/>
          </w:tcPr>
          <w:p w14:paraId="6A976B4F"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4DFC936F" w14:textId="77777777" w:rsidR="00FD222F" w:rsidRDefault="00FD222F" w:rsidP="00502E80">
            <w:pPr>
              <w:spacing w:line="276" w:lineRule="auto"/>
              <w:jc w:val="center"/>
              <w:rPr>
                <w:rFonts w:cs="Arial"/>
                <w:szCs w:val="24"/>
                <w:lang w:eastAsia="en-GB"/>
              </w:rPr>
            </w:pPr>
            <w:r>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6DB0EC14"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375DA48A" w14:textId="77777777" w:rsidR="00FD222F" w:rsidRDefault="00FD222F" w:rsidP="00502E80">
            <w:pPr>
              <w:spacing w:line="276" w:lineRule="auto"/>
              <w:jc w:val="center"/>
              <w:rPr>
                <w:rFonts w:cs="Arial"/>
                <w:szCs w:val="24"/>
                <w:lang w:eastAsia="en-GB"/>
              </w:rPr>
            </w:pPr>
          </w:p>
        </w:tc>
        <w:tc>
          <w:tcPr>
            <w:tcW w:w="1127" w:type="dxa"/>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1E7E23EB" w14:textId="77777777" w:rsidR="00FD222F" w:rsidRDefault="00FD222F" w:rsidP="00502E80">
            <w:pPr>
              <w:spacing w:line="276" w:lineRule="auto"/>
              <w:ind w:left="-113" w:right="-85"/>
              <w:jc w:val="center"/>
              <w:rPr>
                <w:rFonts w:cs="Arial"/>
                <w:szCs w:val="24"/>
              </w:rPr>
            </w:pPr>
            <w:r>
              <w:rPr>
                <w:rFonts w:cs="Arial"/>
                <w:szCs w:val="24"/>
              </w:rPr>
              <w:t>Draft Report</w:t>
            </w:r>
          </w:p>
        </w:tc>
        <w:tc>
          <w:tcPr>
            <w:tcW w:w="1129" w:type="dxa"/>
            <w:gridSpan w:val="2"/>
            <w:tcBorders>
              <w:top w:val="single" w:sz="4" w:space="0" w:color="auto"/>
              <w:left w:val="single" w:sz="4" w:space="0" w:color="auto"/>
              <w:bottom w:val="single" w:sz="4" w:space="0" w:color="auto"/>
              <w:right w:val="single" w:sz="4" w:space="0" w:color="auto"/>
            </w:tcBorders>
            <w:hideMark/>
          </w:tcPr>
          <w:p w14:paraId="6834A36B" w14:textId="77777777" w:rsidR="00FD222F" w:rsidRDefault="00FD222F" w:rsidP="00502E80">
            <w:pPr>
              <w:spacing w:line="276" w:lineRule="auto"/>
              <w:jc w:val="center"/>
              <w:rPr>
                <w:rFonts w:cs="Arial"/>
                <w:szCs w:val="24"/>
              </w:rPr>
            </w:pPr>
            <w:r>
              <w:rPr>
                <w:rFonts w:cs="Arial"/>
                <w:szCs w:val="24"/>
              </w:rPr>
              <w:t>June 2018</w:t>
            </w:r>
          </w:p>
        </w:tc>
        <w:tc>
          <w:tcPr>
            <w:tcW w:w="1025" w:type="dxa"/>
            <w:tcBorders>
              <w:top w:val="single" w:sz="4" w:space="0" w:color="auto"/>
              <w:left w:val="single" w:sz="4" w:space="0" w:color="auto"/>
              <w:bottom w:val="single" w:sz="4" w:space="0" w:color="auto"/>
              <w:right w:val="single" w:sz="4" w:space="0" w:color="auto"/>
            </w:tcBorders>
            <w:shd w:val="clear" w:color="auto" w:fill="00B050"/>
            <w:hideMark/>
          </w:tcPr>
          <w:p w14:paraId="466E30CA" w14:textId="77777777" w:rsidR="00FD222F" w:rsidRDefault="00FD222F" w:rsidP="00502E80">
            <w:pPr>
              <w:spacing w:line="276" w:lineRule="auto"/>
              <w:jc w:val="center"/>
              <w:rPr>
                <w:rFonts w:cs="Arial"/>
                <w:sz w:val="22"/>
                <w:szCs w:val="22"/>
              </w:rPr>
            </w:pPr>
            <w:r>
              <w:rPr>
                <w:rFonts w:cs="Arial"/>
                <w:sz w:val="22"/>
                <w:szCs w:val="22"/>
              </w:rPr>
              <w:t>06/06/18</w:t>
            </w:r>
          </w:p>
        </w:tc>
        <w:tc>
          <w:tcPr>
            <w:tcW w:w="923" w:type="dxa"/>
            <w:tcBorders>
              <w:top w:val="single" w:sz="4" w:space="0" w:color="auto"/>
              <w:left w:val="single" w:sz="4" w:space="0" w:color="auto"/>
              <w:bottom w:val="single" w:sz="4" w:space="0" w:color="auto"/>
              <w:right w:val="single" w:sz="4" w:space="0" w:color="auto"/>
            </w:tcBorders>
            <w:hideMark/>
          </w:tcPr>
          <w:p w14:paraId="0C5284F6" w14:textId="77777777" w:rsidR="00FD222F" w:rsidRDefault="00FD222F" w:rsidP="00502E80">
            <w:pPr>
              <w:spacing w:line="276" w:lineRule="auto"/>
              <w:jc w:val="center"/>
              <w:rPr>
                <w:rFonts w:cs="Arial"/>
                <w:sz w:val="20"/>
              </w:rPr>
            </w:pPr>
            <w:r>
              <w:rPr>
                <w:rFonts w:cs="Arial"/>
                <w:sz w:val="20"/>
              </w:rPr>
              <w:t>13/06/18</w:t>
            </w:r>
          </w:p>
        </w:tc>
        <w:tc>
          <w:tcPr>
            <w:tcW w:w="1025" w:type="dxa"/>
            <w:tcBorders>
              <w:top w:val="single" w:sz="4" w:space="0" w:color="auto"/>
              <w:left w:val="single" w:sz="4" w:space="0" w:color="auto"/>
              <w:bottom w:val="single" w:sz="4" w:space="0" w:color="auto"/>
              <w:right w:val="single" w:sz="4" w:space="0" w:color="auto"/>
            </w:tcBorders>
            <w:hideMark/>
          </w:tcPr>
          <w:p w14:paraId="54C38118" w14:textId="77777777" w:rsidR="00FD222F" w:rsidRDefault="00FD222F" w:rsidP="00502E80">
            <w:pPr>
              <w:spacing w:line="276" w:lineRule="auto"/>
              <w:jc w:val="center"/>
              <w:rPr>
                <w:rFonts w:cs="Arial"/>
                <w:szCs w:val="24"/>
              </w:rPr>
            </w:pPr>
            <w:r>
              <w:rPr>
                <w:rFonts w:cs="Arial"/>
                <w:szCs w:val="24"/>
              </w:rPr>
              <w:t>Jul 18</w:t>
            </w:r>
          </w:p>
        </w:tc>
        <w:tc>
          <w:tcPr>
            <w:tcW w:w="1025" w:type="dxa"/>
            <w:tcBorders>
              <w:top w:val="single" w:sz="4" w:space="0" w:color="auto"/>
              <w:left w:val="single" w:sz="4" w:space="0" w:color="auto"/>
              <w:bottom w:val="single" w:sz="4" w:space="0" w:color="auto"/>
              <w:right w:val="single" w:sz="4" w:space="0" w:color="auto"/>
            </w:tcBorders>
          </w:tcPr>
          <w:p w14:paraId="6B3C6A9B" w14:textId="77777777" w:rsidR="00FD222F" w:rsidRDefault="00FD222F" w:rsidP="00502E80">
            <w:pPr>
              <w:spacing w:line="276" w:lineRule="auto"/>
              <w:jc w:val="center"/>
              <w:rPr>
                <w:rFonts w:cs="Arial"/>
                <w:szCs w:val="24"/>
                <w:lang w:eastAsia="en-GB"/>
              </w:rPr>
            </w:pPr>
          </w:p>
        </w:tc>
        <w:tc>
          <w:tcPr>
            <w:tcW w:w="989" w:type="dxa"/>
            <w:tcBorders>
              <w:top w:val="single" w:sz="4" w:space="0" w:color="auto"/>
              <w:left w:val="single" w:sz="4" w:space="0" w:color="auto"/>
              <w:bottom w:val="single" w:sz="4" w:space="0" w:color="auto"/>
              <w:right w:val="single" w:sz="4" w:space="0" w:color="auto"/>
            </w:tcBorders>
          </w:tcPr>
          <w:p w14:paraId="07D2A3F0" w14:textId="77777777" w:rsidR="00FD222F" w:rsidRDefault="00FD222F" w:rsidP="00502E80">
            <w:pPr>
              <w:spacing w:line="276" w:lineRule="auto"/>
              <w:jc w:val="center"/>
              <w:rPr>
                <w:rFonts w:cs="Arial"/>
                <w:szCs w:val="24"/>
                <w:lang w:eastAsia="en-GB"/>
              </w:rPr>
            </w:pPr>
          </w:p>
        </w:tc>
        <w:tc>
          <w:tcPr>
            <w:tcW w:w="993" w:type="dxa"/>
            <w:tcBorders>
              <w:top w:val="single" w:sz="4" w:space="0" w:color="auto"/>
              <w:left w:val="single" w:sz="4" w:space="0" w:color="auto"/>
              <w:bottom w:val="single" w:sz="4" w:space="0" w:color="auto"/>
              <w:right w:val="single" w:sz="4" w:space="0" w:color="auto"/>
            </w:tcBorders>
          </w:tcPr>
          <w:p w14:paraId="36E7E9C2"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79FF7A76"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5909E98A"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6C5149E4"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058CAC37" w14:textId="77777777" w:rsidR="00FD222F" w:rsidRDefault="00FD222F" w:rsidP="00502E80">
            <w:pPr>
              <w:spacing w:line="276" w:lineRule="auto"/>
              <w:jc w:val="center"/>
              <w:rPr>
                <w:rFonts w:cs="Arial"/>
                <w:szCs w:val="24"/>
                <w:lang w:eastAsia="en-GB"/>
              </w:rPr>
            </w:pPr>
          </w:p>
        </w:tc>
      </w:tr>
      <w:tr w:rsidR="00FD222F" w14:paraId="287467B4" w14:textId="77777777" w:rsidTr="00502E80">
        <w:trPr>
          <w:gridAfter w:val="1"/>
          <w:wAfter w:w="30" w:type="dxa"/>
          <w:trHeight w:val="301"/>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53192BC" w14:textId="77777777" w:rsidR="00FD222F" w:rsidRDefault="00FD222F" w:rsidP="00502E80">
            <w:pPr>
              <w:spacing w:line="276" w:lineRule="auto"/>
              <w:rPr>
                <w:rFonts w:cs="Arial"/>
                <w:szCs w:val="24"/>
              </w:rPr>
            </w:pPr>
            <w:r>
              <w:rPr>
                <w:rFonts w:cs="Arial"/>
                <w:szCs w:val="24"/>
              </w:rPr>
              <w:t>Exception Report Management</w:t>
            </w:r>
          </w:p>
        </w:tc>
        <w:tc>
          <w:tcPr>
            <w:tcW w:w="442" w:type="dxa"/>
            <w:tcBorders>
              <w:top w:val="single" w:sz="4" w:space="0" w:color="auto"/>
              <w:left w:val="single" w:sz="4" w:space="0" w:color="auto"/>
              <w:bottom w:val="single" w:sz="4" w:space="0" w:color="auto"/>
              <w:right w:val="single" w:sz="4" w:space="0" w:color="auto"/>
            </w:tcBorders>
            <w:vAlign w:val="center"/>
          </w:tcPr>
          <w:p w14:paraId="29D6F16B"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35F860EA"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14AAB455" w14:textId="77777777" w:rsidR="00FD222F" w:rsidRDefault="00FD222F" w:rsidP="00502E80">
            <w:pPr>
              <w:spacing w:line="276" w:lineRule="auto"/>
              <w:jc w:val="center"/>
              <w:rPr>
                <w:rFonts w:cs="Arial"/>
                <w:szCs w:val="24"/>
                <w:lang w:eastAsia="en-GB"/>
              </w:rPr>
            </w:pPr>
            <w:r>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73D4EF67" w14:textId="77777777" w:rsidR="00FD222F" w:rsidRDefault="00FD222F" w:rsidP="00502E80">
            <w:pPr>
              <w:spacing w:line="276" w:lineRule="auto"/>
              <w:jc w:val="center"/>
              <w:rPr>
                <w:rFonts w:cs="Arial"/>
                <w:szCs w:val="24"/>
                <w:lang w:eastAsia="en-GB"/>
              </w:rPr>
            </w:pPr>
          </w:p>
        </w:tc>
        <w:tc>
          <w:tcPr>
            <w:tcW w:w="1127" w:type="dxa"/>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4AF12A0B" w14:textId="77777777" w:rsidR="00FD222F" w:rsidRDefault="00FD222F" w:rsidP="00502E80">
            <w:pPr>
              <w:spacing w:line="276" w:lineRule="auto"/>
              <w:ind w:left="-113" w:right="-85"/>
              <w:jc w:val="center"/>
              <w:rPr>
                <w:rFonts w:cs="Arial"/>
                <w:szCs w:val="24"/>
              </w:rPr>
            </w:pPr>
            <w:r>
              <w:rPr>
                <w:rFonts w:cs="Arial"/>
                <w:szCs w:val="24"/>
              </w:rPr>
              <w:t>Planning</w:t>
            </w:r>
          </w:p>
        </w:tc>
        <w:tc>
          <w:tcPr>
            <w:tcW w:w="1129" w:type="dxa"/>
            <w:gridSpan w:val="2"/>
            <w:tcBorders>
              <w:top w:val="single" w:sz="4" w:space="0" w:color="auto"/>
              <w:left w:val="single" w:sz="4" w:space="0" w:color="auto"/>
              <w:bottom w:val="single" w:sz="4" w:space="0" w:color="auto"/>
              <w:right w:val="single" w:sz="4" w:space="0" w:color="auto"/>
            </w:tcBorders>
            <w:hideMark/>
          </w:tcPr>
          <w:p w14:paraId="20E6C9EE" w14:textId="77777777" w:rsidR="00FD222F" w:rsidRDefault="00FD222F" w:rsidP="00502E80">
            <w:pPr>
              <w:spacing w:line="276" w:lineRule="auto"/>
              <w:jc w:val="center"/>
              <w:rPr>
                <w:rFonts w:cs="Arial"/>
                <w:szCs w:val="24"/>
              </w:rPr>
            </w:pPr>
            <w:r>
              <w:rPr>
                <w:rFonts w:cs="Arial"/>
                <w:szCs w:val="24"/>
              </w:rPr>
              <w:t>Nov 2018</w:t>
            </w:r>
          </w:p>
        </w:tc>
        <w:tc>
          <w:tcPr>
            <w:tcW w:w="1025" w:type="dxa"/>
            <w:tcBorders>
              <w:top w:val="single" w:sz="4" w:space="0" w:color="auto"/>
              <w:left w:val="single" w:sz="4" w:space="0" w:color="auto"/>
              <w:bottom w:val="single" w:sz="4" w:space="0" w:color="auto"/>
              <w:right w:val="single" w:sz="4" w:space="0" w:color="auto"/>
            </w:tcBorders>
          </w:tcPr>
          <w:p w14:paraId="50DD7272" w14:textId="77777777" w:rsidR="00FD222F" w:rsidRDefault="00FD222F" w:rsidP="00502E80">
            <w:pPr>
              <w:spacing w:line="276" w:lineRule="auto"/>
              <w:jc w:val="center"/>
              <w:rPr>
                <w:rFonts w:cs="Arial"/>
                <w:szCs w:val="24"/>
              </w:rPr>
            </w:pPr>
          </w:p>
        </w:tc>
        <w:tc>
          <w:tcPr>
            <w:tcW w:w="923" w:type="dxa"/>
            <w:tcBorders>
              <w:top w:val="single" w:sz="4" w:space="0" w:color="auto"/>
              <w:left w:val="single" w:sz="4" w:space="0" w:color="auto"/>
              <w:bottom w:val="single" w:sz="4" w:space="0" w:color="auto"/>
              <w:right w:val="single" w:sz="4" w:space="0" w:color="auto"/>
            </w:tcBorders>
          </w:tcPr>
          <w:p w14:paraId="5A7C6816" w14:textId="77777777" w:rsidR="00FD222F" w:rsidRDefault="00FD222F" w:rsidP="00502E80">
            <w:pPr>
              <w:spacing w:line="276" w:lineRule="auto"/>
              <w:jc w:val="center"/>
              <w:rPr>
                <w:rFonts w:cs="Arial"/>
                <w:szCs w:val="24"/>
              </w:rPr>
            </w:pPr>
          </w:p>
        </w:tc>
        <w:tc>
          <w:tcPr>
            <w:tcW w:w="1025" w:type="dxa"/>
            <w:tcBorders>
              <w:top w:val="single" w:sz="4" w:space="0" w:color="auto"/>
              <w:left w:val="single" w:sz="4" w:space="0" w:color="auto"/>
              <w:bottom w:val="single" w:sz="4" w:space="0" w:color="auto"/>
              <w:right w:val="single" w:sz="4" w:space="0" w:color="auto"/>
            </w:tcBorders>
          </w:tcPr>
          <w:p w14:paraId="71B20AAD" w14:textId="77777777" w:rsidR="00FD222F" w:rsidRDefault="00FD222F" w:rsidP="00502E80">
            <w:pPr>
              <w:spacing w:line="276" w:lineRule="auto"/>
              <w:jc w:val="center"/>
              <w:rPr>
                <w:rFonts w:cs="Arial"/>
                <w:szCs w:val="24"/>
              </w:rPr>
            </w:pPr>
          </w:p>
        </w:tc>
        <w:tc>
          <w:tcPr>
            <w:tcW w:w="1025" w:type="dxa"/>
            <w:tcBorders>
              <w:top w:val="single" w:sz="4" w:space="0" w:color="auto"/>
              <w:left w:val="single" w:sz="4" w:space="0" w:color="auto"/>
              <w:bottom w:val="single" w:sz="4" w:space="0" w:color="auto"/>
              <w:right w:val="single" w:sz="4" w:space="0" w:color="auto"/>
            </w:tcBorders>
          </w:tcPr>
          <w:p w14:paraId="56508442" w14:textId="77777777" w:rsidR="00FD222F" w:rsidRDefault="00FD222F" w:rsidP="00502E80">
            <w:pPr>
              <w:spacing w:line="276" w:lineRule="auto"/>
              <w:jc w:val="center"/>
              <w:rPr>
                <w:rFonts w:cs="Arial"/>
                <w:szCs w:val="24"/>
                <w:lang w:eastAsia="en-GB"/>
              </w:rPr>
            </w:pPr>
          </w:p>
        </w:tc>
        <w:tc>
          <w:tcPr>
            <w:tcW w:w="989" w:type="dxa"/>
            <w:tcBorders>
              <w:top w:val="single" w:sz="4" w:space="0" w:color="auto"/>
              <w:left w:val="single" w:sz="4" w:space="0" w:color="auto"/>
              <w:bottom w:val="single" w:sz="4" w:space="0" w:color="auto"/>
              <w:right w:val="single" w:sz="4" w:space="0" w:color="auto"/>
            </w:tcBorders>
          </w:tcPr>
          <w:p w14:paraId="69EECA17" w14:textId="77777777" w:rsidR="00FD222F" w:rsidRDefault="00FD222F" w:rsidP="00502E80">
            <w:pPr>
              <w:spacing w:line="276" w:lineRule="auto"/>
              <w:jc w:val="center"/>
              <w:rPr>
                <w:rFonts w:cs="Arial"/>
                <w:szCs w:val="24"/>
                <w:lang w:eastAsia="en-GB"/>
              </w:rPr>
            </w:pPr>
          </w:p>
        </w:tc>
        <w:tc>
          <w:tcPr>
            <w:tcW w:w="993" w:type="dxa"/>
            <w:tcBorders>
              <w:top w:val="single" w:sz="4" w:space="0" w:color="auto"/>
              <w:left w:val="single" w:sz="4" w:space="0" w:color="auto"/>
              <w:bottom w:val="single" w:sz="4" w:space="0" w:color="auto"/>
              <w:right w:val="single" w:sz="4" w:space="0" w:color="auto"/>
            </w:tcBorders>
          </w:tcPr>
          <w:p w14:paraId="08CBC6B3"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0C927B8D"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6A9A7E60"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43EF24E2"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4866BD2E" w14:textId="77777777" w:rsidR="00FD222F" w:rsidRDefault="00FD222F" w:rsidP="00502E80">
            <w:pPr>
              <w:spacing w:line="276" w:lineRule="auto"/>
              <w:jc w:val="center"/>
              <w:rPr>
                <w:rFonts w:cs="Arial"/>
                <w:szCs w:val="24"/>
                <w:lang w:eastAsia="en-GB"/>
              </w:rPr>
            </w:pPr>
          </w:p>
        </w:tc>
      </w:tr>
      <w:tr w:rsidR="00FD222F" w14:paraId="54026DDC" w14:textId="77777777" w:rsidTr="00502E80">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4BB1DA4" w14:textId="77777777" w:rsidR="00CD4805" w:rsidRDefault="00FD222F" w:rsidP="00502E80">
            <w:pPr>
              <w:spacing w:line="276" w:lineRule="auto"/>
              <w:rPr>
                <w:rFonts w:cs="Arial"/>
                <w:szCs w:val="24"/>
              </w:rPr>
            </w:pPr>
            <w:r>
              <w:rPr>
                <w:rFonts w:cs="Arial"/>
                <w:szCs w:val="24"/>
              </w:rPr>
              <w:t>Factor Change Management</w:t>
            </w:r>
          </w:p>
        </w:tc>
        <w:tc>
          <w:tcPr>
            <w:tcW w:w="442" w:type="dxa"/>
            <w:tcBorders>
              <w:top w:val="single" w:sz="4" w:space="0" w:color="auto"/>
              <w:left w:val="single" w:sz="4" w:space="0" w:color="auto"/>
              <w:bottom w:val="single" w:sz="4" w:space="0" w:color="auto"/>
              <w:right w:val="single" w:sz="4" w:space="0" w:color="auto"/>
            </w:tcBorders>
            <w:vAlign w:val="center"/>
          </w:tcPr>
          <w:p w14:paraId="696CC75C"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0D2909C3"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7A68428C"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0CCDE45B" w14:textId="77777777" w:rsidR="00FD222F" w:rsidRDefault="00FD222F" w:rsidP="00502E80">
            <w:pPr>
              <w:spacing w:line="276" w:lineRule="auto"/>
              <w:jc w:val="center"/>
              <w:rPr>
                <w:rFonts w:cs="Arial"/>
                <w:szCs w:val="24"/>
                <w:lang w:eastAsia="en-GB"/>
              </w:rPr>
            </w:pPr>
            <w:r>
              <w:rPr>
                <w:rFonts w:cs="Arial"/>
                <w:szCs w:val="24"/>
                <w:lang w:eastAsia="en-GB"/>
              </w:rPr>
              <w:sym w:font="Wingdings" w:char="F0FC"/>
            </w:r>
          </w:p>
        </w:tc>
        <w:tc>
          <w:tcPr>
            <w:tcW w:w="1127" w:type="dxa"/>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51BE3553" w14:textId="77777777" w:rsidR="00FD222F" w:rsidRDefault="00FD222F" w:rsidP="00502E80">
            <w:pPr>
              <w:spacing w:line="276" w:lineRule="auto"/>
              <w:ind w:left="-113" w:right="-85"/>
              <w:jc w:val="center"/>
              <w:rPr>
                <w:rFonts w:cs="Arial"/>
                <w:szCs w:val="24"/>
                <w:lang w:eastAsia="en-GB"/>
              </w:rPr>
            </w:pPr>
            <w:r>
              <w:rPr>
                <w:rFonts w:cs="Arial"/>
                <w:szCs w:val="24"/>
              </w:rPr>
              <w:t>Planning</w:t>
            </w:r>
          </w:p>
        </w:tc>
        <w:tc>
          <w:tcPr>
            <w:tcW w:w="1129" w:type="dxa"/>
            <w:gridSpan w:val="2"/>
            <w:tcBorders>
              <w:top w:val="single" w:sz="4" w:space="0" w:color="auto"/>
              <w:left w:val="single" w:sz="4" w:space="0" w:color="auto"/>
              <w:bottom w:val="single" w:sz="4" w:space="0" w:color="auto"/>
              <w:right w:val="single" w:sz="4" w:space="0" w:color="auto"/>
            </w:tcBorders>
            <w:hideMark/>
          </w:tcPr>
          <w:p w14:paraId="091088D2" w14:textId="77777777" w:rsidR="00FD222F" w:rsidRDefault="00FD222F" w:rsidP="00502E80">
            <w:pPr>
              <w:spacing w:line="276" w:lineRule="auto"/>
              <w:jc w:val="center"/>
              <w:rPr>
                <w:rFonts w:cs="Arial"/>
                <w:color w:val="000000"/>
                <w:szCs w:val="24"/>
                <w:lang w:eastAsia="en-GB"/>
              </w:rPr>
            </w:pPr>
            <w:r>
              <w:rPr>
                <w:rFonts w:cs="Arial"/>
                <w:szCs w:val="24"/>
              </w:rPr>
              <w:t>Nov 2018</w:t>
            </w:r>
          </w:p>
        </w:tc>
        <w:tc>
          <w:tcPr>
            <w:tcW w:w="1025" w:type="dxa"/>
            <w:tcBorders>
              <w:top w:val="single" w:sz="4" w:space="0" w:color="auto"/>
              <w:left w:val="single" w:sz="4" w:space="0" w:color="auto"/>
              <w:bottom w:val="single" w:sz="4" w:space="0" w:color="auto"/>
              <w:right w:val="single" w:sz="4" w:space="0" w:color="auto"/>
            </w:tcBorders>
          </w:tcPr>
          <w:p w14:paraId="5A5DA7B2" w14:textId="77777777" w:rsidR="00FD222F" w:rsidRDefault="00FD222F" w:rsidP="00502E80">
            <w:pPr>
              <w:spacing w:line="276" w:lineRule="auto"/>
              <w:jc w:val="center"/>
              <w:rPr>
                <w:rFonts w:cs="Arial"/>
                <w:szCs w:val="24"/>
                <w:lang w:eastAsia="en-GB"/>
              </w:rPr>
            </w:pPr>
          </w:p>
        </w:tc>
        <w:tc>
          <w:tcPr>
            <w:tcW w:w="923" w:type="dxa"/>
            <w:tcBorders>
              <w:top w:val="single" w:sz="4" w:space="0" w:color="auto"/>
              <w:left w:val="single" w:sz="4" w:space="0" w:color="auto"/>
              <w:bottom w:val="single" w:sz="4" w:space="0" w:color="auto"/>
              <w:right w:val="single" w:sz="4" w:space="0" w:color="auto"/>
            </w:tcBorders>
          </w:tcPr>
          <w:p w14:paraId="55F73579" w14:textId="77777777" w:rsidR="00FD222F" w:rsidRDefault="00FD222F" w:rsidP="00502E80">
            <w:pPr>
              <w:spacing w:line="276" w:lineRule="auto"/>
              <w:jc w:val="center"/>
              <w:rPr>
                <w:rFonts w:cs="Arial"/>
                <w:szCs w:val="24"/>
                <w:lang w:eastAsia="en-GB"/>
              </w:rPr>
            </w:pPr>
          </w:p>
        </w:tc>
        <w:tc>
          <w:tcPr>
            <w:tcW w:w="1025" w:type="dxa"/>
            <w:tcBorders>
              <w:top w:val="single" w:sz="4" w:space="0" w:color="auto"/>
              <w:left w:val="single" w:sz="4" w:space="0" w:color="auto"/>
              <w:bottom w:val="single" w:sz="4" w:space="0" w:color="auto"/>
              <w:right w:val="single" w:sz="4" w:space="0" w:color="auto"/>
            </w:tcBorders>
          </w:tcPr>
          <w:p w14:paraId="07CB4CAF" w14:textId="77777777" w:rsidR="00FD222F" w:rsidRDefault="00FD222F" w:rsidP="00502E80">
            <w:pPr>
              <w:spacing w:line="276" w:lineRule="auto"/>
              <w:jc w:val="center"/>
              <w:rPr>
                <w:rFonts w:cs="Arial"/>
                <w:szCs w:val="24"/>
                <w:lang w:eastAsia="en-GB"/>
              </w:rPr>
            </w:pPr>
          </w:p>
        </w:tc>
        <w:tc>
          <w:tcPr>
            <w:tcW w:w="1025" w:type="dxa"/>
            <w:tcBorders>
              <w:top w:val="single" w:sz="4" w:space="0" w:color="auto"/>
              <w:left w:val="single" w:sz="4" w:space="0" w:color="auto"/>
              <w:bottom w:val="single" w:sz="4" w:space="0" w:color="auto"/>
              <w:right w:val="single" w:sz="4" w:space="0" w:color="auto"/>
            </w:tcBorders>
          </w:tcPr>
          <w:p w14:paraId="1D49945E" w14:textId="77777777" w:rsidR="00FD222F" w:rsidRDefault="00FD222F" w:rsidP="00502E80">
            <w:pPr>
              <w:spacing w:line="276" w:lineRule="auto"/>
              <w:jc w:val="center"/>
              <w:rPr>
                <w:rFonts w:cs="Arial"/>
                <w:szCs w:val="24"/>
                <w:lang w:eastAsia="en-GB"/>
              </w:rPr>
            </w:pPr>
          </w:p>
        </w:tc>
        <w:tc>
          <w:tcPr>
            <w:tcW w:w="989" w:type="dxa"/>
            <w:tcBorders>
              <w:top w:val="single" w:sz="4" w:space="0" w:color="auto"/>
              <w:left w:val="single" w:sz="4" w:space="0" w:color="auto"/>
              <w:bottom w:val="single" w:sz="4" w:space="0" w:color="auto"/>
              <w:right w:val="single" w:sz="4" w:space="0" w:color="auto"/>
            </w:tcBorders>
          </w:tcPr>
          <w:p w14:paraId="2ACD95DE" w14:textId="77777777" w:rsidR="00FD222F" w:rsidRDefault="00FD222F" w:rsidP="00502E80">
            <w:pPr>
              <w:spacing w:line="276" w:lineRule="auto"/>
              <w:jc w:val="center"/>
              <w:rPr>
                <w:rFonts w:cs="Arial"/>
                <w:szCs w:val="24"/>
                <w:lang w:eastAsia="en-GB"/>
              </w:rPr>
            </w:pPr>
          </w:p>
        </w:tc>
        <w:tc>
          <w:tcPr>
            <w:tcW w:w="993" w:type="dxa"/>
            <w:tcBorders>
              <w:top w:val="single" w:sz="4" w:space="0" w:color="auto"/>
              <w:left w:val="single" w:sz="4" w:space="0" w:color="auto"/>
              <w:bottom w:val="single" w:sz="4" w:space="0" w:color="auto"/>
              <w:right w:val="single" w:sz="4" w:space="0" w:color="auto"/>
            </w:tcBorders>
          </w:tcPr>
          <w:p w14:paraId="2BFB3693"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5F695F78"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68807607"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233CD8EA" w14:textId="77777777" w:rsidR="00FD222F" w:rsidRDefault="00FD222F" w:rsidP="00502E80">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705A51D6" w14:textId="77777777" w:rsidR="00FD222F" w:rsidRDefault="00FD222F" w:rsidP="00502E80">
            <w:pPr>
              <w:spacing w:line="276" w:lineRule="auto"/>
              <w:jc w:val="center"/>
              <w:rPr>
                <w:rFonts w:cs="Arial"/>
                <w:szCs w:val="24"/>
                <w:lang w:eastAsia="en-GB"/>
              </w:rPr>
            </w:pPr>
          </w:p>
        </w:tc>
      </w:tr>
    </w:tbl>
    <w:p w14:paraId="7C3D7925" w14:textId="77777777" w:rsidR="00FD222F" w:rsidRDefault="00FD222F" w:rsidP="00FD222F">
      <w:pPr>
        <w:rPr>
          <w:rFonts w:cs="Arial"/>
          <w:szCs w:val="24"/>
        </w:rPr>
      </w:pPr>
    </w:p>
    <w:p w14:paraId="5D5D73AE" w14:textId="77777777" w:rsidR="00FD222F" w:rsidRPr="007B367A" w:rsidRDefault="00FD222F" w:rsidP="003C6261">
      <w:pPr>
        <w:rPr>
          <w:rFonts w:cs="Arial"/>
          <w:szCs w:val="24"/>
        </w:rPr>
      </w:pPr>
    </w:p>
    <w:p w14:paraId="652BC222" w14:textId="77777777" w:rsidR="004D4C73" w:rsidRDefault="004D4C73" w:rsidP="004D4C73"/>
    <w:p w14:paraId="5AC39014" w14:textId="77777777" w:rsidR="00EF47E6" w:rsidRPr="007B367A" w:rsidRDefault="00EF47E6" w:rsidP="004D4C73">
      <w:pPr>
        <w:rPr>
          <w:rFonts w:cs="Arial"/>
          <w:szCs w:val="24"/>
        </w:rPr>
      </w:pPr>
    </w:p>
    <w:p w14:paraId="1B7B4787" w14:textId="77777777" w:rsidR="00EF47E6" w:rsidRPr="007B367A" w:rsidRDefault="00EF47E6" w:rsidP="00A77E6C">
      <w:pPr>
        <w:rPr>
          <w:rFonts w:cs="Arial"/>
          <w:szCs w:val="24"/>
        </w:rPr>
        <w:sectPr w:rsidR="00EF47E6" w:rsidRPr="007B367A" w:rsidSect="00A521C3">
          <w:pgSz w:w="16838" w:h="11906" w:orient="landscape"/>
          <w:pgMar w:top="1440" w:right="1440" w:bottom="1418" w:left="1134" w:header="709" w:footer="709" w:gutter="0"/>
          <w:cols w:space="708"/>
          <w:docGrid w:linePitch="360"/>
        </w:sectPr>
      </w:pPr>
    </w:p>
    <w:p w14:paraId="6373CDF9" w14:textId="77777777" w:rsidR="00EF47E6" w:rsidRPr="007B367A" w:rsidRDefault="00EF47E6" w:rsidP="00A77E6C">
      <w:pPr>
        <w:rPr>
          <w:rFonts w:cs="Arial"/>
          <w:szCs w:val="24"/>
        </w:rPr>
      </w:pPr>
      <w:r w:rsidRPr="007B367A">
        <w:rPr>
          <w:rFonts w:cs="Arial"/>
          <w:szCs w:val="24"/>
        </w:rPr>
        <w:t>Acronyms used within this report:</w:t>
      </w:r>
    </w:p>
    <w:p w14:paraId="6CB1B1AE" w14:textId="77777777" w:rsidR="00EF47E6" w:rsidRPr="007B367A" w:rsidRDefault="00EF47E6" w:rsidP="00A77E6C">
      <w:pPr>
        <w:rPr>
          <w:rFonts w:cs="Arial"/>
          <w:szCs w:val="24"/>
        </w:rPr>
      </w:pPr>
    </w:p>
    <w:tbl>
      <w:tblPr>
        <w:tblStyle w:val="TableGrid"/>
        <w:tblW w:w="0" w:type="auto"/>
        <w:tblInd w:w="730" w:type="dxa"/>
        <w:tblLook w:val="04A0" w:firstRow="1" w:lastRow="0" w:firstColumn="1" w:lastColumn="0" w:noHBand="0" w:noVBand="1"/>
      </w:tblPr>
      <w:tblGrid>
        <w:gridCol w:w="976"/>
        <w:gridCol w:w="2977"/>
        <w:gridCol w:w="1043"/>
        <w:gridCol w:w="2976"/>
      </w:tblGrid>
      <w:tr w:rsidR="00C86F8C" w:rsidRPr="007B367A" w14:paraId="7CF52AB2" w14:textId="77777777" w:rsidTr="00F31797">
        <w:tc>
          <w:tcPr>
            <w:tcW w:w="976" w:type="dxa"/>
          </w:tcPr>
          <w:p w14:paraId="77FA5373" w14:textId="43F9DEE6" w:rsidR="00C86F8C" w:rsidRPr="007B367A" w:rsidRDefault="00C86F8C" w:rsidP="00C86F8C">
            <w:pPr>
              <w:pStyle w:val="Heading3"/>
              <w:outlineLvl w:val="2"/>
              <w:rPr>
                <w:rFonts w:cs="Arial"/>
                <w:szCs w:val="24"/>
              </w:rPr>
            </w:pPr>
            <w:r>
              <w:rPr>
                <w:rFonts w:cs="Arial"/>
                <w:szCs w:val="24"/>
              </w:rPr>
              <w:t>AA</w:t>
            </w:r>
          </w:p>
        </w:tc>
        <w:tc>
          <w:tcPr>
            <w:tcW w:w="2977" w:type="dxa"/>
          </w:tcPr>
          <w:p w14:paraId="59604AB4" w14:textId="77777777" w:rsidR="00C86F8C" w:rsidRPr="007B367A" w:rsidRDefault="00C86F8C" w:rsidP="00C86F8C">
            <w:pPr>
              <w:pStyle w:val="Heading3"/>
              <w:outlineLvl w:val="2"/>
              <w:rPr>
                <w:rFonts w:cs="Arial"/>
                <w:szCs w:val="24"/>
              </w:rPr>
            </w:pPr>
            <w:r>
              <w:rPr>
                <w:rFonts w:cs="Arial"/>
                <w:szCs w:val="24"/>
              </w:rPr>
              <w:t>Annual Allowance</w:t>
            </w:r>
          </w:p>
        </w:tc>
        <w:tc>
          <w:tcPr>
            <w:tcW w:w="1043" w:type="dxa"/>
          </w:tcPr>
          <w:p w14:paraId="5E1EB2D5" w14:textId="6E910EC8" w:rsidR="00C86F8C" w:rsidRPr="007B367A" w:rsidRDefault="00C86F8C" w:rsidP="00C86F8C">
            <w:pPr>
              <w:pStyle w:val="Heading3"/>
              <w:outlineLvl w:val="2"/>
              <w:rPr>
                <w:rFonts w:cs="Arial"/>
                <w:szCs w:val="24"/>
              </w:rPr>
            </w:pPr>
            <w:r>
              <w:rPr>
                <w:rFonts w:cs="Arial"/>
                <w:szCs w:val="24"/>
              </w:rPr>
              <w:t>ARC</w:t>
            </w:r>
          </w:p>
        </w:tc>
        <w:tc>
          <w:tcPr>
            <w:tcW w:w="2976" w:type="dxa"/>
          </w:tcPr>
          <w:p w14:paraId="5ABF6E3E" w14:textId="628A893F" w:rsidR="00C86F8C" w:rsidRPr="007B367A" w:rsidRDefault="00C86F8C" w:rsidP="00C86F8C">
            <w:pPr>
              <w:pStyle w:val="Heading3"/>
              <w:outlineLvl w:val="2"/>
              <w:rPr>
                <w:rFonts w:cs="Arial"/>
                <w:szCs w:val="24"/>
              </w:rPr>
            </w:pPr>
            <w:r>
              <w:rPr>
                <w:rFonts w:cs="Arial"/>
                <w:szCs w:val="24"/>
              </w:rPr>
              <w:t>Audit and Risk Committee</w:t>
            </w:r>
          </w:p>
        </w:tc>
      </w:tr>
      <w:tr w:rsidR="00C86F8C" w:rsidRPr="007B367A" w14:paraId="18B27625" w14:textId="77777777" w:rsidTr="00F31797">
        <w:tc>
          <w:tcPr>
            <w:tcW w:w="976" w:type="dxa"/>
          </w:tcPr>
          <w:p w14:paraId="4EB83B4E" w14:textId="7C6D6D4A" w:rsidR="00C86F8C" w:rsidRPr="007B367A" w:rsidRDefault="00C86F8C" w:rsidP="00C86F8C">
            <w:pPr>
              <w:pStyle w:val="Heading3"/>
              <w:outlineLvl w:val="2"/>
              <w:rPr>
                <w:rFonts w:cs="Arial"/>
                <w:szCs w:val="24"/>
              </w:rPr>
            </w:pPr>
            <w:r>
              <w:rPr>
                <w:rFonts w:cs="Arial"/>
                <w:szCs w:val="24"/>
              </w:rPr>
              <w:t>BA</w:t>
            </w:r>
          </w:p>
        </w:tc>
        <w:tc>
          <w:tcPr>
            <w:tcW w:w="2977" w:type="dxa"/>
          </w:tcPr>
          <w:p w14:paraId="0CC7FAE7" w14:textId="570D2001" w:rsidR="00C86F8C" w:rsidRPr="007B367A" w:rsidRDefault="00C86F8C" w:rsidP="00C86F8C">
            <w:pPr>
              <w:pStyle w:val="Heading3"/>
              <w:outlineLvl w:val="2"/>
              <w:rPr>
                <w:rFonts w:cs="Arial"/>
                <w:szCs w:val="24"/>
              </w:rPr>
            </w:pPr>
            <w:r>
              <w:rPr>
                <w:rFonts w:cs="Arial"/>
                <w:szCs w:val="24"/>
              </w:rPr>
              <w:t>Business Analyst</w:t>
            </w:r>
          </w:p>
        </w:tc>
        <w:tc>
          <w:tcPr>
            <w:tcW w:w="1043" w:type="dxa"/>
          </w:tcPr>
          <w:p w14:paraId="6EF1220B" w14:textId="6D615D9E" w:rsidR="00C86F8C" w:rsidRPr="007B367A" w:rsidRDefault="00C86F8C" w:rsidP="00C86F8C">
            <w:pPr>
              <w:pStyle w:val="Heading3"/>
              <w:outlineLvl w:val="2"/>
              <w:rPr>
                <w:rFonts w:cs="Arial"/>
                <w:szCs w:val="24"/>
              </w:rPr>
            </w:pPr>
            <w:r w:rsidRPr="007B367A">
              <w:rPr>
                <w:rFonts w:cs="Arial"/>
                <w:szCs w:val="24"/>
              </w:rPr>
              <w:t>BAU</w:t>
            </w:r>
          </w:p>
        </w:tc>
        <w:tc>
          <w:tcPr>
            <w:tcW w:w="2976" w:type="dxa"/>
          </w:tcPr>
          <w:p w14:paraId="33B3EDB1" w14:textId="56263E28" w:rsidR="00C86F8C" w:rsidRPr="007B367A" w:rsidRDefault="00C86F8C" w:rsidP="00C86F8C">
            <w:pPr>
              <w:pStyle w:val="Heading3"/>
              <w:outlineLvl w:val="2"/>
              <w:rPr>
                <w:rFonts w:cs="Arial"/>
                <w:szCs w:val="24"/>
              </w:rPr>
            </w:pPr>
            <w:r w:rsidRPr="007B367A">
              <w:rPr>
                <w:rFonts w:cs="Arial"/>
                <w:szCs w:val="24"/>
              </w:rPr>
              <w:t>Business as Usual</w:t>
            </w:r>
          </w:p>
        </w:tc>
      </w:tr>
      <w:tr w:rsidR="00C86F8C" w:rsidRPr="007B367A" w14:paraId="3AECA2B5" w14:textId="77777777" w:rsidTr="00F31797">
        <w:tc>
          <w:tcPr>
            <w:tcW w:w="976" w:type="dxa"/>
          </w:tcPr>
          <w:p w14:paraId="6473D743" w14:textId="51F322C2" w:rsidR="00C86F8C" w:rsidRPr="007B367A" w:rsidRDefault="00EB5E28" w:rsidP="00C86F8C">
            <w:pPr>
              <w:pStyle w:val="Heading3"/>
              <w:outlineLvl w:val="2"/>
              <w:rPr>
                <w:rFonts w:cs="Arial"/>
                <w:szCs w:val="24"/>
              </w:rPr>
            </w:pPr>
            <w:r>
              <w:rPr>
                <w:rFonts w:cs="Arial"/>
                <w:szCs w:val="24"/>
              </w:rPr>
              <w:t>CCN</w:t>
            </w:r>
          </w:p>
        </w:tc>
        <w:tc>
          <w:tcPr>
            <w:tcW w:w="2977" w:type="dxa"/>
          </w:tcPr>
          <w:p w14:paraId="4B16150F" w14:textId="3D9F160F" w:rsidR="00C86F8C" w:rsidRPr="007B367A" w:rsidRDefault="00EB5E28" w:rsidP="00C86F8C">
            <w:pPr>
              <w:pStyle w:val="Heading3"/>
              <w:outlineLvl w:val="2"/>
              <w:rPr>
                <w:rFonts w:cs="Arial"/>
                <w:szCs w:val="24"/>
              </w:rPr>
            </w:pPr>
            <w:r>
              <w:rPr>
                <w:rFonts w:cs="Arial"/>
                <w:szCs w:val="24"/>
              </w:rPr>
              <w:t>Contract Change Notice</w:t>
            </w:r>
          </w:p>
        </w:tc>
        <w:tc>
          <w:tcPr>
            <w:tcW w:w="1043" w:type="dxa"/>
          </w:tcPr>
          <w:p w14:paraId="2932B39F" w14:textId="4F94D8E0" w:rsidR="00C86F8C" w:rsidRPr="007B367A" w:rsidRDefault="00EB5E28" w:rsidP="00EB5E28">
            <w:pPr>
              <w:pStyle w:val="Heading3"/>
              <w:outlineLvl w:val="2"/>
              <w:rPr>
                <w:rFonts w:cs="Arial"/>
                <w:szCs w:val="24"/>
              </w:rPr>
            </w:pPr>
            <w:r>
              <w:rPr>
                <w:rFonts w:cs="Arial"/>
                <w:szCs w:val="24"/>
              </w:rPr>
              <w:t xml:space="preserve">CETV </w:t>
            </w:r>
          </w:p>
        </w:tc>
        <w:tc>
          <w:tcPr>
            <w:tcW w:w="2976" w:type="dxa"/>
          </w:tcPr>
          <w:p w14:paraId="1921A611" w14:textId="28815F0C" w:rsidR="00C86F8C" w:rsidRPr="007B367A" w:rsidRDefault="00EB5E28" w:rsidP="00EB5E28">
            <w:pPr>
              <w:pStyle w:val="Heading3"/>
              <w:outlineLvl w:val="2"/>
              <w:rPr>
                <w:rFonts w:cs="Arial"/>
                <w:szCs w:val="24"/>
              </w:rPr>
            </w:pPr>
            <w:r>
              <w:rPr>
                <w:rFonts w:cs="Arial"/>
                <w:szCs w:val="24"/>
              </w:rPr>
              <w:t xml:space="preserve">Cash Equivalent Transfer Value </w:t>
            </w:r>
          </w:p>
        </w:tc>
      </w:tr>
      <w:tr w:rsidR="00C86F8C" w:rsidRPr="007B367A" w14:paraId="49232D52" w14:textId="77777777" w:rsidTr="00F31797">
        <w:tc>
          <w:tcPr>
            <w:tcW w:w="976" w:type="dxa"/>
          </w:tcPr>
          <w:p w14:paraId="232ACD00" w14:textId="741F019F" w:rsidR="00C86F8C" w:rsidRPr="007B367A" w:rsidRDefault="00C86F8C" w:rsidP="00C86F8C">
            <w:pPr>
              <w:pStyle w:val="Heading3"/>
              <w:outlineLvl w:val="2"/>
              <w:rPr>
                <w:rFonts w:cs="Arial"/>
                <w:szCs w:val="24"/>
              </w:rPr>
            </w:pPr>
            <w:r>
              <w:rPr>
                <w:rFonts w:cs="Arial"/>
                <w:szCs w:val="24"/>
              </w:rPr>
              <w:t>CRA</w:t>
            </w:r>
          </w:p>
        </w:tc>
        <w:tc>
          <w:tcPr>
            <w:tcW w:w="2977" w:type="dxa"/>
          </w:tcPr>
          <w:p w14:paraId="3C074B46" w14:textId="6B290047" w:rsidR="00C86F8C" w:rsidRPr="007B367A" w:rsidRDefault="00C86F8C" w:rsidP="00C86F8C">
            <w:pPr>
              <w:pStyle w:val="Heading3"/>
              <w:outlineLvl w:val="2"/>
              <w:rPr>
                <w:rFonts w:cs="Arial"/>
                <w:szCs w:val="24"/>
              </w:rPr>
            </w:pPr>
            <w:r>
              <w:rPr>
                <w:rFonts w:cs="Arial"/>
                <w:szCs w:val="24"/>
              </w:rPr>
              <w:t>Contract Reconciliation Activity</w:t>
            </w:r>
          </w:p>
        </w:tc>
        <w:tc>
          <w:tcPr>
            <w:tcW w:w="1043" w:type="dxa"/>
          </w:tcPr>
          <w:p w14:paraId="7EDF80D6" w14:textId="27FEDA23" w:rsidR="00C86F8C" w:rsidRPr="007B367A" w:rsidRDefault="00C86F8C" w:rsidP="00C86F8C">
            <w:pPr>
              <w:pStyle w:val="Heading3"/>
              <w:outlineLvl w:val="2"/>
              <w:rPr>
                <w:rFonts w:cs="Arial"/>
                <w:szCs w:val="24"/>
              </w:rPr>
            </w:pPr>
            <w:r>
              <w:rPr>
                <w:rFonts w:cs="Arial"/>
                <w:szCs w:val="24"/>
              </w:rPr>
              <w:t>EOYC</w:t>
            </w:r>
          </w:p>
        </w:tc>
        <w:tc>
          <w:tcPr>
            <w:tcW w:w="2976" w:type="dxa"/>
          </w:tcPr>
          <w:p w14:paraId="5F5E8BB9" w14:textId="4EF41261" w:rsidR="00C86F8C" w:rsidRPr="007B367A" w:rsidRDefault="00C86F8C" w:rsidP="00C86F8C">
            <w:pPr>
              <w:pStyle w:val="Heading3"/>
              <w:outlineLvl w:val="2"/>
              <w:rPr>
                <w:rFonts w:cs="Arial"/>
                <w:szCs w:val="24"/>
              </w:rPr>
            </w:pPr>
            <w:r>
              <w:rPr>
                <w:rFonts w:cs="Arial"/>
                <w:szCs w:val="24"/>
              </w:rPr>
              <w:t>End of Year Certificate</w:t>
            </w:r>
          </w:p>
        </w:tc>
      </w:tr>
      <w:tr w:rsidR="004B402A" w:rsidRPr="007B367A" w14:paraId="15A39C10" w14:textId="77777777" w:rsidTr="00F31797">
        <w:tc>
          <w:tcPr>
            <w:tcW w:w="976" w:type="dxa"/>
          </w:tcPr>
          <w:p w14:paraId="658E78F4" w14:textId="4DA66455" w:rsidR="004B402A" w:rsidRPr="007B367A" w:rsidRDefault="004B402A" w:rsidP="004B402A">
            <w:pPr>
              <w:pStyle w:val="Heading3"/>
              <w:outlineLvl w:val="2"/>
              <w:rPr>
                <w:rFonts w:cs="Arial"/>
                <w:szCs w:val="24"/>
              </w:rPr>
            </w:pPr>
            <w:r>
              <w:rPr>
                <w:rFonts w:cs="Arial"/>
                <w:szCs w:val="24"/>
              </w:rPr>
              <w:t>FER</w:t>
            </w:r>
          </w:p>
        </w:tc>
        <w:tc>
          <w:tcPr>
            <w:tcW w:w="2977" w:type="dxa"/>
          </w:tcPr>
          <w:p w14:paraId="25C32480" w14:textId="6608DC5C" w:rsidR="004B402A" w:rsidRPr="007B367A" w:rsidRDefault="004B402A" w:rsidP="004B402A">
            <w:pPr>
              <w:pStyle w:val="Heading3"/>
              <w:outlineLvl w:val="2"/>
              <w:rPr>
                <w:rFonts w:cs="Arial"/>
                <w:szCs w:val="24"/>
              </w:rPr>
            </w:pPr>
            <w:r>
              <w:rPr>
                <w:rFonts w:cs="Arial"/>
                <w:szCs w:val="24"/>
              </w:rPr>
              <w:t>Forecast Evaluation Report</w:t>
            </w:r>
          </w:p>
        </w:tc>
        <w:tc>
          <w:tcPr>
            <w:tcW w:w="1043" w:type="dxa"/>
          </w:tcPr>
          <w:p w14:paraId="4A5BFFA4" w14:textId="0EEB7FF3" w:rsidR="004B402A" w:rsidRPr="007B367A" w:rsidRDefault="004B402A" w:rsidP="004B402A">
            <w:pPr>
              <w:pStyle w:val="Heading3"/>
              <w:outlineLvl w:val="2"/>
              <w:rPr>
                <w:rFonts w:cs="Arial"/>
                <w:szCs w:val="24"/>
              </w:rPr>
            </w:pPr>
            <w:r w:rsidRPr="007B367A">
              <w:rPr>
                <w:rFonts w:cs="Arial"/>
                <w:szCs w:val="24"/>
              </w:rPr>
              <w:t>GAD</w:t>
            </w:r>
          </w:p>
        </w:tc>
        <w:tc>
          <w:tcPr>
            <w:tcW w:w="2976" w:type="dxa"/>
          </w:tcPr>
          <w:p w14:paraId="466B18CF" w14:textId="7A40775C" w:rsidR="004B402A" w:rsidRPr="007B367A" w:rsidRDefault="004B402A" w:rsidP="004B402A">
            <w:pPr>
              <w:pStyle w:val="Heading3"/>
              <w:outlineLvl w:val="2"/>
              <w:rPr>
                <w:rFonts w:cs="Arial"/>
                <w:szCs w:val="24"/>
              </w:rPr>
            </w:pPr>
            <w:r w:rsidRPr="007B367A">
              <w:rPr>
                <w:rFonts w:cs="Arial"/>
                <w:szCs w:val="24"/>
              </w:rPr>
              <w:t>Government Actuary’s Department</w:t>
            </w:r>
            <w:r>
              <w:rPr>
                <w:rFonts w:cs="Arial"/>
                <w:szCs w:val="24"/>
              </w:rPr>
              <w:t xml:space="preserve"> </w:t>
            </w:r>
          </w:p>
        </w:tc>
      </w:tr>
      <w:tr w:rsidR="004B402A" w:rsidRPr="007B367A" w14:paraId="2E49A3FF" w14:textId="77777777" w:rsidTr="00F31797">
        <w:tc>
          <w:tcPr>
            <w:tcW w:w="976" w:type="dxa"/>
          </w:tcPr>
          <w:p w14:paraId="40A6C3A4" w14:textId="2A8B11FA" w:rsidR="004B402A" w:rsidRPr="007B367A" w:rsidRDefault="00EB5E28" w:rsidP="00EB5E28">
            <w:pPr>
              <w:pStyle w:val="Heading3"/>
              <w:outlineLvl w:val="2"/>
              <w:rPr>
                <w:rFonts w:cs="Arial"/>
                <w:szCs w:val="24"/>
              </w:rPr>
            </w:pPr>
            <w:r>
              <w:rPr>
                <w:rFonts w:cs="Arial"/>
                <w:szCs w:val="24"/>
              </w:rPr>
              <w:t>GDPR</w:t>
            </w:r>
          </w:p>
        </w:tc>
        <w:tc>
          <w:tcPr>
            <w:tcW w:w="2977" w:type="dxa"/>
          </w:tcPr>
          <w:p w14:paraId="58AC3C66" w14:textId="2C53B18E" w:rsidR="004B402A" w:rsidRPr="007B367A" w:rsidRDefault="00EB5E28" w:rsidP="00EB5E28">
            <w:pPr>
              <w:pStyle w:val="Heading3"/>
              <w:outlineLvl w:val="2"/>
              <w:rPr>
                <w:rFonts w:cs="Arial"/>
                <w:szCs w:val="24"/>
              </w:rPr>
            </w:pPr>
            <w:r>
              <w:rPr>
                <w:rFonts w:cs="Arial"/>
                <w:szCs w:val="24"/>
              </w:rPr>
              <w:t xml:space="preserve">General Data Protection Regulations </w:t>
            </w:r>
          </w:p>
        </w:tc>
        <w:tc>
          <w:tcPr>
            <w:tcW w:w="1043" w:type="dxa"/>
          </w:tcPr>
          <w:p w14:paraId="6295FC61" w14:textId="43DC1FC7" w:rsidR="004B402A" w:rsidRPr="007B367A" w:rsidRDefault="00EB5E28" w:rsidP="00EB5E28">
            <w:pPr>
              <w:pStyle w:val="Heading3"/>
              <w:outlineLvl w:val="2"/>
              <w:rPr>
                <w:rFonts w:cs="Arial"/>
                <w:szCs w:val="24"/>
              </w:rPr>
            </w:pPr>
            <w:r>
              <w:rPr>
                <w:rFonts w:cs="Arial"/>
                <w:szCs w:val="24"/>
              </w:rPr>
              <w:t xml:space="preserve">GIA </w:t>
            </w:r>
          </w:p>
        </w:tc>
        <w:tc>
          <w:tcPr>
            <w:tcW w:w="2976" w:type="dxa"/>
          </w:tcPr>
          <w:p w14:paraId="2F000196" w14:textId="60D2377E" w:rsidR="004B402A" w:rsidRPr="007B367A" w:rsidRDefault="00EB5E28" w:rsidP="004B402A">
            <w:pPr>
              <w:pStyle w:val="Heading3"/>
              <w:outlineLvl w:val="2"/>
              <w:rPr>
                <w:rFonts w:cs="Arial"/>
                <w:szCs w:val="24"/>
              </w:rPr>
            </w:pPr>
            <w:r>
              <w:rPr>
                <w:rFonts w:cs="Arial"/>
                <w:szCs w:val="24"/>
              </w:rPr>
              <w:t>Group Internal Audit</w:t>
            </w:r>
          </w:p>
        </w:tc>
      </w:tr>
      <w:tr w:rsidR="004B402A" w:rsidRPr="007B367A" w14:paraId="2C8A6435" w14:textId="77777777" w:rsidTr="00F31797">
        <w:tc>
          <w:tcPr>
            <w:tcW w:w="976" w:type="dxa"/>
          </w:tcPr>
          <w:p w14:paraId="1DA33F04" w14:textId="0F8647E6" w:rsidR="004B402A" w:rsidRDefault="004B402A" w:rsidP="004B402A">
            <w:pPr>
              <w:pStyle w:val="Heading3"/>
              <w:outlineLvl w:val="2"/>
              <w:rPr>
                <w:rFonts w:cs="Arial"/>
                <w:szCs w:val="24"/>
              </w:rPr>
            </w:pPr>
            <w:r>
              <w:rPr>
                <w:rFonts w:cs="Arial"/>
                <w:szCs w:val="24"/>
              </w:rPr>
              <w:t>GMP</w:t>
            </w:r>
          </w:p>
        </w:tc>
        <w:tc>
          <w:tcPr>
            <w:tcW w:w="2977" w:type="dxa"/>
          </w:tcPr>
          <w:p w14:paraId="1AB53F11" w14:textId="62600353" w:rsidR="004B402A" w:rsidRDefault="004B402A" w:rsidP="004B402A">
            <w:pPr>
              <w:pStyle w:val="Heading3"/>
              <w:outlineLvl w:val="2"/>
              <w:rPr>
                <w:rFonts w:cs="Arial"/>
                <w:szCs w:val="24"/>
              </w:rPr>
            </w:pPr>
            <w:r>
              <w:rPr>
                <w:rFonts w:cs="Arial"/>
                <w:szCs w:val="24"/>
              </w:rPr>
              <w:t>Guaranteed Minimum Pension</w:t>
            </w:r>
          </w:p>
        </w:tc>
        <w:tc>
          <w:tcPr>
            <w:tcW w:w="1043" w:type="dxa"/>
          </w:tcPr>
          <w:p w14:paraId="36413503" w14:textId="0565C25E" w:rsidR="004B402A" w:rsidRPr="007B367A" w:rsidRDefault="004B402A" w:rsidP="004B402A">
            <w:pPr>
              <w:pStyle w:val="Heading3"/>
              <w:outlineLvl w:val="2"/>
              <w:rPr>
                <w:rFonts w:cs="Arial"/>
                <w:szCs w:val="24"/>
              </w:rPr>
            </w:pPr>
            <w:r>
              <w:rPr>
                <w:rFonts w:cs="Arial"/>
                <w:szCs w:val="24"/>
              </w:rPr>
              <w:t>HMRC</w:t>
            </w:r>
          </w:p>
        </w:tc>
        <w:tc>
          <w:tcPr>
            <w:tcW w:w="2976" w:type="dxa"/>
          </w:tcPr>
          <w:p w14:paraId="7E9B72A7" w14:textId="61E0FE3D" w:rsidR="004B402A" w:rsidRPr="007B367A" w:rsidRDefault="004B402A" w:rsidP="004B402A">
            <w:pPr>
              <w:pStyle w:val="Heading3"/>
              <w:outlineLvl w:val="2"/>
              <w:rPr>
                <w:rFonts w:cs="Arial"/>
                <w:szCs w:val="24"/>
              </w:rPr>
            </w:pPr>
            <w:r>
              <w:rPr>
                <w:rFonts w:cs="Arial"/>
                <w:szCs w:val="24"/>
              </w:rPr>
              <w:t>Her Majesty’s Revenue and Customs</w:t>
            </w:r>
          </w:p>
        </w:tc>
      </w:tr>
      <w:tr w:rsidR="004B402A" w:rsidRPr="007B367A" w14:paraId="7BBF9348" w14:textId="77777777" w:rsidTr="00F31797">
        <w:tc>
          <w:tcPr>
            <w:tcW w:w="976" w:type="dxa"/>
          </w:tcPr>
          <w:p w14:paraId="0278248C" w14:textId="79925140" w:rsidR="004B402A" w:rsidRDefault="00EB5E28" w:rsidP="004B402A">
            <w:pPr>
              <w:pStyle w:val="Heading3"/>
              <w:outlineLvl w:val="2"/>
              <w:rPr>
                <w:rFonts w:cs="Arial"/>
                <w:szCs w:val="24"/>
              </w:rPr>
            </w:pPr>
            <w:r w:rsidRPr="007B367A">
              <w:rPr>
                <w:rFonts w:cs="Arial"/>
                <w:szCs w:val="24"/>
              </w:rPr>
              <w:t>MCR</w:t>
            </w:r>
          </w:p>
        </w:tc>
        <w:tc>
          <w:tcPr>
            <w:tcW w:w="2977" w:type="dxa"/>
          </w:tcPr>
          <w:p w14:paraId="561EBDC3" w14:textId="65488327" w:rsidR="004B402A" w:rsidRDefault="00EB5E28" w:rsidP="004B402A">
            <w:pPr>
              <w:pStyle w:val="Heading3"/>
              <w:outlineLvl w:val="2"/>
              <w:rPr>
                <w:rFonts w:cs="Arial"/>
                <w:szCs w:val="24"/>
              </w:rPr>
            </w:pPr>
            <w:r w:rsidRPr="007B367A">
              <w:rPr>
                <w:rFonts w:cs="Arial"/>
                <w:szCs w:val="24"/>
              </w:rPr>
              <w:t>Monthly Contribution Reconciliation</w:t>
            </w:r>
          </w:p>
        </w:tc>
        <w:tc>
          <w:tcPr>
            <w:tcW w:w="1043" w:type="dxa"/>
          </w:tcPr>
          <w:p w14:paraId="7462D6CD" w14:textId="57C55A5E" w:rsidR="004B402A" w:rsidRDefault="00EB5E28" w:rsidP="00EB5E28">
            <w:pPr>
              <w:pStyle w:val="Heading3"/>
              <w:outlineLvl w:val="2"/>
              <w:rPr>
                <w:rFonts w:cs="Arial"/>
                <w:szCs w:val="24"/>
              </w:rPr>
            </w:pPr>
            <w:r>
              <w:rPr>
                <w:rFonts w:cs="Arial"/>
                <w:szCs w:val="24"/>
              </w:rPr>
              <w:t>MDC</w:t>
            </w:r>
            <w:r w:rsidRPr="007B367A">
              <w:rPr>
                <w:rFonts w:cs="Arial"/>
                <w:szCs w:val="24"/>
              </w:rPr>
              <w:t xml:space="preserve"> </w:t>
            </w:r>
          </w:p>
        </w:tc>
        <w:tc>
          <w:tcPr>
            <w:tcW w:w="2976" w:type="dxa"/>
          </w:tcPr>
          <w:p w14:paraId="0ED77C13" w14:textId="604614DC" w:rsidR="004B402A" w:rsidRDefault="00EB5E28" w:rsidP="00EB5E28">
            <w:pPr>
              <w:pStyle w:val="Heading3"/>
              <w:outlineLvl w:val="2"/>
              <w:rPr>
                <w:rFonts w:cs="Arial"/>
                <w:szCs w:val="24"/>
              </w:rPr>
            </w:pPr>
            <w:r>
              <w:rPr>
                <w:rFonts w:cs="Arial"/>
                <w:szCs w:val="24"/>
              </w:rPr>
              <w:t>Monthly Data Collection</w:t>
            </w:r>
            <w:r w:rsidRPr="007B367A">
              <w:rPr>
                <w:rFonts w:cs="Arial"/>
                <w:szCs w:val="24"/>
              </w:rPr>
              <w:t xml:space="preserve"> </w:t>
            </w:r>
          </w:p>
        </w:tc>
      </w:tr>
      <w:tr w:rsidR="004B402A" w:rsidRPr="007B367A" w14:paraId="6676DA00" w14:textId="77777777" w:rsidTr="00F31797">
        <w:tc>
          <w:tcPr>
            <w:tcW w:w="976" w:type="dxa"/>
          </w:tcPr>
          <w:p w14:paraId="4B41DABE" w14:textId="099DA576" w:rsidR="004B402A" w:rsidRDefault="004B402A" w:rsidP="004B402A">
            <w:pPr>
              <w:pStyle w:val="Heading3"/>
              <w:outlineLvl w:val="2"/>
              <w:rPr>
                <w:rFonts w:cs="Arial"/>
                <w:szCs w:val="24"/>
              </w:rPr>
            </w:pPr>
            <w:r w:rsidRPr="007B367A">
              <w:rPr>
                <w:rFonts w:cs="Arial"/>
                <w:szCs w:val="24"/>
              </w:rPr>
              <w:t>MPO</w:t>
            </w:r>
          </w:p>
        </w:tc>
        <w:tc>
          <w:tcPr>
            <w:tcW w:w="2977" w:type="dxa"/>
          </w:tcPr>
          <w:p w14:paraId="38718FF4" w14:textId="77C18546" w:rsidR="004B402A" w:rsidRDefault="004B402A" w:rsidP="004B402A">
            <w:pPr>
              <w:pStyle w:val="Heading3"/>
              <w:outlineLvl w:val="2"/>
              <w:rPr>
                <w:rFonts w:cs="Arial"/>
                <w:szCs w:val="24"/>
              </w:rPr>
            </w:pPr>
            <w:r w:rsidRPr="007B367A">
              <w:rPr>
                <w:rFonts w:cs="Arial"/>
                <w:szCs w:val="24"/>
              </w:rPr>
              <w:t>My Pension Online</w:t>
            </w:r>
          </w:p>
        </w:tc>
        <w:tc>
          <w:tcPr>
            <w:tcW w:w="1043" w:type="dxa"/>
          </w:tcPr>
          <w:p w14:paraId="77AC50D0" w14:textId="48C3B614" w:rsidR="004B402A" w:rsidRPr="007B367A" w:rsidRDefault="004B402A" w:rsidP="004B402A">
            <w:pPr>
              <w:pStyle w:val="Heading3"/>
              <w:outlineLvl w:val="2"/>
              <w:rPr>
                <w:rFonts w:cs="Arial"/>
                <w:szCs w:val="24"/>
              </w:rPr>
            </w:pPr>
            <w:r>
              <w:rPr>
                <w:rFonts w:cs="Arial"/>
                <w:szCs w:val="24"/>
              </w:rPr>
              <w:t>NAO</w:t>
            </w:r>
          </w:p>
        </w:tc>
        <w:tc>
          <w:tcPr>
            <w:tcW w:w="2976" w:type="dxa"/>
          </w:tcPr>
          <w:p w14:paraId="28A53F37" w14:textId="6BED4C86" w:rsidR="004B402A" w:rsidRPr="007B367A" w:rsidRDefault="004B402A" w:rsidP="004B402A">
            <w:pPr>
              <w:pStyle w:val="Heading3"/>
              <w:outlineLvl w:val="2"/>
              <w:rPr>
                <w:rFonts w:cs="Arial"/>
                <w:szCs w:val="24"/>
              </w:rPr>
            </w:pPr>
            <w:r>
              <w:rPr>
                <w:rFonts w:cs="Arial"/>
                <w:szCs w:val="24"/>
              </w:rPr>
              <w:t>National Audit Office</w:t>
            </w:r>
          </w:p>
        </w:tc>
      </w:tr>
      <w:tr w:rsidR="004B402A" w:rsidRPr="007B367A" w14:paraId="26F1DB39" w14:textId="77777777" w:rsidTr="00F31797">
        <w:tc>
          <w:tcPr>
            <w:tcW w:w="976" w:type="dxa"/>
          </w:tcPr>
          <w:p w14:paraId="3803DD50" w14:textId="60A6CE74" w:rsidR="004B402A" w:rsidRDefault="004B402A" w:rsidP="004B402A">
            <w:pPr>
              <w:pStyle w:val="Heading3"/>
              <w:outlineLvl w:val="2"/>
              <w:rPr>
                <w:rFonts w:cs="Arial"/>
                <w:szCs w:val="24"/>
              </w:rPr>
            </w:pPr>
            <w:r>
              <w:rPr>
                <w:rFonts w:cs="Arial"/>
                <w:szCs w:val="24"/>
              </w:rPr>
              <w:t>OBR</w:t>
            </w:r>
          </w:p>
        </w:tc>
        <w:tc>
          <w:tcPr>
            <w:tcW w:w="2977" w:type="dxa"/>
          </w:tcPr>
          <w:p w14:paraId="074E22E7" w14:textId="3ABC31FC" w:rsidR="004B402A" w:rsidRPr="007B367A" w:rsidRDefault="004B402A" w:rsidP="004B402A">
            <w:pPr>
              <w:pStyle w:val="Heading3"/>
              <w:outlineLvl w:val="2"/>
              <w:rPr>
                <w:rFonts w:cs="Arial"/>
                <w:szCs w:val="24"/>
              </w:rPr>
            </w:pPr>
            <w:r>
              <w:rPr>
                <w:rFonts w:cs="Arial"/>
                <w:szCs w:val="24"/>
              </w:rPr>
              <w:t>Office of Budgetary Responsibility</w:t>
            </w:r>
          </w:p>
        </w:tc>
        <w:tc>
          <w:tcPr>
            <w:tcW w:w="1043" w:type="dxa"/>
          </w:tcPr>
          <w:p w14:paraId="5B9DAD6A" w14:textId="4EA15F4B" w:rsidR="004B402A" w:rsidRDefault="004B402A" w:rsidP="004B402A">
            <w:pPr>
              <w:pStyle w:val="Heading3"/>
              <w:outlineLvl w:val="2"/>
              <w:rPr>
                <w:rFonts w:cs="Arial"/>
                <w:szCs w:val="24"/>
              </w:rPr>
            </w:pPr>
            <w:r>
              <w:rPr>
                <w:rFonts w:cs="Arial"/>
                <w:szCs w:val="24"/>
              </w:rPr>
              <w:t>PM</w:t>
            </w:r>
          </w:p>
        </w:tc>
        <w:tc>
          <w:tcPr>
            <w:tcW w:w="2976" w:type="dxa"/>
          </w:tcPr>
          <w:p w14:paraId="4B12AFDF" w14:textId="6922370D" w:rsidR="004B402A" w:rsidRDefault="004B402A" w:rsidP="004B402A">
            <w:pPr>
              <w:pStyle w:val="Heading3"/>
              <w:outlineLvl w:val="2"/>
              <w:rPr>
                <w:rFonts w:cs="Arial"/>
                <w:szCs w:val="24"/>
              </w:rPr>
            </w:pPr>
            <w:r>
              <w:rPr>
                <w:rFonts w:cs="Arial"/>
                <w:szCs w:val="24"/>
              </w:rPr>
              <w:t>Project Manager</w:t>
            </w:r>
          </w:p>
        </w:tc>
      </w:tr>
      <w:tr w:rsidR="004B402A" w:rsidRPr="007B367A" w14:paraId="6E749F2A" w14:textId="77777777" w:rsidTr="00F31797">
        <w:tc>
          <w:tcPr>
            <w:tcW w:w="976" w:type="dxa"/>
          </w:tcPr>
          <w:p w14:paraId="1B724E18" w14:textId="34D4E056" w:rsidR="004B402A" w:rsidRDefault="004B402A" w:rsidP="004B402A">
            <w:pPr>
              <w:pStyle w:val="Heading3"/>
              <w:outlineLvl w:val="2"/>
              <w:rPr>
                <w:rFonts w:cs="Arial"/>
                <w:szCs w:val="24"/>
              </w:rPr>
            </w:pPr>
            <w:r>
              <w:rPr>
                <w:rFonts w:cs="Arial"/>
                <w:szCs w:val="24"/>
              </w:rPr>
              <w:t>QSB</w:t>
            </w:r>
          </w:p>
        </w:tc>
        <w:tc>
          <w:tcPr>
            <w:tcW w:w="2977" w:type="dxa"/>
          </w:tcPr>
          <w:p w14:paraId="0B2AA558" w14:textId="646B075E" w:rsidR="004B402A" w:rsidRDefault="004B402A" w:rsidP="004B402A">
            <w:pPr>
              <w:pStyle w:val="Heading3"/>
              <w:outlineLvl w:val="2"/>
              <w:rPr>
                <w:rFonts w:cs="Arial"/>
                <w:szCs w:val="24"/>
              </w:rPr>
            </w:pPr>
            <w:r>
              <w:rPr>
                <w:rFonts w:cs="Arial"/>
                <w:szCs w:val="24"/>
              </w:rPr>
              <w:t>Quarterly Strategy Board</w:t>
            </w:r>
          </w:p>
        </w:tc>
        <w:tc>
          <w:tcPr>
            <w:tcW w:w="1043" w:type="dxa"/>
          </w:tcPr>
          <w:p w14:paraId="7E15E467" w14:textId="78B394D6" w:rsidR="004B402A" w:rsidRDefault="004B402A" w:rsidP="004B402A">
            <w:pPr>
              <w:pStyle w:val="Heading3"/>
              <w:outlineLvl w:val="2"/>
              <w:rPr>
                <w:rFonts w:cs="Arial"/>
                <w:szCs w:val="24"/>
              </w:rPr>
            </w:pPr>
            <w:r w:rsidRPr="007B367A">
              <w:rPr>
                <w:rFonts w:cs="Arial"/>
                <w:szCs w:val="24"/>
              </w:rPr>
              <w:t>RMH</w:t>
            </w:r>
          </w:p>
        </w:tc>
        <w:tc>
          <w:tcPr>
            <w:tcW w:w="2976" w:type="dxa"/>
          </w:tcPr>
          <w:p w14:paraId="28E82F8B" w14:textId="0868BADA" w:rsidR="004B402A" w:rsidRDefault="004B402A" w:rsidP="004B402A">
            <w:pPr>
              <w:pStyle w:val="Heading3"/>
              <w:outlineLvl w:val="2"/>
              <w:rPr>
                <w:rFonts w:cs="Arial"/>
                <w:szCs w:val="24"/>
              </w:rPr>
            </w:pPr>
            <w:r w:rsidRPr="007B367A">
              <w:rPr>
                <w:rFonts w:cs="Arial"/>
                <w:szCs w:val="24"/>
              </w:rPr>
              <w:t>Restricted, Managed, Hosted (secure)</w:t>
            </w:r>
          </w:p>
        </w:tc>
      </w:tr>
      <w:tr w:rsidR="004B402A" w:rsidRPr="007B367A" w14:paraId="59A7DE96" w14:textId="77777777" w:rsidTr="00F31797">
        <w:tc>
          <w:tcPr>
            <w:tcW w:w="976" w:type="dxa"/>
          </w:tcPr>
          <w:p w14:paraId="3F43EA59" w14:textId="599BE8DC" w:rsidR="004B402A" w:rsidRDefault="004B402A" w:rsidP="004B402A">
            <w:pPr>
              <w:pStyle w:val="Heading3"/>
              <w:outlineLvl w:val="2"/>
              <w:rPr>
                <w:rFonts w:cs="Arial"/>
                <w:szCs w:val="24"/>
              </w:rPr>
            </w:pPr>
            <w:r>
              <w:rPr>
                <w:rFonts w:cs="Arial"/>
                <w:szCs w:val="24"/>
              </w:rPr>
              <w:t>SAB</w:t>
            </w:r>
          </w:p>
        </w:tc>
        <w:tc>
          <w:tcPr>
            <w:tcW w:w="2977" w:type="dxa"/>
          </w:tcPr>
          <w:p w14:paraId="2B823B17" w14:textId="10BEE05D" w:rsidR="004B402A" w:rsidRDefault="004B402A" w:rsidP="004B402A">
            <w:pPr>
              <w:pStyle w:val="Heading3"/>
              <w:outlineLvl w:val="2"/>
              <w:rPr>
                <w:rFonts w:cs="Arial"/>
                <w:szCs w:val="24"/>
              </w:rPr>
            </w:pPr>
            <w:r>
              <w:rPr>
                <w:rFonts w:cs="Arial"/>
                <w:szCs w:val="24"/>
              </w:rPr>
              <w:t>Scheme Advisory Board</w:t>
            </w:r>
          </w:p>
        </w:tc>
        <w:tc>
          <w:tcPr>
            <w:tcW w:w="1043" w:type="dxa"/>
          </w:tcPr>
          <w:p w14:paraId="3E21A444" w14:textId="6B371C56" w:rsidR="004B402A" w:rsidRDefault="004B402A" w:rsidP="004B402A">
            <w:pPr>
              <w:pStyle w:val="Heading3"/>
              <w:outlineLvl w:val="2"/>
              <w:rPr>
                <w:rFonts w:cs="Arial"/>
                <w:szCs w:val="24"/>
              </w:rPr>
            </w:pPr>
            <w:r>
              <w:rPr>
                <w:rFonts w:cs="Arial"/>
                <w:szCs w:val="24"/>
              </w:rPr>
              <w:t>SLA</w:t>
            </w:r>
          </w:p>
        </w:tc>
        <w:tc>
          <w:tcPr>
            <w:tcW w:w="2976" w:type="dxa"/>
          </w:tcPr>
          <w:p w14:paraId="2BA7A669" w14:textId="14FA18F3" w:rsidR="004B402A" w:rsidRDefault="004B402A" w:rsidP="004B402A">
            <w:pPr>
              <w:pStyle w:val="Heading3"/>
              <w:outlineLvl w:val="2"/>
              <w:rPr>
                <w:rFonts w:cs="Arial"/>
                <w:szCs w:val="24"/>
              </w:rPr>
            </w:pPr>
            <w:r>
              <w:rPr>
                <w:rFonts w:cs="Arial"/>
                <w:szCs w:val="24"/>
              </w:rPr>
              <w:t>Service Level Agreement</w:t>
            </w:r>
          </w:p>
        </w:tc>
      </w:tr>
      <w:tr w:rsidR="004B402A" w:rsidRPr="007B367A" w14:paraId="4374E03E" w14:textId="77777777" w:rsidTr="00F31797">
        <w:tc>
          <w:tcPr>
            <w:tcW w:w="976" w:type="dxa"/>
          </w:tcPr>
          <w:p w14:paraId="66889828" w14:textId="05F1089C" w:rsidR="004B402A" w:rsidRDefault="004B402A" w:rsidP="004B402A">
            <w:pPr>
              <w:pStyle w:val="Heading3"/>
              <w:outlineLvl w:val="2"/>
              <w:rPr>
                <w:rFonts w:cs="Arial"/>
                <w:szCs w:val="24"/>
              </w:rPr>
            </w:pPr>
            <w:r>
              <w:rPr>
                <w:rFonts w:cs="Arial"/>
                <w:szCs w:val="24"/>
              </w:rPr>
              <w:t>SoS</w:t>
            </w:r>
          </w:p>
        </w:tc>
        <w:tc>
          <w:tcPr>
            <w:tcW w:w="2977" w:type="dxa"/>
          </w:tcPr>
          <w:p w14:paraId="2142202F" w14:textId="78664AE8" w:rsidR="004B402A" w:rsidRDefault="004B402A" w:rsidP="004B402A">
            <w:pPr>
              <w:pStyle w:val="Heading3"/>
              <w:outlineLvl w:val="2"/>
              <w:rPr>
                <w:rFonts w:cs="Arial"/>
                <w:szCs w:val="24"/>
              </w:rPr>
            </w:pPr>
            <w:r>
              <w:rPr>
                <w:rFonts w:cs="Arial"/>
                <w:szCs w:val="24"/>
              </w:rPr>
              <w:t>Secretary of State</w:t>
            </w:r>
          </w:p>
        </w:tc>
        <w:tc>
          <w:tcPr>
            <w:tcW w:w="1043" w:type="dxa"/>
          </w:tcPr>
          <w:p w14:paraId="00D962E6" w14:textId="17C3F578" w:rsidR="004B402A" w:rsidRDefault="004B402A" w:rsidP="004B402A">
            <w:pPr>
              <w:pStyle w:val="Heading3"/>
              <w:outlineLvl w:val="2"/>
              <w:rPr>
                <w:rFonts w:cs="Arial"/>
                <w:szCs w:val="24"/>
              </w:rPr>
            </w:pPr>
            <w:r w:rsidRPr="007B367A">
              <w:rPr>
                <w:rFonts w:cs="Arial"/>
                <w:szCs w:val="24"/>
              </w:rPr>
              <w:t>TPR</w:t>
            </w:r>
          </w:p>
        </w:tc>
        <w:tc>
          <w:tcPr>
            <w:tcW w:w="2976" w:type="dxa"/>
          </w:tcPr>
          <w:p w14:paraId="2EB3D165" w14:textId="7076503C" w:rsidR="004B402A" w:rsidRDefault="004B402A" w:rsidP="004B402A">
            <w:pPr>
              <w:pStyle w:val="Heading3"/>
              <w:outlineLvl w:val="2"/>
              <w:rPr>
                <w:rFonts w:cs="Arial"/>
                <w:szCs w:val="24"/>
              </w:rPr>
            </w:pPr>
            <w:r w:rsidRPr="007B367A">
              <w:rPr>
                <w:rFonts w:cs="Arial"/>
                <w:szCs w:val="24"/>
              </w:rPr>
              <w:t>The Pensions Regulator</w:t>
            </w:r>
          </w:p>
        </w:tc>
      </w:tr>
    </w:tbl>
    <w:p w14:paraId="5A253292" w14:textId="77777777" w:rsidR="00EF47E6" w:rsidRPr="007B367A" w:rsidRDefault="00EF47E6" w:rsidP="00A77E6C">
      <w:pPr>
        <w:pStyle w:val="DeptBullets"/>
        <w:numPr>
          <w:ilvl w:val="0"/>
          <w:numId w:val="0"/>
        </w:numPr>
        <w:spacing w:after="0"/>
        <w:ind w:left="720"/>
        <w:rPr>
          <w:rFonts w:cs="Arial"/>
          <w:szCs w:val="24"/>
        </w:rPr>
      </w:pPr>
    </w:p>
    <w:p w14:paraId="6011E913" w14:textId="77777777" w:rsidR="00EF47E6" w:rsidRPr="007B367A" w:rsidRDefault="00EF47E6" w:rsidP="00A77E6C">
      <w:pPr>
        <w:pStyle w:val="DeptBullets"/>
        <w:numPr>
          <w:ilvl w:val="0"/>
          <w:numId w:val="0"/>
        </w:numPr>
        <w:spacing w:after="0"/>
        <w:ind w:left="720"/>
        <w:rPr>
          <w:rFonts w:cs="Arial"/>
          <w:szCs w:val="24"/>
        </w:rPr>
      </w:pPr>
    </w:p>
    <w:p w14:paraId="2A27562B" w14:textId="77777777" w:rsidR="00EF47E6" w:rsidRPr="007B367A" w:rsidRDefault="00EF47E6" w:rsidP="00A77E6C">
      <w:pPr>
        <w:widowControl/>
        <w:overflowPunct/>
        <w:autoSpaceDE/>
        <w:autoSpaceDN/>
        <w:adjustRightInd/>
        <w:textAlignment w:val="auto"/>
        <w:rPr>
          <w:rFonts w:cs="Arial"/>
          <w:b/>
          <w:szCs w:val="24"/>
        </w:rPr>
      </w:pPr>
    </w:p>
    <w:p w14:paraId="42218869" w14:textId="77777777" w:rsidR="00EF47E6" w:rsidRPr="007B367A" w:rsidRDefault="00EF47E6" w:rsidP="00A77E6C">
      <w:pPr>
        <w:widowControl/>
        <w:overflowPunct/>
        <w:autoSpaceDE/>
        <w:autoSpaceDN/>
        <w:adjustRightInd/>
        <w:textAlignment w:val="auto"/>
        <w:rPr>
          <w:rFonts w:cs="Arial"/>
          <w:b/>
          <w:szCs w:val="24"/>
        </w:rPr>
      </w:pPr>
      <w:r w:rsidRPr="007B367A">
        <w:rPr>
          <w:rFonts w:cs="Arial"/>
          <w:b/>
          <w:szCs w:val="24"/>
        </w:rPr>
        <w:br w:type="page"/>
      </w:r>
    </w:p>
    <w:p w14:paraId="1B7B075A" w14:textId="77777777" w:rsidR="003E217D" w:rsidRPr="003E217D" w:rsidRDefault="003E217D" w:rsidP="00B43BE8">
      <w:pPr>
        <w:jc w:val="right"/>
        <w:rPr>
          <w:rFonts w:cs="Arial"/>
          <w:b/>
          <w:szCs w:val="24"/>
        </w:rPr>
      </w:pPr>
      <w:r w:rsidRPr="003E217D">
        <w:rPr>
          <w:rFonts w:cs="Arial"/>
          <w:b/>
          <w:szCs w:val="24"/>
        </w:rPr>
        <w:t>Annex 1</w:t>
      </w:r>
      <w:r w:rsidR="00587731">
        <w:rPr>
          <w:rFonts w:cs="Arial"/>
          <w:b/>
          <w:szCs w:val="24"/>
        </w:rPr>
        <w:t xml:space="preserve"> </w:t>
      </w:r>
      <w:bookmarkStart w:id="0" w:name="_GoBack"/>
      <w:bookmarkEnd w:id="0"/>
      <w:r w:rsidR="00587731">
        <w:rPr>
          <w:rFonts w:cs="Arial"/>
          <w:b/>
          <w:szCs w:val="24"/>
        </w:rPr>
        <w:t>GMP Rectification Letter</w:t>
      </w:r>
    </w:p>
    <w:p w14:paraId="7A4EB810" w14:textId="77777777" w:rsidR="003E217D" w:rsidRPr="003E217D" w:rsidRDefault="003E217D" w:rsidP="003E217D">
      <w:pPr>
        <w:rPr>
          <w:rFonts w:cs="Arial"/>
          <w:b/>
          <w:szCs w:val="24"/>
        </w:rPr>
      </w:pPr>
      <w:r w:rsidRPr="003E217D">
        <w:rPr>
          <w:rFonts w:cs="Arial"/>
          <w:b/>
          <w:szCs w:val="24"/>
        </w:rPr>
        <w:t>Changes to your Teacher’s pension</w:t>
      </w:r>
    </w:p>
    <w:p w14:paraId="38F83ADE" w14:textId="77777777" w:rsidR="003E217D" w:rsidRPr="003E217D" w:rsidRDefault="003E217D" w:rsidP="003E217D">
      <w:pPr>
        <w:rPr>
          <w:rFonts w:cs="Arial"/>
          <w:szCs w:val="24"/>
        </w:rPr>
      </w:pPr>
      <w:r w:rsidRPr="003E217D">
        <w:rPr>
          <w:rFonts w:cs="Arial"/>
          <w:szCs w:val="24"/>
        </w:rPr>
        <w:t xml:space="preserve">Recently Her Majesty’s Revenue and Customs (HMRC) and the Teachers’ Pension Scheme (along with other pension schemes) took part in an exercise to reconcile pension data. As part of this exercise we’ve identified that unfortunately your teacher’s pension has been overpaid. </w:t>
      </w:r>
    </w:p>
    <w:p w14:paraId="25F736A2" w14:textId="77777777" w:rsidR="003E217D" w:rsidRPr="003E217D" w:rsidRDefault="003E217D" w:rsidP="003E217D">
      <w:pPr>
        <w:rPr>
          <w:rFonts w:cs="Arial"/>
          <w:szCs w:val="24"/>
        </w:rPr>
      </w:pPr>
    </w:p>
    <w:p w14:paraId="17F7B27B" w14:textId="77777777" w:rsidR="003E217D" w:rsidRPr="003E217D" w:rsidRDefault="003E217D" w:rsidP="003E217D">
      <w:pPr>
        <w:rPr>
          <w:rFonts w:cs="Arial"/>
          <w:b/>
          <w:szCs w:val="24"/>
        </w:rPr>
      </w:pPr>
      <w:r w:rsidRPr="003E217D">
        <w:rPr>
          <w:rFonts w:cs="Arial"/>
          <w:b/>
          <w:szCs w:val="24"/>
        </w:rPr>
        <w:t>The Department for Education (DfE) has agreed that, in this exceptional circumstance, you are not required to repay the overpayment.</w:t>
      </w:r>
    </w:p>
    <w:p w14:paraId="1486D30E" w14:textId="77777777" w:rsidR="003E217D" w:rsidRPr="003E217D" w:rsidRDefault="003E217D" w:rsidP="003E217D">
      <w:pPr>
        <w:rPr>
          <w:rFonts w:cs="Arial"/>
          <w:szCs w:val="24"/>
        </w:rPr>
      </w:pPr>
    </w:p>
    <w:p w14:paraId="135B86AC" w14:textId="77777777" w:rsidR="003E217D" w:rsidRPr="003E217D" w:rsidRDefault="003E217D" w:rsidP="003E217D">
      <w:pPr>
        <w:rPr>
          <w:rFonts w:cs="Arial"/>
          <w:szCs w:val="24"/>
        </w:rPr>
      </w:pPr>
      <w:r w:rsidRPr="003E217D">
        <w:rPr>
          <w:rFonts w:cs="Arial"/>
          <w:szCs w:val="24"/>
        </w:rPr>
        <w:t xml:space="preserve">The overpayment occurred due to changes in an element of a pension (which is included within your teacher’s pension), called Guaranteed Minimum Pension (GMP). This is the minimum pension any scheme must provide as a condition of being contracted out of the state additional pension scheme.  Certain parts of the GMP are not increased by the Teachers’ Pension Scheme from the time you begin to receive your State Pension because the increase is included in your State Pension.  </w:t>
      </w:r>
    </w:p>
    <w:p w14:paraId="394A2C02" w14:textId="77777777" w:rsidR="003E217D" w:rsidRPr="003E217D" w:rsidRDefault="003E217D" w:rsidP="003E217D">
      <w:pPr>
        <w:rPr>
          <w:rFonts w:cs="Arial"/>
          <w:szCs w:val="24"/>
        </w:rPr>
      </w:pPr>
    </w:p>
    <w:p w14:paraId="6D87130E" w14:textId="77777777" w:rsidR="003E217D" w:rsidRPr="003E217D" w:rsidRDefault="003E217D" w:rsidP="003E217D">
      <w:pPr>
        <w:rPr>
          <w:rFonts w:cs="Arial"/>
          <w:szCs w:val="24"/>
        </w:rPr>
      </w:pPr>
      <w:r w:rsidRPr="003E217D">
        <w:rPr>
          <w:rFonts w:cs="Arial"/>
          <w:szCs w:val="24"/>
        </w:rPr>
        <w:t>The reconciliation exercise has shown that HMRC need to amend your GMP and that means the information we held about the level of your GMP was incorrect. This also means that the annual increases applied to your teacher’s pension have therefore been too high.</w:t>
      </w:r>
    </w:p>
    <w:p w14:paraId="71F2E11E" w14:textId="77777777" w:rsidR="003E217D" w:rsidRPr="003E217D" w:rsidRDefault="003E217D" w:rsidP="003E217D">
      <w:pPr>
        <w:rPr>
          <w:rFonts w:cs="Arial"/>
          <w:szCs w:val="24"/>
        </w:rPr>
      </w:pPr>
    </w:p>
    <w:p w14:paraId="0DB31E6F" w14:textId="77777777" w:rsidR="003E217D" w:rsidRPr="003E217D" w:rsidRDefault="003E217D" w:rsidP="003E217D">
      <w:pPr>
        <w:rPr>
          <w:rFonts w:cs="Arial"/>
          <w:szCs w:val="24"/>
        </w:rPr>
      </w:pPr>
      <w:r w:rsidRPr="003E217D">
        <w:rPr>
          <w:rFonts w:cs="Arial"/>
          <w:szCs w:val="24"/>
        </w:rPr>
        <w:t>The statutory arrangements governing the Teachers’ Pension Scheme mean that in order to prevent further overpayment, we need to correct your current level of teacher’s pension.  From [insert date], your monthly pension amount will be [insert amount].  We must point out that there is no discretion that enables us to continue to pay the incorrect higher amount.</w:t>
      </w:r>
    </w:p>
    <w:p w14:paraId="2BA33668" w14:textId="77777777" w:rsidR="003E217D" w:rsidRPr="003E217D" w:rsidRDefault="003E217D" w:rsidP="003E217D">
      <w:pPr>
        <w:rPr>
          <w:rFonts w:cs="Arial"/>
          <w:szCs w:val="24"/>
        </w:rPr>
      </w:pPr>
    </w:p>
    <w:p w14:paraId="2F6B0275" w14:textId="77777777" w:rsidR="003E217D" w:rsidRPr="003E217D" w:rsidRDefault="003E217D" w:rsidP="003E217D">
      <w:pPr>
        <w:pStyle w:val="BodyText"/>
        <w:ind w:right="593"/>
        <w:rPr>
          <w:rFonts w:cs="Arial"/>
          <w:szCs w:val="24"/>
        </w:rPr>
      </w:pPr>
      <w:r w:rsidRPr="003E217D">
        <w:rPr>
          <w:rFonts w:cs="Arial"/>
          <w:szCs w:val="24"/>
        </w:rPr>
        <w:t xml:space="preserve">If you’ve any questions about this letter, please contact us securely via My Pension Online (MPO). MPO is an online secure portal that lets you check and manage your personal pension information.  If you’re not already registered, visit our website today at </w:t>
      </w:r>
      <w:hyperlink r:id="rId19">
        <w:r w:rsidRPr="003E217D">
          <w:rPr>
            <w:rFonts w:cs="Arial"/>
            <w:color w:val="0000FF"/>
            <w:szCs w:val="24"/>
            <w:u w:color="0000FF"/>
          </w:rPr>
          <w:t xml:space="preserve">www.teacherspensions.co.uk </w:t>
        </w:r>
      </w:hyperlink>
      <w:r w:rsidRPr="003E217D">
        <w:rPr>
          <w:rFonts w:cs="Arial"/>
          <w:szCs w:val="24"/>
        </w:rPr>
        <w:t>and select ‘Member registration’.  Alternatively, you can call us on our dedicated number XXXX</w:t>
      </w:r>
      <w:r w:rsidRPr="003E217D">
        <w:rPr>
          <w:rFonts w:cs="Arial"/>
          <w:bCs/>
          <w:szCs w:val="24"/>
        </w:rPr>
        <w:t xml:space="preserve"> XXXXXXXX</w:t>
      </w:r>
      <w:r w:rsidRPr="003E217D">
        <w:rPr>
          <w:rFonts w:cs="Arial"/>
          <w:szCs w:val="24"/>
        </w:rPr>
        <w:t>.</w:t>
      </w:r>
    </w:p>
    <w:p w14:paraId="374A11B4" w14:textId="77777777" w:rsidR="003E217D" w:rsidRPr="003E217D" w:rsidRDefault="003E217D" w:rsidP="003E217D">
      <w:pPr>
        <w:pStyle w:val="BodyText"/>
        <w:ind w:right="593"/>
        <w:rPr>
          <w:rFonts w:cs="Arial"/>
          <w:szCs w:val="24"/>
        </w:rPr>
      </w:pPr>
    </w:p>
    <w:p w14:paraId="2F960002" w14:textId="77777777" w:rsidR="003E217D" w:rsidRPr="003E217D" w:rsidRDefault="003E217D" w:rsidP="003E217D">
      <w:pPr>
        <w:rPr>
          <w:rFonts w:cs="Arial"/>
          <w:iCs/>
          <w:szCs w:val="24"/>
        </w:rPr>
      </w:pPr>
      <w:r w:rsidRPr="003E217D">
        <w:rPr>
          <w:rFonts w:cs="Arial"/>
          <w:iCs/>
          <w:szCs w:val="24"/>
        </w:rPr>
        <w:t>For further help you can contact The Pensions Advisory Service (TPAS).  They are an independent organisation funded by the Department for Work and Pensions. It is staffed by pension professionals who can give impartial guidance on pension related questions or problems. Their service is free and confidential.    </w:t>
      </w:r>
    </w:p>
    <w:p w14:paraId="288B097F" w14:textId="77777777" w:rsidR="003E217D" w:rsidRPr="003E217D" w:rsidRDefault="003E217D" w:rsidP="003E217D">
      <w:pPr>
        <w:rPr>
          <w:rFonts w:cs="Arial"/>
          <w:iCs/>
          <w:szCs w:val="24"/>
        </w:rPr>
      </w:pPr>
    </w:p>
    <w:p w14:paraId="78F80C86" w14:textId="77777777" w:rsidR="003E217D" w:rsidRPr="003E217D" w:rsidRDefault="003E217D" w:rsidP="003E217D">
      <w:pPr>
        <w:rPr>
          <w:rFonts w:cs="Arial"/>
          <w:iCs/>
          <w:szCs w:val="24"/>
        </w:rPr>
      </w:pPr>
      <w:r w:rsidRPr="003E217D">
        <w:rPr>
          <w:rFonts w:cs="Arial"/>
          <w:iCs/>
          <w:szCs w:val="24"/>
        </w:rPr>
        <w:t>They can be contacted via;</w:t>
      </w:r>
    </w:p>
    <w:p w14:paraId="5F056425" w14:textId="77777777" w:rsidR="003E217D" w:rsidRPr="003E217D" w:rsidRDefault="003E217D" w:rsidP="00694C80">
      <w:pPr>
        <w:widowControl/>
        <w:numPr>
          <w:ilvl w:val="0"/>
          <w:numId w:val="39"/>
        </w:numPr>
        <w:overflowPunct/>
        <w:autoSpaceDE/>
        <w:autoSpaceDN/>
        <w:adjustRightInd/>
        <w:textAlignment w:val="auto"/>
        <w:rPr>
          <w:rFonts w:cs="Arial"/>
          <w:iCs/>
          <w:szCs w:val="24"/>
          <w:lang w:val="en"/>
        </w:rPr>
      </w:pPr>
      <w:r w:rsidRPr="003E217D">
        <w:rPr>
          <w:rFonts w:cs="Arial"/>
          <w:iCs/>
          <w:szCs w:val="24"/>
        </w:rPr>
        <w:t xml:space="preserve">Helpline 0800 011 3797 </w:t>
      </w:r>
      <w:r w:rsidRPr="003E217D">
        <w:rPr>
          <w:rFonts w:cs="Arial"/>
          <w:iCs/>
          <w:szCs w:val="24"/>
          <w:lang w:val="en"/>
        </w:rPr>
        <w:t xml:space="preserve">9am to 5pm Monday to Friday, or </w:t>
      </w:r>
    </w:p>
    <w:p w14:paraId="6CDFB5D5" w14:textId="77777777" w:rsidR="003E217D" w:rsidRPr="003E217D" w:rsidRDefault="003E217D" w:rsidP="00694C80">
      <w:pPr>
        <w:widowControl/>
        <w:numPr>
          <w:ilvl w:val="0"/>
          <w:numId w:val="39"/>
        </w:numPr>
        <w:overflowPunct/>
        <w:autoSpaceDE/>
        <w:autoSpaceDN/>
        <w:adjustRightInd/>
        <w:textAlignment w:val="auto"/>
        <w:rPr>
          <w:rFonts w:cs="Arial"/>
          <w:iCs/>
          <w:szCs w:val="24"/>
          <w:lang w:val="en"/>
        </w:rPr>
      </w:pPr>
      <w:r w:rsidRPr="003E217D">
        <w:rPr>
          <w:rFonts w:cs="Arial"/>
          <w:iCs/>
          <w:szCs w:val="24"/>
          <w:lang w:val="en"/>
        </w:rPr>
        <w:t xml:space="preserve">Webchat available through their website 9am to 6.20pm Monday to Friday and 7pm till 9pm every Tuesday, or </w:t>
      </w:r>
    </w:p>
    <w:p w14:paraId="5D4F96C7" w14:textId="77777777" w:rsidR="003E217D" w:rsidRPr="003E217D" w:rsidRDefault="003E217D" w:rsidP="00694C80">
      <w:pPr>
        <w:widowControl/>
        <w:numPr>
          <w:ilvl w:val="0"/>
          <w:numId w:val="39"/>
        </w:numPr>
        <w:overflowPunct/>
        <w:autoSpaceDE/>
        <w:autoSpaceDN/>
        <w:adjustRightInd/>
        <w:textAlignment w:val="auto"/>
        <w:rPr>
          <w:rFonts w:cs="Arial"/>
          <w:iCs/>
          <w:szCs w:val="24"/>
          <w:lang w:val="en"/>
        </w:rPr>
      </w:pPr>
      <w:r w:rsidRPr="003E217D">
        <w:rPr>
          <w:rFonts w:cs="Arial"/>
          <w:iCs/>
          <w:szCs w:val="24"/>
          <w:lang w:val="en"/>
        </w:rPr>
        <w:t xml:space="preserve">Online Enquiry available through their website </w:t>
      </w:r>
    </w:p>
    <w:p w14:paraId="5158276F" w14:textId="77777777" w:rsidR="003E217D" w:rsidRPr="003E217D" w:rsidRDefault="003E217D" w:rsidP="003E217D">
      <w:pPr>
        <w:rPr>
          <w:rFonts w:eastAsiaTheme="minorHAnsi" w:cs="Arial"/>
          <w:iCs/>
          <w:szCs w:val="24"/>
          <w:lang w:val="en"/>
        </w:rPr>
      </w:pPr>
    </w:p>
    <w:p w14:paraId="3DEDB0AE" w14:textId="77777777" w:rsidR="003E217D" w:rsidRPr="003E217D" w:rsidRDefault="003E217D" w:rsidP="003E217D">
      <w:pPr>
        <w:rPr>
          <w:rFonts w:cs="Arial"/>
          <w:iCs/>
          <w:szCs w:val="24"/>
          <w:lang w:val="en"/>
        </w:rPr>
      </w:pPr>
      <w:r w:rsidRPr="003E217D">
        <w:rPr>
          <w:rFonts w:cs="Arial"/>
          <w:iCs/>
          <w:szCs w:val="24"/>
          <w:lang w:val="en"/>
        </w:rPr>
        <w:t xml:space="preserve">For more details about how they can help their website address is </w:t>
      </w:r>
      <w:hyperlink r:id="rId20" w:history="1">
        <w:r w:rsidRPr="003E217D">
          <w:rPr>
            <w:rStyle w:val="Hyperlink"/>
            <w:rFonts w:cs="Arial"/>
            <w:iCs/>
            <w:szCs w:val="24"/>
            <w:lang w:val="en"/>
          </w:rPr>
          <w:t>www.pensionsadvisoryservice.org.uk</w:t>
        </w:r>
      </w:hyperlink>
      <w:r w:rsidRPr="003E217D">
        <w:rPr>
          <w:rFonts w:cs="Arial"/>
          <w:iCs/>
          <w:szCs w:val="24"/>
          <w:lang w:val="en"/>
        </w:rPr>
        <w:t>.</w:t>
      </w:r>
    </w:p>
    <w:p w14:paraId="629FD781" w14:textId="77777777" w:rsidR="003E217D" w:rsidRPr="003E217D" w:rsidRDefault="003E217D" w:rsidP="003E217D">
      <w:pPr>
        <w:rPr>
          <w:rFonts w:cs="Arial"/>
          <w:szCs w:val="24"/>
        </w:rPr>
      </w:pPr>
    </w:p>
    <w:p w14:paraId="291B56F7" w14:textId="77777777" w:rsidR="003E217D" w:rsidRDefault="003E217D" w:rsidP="00A77E6C">
      <w:pPr>
        <w:rPr>
          <w:rFonts w:cs="Arial"/>
          <w:szCs w:val="24"/>
        </w:rPr>
      </w:pPr>
      <w:r w:rsidRPr="003E217D">
        <w:rPr>
          <w:rFonts w:cs="Arial"/>
          <w:szCs w:val="24"/>
        </w:rPr>
        <w:t>Yours sincerely,</w:t>
      </w:r>
      <w:r>
        <w:rPr>
          <w:rFonts w:cs="Arial"/>
          <w:szCs w:val="24"/>
        </w:rPr>
        <w:t xml:space="preserve"> </w:t>
      </w:r>
      <w:r w:rsidRPr="003E217D">
        <w:rPr>
          <w:rFonts w:cs="Arial"/>
          <w:szCs w:val="24"/>
        </w:rPr>
        <w:t>Xxxxxxxx [name]</w:t>
      </w:r>
      <w:r>
        <w:rPr>
          <w:rFonts w:cs="Arial"/>
          <w:szCs w:val="24"/>
        </w:rPr>
        <w:t xml:space="preserve"> </w:t>
      </w:r>
      <w:r w:rsidRPr="003E217D">
        <w:rPr>
          <w:rFonts w:cs="Arial"/>
          <w:szCs w:val="24"/>
        </w:rPr>
        <w:t>Xxxxxxxx[Job title]</w:t>
      </w:r>
    </w:p>
    <w:sectPr w:rsidR="003E217D" w:rsidSect="00A521C3">
      <w:pgSz w:w="11906" w:h="16838"/>
      <w:pgMar w:top="1440"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F01F" w14:textId="77777777" w:rsidR="00563116" w:rsidRDefault="00563116" w:rsidP="004B2BE2">
      <w:r>
        <w:separator/>
      </w:r>
    </w:p>
  </w:endnote>
  <w:endnote w:type="continuationSeparator" w:id="0">
    <w:p w14:paraId="69A95493" w14:textId="77777777" w:rsidR="00563116" w:rsidRDefault="00563116" w:rsidP="004B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007294"/>
      <w:docPartObj>
        <w:docPartGallery w:val="Page Numbers (Bottom of Page)"/>
        <w:docPartUnique/>
      </w:docPartObj>
    </w:sdtPr>
    <w:sdtEndPr>
      <w:rPr>
        <w:noProof/>
        <w:sz w:val="16"/>
        <w:szCs w:val="16"/>
      </w:rPr>
    </w:sdtEndPr>
    <w:sdtContent>
      <w:p w14:paraId="237236C8" w14:textId="330966FC" w:rsidR="00563116" w:rsidRPr="000C5390" w:rsidRDefault="00563116">
        <w:pPr>
          <w:pStyle w:val="Footer"/>
          <w:jc w:val="center"/>
          <w:rPr>
            <w:sz w:val="16"/>
            <w:szCs w:val="16"/>
          </w:rPr>
        </w:pPr>
        <w:r w:rsidRPr="000C5390">
          <w:rPr>
            <w:sz w:val="16"/>
            <w:szCs w:val="16"/>
          </w:rPr>
          <w:fldChar w:fldCharType="begin"/>
        </w:r>
        <w:r w:rsidRPr="000C5390">
          <w:rPr>
            <w:sz w:val="16"/>
            <w:szCs w:val="16"/>
          </w:rPr>
          <w:instrText xml:space="preserve"> PAGE   \* MERGEFORMAT </w:instrText>
        </w:r>
        <w:r w:rsidRPr="000C5390">
          <w:rPr>
            <w:sz w:val="16"/>
            <w:szCs w:val="16"/>
          </w:rPr>
          <w:fldChar w:fldCharType="separate"/>
        </w:r>
        <w:r w:rsidR="00C94516">
          <w:rPr>
            <w:noProof/>
            <w:sz w:val="16"/>
            <w:szCs w:val="16"/>
          </w:rPr>
          <w:t>26</w:t>
        </w:r>
        <w:r w:rsidRPr="000C5390">
          <w:rPr>
            <w:noProof/>
            <w:sz w:val="16"/>
            <w:szCs w:val="16"/>
          </w:rPr>
          <w:fldChar w:fldCharType="end"/>
        </w:r>
      </w:p>
    </w:sdtContent>
  </w:sdt>
  <w:p w14:paraId="6FAC53F2" w14:textId="77777777" w:rsidR="00563116" w:rsidRDefault="0056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A7329" w14:textId="77777777" w:rsidR="00563116" w:rsidRDefault="00563116" w:rsidP="004B2BE2">
      <w:r>
        <w:separator/>
      </w:r>
    </w:p>
  </w:footnote>
  <w:footnote w:type="continuationSeparator" w:id="0">
    <w:p w14:paraId="2F256894" w14:textId="77777777" w:rsidR="00563116" w:rsidRDefault="00563116" w:rsidP="004B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AB0E" w14:textId="50E21190" w:rsidR="00563116" w:rsidRPr="00740F67" w:rsidRDefault="00A956F3" w:rsidP="00A521C3">
    <w:pPr>
      <w:pStyle w:val="Header"/>
      <w:rPr>
        <w:sz w:val="20"/>
      </w:rPr>
    </w:pPr>
    <w:r>
      <w:rPr>
        <w:sz w:val="20"/>
      </w:rPr>
      <w:t xml:space="preserve">Background Paper (Quarterly Report) </w:t>
    </w:r>
    <w:r w:rsidR="00563116" w:rsidRPr="00740F67">
      <w:rPr>
        <w:sz w:val="20"/>
      </w:rPr>
      <w:t xml:space="preserve">                                  </w:t>
    </w:r>
    <w:r>
      <w:rPr>
        <w:sz w:val="20"/>
      </w:rPr>
      <w:t xml:space="preserve">    </w:t>
    </w:r>
    <w:r w:rsidR="00563116" w:rsidRPr="00740F67">
      <w:rPr>
        <w:sz w:val="20"/>
      </w:rPr>
      <w:t xml:space="preserve">  </w:t>
    </w:r>
    <w:r w:rsidR="00563116">
      <w:rPr>
        <w:sz w:val="20"/>
      </w:rPr>
      <w:t xml:space="preserve">  </w:t>
    </w:r>
    <w:r w:rsidR="00563116" w:rsidRPr="00740F67">
      <w:rPr>
        <w:sz w:val="20"/>
      </w:rPr>
      <w:t xml:space="preserve">TPSPB </w:t>
    </w:r>
    <w:r>
      <w:rPr>
        <w:sz w:val="20"/>
      </w:rPr>
      <w:t>Meeting 23 January 2019</w:t>
    </w:r>
    <w:r w:rsidR="00563116" w:rsidRPr="00740F67">
      <w:rPr>
        <w:sz w:val="20"/>
      </w:rPr>
      <w:t xml:space="preserve"> </w:t>
    </w:r>
  </w:p>
  <w:p w14:paraId="765003B0" w14:textId="77777777" w:rsidR="00563116" w:rsidRDefault="00563116">
    <w:pPr>
      <w:pStyle w:val="Header"/>
    </w:pPr>
  </w:p>
  <w:p w14:paraId="76AA5B57" w14:textId="77777777" w:rsidR="00563116" w:rsidRDefault="0056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CA55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544" w:hanging="358"/>
      </w:pPr>
      <w:rPr>
        <w:rFonts w:ascii="Symbol" w:hAnsi="Symbol" w:cs="Symbol"/>
        <w:b w:val="0"/>
        <w:bCs w:val="0"/>
        <w:color w:val="252525"/>
        <w:w w:val="100"/>
        <w:sz w:val="22"/>
        <w:szCs w:val="22"/>
      </w:rPr>
    </w:lvl>
    <w:lvl w:ilvl="1">
      <w:numFmt w:val="bullet"/>
      <w:lvlText w:val="•"/>
      <w:lvlJc w:val="left"/>
      <w:pPr>
        <w:ind w:left="1496" w:hanging="358"/>
      </w:pPr>
    </w:lvl>
    <w:lvl w:ilvl="2">
      <w:numFmt w:val="bullet"/>
      <w:lvlText w:val="•"/>
      <w:lvlJc w:val="left"/>
      <w:pPr>
        <w:ind w:left="2452" w:hanging="358"/>
      </w:pPr>
    </w:lvl>
    <w:lvl w:ilvl="3">
      <w:numFmt w:val="bullet"/>
      <w:lvlText w:val="•"/>
      <w:lvlJc w:val="left"/>
      <w:pPr>
        <w:ind w:left="3408" w:hanging="358"/>
      </w:pPr>
    </w:lvl>
    <w:lvl w:ilvl="4">
      <w:numFmt w:val="bullet"/>
      <w:lvlText w:val="•"/>
      <w:lvlJc w:val="left"/>
      <w:pPr>
        <w:ind w:left="4364" w:hanging="358"/>
      </w:pPr>
    </w:lvl>
    <w:lvl w:ilvl="5">
      <w:numFmt w:val="bullet"/>
      <w:lvlText w:val="•"/>
      <w:lvlJc w:val="left"/>
      <w:pPr>
        <w:ind w:left="5320" w:hanging="358"/>
      </w:pPr>
    </w:lvl>
    <w:lvl w:ilvl="6">
      <w:numFmt w:val="bullet"/>
      <w:lvlText w:val="•"/>
      <w:lvlJc w:val="left"/>
      <w:pPr>
        <w:ind w:left="6276" w:hanging="358"/>
      </w:pPr>
    </w:lvl>
    <w:lvl w:ilvl="7">
      <w:numFmt w:val="bullet"/>
      <w:lvlText w:val="•"/>
      <w:lvlJc w:val="left"/>
      <w:pPr>
        <w:ind w:left="7232" w:hanging="358"/>
      </w:pPr>
    </w:lvl>
    <w:lvl w:ilvl="8">
      <w:numFmt w:val="bullet"/>
      <w:lvlText w:val="•"/>
      <w:lvlJc w:val="left"/>
      <w:pPr>
        <w:ind w:left="8188" w:hanging="358"/>
      </w:pPr>
    </w:lvl>
  </w:abstractNum>
  <w:abstractNum w:abstractNumId="2" w15:restartNumberingAfterBreak="0">
    <w:nsid w:val="00E465D7"/>
    <w:multiLevelType w:val="hybridMultilevel"/>
    <w:tmpl w:val="39D86EFA"/>
    <w:lvl w:ilvl="0" w:tplc="3516ECF6">
      <w:start w:val="1"/>
      <w:numFmt w:val="decimal"/>
      <w:lvlText w:val="%1."/>
      <w:lvlJc w:val="left"/>
      <w:pPr>
        <w:ind w:left="360" w:hanging="360"/>
      </w:pPr>
      <w:rPr>
        <w:rFonts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D1DF1"/>
    <w:multiLevelType w:val="hybridMultilevel"/>
    <w:tmpl w:val="C96A9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015693"/>
    <w:multiLevelType w:val="hybridMultilevel"/>
    <w:tmpl w:val="615A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B5762"/>
    <w:multiLevelType w:val="hybridMultilevel"/>
    <w:tmpl w:val="42CC1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2E3605"/>
    <w:multiLevelType w:val="hybridMultilevel"/>
    <w:tmpl w:val="59D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0322B"/>
    <w:multiLevelType w:val="hybridMultilevel"/>
    <w:tmpl w:val="BEF41ACA"/>
    <w:lvl w:ilvl="0" w:tplc="D810936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6205AB9"/>
    <w:multiLevelType w:val="hybridMultilevel"/>
    <w:tmpl w:val="5108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876B7"/>
    <w:multiLevelType w:val="hybridMultilevel"/>
    <w:tmpl w:val="9466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9130F"/>
    <w:multiLevelType w:val="hybridMultilevel"/>
    <w:tmpl w:val="97F65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2F151C"/>
    <w:multiLevelType w:val="hybridMultilevel"/>
    <w:tmpl w:val="3588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B3181"/>
    <w:multiLevelType w:val="hybridMultilevel"/>
    <w:tmpl w:val="E2C4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A576F"/>
    <w:multiLevelType w:val="hybridMultilevel"/>
    <w:tmpl w:val="F5D2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11A68"/>
    <w:multiLevelType w:val="hybridMultilevel"/>
    <w:tmpl w:val="9020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22F55"/>
    <w:multiLevelType w:val="hybridMultilevel"/>
    <w:tmpl w:val="41C4790A"/>
    <w:lvl w:ilvl="0" w:tplc="D6B8F714">
      <w:start w:val="32"/>
      <w:numFmt w:val="decimal"/>
      <w:lvlText w:val="%1."/>
      <w:lvlJc w:val="left"/>
      <w:pPr>
        <w:ind w:left="928" w:hanging="360"/>
      </w:pPr>
      <w:rPr>
        <w:rFonts w:cs="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EF733F"/>
    <w:multiLevelType w:val="hybridMultilevel"/>
    <w:tmpl w:val="1516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91203"/>
    <w:multiLevelType w:val="hybridMultilevel"/>
    <w:tmpl w:val="6EE6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5F10"/>
    <w:multiLevelType w:val="hybridMultilevel"/>
    <w:tmpl w:val="4304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AB12F0C"/>
    <w:multiLevelType w:val="hybridMultilevel"/>
    <w:tmpl w:val="21AAE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02649"/>
    <w:multiLevelType w:val="hybridMultilevel"/>
    <w:tmpl w:val="0E48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61A43"/>
    <w:multiLevelType w:val="hybridMultilevel"/>
    <w:tmpl w:val="7138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F3D69"/>
    <w:multiLevelType w:val="hybridMultilevel"/>
    <w:tmpl w:val="413E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A2255"/>
    <w:multiLevelType w:val="hybridMultilevel"/>
    <w:tmpl w:val="A876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25634"/>
    <w:multiLevelType w:val="hybridMultilevel"/>
    <w:tmpl w:val="87D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A8129C"/>
    <w:multiLevelType w:val="hybridMultilevel"/>
    <w:tmpl w:val="51E6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A53B2"/>
    <w:multiLevelType w:val="hybridMultilevel"/>
    <w:tmpl w:val="4DAE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03DB8"/>
    <w:multiLevelType w:val="hybridMultilevel"/>
    <w:tmpl w:val="0ED419A4"/>
    <w:lvl w:ilvl="0" w:tplc="D810936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C43C8"/>
    <w:multiLevelType w:val="hybridMultilevel"/>
    <w:tmpl w:val="44EE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D3EA6"/>
    <w:multiLevelType w:val="hybridMultilevel"/>
    <w:tmpl w:val="4B14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75D98"/>
    <w:multiLevelType w:val="hybridMultilevel"/>
    <w:tmpl w:val="9B16071A"/>
    <w:lvl w:ilvl="0" w:tplc="D810936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D32D0A"/>
    <w:multiLevelType w:val="hybridMultilevel"/>
    <w:tmpl w:val="0386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6309E"/>
    <w:multiLevelType w:val="hybridMultilevel"/>
    <w:tmpl w:val="BAEC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B60F61"/>
    <w:multiLevelType w:val="hybridMultilevel"/>
    <w:tmpl w:val="74CA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66371"/>
    <w:multiLevelType w:val="hybridMultilevel"/>
    <w:tmpl w:val="A828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D2F0D"/>
    <w:multiLevelType w:val="hybridMultilevel"/>
    <w:tmpl w:val="A220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8"/>
  </w:num>
  <w:num w:numId="4">
    <w:abstractNumId w:val="28"/>
  </w:num>
  <w:num w:numId="5">
    <w:abstractNumId w:val="0"/>
  </w:num>
  <w:num w:numId="6">
    <w:abstractNumId w:val="2"/>
  </w:num>
  <w:num w:numId="7">
    <w:abstractNumId w:val="3"/>
  </w:num>
  <w:num w:numId="8">
    <w:abstractNumId w:val="4"/>
  </w:num>
  <w:num w:numId="9">
    <w:abstractNumId w:val="27"/>
  </w:num>
  <w:num w:numId="10">
    <w:abstractNumId w:val="29"/>
  </w:num>
  <w:num w:numId="11">
    <w:abstractNumId w:val="38"/>
  </w:num>
  <w:num w:numId="12">
    <w:abstractNumId w:val="33"/>
  </w:num>
  <w:num w:numId="13">
    <w:abstractNumId w:val="10"/>
  </w:num>
  <w:num w:numId="14">
    <w:abstractNumId w:val="36"/>
  </w:num>
  <w:num w:numId="15">
    <w:abstractNumId w:val="11"/>
  </w:num>
  <w:num w:numId="16">
    <w:abstractNumId w:val="22"/>
  </w:num>
  <w:num w:numId="17">
    <w:abstractNumId w:val="26"/>
  </w:num>
  <w:num w:numId="18">
    <w:abstractNumId w:val="12"/>
  </w:num>
  <w:num w:numId="19">
    <w:abstractNumId w:val="23"/>
  </w:num>
  <w:num w:numId="20">
    <w:abstractNumId w:val="30"/>
  </w:num>
  <w:num w:numId="21">
    <w:abstractNumId w:val="35"/>
  </w:num>
  <w:num w:numId="22">
    <w:abstractNumId w:val="14"/>
  </w:num>
  <w:num w:numId="23">
    <w:abstractNumId w:val="13"/>
  </w:num>
  <w:num w:numId="24">
    <w:abstractNumId w:val="19"/>
  </w:num>
  <w:num w:numId="25">
    <w:abstractNumId w:val="6"/>
  </w:num>
  <w:num w:numId="26">
    <w:abstractNumId w:val="32"/>
  </w:num>
  <w:num w:numId="27">
    <w:abstractNumId w:val="25"/>
  </w:num>
  <w:num w:numId="28">
    <w:abstractNumId w:val="37"/>
  </w:num>
  <w:num w:numId="29">
    <w:abstractNumId w:val="7"/>
  </w:num>
  <w:num w:numId="30">
    <w:abstractNumId w:val="31"/>
  </w:num>
  <w:num w:numId="31">
    <w:abstractNumId w:val="34"/>
  </w:num>
  <w:num w:numId="32">
    <w:abstractNumId w:val="18"/>
  </w:num>
  <w:num w:numId="33">
    <w:abstractNumId w:val="15"/>
  </w:num>
  <w:num w:numId="34">
    <w:abstractNumId w:val="24"/>
  </w:num>
  <w:num w:numId="35">
    <w:abstractNumId w:val="39"/>
  </w:num>
  <w:num w:numId="36">
    <w:abstractNumId w:val="20"/>
  </w:num>
  <w:num w:numId="37">
    <w:abstractNumId w:val="1"/>
  </w:num>
  <w:num w:numId="38">
    <w:abstractNumId w:val="16"/>
  </w:num>
  <w:num w:numId="39">
    <w:abstractNumId w:val="5"/>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E6"/>
    <w:rsid w:val="00003BBD"/>
    <w:rsid w:val="000054D2"/>
    <w:rsid w:val="00007524"/>
    <w:rsid w:val="000245A5"/>
    <w:rsid w:val="00026E28"/>
    <w:rsid w:val="000322E0"/>
    <w:rsid w:val="00042FB1"/>
    <w:rsid w:val="0004395A"/>
    <w:rsid w:val="000479AC"/>
    <w:rsid w:val="00056CC9"/>
    <w:rsid w:val="00057A01"/>
    <w:rsid w:val="00064D01"/>
    <w:rsid w:val="00074F72"/>
    <w:rsid w:val="00082530"/>
    <w:rsid w:val="00083C8B"/>
    <w:rsid w:val="000A02B3"/>
    <w:rsid w:val="000A0AB1"/>
    <w:rsid w:val="000A713D"/>
    <w:rsid w:val="000B2D41"/>
    <w:rsid w:val="000B4231"/>
    <w:rsid w:val="000B431C"/>
    <w:rsid w:val="000B760D"/>
    <w:rsid w:val="000C59E7"/>
    <w:rsid w:val="000C6FF6"/>
    <w:rsid w:val="000D2791"/>
    <w:rsid w:val="000D3B56"/>
    <w:rsid w:val="000D56E9"/>
    <w:rsid w:val="000D5813"/>
    <w:rsid w:val="000E48C7"/>
    <w:rsid w:val="000F2DA5"/>
    <w:rsid w:val="000F7A1B"/>
    <w:rsid w:val="00101D83"/>
    <w:rsid w:val="0010574F"/>
    <w:rsid w:val="001153C9"/>
    <w:rsid w:val="001230E1"/>
    <w:rsid w:val="00124FBB"/>
    <w:rsid w:val="00145DFD"/>
    <w:rsid w:val="00153BC4"/>
    <w:rsid w:val="00157FF1"/>
    <w:rsid w:val="00166BD2"/>
    <w:rsid w:val="0017500D"/>
    <w:rsid w:val="001924C6"/>
    <w:rsid w:val="00194C5A"/>
    <w:rsid w:val="001A35F5"/>
    <w:rsid w:val="001A4835"/>
    <w:rsid w:val="001A7DD7"/>
    <w:rsid w:val="001B3286"/>
    <w:rsid w:val="001B4760"/>
    <w:rsid w:val="001C0979"/>
    <w:rsid w:val="001C6AE1"/>
    <w:rsid w:val="001D2B26"/>
    <w:rsid w:val="001D529C"/>
    <w:rsid w:val="001D6007"/>
    <w:rsid w:val="001E0DB4"/>
    <w:rsid w:val="001E3EF0"/>
    <w:rsid w:val="001E77AB"/>
    <w:rsid w:val="001F128A"/>
    <w:rsid w:val="001F7D71"/>
    <w:rsid w:val="00200249"/>
    <w:rsid w:val="00203EE7"/>
    <w:rsid w:val="0021049E"/>
    <w:rsid w:val="00221E7A"/>
    <w:rsid w:val="002324A2"/>
    <w:rsid w:val="0025008D"/>
    <w:rsid w:val="0026321D"/>
    <w:rsid w:val="00286976"/>
    <w:rsid w:val="00287616"/>
    <w:rsid w:val="002952C9"/>
    <w:rsid w:val="00296FD3"/>
    <w:rsid w:val="002A1CBF"/>
    <w:rsid w:val="002A1D9D"/>
    <w:rsid w:val="002B11CE"/>
    <w:rsid w:val="002D6DF1"/>
    <w:rsid w:val="002E0E3D"/>
    <w:rsid w:val="002E11A1"/>
    <w:rsid w:val="002F362C"/>
    <w:rsid w:val="00300ED3"/>
    <w:rsid w:val="00317D9B"/>
    <w:rsid w:val="00320F38"/>
    <w:rsid w:val="003231FD"/>
    <w:rsid w:val="00336982"/>
    <w:rsid w:val="00342B66"/>
    <w:rsid w:val="00344415"/>
    <w:rsid w:val="003469AC"/>
    <w:rsid w:val="00346D6F"/>
    <w:rsid w:val="003475FC"/>
    <w:rsid w:val="003633E6"/>
    <w:rsid w:val="00365F9A"/>
    <w:rsid w:val="00367094"/>
    <w:rsid w:val="0038224A"/>
    <w:rsid w:val="00383282"/>
    <w:rsid w:val="00396F55"/>
    <w:rsid w:val="003B0386"/>
    <w:rsid w:val="003B3C28"/>
    <w:rsid w:val="003B6A57"/>
    <w:rsid w:val="003C0724"/>
    <w:rsid w:val="003C6261"/>
    <w:rsid w:val="003D174D"/>
    <w:rsid w:val="003D182B"/>
    <w:rsid w:val="003D5050"/>
    <w:rsid w:val="003E217D"/>
    <w:rsid w:val="003E7654"/>
    <w:rsid w:val="003F4A81"/>
    <w:rsid w:val="003F62E9"/>
    <w:rsid w:val="003F6E2B"/>
    <w:rsid w:val="0040398A"/>
    <w:rsid w:val="00412453"/>
    <w:rsid w:val="004130AE"/>
    <w:rsid w:val="0041614A"/>
    <w:rsid w:val="0043359F"/>
    <w:rsid w:val="00434062"/>
    <w:rsid w:val="00443C01"/>
    <w:rsid w:val="0046346B"/>
    <w:rsid w:val="00484907"/>
    <w:rsid w:val="00485F9D"/>
    <w:rsid w:val="004913D2"/>
    <w:rsid w:val="004A0E2C"/>
    <w:rsid w:val="004A49EC"/>
    <w:rsid w:val="004B05BC"/>
    <w:rsid w:val="004B2BE2"/>
    <w:rsid w:val="004B402A"/>
    <w:rsid w:val="004B44F9"/>
    <w:rsid w:val="004B4E4E"/>
    <w:rsid w:val="004B6A6A"/>
    <w:rsid w:val="004C10C8"/>
    <w:rsid w:val="004C215B"/>
    <w:rsid w:val="004D1344"/>
    <w:rsid w:val="004D4C73"/>
    <w:rsid w:val="004E5B0B"/>
    <w:rsid w:val="004E78F5"/>
    <w:rsid w:val="004F5F74"/>
    <w:rsid w:val="004F7A48"/>
    <w:rsid w:val="00502300"/>
    <w:rsid w:val="00502E80"/>
    <w:rsid w:val="0050716B"/>
    <w:rsid w:val="00520509"/>
    <w:rsid w:val="00522CF8"/>
    <w:rsid w:val="00525D13"/>
    <w:rsid w:val="0052690B"/>
    <w:rsid w:val="00526FAE"/>
    <w:rsid w:val="00531D25"/>
    <w:rsid w:val="005325AA"/>
    <w:rsid w:val="005327C6"/>
    <w:rsid w:val="005349E4"/>
    <w:rsid w:val="00534C2C"/>
    <w:rsid w:val="0053630A"/>
    <w:rsid w:val="00540B8C"/>
    <w:rsid w:val="0055544B"/>
    <w:rsid w:val="00555859"/>
    <w:rsid w:val="00557150"/>
    <w:rsid w:val="00560544"/>
    <w:rsid w:val="0056309A"/>
    <w:rsid w:val="00563116"/>
    <w:rsid w:val="00564D12"/>
    <w:rsid w:val="00567C76"/>
    <w:rsid w:val="0057744A"/>
    <w:rsid w:val="005774A8"/>
    <w:rsid w:val="0058412E"/>
    <w:rsid w:val="00587731"/>
    <w:rsid w:val="0059092F"/>
    <w:rsid w:val="005A0EA1"/>
    <w:rsid w:val="005A4010"/>
    <w:rsid w:val="005A7084"/>
    <w:rsid w:val="005B1A4A"/>
    <w:rsid w:val="005B490E"/>
    <w:rsid w:val="005C05E3"/>
    <w:rsid w:val="005C0669"/>
    <w:rsid w:val="005D0A99"/>
    <w:rsid w:val="005D30BF"/>
    <w:rsid w:val="005E00ED"/>
    <w:rsid w:val="005E3EA0"/>
    <w:rsid w:val="00627C0C"/>
    <w:rsid w:val="00627D12"/>
    <w:rsid w:val="00630BAE"/>
    <w:rsid w:val="006367B9"/>
    <w:rsid w:val="00640E88"/>
    <w:rsid w:val="00652674"/>
    <w:rsid w:val="0066666F"/>
    <w:rsid w:val="0067721A"/>
    <w:rsid w:val="00681733"/>
    <w:rsid w:val="006860F5"/>
    <w:rsid w:val="00687D50"/>
    <w:rsid w:val="00687F99"/>
    <w:rsid w:val="00690EB3"/>
    <w:rsid w:val="00694351"/>
    <w:rsid w:val="00694C80"/>
    <w:rsid w:val="006A5233"/>
    <w:rsid w:val="006B28F2"/>
    <w:rsid w:val="006B329F"/>
    <w:rsid w:val="006B3E5C"/>
    <w:rsid w:val="006B50C6"/>
    <w:rsid w:val="006B72A8"/>
    <w:rsid w:val="006C329A"/>
    <w:rsid w:val="006C4C86"/>
    <w:rsid w:val="006D19D6"/>
    <w:rsid w:val="006F0E6A"/>
    <w:rsid w:val="00716251"/>
    <w:rsid w:val="00721A2D"/>
    <w:rsid w:val="00722973"/>
    <w:rsid w:val="00726E64"/>
    <w:rsid w:val="00737CD7"/>
    <w:rsid w:val="00745545"/>
    <w:rsid w:val="007470A5"/>
    <w:rsid w:val="00753895"/>
    <w:rsid w:val="00754049"/>
    <w:rsid w:val="00760A3F"/>
    <w:rsid w:val="00761B0A"/>
    <w:rsid w:val="00766E00"/>
    <w:rsid w:val="00772F9D"/>
    <w:rsid w:val="007732DA"/>
    <w:rsid w:val="007839D4"/>
    <w:rsid w:val="007B2463"/>
    <w:rsid w:val="007B32DD"/>
    <w:rsid w:val="007B367A"/>
    <w:rsid w:val="007C055C"/>
    <w:rsid w:val="007C3BB8"/>
    <w:rsid w:val="007D7208"/>
    <w:rsid w:val="007D7A23"/>
    <w:rsid w:val="007F3B9D"/>
    <w:rsid w:val="007F6B5A"/>
    <w:rsid w:val="008000BB"/>
    <w:rsid w:val="0080223C"/>
    <w:rsid w:val="00806D63"/>
    <w:rsid w:val="00807A84"/>
    <w:rsid w:val="00815A3E"/>
    <w:rsid w:val="00820108"/>
    <w:rsid w:val="00831747"/>
    <w:rsid w:val="00834985"/>
    <w:rsid w:val="008434CC"/>
    <w:rsid w:val="00843835"/>
    <w:rsid w:val="00845104"/>
    <w:rsid w:val="00851F5E"/>
    <w:rsid w:val="00872445"/>
    <w:rsid w:val="00874B86"/>
    <w:rsid w:val="00880C17"/>
    <w:rsid w:val="008838C2"/>
    <w:rsid w:val="00893D5F"/>
    <w:rsid w:val="0089761C"/>
    <w:rsid w:val="008A0BF8"/>
    <w:rsid w:val="008B1302"/>
    <w:rsid w:val="008B53EA"/>
    <w:rsid w:val="008B6772"/>
    <w:rsid w:val="008B7642"/>
    <w:rsid w:val="008C1CE8"/>
    <w:rsid w:val="008C34A1"/>
    <w:rsid w:val="008D4B82"/>
    <w:rsid w:val="008E02A6"/>
    <w:rsid w:val="008E09EE"/>
    <w:rsid w:val="008E0DFC"/>
    <w:rsid w:val="008E1D18"/>
    <w:rsid w:val="008F02C0"/>
    <w:rsid w:val="008F09EE"/>
    <w:rsid w:val="008F41C5"/>
    <w:rsid w:val="008F7480"/>
    <w:rsid w:val="00901DEC"/>
    <w:rsid w:val="00903AF7"/>
    <w:rsid w:val="009068CE"/>
    <w:rsid w:val="0091206C"/>
    <w:rsid w:val="00914BC2"/>
    <w:rsid w:val="009224B4"/>
    <w:rsid w:val="00922CC5"/>
    <w:rsid w:val="00937972"/>
    <w:rsid w:val="00940947"/>
    <w:rsid w:val="00945602"/>
    <w:rsid w:val="00945AAA"/>
    <w:rsid w:val="0095059F"/>
    <w:rsid w:val="009520B2"/>
    <w:rsid w:val="00954AC0"/>
    <w:rsid w:val="00964956"/>
    <w:rsid w:val="00964B06"/>
    <w:rsid w:val="009827AD"/>
    <w:rsid w:val="009869E5"/>
    <w:rsid w:val="009A3F05"/>
    <w:rsid w:val="009A606A"/>
    <w:rsid w:val="009C36AC"/>
    <w:rsid w:val="009D0670"/>
    <w:rsid w:val="009E3F7D"/>
    <w:rsid w:val="009E7876"/>
    <w:rsid w:val="00A036C2"/>
    <w:rsid w:val="00A0611C"/>
    <w:rsid w:val="00A2307D"/>
    <w:rsid w:val="00A265A7"/>
    <w:rsid w:val="00A27396"/>
    <w:rsid w:val="00A311ED"/>
    <w:rsid w:val="00A3422D"/>
    <w:rsid w:val="00A47035"/>
    <w:rsid w:val="00A521C3"/>
    <w:rsid w:val="00A533D3"/>
    <w:rsid w:val="00A54E20"/>
    <w:rsid w:val="00A567F1"/>
    <w:rsid w:val="00A57959"/>
    <w:rsid w:val="00A60905"/>
    <w:rsid w:val="00A61B28"/>
    <w:rsid w:val="00A67E49"/>
    <w:rsid w:val="00A7622E"/>
    <w:rsid w:val="00A762A2"/>
    <w:rsid w:val="00A77E6C"/>
    <w:rsid w:val="00A81F73"/>
    <w:rsid w:val="00A856F8"/>
    <w:rsid w:val="00A85ADF"/>
    <w:rsid w:val="00A87ECA"/>
    <w:rsid w:val="00A956F3"/>
    <w:rsid w:val="00A95736"/>
    <w:rsid w:val="00AA2E89"/>
    <w:rsid w:val="00AA74A5"/>
    <w:rsid w:val="00AB4789"/>
    <w:rsid w:val="00AC7320"/>
    <w:rsid w:val="00AE4E74"/>
    <w:rsid w:val="00AE71D0"/>
    <w:rsid w:val="00AF1F58"/>
    <w:rsid w:val="00AF2A15"/>
    <w:rsid w:val="00B06190"/>
    <w:rsid w:val="00B06841"/>
    <w:rsid w:val="00B142E9"/>
    <w:rsid w:val="00B16838"/>
    <w:rsid w:val="00B230BE"/>
    <w:rsid w:val="00B26A51"/>
    <w:rsid w:val="00B37350"/>
    <w:rsid w:val="00B4263A"/>
    <w:rsid w:val="00B43BE8"/>
    <w:rsid w:val="00B5284E"/>
    <w:rsid w:val="00B6050C"/>
    <w:rsid w:val="00B659D0"/>
    <w:rsid w:val="00B67139"/>
    <w:rsid w:val="00B82C6F"/>
    <w:rsid w:val="00B83BF7"/>
    <w:rsid w:val="00B86823"/>
    <w:rsid w:val="00B914B6"/>
    <w:rsid w:val="00B92F19"/>
    <w:rsid w:val="00B95223"/>
    <w:rsid w:val="00B9575E"/>
    <w:rsid w:val="00B97235"/>
    <w:rsid w:val="00BB440E"/>
    <w:rsid w:val="00BC1685"/>
    <w:rsid w:val="00BC5A65"/>
    <w:rsid w:val="00BD355C"/>
    <w:rsid w:val="00BD3DAC"/>
    <w:rsid w:val="00BD7FB1"/>
    <w:rsid w:val="00BE7E24"/>
    <w:rsid w:val="00BF26D5"/>
    <w:rsid w:val="00BF71DB"/>
    <w:rsid w:val="00C05791"/>
    <w:rsid w:val="00C165BC"/>
    <w:rsid w:val="00C1774C"/>
    <w:rsid w:val="00C219AD"/>
    <w:rsid w:val="00C24970"/>
    <w:rsid w:val="00C363C4"/>
    <w:rsid w:val="00C36FA6"/>
    <w:rsid w:val="00C52F3A"/>
    <w:rsid w:val="00C55E8B"/>
    <w:rsid w:val="00C56A45"/>
    <w:rsid w:val="00C67095"/>
    <w:rsid w:val="00C74D28"/>
    <w:rsid w:val="00C82743"/>
    <w:rsid w:val="00C82B44"/>
    <w:rsid w:val="00C86F8C"/>
    <w:rsid w:val="00C87CA9"/>
    <w:rsid w:val="00C87E9C"/>
    <w:rsid w:val="00C94516"/>
    <w:rsid w:val="00C9685E"/>
    <w:rsid w:val="00C97F0A"/>
    <w:rsid w:val="00CB74DB"/>
    <w:rsid w:val="00CD3505"/>
    <w:rsid w:val="00CD4805"/>
    <w:rsid w:val="00CD6A07"/>
    <w:rsid w:val="00CE648F"/>
    <w:rsid w:val="00CF02F0"/>
    <w:rsid w:val="00CF09BC"/>
    <w:rsid w:val="00D156FE"/>
    <w:rsid w:val="00D20C7C"/>
    <w:rsid w:val="00D24BC2"/>
    <w:rsid w:val="00D4620F"/>
    <w:rsid w:val="00D47029"/>
    <w:rsid w:val="00D470E5"/>
    <w:rsid w:val="00D47D73"/>
    <w:rsid w:val="00D53F39"/>
    <w:rsid w:val="00D5625E"/>
    <w:rsid w:val="00D62CC3"/>
    <w:rsid w:val="00D65A88"/>
    <w:rsid w:val="00D664A1"/>
    <w:rsid w:val="00D73AC8"/>
    <w:rsid w:val="00D760BA"/>
    <w:rsid w:val="00D76F06"/>
    <w:rsid w:val="00D914A0"/>
    <w:rsid w:val="00D936FA"/>
    <w:rsid w:val="00D97CD5"/>
    <w:rsid w:val="00D97DBE"/>
    <w:rsid w:val="00DA1518"/>
    <w:rsid w:val="00DA389C"/>
    <w:rsid w:val="00DA3E82"/>
    <w:rsid w:val="00DA523D"/>
    <w:rsid w:val="00DA532F"/>
    <w:rsid w:val="00DB4544"/>
    <w:rsid w:val="00DB5351"/>
    <w:rsid w:val="00DC03CA"/>
    <w:rsid w:val="00DC1F4C"/>
    <w:rsid w:val="00DD4B28"/>
    <w:rsid w:val="00DD6953"/>
    <w:rsid w:val="00DF3708"/>
    <w:rsid w:val="00E00AC4"/>
    <w:rsid w:val="00E00D21"/>
    <w:rsid w:val="00E01B98"/>
    <w:rsid w:val="00E076AB"/>
    <w:rsid w:val="00E2464E"/>
    <w:rsid w:val="00E31F26"/>
    <w:rsid w:val="00E35BD7"/>
    <w:rsid w:val="00E47E7D"/>
    <w:rsid w:val="00E53557"/>
    <w:rsid w:val="00E54F67"/>
    <w:rsid w:val="00E57146"/>
    <w:rsid w:val="00E60B52"/>
    <w:rsid w:val="00E87051"/>
    <w:rsid w:val="00E8770A"/>
    <w:rsid w:val="00E92B41"/>
    <w:rsid w:val="00E93B90"/>
    <w:rsid w:val="00EA0EB7"/>
    <w:rsid w:val="00EB5E28"/>
    <w:rsid w:val="00EC0152"/>
    <w:rsid w:val="00EC18AC"/>
    <w:rsid w:val="00EC5C75"/>
    <w:rsid w:val="00EC662D"/>
    <w:rsid w:val="00EC692C"/>
    <w:rsid w:val="00EC78C9"/>
    <w:rsid w:val="00ED6941"/>
    <w:rsid w:val="00ED701D"/>
    <w:rsid w:val="00EE396B"/>
    <w:rsid w:val="00EF2026"/>
    <w:rsid w:val="00EF2FC4"/>
    <w:rsid w:val="00EF47E6"/>
    <w:rsid w:val="00EF6A50"/>
    <w:rsid w:val="00EF78D3"/>
    <w:rsid w:val="00EF7B63"/>
    <w:rsid w:val="00F0045D"/>
    <w:rsid w:val="00F01D55"/>
    <w:rsid w:val="00F0668A"/>
    <w:rsid w:val="00F0791E"/>
    <w:rsid w:val="00F157B4"/>
    <w:rsid w:val="00F22118"/>
    <w:rsid w:val="00F230D4"/>
    <w:rsid w:val="00F24524"/>
    <w:rsid w:val="00F2476E"/>
    <w:rsid w:val="00F30715"/>
    <w:rsid w:val="00F30BD6"/>
    <w:rsid w:val="00F31797"/>
    <w:rsid w:val="00F32C79"/>
    <w:rsid w:val="00F43031"/>
    <w:rsid w:val="00F44B38"/>
    <w:rsid w:val="00F537BB"/>
    <w:rsid w:val="00F6575F"/>
    <w:rsid w:val="00F74C08"/>
    <w:rsid w:val="00F75037"/>
    <w:rsid w:val="00F7567E"/>
    <w:rsid w:val="00F80F6E"/>
    <w:rsid w:val="00F914C5"/>
    <w:rsid w:val="00F91D9B"/>
    <w:rsid w:val="00F949A2"/>
    <w:rsid w:val="00F9788C"/>
    <w:rsid w:val="00FA4D4C"/>
    <w:rsid w:val="00FA4EF1"/>
    <w:rsid w:val="00FB0700"/>
    <w:rsid w:val="00FB5347"/>
    <w:rsid w:val="00FB57DC"/>
    <w:rsid w:val="00FB5FC9"/>
    <w:rsid w:val="00FB78D4"/>
    <w:rsid w:val="00FC0C3D"/>
    <w:rsid w:val="00FD222F"/>
    <w:rsid w:val="00FD5242"/>
    <w:rsid w:val="00FE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F841"/>
  <w15:chartTrackingRefBased/>
  <w15:docId w15:val="{E9D3D901-9E6F-403C-A960-D6C8F4B5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E6"/>
    <w:pPr>
      <w:widowControl w:val="0"/>
      <w:overflowPunct w:val="0"/>
      <w:autoSpaceDE w:val="0"/>
      <w:autoSpaceDN w:val="0"/>
      <w:adjustRightInd w:val="0"/>
      <w:spacing w:line="240" w:lineRule="auto"/>
      <w:jc w:val="left"/>
      <w:textAlignment w:val="baseline"/>
    </w:pPr>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EF47E6"/>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EF47E6"/>
    <w:pPr>
      <w:outlineLvl w:val="1"/>
    </w:pPr>
  </w:style>
  <w:style w:type="paragraph" w:styleId="Heading3">
    <w:name w:val="heading 3"/>
    <w:aliases w:val="Numbered - 3"/>
    <w:basedOn w:val="Heading2"/>
    <w:next w:val="Normal"/>
    <w:link w:val="Heading3Char"/>
    <w:qFormat/>
    <w:rsid w:val="00EF47E6"/>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EF47E6"/>
    <w:pPr>
      <w:outlineLvl w:val="3"/>
    </w:pPr>
  </w:style>
  <w:style w:type="paragraph" w:styleId="Heading5">
    <w:name w:val="heading 5"/>
    <w:aliases w:val="Numbered - 5"/>
    <w:basedOn w:val="Heading4"/>
    <w:next w:val="Normal"/>
    <w:link w:val="Heading5Char"/>
    <w:qFormat/>
    <w:rsid w:val="00EF47E6"/>
    <w:pPr>
      <w:outlineLvl w:val="4"/>
    </w:pPr>
  </w:style>
  <w:style w:type="paragraph" w:styleId="Heading6">
    <w:name w:val="heading 6"/>
    <w:aliases w:val="Numbered - 6"/>
    <w:basedOn w:val="Heading5"/>
    <w:next w:val="Normal"/>
    <w:link w:val="Heading6Char"/>
    <w:qFormat/>
    <w:rsid w:val="00EF47E6"/>
    <w:pPr>
      <w:outlineLvl w:val="5"/>
    </w:pPr>
  </w:style>
  <w:style w:type="paragraph" w:styleId="Heading7">
    <w:name w:val="heading 7"/>
    <w:aliases w:val="Numbered - 7"/>
    <w:basedOn w:val="Heading6"/>
    <w:next w:val="Normal"/>
    <w:link w:val="Heading7Char"/>
    <w:qFormat/>
    <w:rsid w:val="00EF47E6"/>
    <w:pPr>
      <w:outlineLvl w:val="6"/>
    </w:pPr>
  </w:style>
  <w:style w:type="paragraph" w:styleId="Heading8">
    <w:name w:val="heading 8"/>
    <w:aliases w:val="Numbered - 8"/>
    <w:basedOn w:val="Heading7"/>
    <w:next w:val="Normal"/>
    <w:link w:val="Heading8Char"/>
    <w:qFormat/>
    <w:rsid w:val="00EF47E6"/>
    <w:pPr>
      <w:outlineLvl w:val="7"/>
    </w:pPr>
  </w:style>
  <w:style w:type="paragraph" w:styleId="Heading9">
    <w:name w:val="heading 9"/>
    <w:aliases w:val="Numbered - 9"/>
    <w:basedOn w:val="Heading8"/>
    <w:next w:val="Normal"/>
    <w:link w:val="Heading9Char"/>
    <w:qFormat/>
    <w:rsid w:val="00EF47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EF47E6"/>
    <w:rPr>
      <w:rFonts w:ascii="Arial" w:eastAsia="Times New Roman" w:hAnsi="Arial" w:cs="Times New Roman"/>
      <w:b/>
      <w:kern w:val="28"/>
      <w:sz w:val="24"/>
      <w:szCs w:val="20"/>
    </w:rPr>
  </w:style>
  <w:style w:type="character" w:customStyle="1" w:styleId="Heading2Char">
    <w:name w:val="Heading 2 Char"/>
    <w:aliases w:val="Numbered - 2 Char"/>
    <w:basedOn w:val="DefaultParagraphFont"/>
    <w:link w:val="Heading2"/>
    <w:uiPriority w:val="99"/>
    <w:rsid w:val="00EF47E6"/>
    <w:rPr>
      <w:rFonts w:ascii="Arial" w:eastAsia="Times New Roman" w:hAnsi="Arial" w:cs="Times New Roman"/>
      <w:b/>
      <w:kern w:val="28"/>
      <w:sz w:val="24"/>
      <w:szCs w:val="20"/>
    </w:rPr>
  </w:style>
  <w:style w:type="character" w:customStyle="1" w:styleId="Heading3Char">
    <w:name w:val="Heading 3 Char"/>
    <w:aliases w:val="Numbered - 3 Char"/>
    <w:basedOn w:val="DefaultParagraphFont"/>
    <w:link w:val="Heading3"/>
    <w:rsid w:val="00EF47E6"/>
    <w:rPr>
      <w:rFonts w:ascii="Arial" w:eastAsia="Times New Roman" w:hAnsi="Arial" w:cs="Times New Roman"/>
      <w:kern w:val="28"/>
      <w:sz w:val="24"/>
      <w:szCs w:val="20"/>
    </w:rPr>
  </w:style>
  <w:style w:type="character" w:customStyle="1" w:styleId="Heading4Char">
    <w:name w:val="Heading 4 Char"/>
    <w:aliases w:val="Numbered - 4 Char"/>
    <w:basedOn w:val="DefaultParagraphFont"/>
    <w:link w:val="Heading4"/>
    <w:rsid w:val="00EF47E6"/>
    <w:rPr>
      <w:rFonts w:ascii="Arial" w:eastAsia="Times New Roman" w:hAnsi="Arial" w:cs="Times New Roman"/>
      <w:kern w:val="28"/>
      <w:sz w:val="24"/>
      <w:szCs w:val="20"/>
    </w:rPr>
  </w:style>
  <w:style w:type="character" w:customStyle="1" w:styleId="Heading5Char">
    <w:name w:val="Heading 5 Char"/>
    <w:aliases w:val="Numbered - 5 Char"/>
    <w:basedOn w:val="DefaultParagraphFont"/>
    <w:link w:val="Heading5"/>
    <w:rsid w:val="00EF47E6"/>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rsid w:val="00EF47E6"/>
    <w:rPr>
      <w:rFonts w:ascii="Arial" w:eastAsia="Times New Roman" w:hAnsi="Arial" w:cs="Times New Roman"/>
      <w:kern w:val="28"/>
      <w:sz w:val="24"/>
      <w:szCs w:val="20"/>
    </w:rPr>
  </w:style>
  <w:style w:type="character" w:customStyle="1" w:styleId="Heading7Char">
    <w:name w:val="Heading 7 Char"/>
    <w:aliases w:val="Numbered - 7 Char"/>
    <w:basedOn w:val="DefaultParagraphFont"/>
    <w:link w:val="Heading7"/>
    <w:rsid w:val="00EF47E6"/>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EF47E6"/>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rsid w:val="00EF47E6"/>
    <w:rPr>
      <w:rFonts w:ascii="Arial" w:eastAsia="Times New Roman" w:hAnsi="Arial" w:cs="Times New Roman"/>
      <w:kern w:val="28"/>
      <w:sz w:val="24"/>
      <w:szCs w:val="20"/>
    </w:rPr>
  </w:style>
  <w:style w:type="paragraph" w:styleId="BodyText">
    <w:name w:val="Body Text"/>
    <w:basedOn w:val="Normal"/>
    <w:link w:val="BodyTextChar"/>
    <w:uiPriority w:val="99"/>
    <w:rsid w:val="00EF47E6"/>
  </w:style>
  <w:style w:type="character" w:customStyle="1" w:styleId="BodyTextChar">
    <w:name w:val="Body Text Char"/>
    <w:basedOn w:val="DefaultParagraphFont"/>
    <w:link w:val="BodyText"/>
    <w:uiPriority w:val="99"/>
    <w:rsid w:val="00EF47E6"/>
    <w:rPr>
      <w:rFonts w:ascii="Arial" w:eastAsia="Times New Roman" w:hAnsi="Arial" w:cs="Times New Roman"/>
      <w:sz w:val="24"/>
      <w:szCs w:val="20"/>
    </w:rPr>
  </w:style>
  <w:style w:type="paragraph" w:styleId="BodyTextIndent">
    <w:name w:val="Body Text Indent"/>
    <w:basedOn w:val="Normal"/>
    <w:link w:val="BodyTextIndentChar"/>
    <w:rsid w:val="00EF47E6"/>
    <w:pPr>
      <w:ind w:left="288"/>
    </w:pPr>
  </w:style>
  <w:style w:type="character" w:customStyle="1" w:styleId="BodyTextIndentChar">
    <w:name w:val="Body Text Indent Char"/>
    <w:basedOn w:val="DefaultParagraphFont"/>
    <w:link w:val="BodyTextIndent"/>
    <w:rsid w:val="00EF47E6"/>
    <w:rPr>
      <w:rFonts w:ascii="Arial" w:eastAsia="Times New Roman" w:hAnsi="Arial" w:cs="Times New Roman"/>
      <w:sz w:val="24"/>
      <w:szCs w:val="20"/>
    </w:rPr>
  </w:style>
  <w:style w:type="paragraph" w:customStyle="1" w:styleId="DeptBullets">
    <w:name w:val="DeptBullets"/>
    <w:basedOn w:val="Normal"/>
    <w:uiPriority w:val="99"/>
    <w:rsid w:val="00EF47E6"/>
    <w:pPr>
      <w:numPr>
        <w:numId w:val="1"/>
      </w:numPr>
      <w:spacing w:after="240"/>
    </w:pPr>
  </w:style>
  <w:style w:type="paragraph" w:customStyle="1" w:styleId="DeptOutNumbered">
    <w:name w:val="DeptOutNumbered"/>
    <w:basedOn w:val="Normal"/>
    <w:rsid w:val="00EF47E6"/>
    <w:pPr>
      <w:numPr>
        <w:numId w:val="2"/>
      </w:numPr>
      <w:spacing w:after="240"/>
    </w:pPr>
  </w:style>
  <w:style w:type="paragraph" w:styleId="Footer">
    <w:name w:val="footer"/>
    <w:basedOn w:val="Normal"/>
    <w:link w:val="FooterChar"/>
    <w:uiPriority w:val="99"/>
    <w:rsid w:val="00EF47E6"/>
    <w:pPr>
      <w:tabs>
        <w:tab w:val="center" w:pos="4153"/>
        <w:tab w:val="right" w:pos="8306"/>
      </w:tabs>
    </w:pPr>
  </w:style>
  <w:style w:type="character" w:customStyle="1" w:styleId="FooterChar">
    <w:name w:val="Footer Char"/>
    <w:basedOn w:val="DefaultParagraphFont"/>
    <w:link w:val="Footer"/>
    <w:uiPriority w:val="99"/>
    <w:rsid w:val="00EF47E6"/>
    <w:rPr>
      <w:rFonts w:ascii="Arial" w:eastAsia="Times New Roman" w:hAnsi="Arial" w:cs="Times New Roman"/>
      <w:sz w:val="24"/>
      <w:szCs w:val="20"/>
    </w:rPr>
  </w:style>
  <w:style w:type="paragraph" w:styleId="Header">
    <w:name w:val="header"/>
    <w:basedOn w:val="Normal"/>
    <w:link w:val="HeaderChar"/>
    <w:uiPriority w:val="99"/>
    <w:rsid w:val="00EF47E6"/>
    <w:pPr>
      <w:tabs>
        <w:tab w:val="center" w:pos="4153"/>
        <w:tab w:val="right" w:pos="8306"/>
      </w:tabs>
    </w:pPr>
  </w:style>
  <w:style w:type="character" w:customStyle="1" w:styleId="HeaderChar">
    <w:name w:val="Header Char"/>
    <w:basedOn w:val="DefaultParagraphFont"/>
    <w:link w:val="Header"/>
    <w:uiPriority w:val="99"/>
    <w:rsid w:val="00EF47E6"/>
    <w:rPr>
      <w:rFonts w:ascii="Arial" w:eastAsia="Times New Roman" w:hAnsi="Arial" w:cs="Times New Roman"/>
      <w:sz w:val="24"/>
      <w:szCs w:val="20"/>
    </w:rPr>
  </w:style>
  <w:style w:type="paragraph" w:customStyle="1" w:styleId="Heading">
    <w:name w:val="Heading"/>
    <w:basedOn w:val="Normal"/>
    <w:next w:val="Normal"/>
    <w:rsid w:val="00EF47E6"/>
    <w:pPr>
      <w:keepNext/>
      <w:keepLines/>
      <w:spacing w:before="240" w:after="240"/>
      <w:ind w:left="-720"/>
    </w:pPr>
    <w:rPr>
      <w:b/>
    </w:rPr>
  </w:style>
  <w:style w:type="paragraph" w:customStyle="1" w:styleId="MinuteTop">
    <w:name w:val="Minute Top"/>
    <w:basedOn w:val="Normal"/>
    <w:rsid w:val="00EF47E6"/>
    <w:pPr>
      <w:tabs>
        <w:tab w:val="left" w:pos="4680"/>
        <w:tab w:val="left" w:pos="5587"/>
      </w:tabs>
    </w:pPr>
  </w:style>
  <w:style w:type="paragraph" w:customStyle="1" w:styleId="Numbered">
    <w:name w:val="Numbered"/>
    <w:basedOn w:val="Normal"/>
    <w:rsid w:val="00EF47E6"/>
    <w:pPr>
      <w:spacing w:after="240"/>
    </w:pPr>
  </w:style>
  <w:style w:type="character" w:styleId="PageNumber">
    <w:name w:val="page number"/>
    <w:basedOn w:val="DefaultParagraphFont"/>
    <w:rsid w:val="00EF47E6"/>
  </w:style>
  <w:style w:type="character" w:customStyle="1" w:styleId="PersonalComposeStyle">
    <w:name w:val="Personal Compose Style"/>
    <w:basedOn w:val="DefaultParagraphFont"/>
    <w:rsid w:val="00EF47E6"/>
    <w:rPr>
      <w:rFonts w:ascii="Arial" w:hAnsi="Arial" w:cs="Arial"/>
      <w:color w:val="auto"/>
      <w:sz w:val="20"/>
    </w:rPr>
  </w:style>
  <w:style w:type="character" w:customStyle="1" w:styleId="PersonalReplyStyle">
    <w:name w:val="Personal Reply Style"/>
    <w:basedOn w:val="DefaultParagraphFont"/>
    <w:rsid w:val="00EF47E6"/>
    <w:rPr>
      <w:rFonts w:ascii="Arial" w:hAnsi="Arial" w:cs="Arial"/>
      <w:color w:val="auto"/>
      <w:sz w:val="20"/>
    </w:rPr>
  </w:style>
  <w:style w:type="paragraph" w:customStyle="1" w:styleId="Sub-Heading">
    <w:name w:val="Sub-Heading"/>
    <w:basedOn w:val="Heading"/>
    <w:next w:val="Numbered"/>
    <w:rsid w:val="00EF47E6"/>
    <w:pPr>
      <w:spacing w:before="0"/>
    </w:pPr>
  </w:style>
  <w:style w:type="paragraph" w:styleId="Subtitle">
    <w:name w:val="Subtitle"/>
    <w:basedOn w:val="Normal"/>
    <w:link w:val="SubtitleChar"/>
    <w:qFormat/>
    <w:rsid w:val="00EF47E6"/>
    <w:pPr>
      <w:spacing w:after="60"/>
      <w:jc w:val="center"/>
    </w:pPr>
    <w:rPr>
      <w:i/>
    </w:rPr>
  </w:style>
  <w:style w:type="character" w:customStyle="1" w:styleId="SubtitleChar">
    <w:name w:val="Subtitle Char"/>
    <w:basedOn w:val="DefaultParagraphFont"/>
    <w:link w:val="Subtitle"/>
    <w:rsid w:val="00EF47E6"/>
    <w:rPr>
      <w:rFonts w:ascii="Arial" w:eastAsia="Times New Roman" w:hAnsi="Arial" w:cs="Times New Roman"/>
      <w:i/>
      <w:sz w:val="24"/>
      <w:szCs w:val="20"/>
    </w:rPr>
  </w:style>
  <w:style w:type="paragraph" w:customStyle="1" w:styleId="DfESOutNumbered">
    <w:name w:val="DfESOutNumbered"/>
    <w:basedOn w:val="Normal"/>
    <w:link w:val="DfESOutNumberedChar"/>
    <w:uiPriority w:val="99"/>
    <w:rsid w:val="00EF47E6"/>
    <w:pPr>
      <w:numPr>
        <w:numId w:val="3"/>
      </w:numPr>
      <w:spacing w:after="240"/>
    </w:pPr>
    <w:rPr>
      <w:rFonts w:cs="Arial"/>
      <w:sz w:val="22"/>
    </w:rPr>
  </w:style>
  <w:style w:type="paragraph" w:customStyle="1" w:styleId="DfESBullets">
    <w:name w:val="DfESBullets"/>
    <w:basedOn w:val="Normal"/>
    <w:rsid w:val="00EF47E6"/>
    <w:pPr>
      <w:numPr>
        <w:numId w:val="4"/>
      </w:numPr>
      <w:spacing w:after="240"/>
    </w:pPr>
    <w:rPr>
      <w:rFonts w:cs="Arial"/>
      <w:sz w:val="22"/>
    </w:rPr>
  </w:style>
  <w:style w:type="paragraph" w:styleId="ListParagraph">
    <w:name w:val="List Paragraph"/>
    <w:basedOn w:val="Normal"/>
    <w:link w:val="ListParagraphChar"/>
    <w:uiPriority w:val="34"/>
    <w:qFormat/>
    <w:rsid w:val="00EF47E6"/>
    <w:pPr>
      <w:ind w:left="720"/>
      <w:contextualSpacing/>
    </w:pPr>
  </w:style>
  <w:style w:type="table" w:styleId="TableGrid">
    <w:name w:val="Table Grid"/>
    <w:basedOn w:val="TableNormal"/>
    <w:uiPriority w:val="39"/>
    <w:rsid w:val="00EF47E6"/>
    <w:pPr>
      <w:spacing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F47E6"/>
    <w:rPr>
      <w:sz w:val="16"/>
      <w:szCs w:val="16"/>
    </w:rPr>
  </w:style>
  <w:style w:type="paragraph" w:styleId="CommentText">
    <w:name w:val="annotation text"/>
    <w:basedOn w:val="Normal"/>
    <w:link w:val="CommentTextChar"/>
    <w:rsid w:val="00EF47E6"/>
    <w:rPr>
      <w:sz w:val="20"/>
    </w:rPr>
  </w:style>
  <w:style w:type="character" w:customStyle="1" w:styleId="CommentTextChar">
    <w:name w:val="Comment Text Char"/>
    <w:basedOn w:val="DefaultParagraphFont"/>
    <w:link w:val="CommentText"/>
    <w:rsid w:val="00EF47E6"/>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F47E6"/>
    <w:rPr>
      <w:b/>
      <w:bCs/>
    </w:rPr>
  </w:style>
  <w:style w:type="character" w:customStyle="1" w:styleId="CommentSubjectChar">
    <w:name w:val="Comment Subject Char"/>
    <w:basedOn w:val="CommentTextChar"/>
    <w:link w:val="CommentSubject"/>
    <w:rsid w:val="00EF47E6"/>
    <w:rPr>
      <w:rFonts w:ascii="Arial" w:eastAsia="Times New Roman" w:hAnsi="Arial" w:cs="Times New Roman"/>
      <w:b/>
      <w:bCs/>
      <w:sz w:val="20"/>
      <w:szCs w:val="20"/>
    </w:rPr>
  </w:style>
  <w:style w:type="paragraph" w:styleId="BalloonText">
    <w:name w:val="Balloon Text"/>
    <w:basedOn w:val="Normal"/>
    <w:link w:val="BalloonTextChar"/>
    <w:rsid w:val="00EF47E6"/>
    <w:rPr>
      <w:rFonts w:ascii="Tahoma" w:hAnsi="Tahoma" w:cs="Tahoma"/>
      <w:sz w:val="16"/>
      <w:szCs w:val="16"/>
    </w:rPr>
  </w:style>
  <w:style w:type="character" w:customStyle="1" w:styleId="BalloonTextChar">
    <w:name w:val="Balloon Text Char"/>
    <w:basedOn w:val="DefaultParagraphFont"/>
    <w:link w:val="BalloonText"/>
    <w:rsid w:val="00EF47E6"/>
    <w:rPr>
      <w:rFonts w:ascii="Tahoma" w:eastAsia="Times New Roman" w:hAnsi="Tahoma" w:cs="Tahoma"/>
      <w:sz w:val="16"/>
      <w:szCs w:val="16"/>
    </w:rPr>
  </w:style>
  <w:style w:type="paragraph" w:styleId="Revision">
    <w:name w:val="Revision"/>
    <w:hidden/>
    <w:uiPriority w:val="99"/>
    <w:semiHidden/>
    <w:rsid w:val="00EF47E6"/>
    <w:pPr>
      <w:spacing w:line="240" w:lineRule="auto"/>
      <w:jc w:val="left"/>
    </w:pPr>
    <w:rPr>
      <w:rFonts w:ascii="Arial" w:eastAsia="Times New Roman" w:hAnsi="Arial" w:cs="Times New Roman"/>
      <w:sz w:val="24"/>
      <w:szCs w:val="20"/>
    </w:rPr>
  </w:style>
  <w:style w:type="character" w:styleId="Hyperlink">
    <w:name w:val="Hyperlink"/>
    <w:basedOn w:val="DefaultParagraphFont"/>
    <w:rsid w:val="00EF47E6"/>
    <w:rPr>
      <w:color w:val="0563C1" w:themeColor="hyperlink"/>
      <w:u w:val="single"/>
    </w:rPr>
  </w:style>
  <w:style w:type="paragraph" w:styleId="ListBullet">
    <w:name w:val="List Bullet"/>
    <w:basedOn w:val="List"/>
    <w:uiPriority w:val="1"/>
    <w:qFormat/>
    <w:rsid w:val="00EF47E6"/>
    <w:pPr>
      <w:widowControl/>
      <w:numPr>
        <w:numId w:val="5"/>
      </w:numPr>
      <w:tabs>
        <w:tab w:val="clear" w:pos="360"/>
        <w:tab w:val="num" w:pos="720"/>
      </w:tabs>
      <w:overflowPunct/>
      <w:autoSpaceDE/>
      <w:autoSpaceDN/>
      <w:adjustRightInd/>
      <w:spacing w:before="120" w:after="120" w:line="276" w:lineRule="auto"/>
      <w:ind w:left="357" w:hanging="357"/>
      <w:contextualSpacing w:val="0"/>
      <w:textAlignment w:val="auto"/>
    </w:pPr>
    <w:rPr>
      <w:rFonts w:asciiTheme="minorHAnsi" w:eastAsiaTheme="minorHAnsi" w:hAnsiTheme="minorHAnsi" w:cs="Arial"/>
      <w:color w:val="111111"/>
      <w:sz w:val="22"/>
      <w:lang w:val="en-US"/>
    </w:rPr>
  </w:style>
  <w:style w:type="paragraph" w:styleId="List">
    <w:name w:val="List"/>
    <w:basedOn w:val="Normal"/>
    <w:semiHidden/>
    <w:unhideWhenUsed/>
    <w:rsid w:val="00EF47E6"/>
    <w:pPr>
      <w:ind w:left="283" w:hanging="283"/>
      <w:contextualSpacing/>
    </w:pPr>
  </w:style>
  <w:style w:type="paragraph" w:customStyle="1" w:styleId="Body">
    <w:name w:val="Body"/>
    <w:basedOn w:val="Normal"/>
    <w:link w:val="BodyChar"/>
    <w:rsid w:val="00EF47E6"/>
    <w:pPr>
      <w:widowControl/>
      <w:overflowPunct/>
      <w:autoSpaceDE/>
      <w:autoSpaceDN/>
      <w:adjustRightInd/>
      <w:spacing w:after="240"/>
      <w:jc w:val="both"/>
      <w:textAlignment w:val="auto"/>
    </w:pPr>
    <w:rPr>
      <w:rFonts w:cs="Arial"/>
      <w:sz w:val="20"/>
      <w:lang w:eastAsia="en-GB"/>
    </w:rPr>
  </w:style>
  <w:style w:type="character" w:customStyle="1" w:styleId="BodyChar">
    <w:name w:val="Body Char"/>
    <w:basedOn w:val="DefaultParagraphFont"/>
    <w:link w:val="Body"/>
    <w:locked/>
    <w:rsid w:val="00EF47E6"/>
    <w:rPr>
      <w:rFonts w:ascii="Arial" w:eastAsia="Times New Roman" w:hAnsi="Arial" w:cs="Arial"/>
      <w:sz w:val="20"/>
      <w:szCs w:val="20"/>
      <w:lang w:eastAsia="en-GB"/>
    </w:rPr>
  </w:style>
  <w:style w:type="paragraph" w:customStyle="1" w:styleId="Default">
    <w:name w:val="Default"/>
    <w:rsid w:val="00EF47E6"/>
    <w:pPr>
      <w:autoSpaceDE w:val="0"/>
      <w:autoSpaceDN w:val="0"/>
      <w:adjustRightInd w:val="0"/>
      <w:spacing w:line="240" w:lineRule="auto"/>
      <w:jc w:val="left"/>
    </w:pPr>
    <w:rPr>
      <w:rFonts w:ascii="Calibri" w:hAnsi="Calibri" w:cs="Calibri"/>
      <w:color w:val="000000"/>
      <w:sz w:val="24"/>
      <w:szCs w:val="24"/>
    </w:rPr>
  </w:style>
  <w:style w:type="table" w:customStyle="1" w:styleId="TableGrid0">
    <w:name w:val="TableGrid"/>
    <w:rsid w:val="00EF47E6"/>
    <w:pPr>
      <w:spacing w:line="240" w:lineRule="auto"/>
      <w:jc w:val="left"/>
    </w:pPr>
    <w:rPr>
      <w:rFonts w:eastAsiaTheme="minorEastAsia"/>
      <w:lang w:eastAsia="en-GB"/>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EF47E6"/>
    <w:rPr>
      <w:rFonts w:ascii="Arial" w:eastAsia="Times New Roman" w:hAnsi="Arial" w:cs="Times New Roman"/>
      <w:sz w:val="24"/>
      <w:szCs w:val="20"/>
    </w:rPr>
  </w:style>
  <w:style w:type="paragraph" w:styleId="NormalWeb">
    <w:name w:val="Normal (Web)"/>
    <w:basedOn w:val="Normal"/>
    <w:uiPriority w:val="99"/>
    <w:unhideWhenUsed/>
    <w:rsid w:val="00EF47E6"/>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DfESOutNumberedChar">
    <w:name w:val="DfESOutNumbered Char"/>
    <w:basedOn w:val="DefaultParagraphFont"/>
    <w:link w:val="DfESOutNumbered"/>
    <w:uiPriority w:val="99"/>
    <w:locked/>
    <w:rsid w:val="00EF47E6"/>
    <w:rPr>
      <w:rFonts w:ascii="Arial" w:eastAsia="Times New Roman" w:hAnsi="Arial" w:cs="Arial"/>
      <w:szCs w:val="20"/>
    </w:rPr>
  </w:style>
  <w:style w:type="paragraph" w:customStyle="1" w:styleId="TableHeading">
    <w:name w:val="Table Heading"/>
    <w:basedOn w:val="Normal"/>
    <w:uiPriority w:val="99"/>
    <w:rsid w:val="00EF47E6"/>
    <w:pPr>
      <w:widowControl/>
      <w:overflowPunct/>
      <w:autoSpaceDE/>
      <w:autoSpaceDN/>
      <w:adjustRightInd/>
      <w:textAlignment w:val="auto"/>
    </w:pPr>
    <w:rPr>
      <w:b/>
      <w:color w:val="FFFFFF"/>
      <w:szCs w:val="24"/>
      <w:lang w:eastAsia="en-GB"/>
    </w:rPr>
  </w:style>
  <w:style w:type="table" w:styleId="MediumList2-Accent1">
    <w:name w:val="Medium List 2 Accent 1"/>
    <w:basedOn w:val="TableNormal"/>
    <w:uiPriority w:val="66"/>
    <w:rsid w:val="00EF47E6"/>
    <w:pPr>
      <w:spacing w:line="240" w:lineRule="auto"/>
      <w:jc w:val="left"/>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5463">
      <w:bodyDiv w:val="1"/>
      <w:marLeft w:val="0"/>
      <w:marRight w:val="0"/>
      <w:marTop w:val="0"/>
      <w:marBottom w:val="0"/>
      <w:divBdr>
        <w:top w:val="none" w:sz="0" w:space="0" w:color="auto"/>
        <w:left w:val="none" w:sz="0" w:space="0" w:color="auto"/>
        <w:bottom w:val="none" w:sz="0" w:space="0" w:color="auto"/>
        <w:right w:val="none" w:sz="0" w:space="0" w:color="auto"/>
      </w:divBdr>
    </w:div>
    <w:div w:id="18798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5F17.C97AECF0" TargetMode="External"/><Relationship Id="rId13" Type="http://schemas.openxmlformats.org/officeDocument/2006/relationships/header" Target="header1.xml"/><Relationship Id="rId18" Type="http://schemas.openxmlformats.org/officeDocument/2006/relationships/image" Target="cid:image006.png@01D480DD.4FBF6CA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cid:image003.png@01D480DE.17184AB0"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www.pensionsadvisoryserv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cid:image008.png@01D48598.98EAB9B0" TargetMode="External"/><Relationship Id="rId19" Type="http://schemas.openxmlformats.org/officeDocument/2006/relationships/hyperlink" Target="http://www.teacherspensions.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artdarfp01\teams\TP%20Shared%20Area\Service%20Delivery%20Report\GMP%20Recon\June%202018\SM%20%20=%20Y%20analysis\summary%20of%20Overpayments%20as%20at%20Nov%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GMP</a:t>
            </a:r>
            <a:r>
              <a:rPr lang="en-US" sz="1200" baseline="0"/>
              <a:t> rectification - i</a:t>
            </a:r>
            <a:r>
              <a:rPr lang="en-US" sz="1200"/>
              <a:t>mpact</a:t>
            </a:r>
            <a:r>
              <a:rPr lang="en-US" sz="1200" baseline="0"/>
              <a:t> on members</a:t>
            </a: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s>
    <c:plotArea>
      <c:layout>
        <c:manualLayout>
          <c:layoutTarget val="inner"/>
          <c:xMode val="edge"/>
          <c:yMode val="edge"/>
          <c:x val="0.1544347457304214"/>
          <c:y val="0.12224409448818897"/>
          <c:w val="0.75237868830460997"/>
          <c:h val="0.66818236680268983"/>
        </c:manualLayout>
      </c:layout>
      <c:barChart>
        <c:barDir val="col"/>
        <c:grouping val="clustered"/>
        <c:varyColors val="0"/>
        <c:ser>
          <c:idx val="0"/>
          <c:order val="0"/>
          <c:tx>
            <c:v>Total</c:v>
          </c:tx>
          <c:spPr>
            <a:solidFill>
              <a:srgbClr val="FF000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0"/>
              <c:pt idx="0">
                <c:v>£0.01 - £99.99</c:v>
              </c:pt>
              <c:pt idx="1">
                <c:v>£100 - £199.99</c:v>
              </c:pt>
              <c:pt idx="2">
                <c:v>£200 - £299.99</c:v>
              </c:pt>
              <c:pt idx="3">
                <c:v>£300 - £399.99</c:v>
              </c:pt>
              <c:pt idx="4">
                <c:v>£400 - £499.99</c:v>
              </c:pt>
              <c:pt idx="5">
                <c:v>£500 - £599.99</c:v>
              </c:pt>
              <c:pt idx="6">
                <c:v>£600 - £699.99</c:v>
              </c:pt>
              <c:pt idx="7">
                <c:v>£700 - £799.99</c:v>
              </c:pt>
              <c:pt idx="8">
                <c:v>£800 - £899.99</c:v>
              </c:pt>
              <c:pt idx="9">
                <c:v>£900 - £999.99</c:v>
              </c:pt>
            </c:strLit>
          </c:cat>
          <c:val>
            <c:numLit>
              <c:formatCode>General</c:formatCode>
              <c:ptCount val="10"/>
              <c:pt idx="0">
                <c:v>14446</c:v>
              </c:pt>
              <c:pt idx="1">
                <c:v>4073</c:v>
              </c:pt>
              <c:pt idx="2">
                <c:v>1754</c:v>
              </c:pt>
              <c:pt idx="3">
                <c:v>698</c:v>
              </c:pt>
              <c:pt idx="4">
                <c:v>1001</c:v>
              </c:pt>
              <c:pt idx="5">
                <c:v>1036</c:v>
              </c:pt>
              <c:pt idx="6">
                <c:v>842</c:v>
              </c:pt>
              <c:pt idx="7">
                <c:v>134</c:v>
              </c:pt>
              <c:pt idx="8">
                <c:v>1</c:v>
              </c:pt>
              <c:pt idx="9">
                <c:v>1</c:v>
              </c:pt>
            </c:numLit>
          </c:val>
          <c:extLst>
            <c:ext xmlns:c16="http://schemas.microsoft.com/office/drawing/2014/chart" uri="{C3380CC4-5D6E-409C-BE32-E72D297353CC}">
              <c16:uniqueId val="{00000000-EE5C-4C84-8822-D74A9965147C}"/>
            </c:ext>
          </c:extLst>
        </c:ser>
        <c:dLbls>
          <c:showLegendKey val="0"/>
          <c:showVal val="0"/>
          <c:showCatName val="0"/>
          <c:showSerName val="0"/>
          <c:showPercent val="0"/>
          <c:showBubbleSize val="0"/>
        </c:dLbls>
        <c:gapWidth val="219"/>
        <c:overlap val="-27"/>
        <c:axId val="878613336"/>
        <c:axId val="878616944"/>
      </c:barChart>
      <c:catAx>
        <c:axId val="87861333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Change in annual pension</a:t>
                </a:r>
                <a:endParaRPr lang="en-GB" sz="1200" baseline="0"/>
              </a:p>
            </c:rich>
          </c:tx>
          <c:layout>
            <c:manualLayout>
              <c:xMode val="edge"/>
              <c:yMode val="edge"/>
              <c:x val="0.38514224749888593"/>
              <c:y val="0.9188326915339961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616944"/>
        <c:crosses val="autoZero"/>
        <c:auto val="1"/>
        <c:lblAlgn val="ctr"/>
        <c:lblOffset val="100"/>
        <c:noMultiLvlLbl val="0"/>
      </c:catAx>
      <c:valAx>
        <c:axId val="878616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Number of members</a:t>
                </a:r>
              </a:p>
            </c:rich>
          </c:tx>
          <c:layout>
            <c:manualLayout>
              <c:xMode val="edge"/>
              <c:yMode val="edge"/>
              <c:x val="1.6786579880754965E-2"/>
              <c:y val="0.209136444623254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61333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6700</Words>
  <Characters>38194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ALDERSON, Anna-Marie</dc:creator>
  <cp:keywords/>
  <dc:description/>
  <cp:lastModifiedBy>CAMMACK, Karen</cp:lastModifiedBy>
  <cp:revision>3</cp:revision>
  <cp:lastPrinted>2018-12-04T12:37:00Z</cp:lastPrinted>
  <dcterms:created xsi:type="dcterms:W3CDTF">2019-01-31T09:49:00Z</dcterms:created>
  <dcterms:modified xsi:type="dcterms:W3CDTF">2019-01-31T09:51:00Z</dcterms:modified>
</cp:coreProperties>
</file>