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C2254" w14:textId="77777777" w:rsidR="00491648" w:rsidRPr="000564EB" w:rsidRDefault="005808A8" w:rsidP="005808A8">
      <w:pPr>
        <w:rPr>
          <w:rFonts w:cs="Arial"/>
          <w:b/>
          <w:szCs w:val="24"/>
        </w:rPr>
      </w:pPr>
      <w:r w:rsidRPr="000564EB">
        <w:rPr>
          <w:rFonts w:cs="Arial"/>
          <w:b/>
          <w:szCs w:val="24"/>
        </w:rPr>
        <w:t xml:space="preserve">TPSPB </w:t>
      </w:r>
      <w:r w:rsidR="00686D7A" w:rsidRPr="000564EB">
        <w:rPr>
          <w:rFonts w:cs="Arial"/>
          <w:b/>
          <w:szCs w:val="24"/>
        </w:rPr>
        <w:t>report</w:t>
      </w:r>
      <w:r w:rsidRPr="000564EB">
        <w:rPr>
          <w:rFonts w:cs="Arial"/>
          <w:b/>
          <w:szCs w:val="24"/>
        </w:rPr>
        <w:t xml:space="preserve"> –</w:t>
      </w:r>
      <w:r w:rsidR="00DB7DEF" w:rsidRPr="000564EB">
        <w:rPr>
          <w:rFonts w:cs="Arial"/>
          <w:b/>
          <w:szCs w:val="24"/>
        </w:rPr>
        <w:t xml:space="preserve"> </w:t>
      </w:r>
      <w:r w:rsidR="001D7169" w:rsidRPr="000564EB">
        <w:rPr>
          <w:rFonts w:cs="Arial"/>
          <w:b/>
          <w:szCs w:val="24"/>
        </w:rPr>
        <w:t xml:space="preserve">May </w:t>
      </w:r>
      <w:r w:rsidR="00BF0971" w:rsidRPr="000564EB">
        <w:rPr>
          <w:rFonts w:cs="Arial"/>
          <w:b/>
          <w:szCs w:val="24"/>
        </w:rPr>
        <w:t>2018</w:t>
      </w:r>
      <w:r w:rsidR="001D7169" w:rsidRPr="000564EB">
        <w:rPr>
          <w:rFonts w:cs="Arial"/>
          <w:b/>
          <w:szCs w:val="24"/>
        </w:rPr>
        <w:t xml:space="preserve"> to July</w:t>
      </w:r>
      <w:r w:rsidR="00523049" w:rsidRPr="000564EB">
        <w:rPr>
          <w:rFonts w:cs="Arial"/>
          <w:b/>
          <w:szCs w:val="24"/>
        </w:rPr>
        <w:t xml:space="preserve"> 2018</w:t>
      </w:r>
    </w:p>
    <w:p w14:paraId="1ECDDC0A" w14:textId="77777777" w:rsidR="002A7069" w:rsidRPr="000564EB" w:rsidRDefault="002A7069" w:rsidP="00C7117E">
      <w:pPr>
        <w:pStyle w:val="DeptBullets"/>
        <w:numPr>
          <w:ilvl w:val="0"/>
          <w:numId w:val="0"/>
        </w:numPr>
        <w:spacing w:after="0"/>
        <w:rPr>
          <w:rFonts w:cs="Arial"/>
          <w:b/>
          <w:szCs w:val="24"/>
        </w:rPr>
      </w:pPr>
    </w:p>
    <w:p w14:paraId="0861022E" w14:textId="4378F6B7" w:rsidR="00530158" w:rsidRPr="000564EB" w:rsidRDefault="002A7069" w:rsidP="00530158">
      <w:pPr>
        <w:pStyle w:val="DeptBullets"/>
        <w:numPr>
          <w:ilvl w:val="0"/>
          <w:numId w:val="0"/>
        </w:numPr>
        <w:spacing w:after="0"/>
        <w:rPr>
          <w:rFonts w:cs="Arial"/>
          <w:b/>
          <w:szCs w:val="24"/>
        </w:rPr>
      </w:pPr>
      <w:r w:rsidRPr="000564EB">
        <w:rPr>
          <w:rFonts w:cs="Arial"/>
          <w:szCs w:val="24"/>
        </w:rPr>
        <w:t>The purpose of this document is to advise the sub-committee</w:t>
      </w:r>
      <w:r w:rsidR="00686D7A" w:rsidRPr="000564EB">
        <w:rPr>
          <w:rFonts w:cs="Arial"/>
          <w:szCs w:val="24"/>
        </w:rPr>
        <w:t>s</w:t>
      </w:r>
      <w:r w:rsidRPr="000564EB">
        <w:rPr>
          <w:rFonts w:cs="Arial"/>
          <w:szCs w:val="24"/>
        </w:rPr>
        <w:t xml:space="preserve"> and the TPS Pension Board (TPSPB) of recent key activit</w:t>
      </w:r>
      <w:r w:rsidR="00686D7A" w:rsidRPr="000564EB">
        <w:rPr>
          <w:rFonts w:cs="Arial"/>
          <w:szCs w:val="24"/>
        </w:rPr>
        <w:t>ies</w:t>
      </w:r>
      <w:r w:rsidR="00B86AF9" w:rsidRPr="000564EB">
        <w:rPr>
          <w:rFonts w:cs="Arial"/>
          <w:szCs w:val="24"/>
        </w:rPr>
        <w:t xml:space="preserve"> relating to the administration of the scheme </w:t>
      </w:r>
      <w:r w:rsidR="006F1189" w:rsidRPr="000564EB">
        <w:rPr>
          <w:rFonts w:cs="Arial"/>
          <w:szCs w:val="24"/>
        </w:rPr>
        <w:t>to</w:t>
      </w:r>
      <w:r w:rsidR="00B86AF9" w:rsidRPr="000564EB">
        <w:rPr>
          <w:rFonts w:cs="Arial"/>
          <w:szCs w:val="24"/>
        </w:rPr>
        <w:t xml:space="preserve"> assist with its assurance role</w:t>
      </w:r>
      <w:r w:rsidRPr="000564EB">
        <w:rPr>
          <w:rFonts w:cs="Arial"/>
          <w:szCs w:val="24"/>
        </w:rPr>
        <w:t xml:space="preserve">.  </w:t>
      </w:r>
      <w:r w:rsidR="00530158" w:rsidRPr="000564EB">
        <w:rPr>
          <w:rFonts w:cs="Arial"/>
          <w:szCs w:val="24"/>
        </w:rPr>
        <w:t>The report also aims to assist the Board in its strategic role by providing information on specific actions and projects that aim to ensure the administration continues to improve and best serve all stakeholders’ needs.</w:t>
      </w:r>
    </w:p>
    <w:p w14:paraId="0C9D655F" w14:textId="77777777" w:rsidR="00530158" w:rsidRPr="000564EB" w:rsidRDefault="00530158" w:rsidP="00530158">
      <w:pPr>
        <w:pStyle w:val="DeptBullets"/>
        <w:numPr>
          <w:ilvl w:val="0"/>
          <w:numId w:val="0"/>
        </w:numPr>
        <w:tabs>
          <w:tab w:val="left" w:pos="6105"/>
        </w:tabs>
        <w:spacing w:after="0"/>
        <w:rPr>
          <w:rFonts w:cs="Arial"/>
          <w:szCs w:val="24"/>
        </w:rPr>
      </w:pPr>
    </w:p>
    <w:p w14:paraId="4DA4373B" w14:textId="77777777" w:rsidR="008C3CD0" w:rsidRPr="000564EB" w:rsidRDefault="00EE1811" w:rsidP="008C3CD0">
      <w:pPr>
        <w:rPr>
          <w:rFonts w:cs="Arial"/>
          <w:b/>
          <w:color w:val="FF0000"/>
          <w:szCs w:val="24"/>
        </w:rPr>
      </w:pPr>
      <w:r w:rsidRPr="000564EB">
        <w:rPr>
          <w:rFonts w:cs="Arial"/>
          <w:b/>
          <w:szCs w:val="24"/>
        </w:rPr>
        <w:t>Teachers’ Pensions Contact Centre</w:t>
      </w:r>
    </w:p>
    <w:p w14:paraId="2FE7AB13" w14:textId="77777777" w:rsidR="008C3CD0" w:rsidRPr="000564EB" w:rsidRDefault="008C3CD0" w:rsidP="008C3CD0">
      <w:pPr>
        <w:rPr>
          <w:rFonts w:cs="Arial"/>
          <w:b/>
          <w:color w:val="FF0000"/>
          <w:szCs w:val="24"/>
        </w:rPr>
      </w:pPr>
    </w:p>
    <w:p w14:paraId="659ACD2B" w14:textId="4681BB2C" w:rsidR="008C3CD0" w:rsidRPr="000564EB" w:rsidRDefault="005E32F5" w:rsidP="008474A5">
      <w:pPr>
        <w:pStyle w:val="ListParagraph"/>
        <w:numPr>
          <w:ilvl w:val="0"/>
          <w:numId w:val="6"/>
        </w:numPr>
        <w:ind w:left="142"/>
        <w:rPr>
          <w:rFonts w:cs="Arial"/>
          <w:szCs w:val="24"/>
        </w:rPr>
      </w:pPr>
      <w:r>
        <w:rPr>
          <w:rFonts w:cs="Arial"/>
          <w:szCs w:val="24"/>
        </w:rPr>
        <w:t>Teachers’ Pensions</w:t>
      </w:r>
      <w:r w:rsidR="008C3CD0" w:rsidRPr="000564EB">
        <w:rPr>
          <w:rFonts w:cs="Arial"/>
          <w:szCs w:val="24"/>
        </w:rPr>
        <w:t xml:space="preserve"> has a very specific remit to interact with members and employers </w:t>
      </w:r>
      <w:r w:rsidR="009850E7">
        <w:rPr>
          <w:rFonts w:cs="Arial"/>
          <w:szCs w:val="24"/>
        </w:rPr>
        <w:t>effectively</w:t>
      </w:r>
      <w:r w:rsidR="000C146F">
        <w:rPr>
          <w:rFonts w:cs="Arial"/>
          <w:szCs w:val="24"/>
        </w:rPr>
        <w:t>,</w:t>
      </w:r>
      <w:r w:rsidR="009850E7">
        <w:rPr>
          <w:rFonts w:cs="Arial"/>
          <w:szCs w:val="24"/>
        </w:rPr>
        <w:t xml:space="preserve"> </w:t>
      </w:r>
      <w:r w:rsidR="008C3CD0" w:rsidRPr="000564EB">
        <w:rPr>
          <w:rFonts w:cs="Arial"/>
          <w:szCs w:val="24"/>
        </w:rPr>
        <w:t>whilst delivering a complex scheme</w:t>
      </w:r>
      <w:r w:rsidR="000C146F">
        <w:rPr>
          <w:rFonts w:cs="Arial"/>
          <w:szCs w:val="24"/>
        </w:rPr>
        <w:t>.  T</w:t>
      </w:r>
      <w:r w:rsidR="008C3CD0" w:rsidRPr="000564EB">
        <w:rPr>
          <w:rFonts w:cs="Arial"/>
          <w:szCs w:val="24"/>
        </w:rPr>
        <w:t>he contact centre offering is unique to and specific to TPS members</w:t>
      </w:r>
      <w:r w:rsidR="006F1189">
        <w:rPr>
          <w:rFonts w:cs="Arial"/>
          <w:szCs w:val="24"/>
        </w:rPr>
        <w:t>’</w:t>
      </w:r>
      <w:r w:rsidR="008C3CD0" w:rsidRPr="000564EB">
        <w:rPr>
          <w:rFonts w:cs="Arial"/>
          <w:szCs w:val="24"/>
        </w:rPr>
        <w:t xml:space="preserve"> and employers</w:t>
      </w:r>
      <w:r w:rsidR="006F1189">
        <w:rPr>
          <w:rFonts w:cs="Arial"/>
          <w:szCs w:val="24"/>
        </w:rPr>
        <w:t>’</w:t>
      </w:r>
      <w:r w:rsidR="008C3CD0" w:rsidRPr="000564EB">
        <w:rPr>
          <w:rFonts w:cs="Arial"/>
          <w:szCs w:val="24"/>
        </w:rPr>
        <w:t xml:space="preserve"> needs</w:t>
      </w:r>
      <w:r w:rsidR="000C146F">
        <w:rPr>
          <w:rFonts w:cs="Arial"/>
          <w:szCs w:val="24"/>
        </w:rPr>
        <w:t>, s</w:t>
      </w:r>
      <w:r w:rsidR="00573340">
        <w:rPr>
          <w:rFonts w:cs="Arial"/>
          <w:szCs w:val="24"/>
        </w:rPr>
        <w:t xml:space="preserve">o </w:t>
      </w:r>
      <w:r w:rsidR="009850E7">
        <w:rPr>
          <w:rFonts w:cs="Arial"/>
          <w:szCs w:val="24"/>
        </w:rPr>
        <w:t>the service offered needs to be responsive, effective and adaptable</w:t>
      </w:r>
      <w:r w:rsidR="00573340">
        <w:rPr>
          <w:rFonts w:cs="Arial"/>
          <w:szCs w:val="24"/>
        </w:rPr>
        <w:t>.</w:t>
      </w:r>
      <w:r w:rsidRPr="005E32F5">
        <w:rPr>
          <w:rFonts w:cs="Arial"/>
          <w:szCs w:val="24"/>
        </w:rPr>
        <w:t xml:space="preserve"> </w:t>
      </w:r>
      <w:r w:rsidRPr="000564EB">
        <w:rPr>
          <w:rFonts w:cs="Arial"/>
          <w:szCs w:val="24"/>
        </w:rPr>
        <w:t>As a result of TPSPB challenge</w:t>
      </w:r>
      <w:r>
        <w:rPr>
          <w:rFonts w:cs="Arial"/>
          <w:szCs w:val="24"/>
        </w:rPr>
        <w:t>,</w:t>
      </w:r>
      <w:r w:rsidRPr="000564EB">
        <w:rPr>
          <w:rFonts w:cs="Arial"/>
          <w:szCs w:val="24"/>
        </w:rPr>
        <w:t xml:space="preserve"> the department and TP have </w:t>
      </w:r>
      <w:r>
        <w:rPr>
          <w:rFonts w:cs="Arial"/>
          <w:szCs w:val="24"/>
        </w:rPr>
        <w:t xml:space="preserve">further </w:t>
      </w:r>
      <w:r w:rsidRPr="000564EB">
        <w:rPr>
          <w:rFonts w:cs="Arial"/>
          <w:szCs w:val="24"/>
        </w:rPr>
        <w:t xml:space="preserve">considered how a good standard of service can be defined.  </w:t>
      </w:r>
    </w:p>
    <w:p w14:paraId="7EBDDF95" w14:textId="77777777" w:rsidR="008C3CD0" w:rsidRPr="000564EB" w:rsidRDefault="008C3CD0" w:rsidP="008474A5">
      <w:pPr>
        <w:pStyle w:val="ListParagraph"/>
        <w:ind w:left="142"/>
        <w:rPr>
          <w:rFonts w:cs="Arial"/>
          <w:szCs w:val="24"/>
        </w:rPr>
      </w:pPr>
    </w:p>
    <w:p w14:paraId="553745B9" w14:textId="57D9971F" w:rsidR="008C3CD0" w:rsidRPr="000564EB" w:rsidRDefault="008C3CD0" w:rsidP="008474A5">
      <w:pPr>
        <w:pStyle w:val="ListParagraph"/>
        <w:numPr>
          <w:ilvl w:val="0"/>
          <w:numId w:val="6"/>
        </w:numPr>
        <w:ind w:left="142"/>
        <w:rPr>
          <w:rFonts w:cs="Arial"/>
          <w:szCs w:val="24"/>
        </w:rPr>
      </w:pPr>
      <w:r w:rsidRPr="000564EB">
        <w:rPr>
          <w:rFonts w:cs="Arial"/>
          <w:szCs w:val="24"/>
        </w:rPr>
        <w:t>When considering a good standard of service, the department employ a range of indicators</w:t>
      </w:r>
      <w:r w:rsidR="00216A86">
        <w:rPr>
          <w:rFonts w:cs="Arial"/>
          <w:szCs w:val="24"/>
        </w:rPr>
        <w:t xml:space="preserve"> measuring responsiveness and quality/effectiveness</w:t>
      </w:r>
      <w:r w:rsidRPr="000564EB">
        <w:rPr>
          <w:rFonts w:cs="Arial"/>
          <w:szCs w:val="24"/>
        </w:rPr>
        <w:t xml:space="preserve">.  </w:t>
      </w:r>
      <w:r w:rsidR="009850E7" w:rsidRPr="000564EB">
        <w:rPr>
          <w:rFonts w:cs="Arial"/>
          <w:szCs w:val="24"/>
        </w:rPr>
        <w:t xml:space="preserve">The SLA and Outcome Measure regime defines the benchmark expectation for service delivery; the department use the monthly Service Delivery Report </w:t>
      </w:r>
      <w:r w:rsidR="00216A86">
        <w:rPr>
          <w:rFonts w:cs="Arial"/>
          <w:szCs w:val="24"/>
        </w:rPr>
        <w:t xml:space="preserve">statistics and </w:t>
      </w:r>
      <w:r w:rsidR="009850E7" w:rsidRPr="000564EB">
        <w:rPr>
          <w:rFonts w:cs="Arial"/>
          <w:szCs w:val="24"/>
        </w:rPr>
        <w:t xml:space="preserve">narratives to measure </w:t>
      </w:r>
      <w:r w:rsidR="009850E7">
        <w:rPr>
          <w:rFonts w:cs="Arial"/>
          <w:szCs w:val="24"/>
        </w:rPr>
        <w:t xml:space="preserve">performance </w:t>
      </w:r>
      <w:r w:rsidR="009850E7" w:rsidRPr="000564EB">
        <w:rPr>
          <w:rFonts w:cs="Arial"/>
          <w:szCs w:val="24"/>
        </w:rPr>
        <w:t xml:space="preserve">against </w:t>
      </w:r>
      <w:r w:rsidR="006660DE">
        <w:rPr>
          <w:rFonts w:cs="Arial"/>
          <w:szCs w:val="24"/>
        </w:rPr>
        <w:t xml:space="preserve">these.  </w:t>
      </w:r>
      <w:r w:rsidRPr="000564EB">
        <w:rPr>
          <w:rFonts w:cs="Arial"/>
          <w:szCs w:val="24"/>
        </w:rPr>
        <w:t>The</w:t>
      </w:r>
      <w:r w:rsidR="00216A86">
        <w:rPr>
          <w:rFonts w:cs="Arial"/>
          <w:szCs w:val="24"/>
        </w:rPr>
        <w:t xml:space="preserve"> </w:t>
      </w:r>
      <w:r w:rsidRPr="000564EB">
        <w:rPr>
          <w:rFonts w:cs="Arial"/>
          <w:szCs w:val="24"/>
        </w:rPr>
        <w:t>performance measures a</w:t>
      </w:r>
      <w:r w:rsidR="00216A86">
        <w:rPr>
          <w:rFonts w:cs="Arial"/>
          <w:szCs w:val="24"/>
        </w:rPr>
        <w:t xml:space="preserve">re set out in </w:t>
      </w:r>
      <w:r w:rsidRPr="000564EB">
        <w:rPr>
          <w:rFonts w:cs="Arial"/>
          <w:szCs w:val="24"/>
        </w:rPr>
        <w:t>the table b</w:t>
      </w:r>
      <w:r w:rsidR="00216A86">
        <w:rPr>
          <w:rFonts w:cs="Arial"/>
          <w:szCs w:val="24"/>
        </w:rPr>
        <w:t>el</w:t>
      </w:r>
      <w:r w:rsidRPr="000564EB">
        <w:rPr>
          <w:rFonts w:cs="Arial"/>
          <w:szCs w:val="24"/>
        </w:rPr>
        <w:t>o</w:t>
      </w:r>
      <w:r w:rsidR="00216A86">
        <w:rPr>
          <w:rFonts w:cs="Arial"/>
          <w:szCs w:val="24"/>
        </w:rPr>
        <w:t>w</w:t>
      </w:r>
      <w:r w:rsidR="00573340">
        <w:rPr>
          <w:rFonts w:cs="Arial"/>
          <w:szCs w:val="24"/>
        </w:rPr>
        <w:t xml:space="preserve"> (with data for the last quarter)</w:t>
      </w:r>
      <w:r w:rsidR="00216A86">
        <w:rPr>
          <w:rFonts w:cs="Arial"/>
          <w:szCs w:val="24"/>
        </w:rPr>
        <w:t xml:space="preserve">.  </w:t>
      </w:r>
    </w:p>
    <w:p w14:paraId="2C7DB89D" w14:textId="77777777" w:rsidR="008F4C31" w:rsidRPr="000564EB" w:rsidRDefault="008F4C31" w:rsidP="008F4C31">
      <w:pPr>
        <w:pStyle w:val="ListParagraph"/>
        <w:rPr>
          <w:rFonts w:cs="Arial"/>
          <w:szCs w:val="24"/>
        </w:rPr>
      </w:pPr>
    </w:p>
    <w:tbl>
      <w:tblPr>
        <w:tblStyle w:val="TableGrid"/>
        <w:tblW w:w="9351" w:type="dxa"/>
        <w:tblLayout w:type="fixed"/>
        <w:tblLook w:val="04A0" w:firstRow="1" w:lastRow="0" w:firstColumn="1" w:lastColumn="0" w:noHBand="0" w:noVBand="1"/>
      </w:tblPr>
      <w:tblGrid>
        <w:gridCol w:w="1838"/>
        <w:gridCol w:w="1276"/>
        <w:gridCol w:w="1276"/>
        <w:gridCol w:w="1417"/>
        <w:gridCol w:w="1134"/>
        <w:gridCol w:w="1134"/>
        <w:gridCol w:w="1276"/>
      </w:tblGrid>
      <w:tr w:rsidR="008F4C31" w:rsidRPr="00633AC4" w14:paraId="360617FF" w14:textId="77777777" w:rsidTr="00633AC4">
        <w:tc>
          <w:tcPr>
            <w:tcW w:w="1838" w:type="dxa"/>
            <w:shd w:val="clear" w:color="auto" w:fill="D9D9D9" w:themeFill="background1" w:themeFillShade="D9"/>
          </w:tcPr>
          <w:p w14:paraId="6E201A60" w14:textId="77777777" w:rsidR="008F4C31" w:rsidRPr="00633AC4" w:rsidRDefault="008F4C31" w:rsidP="00BD3C09">
            <w:pPr>
              <w:rPr>
                <w:rFonts w:cs="Arial"/>
                <w:b/>
                <w:szCs w:val="24"/>
              </w:rPr>
            </w:pPr>
          </w:p>
        </w:tc>
        <w:tc>
          <w:tcPr>
            <w:tcW w:w="1276" w:type="dxa"/>
            <w:shd w:val="clear" w:color="auto" w:fill="D9D9D9" w:themeFill="background1" w:themeFillShade="D9"/>
          </w:tcPr>
          <w:p w14:paraId="60A0CFAE" w14:textId="0907C558" w:rsidR="008F4C31" w:rsidRPr="00633AC4" w:rsidRDefault="008F4C31" w:rsidP="00795CE8">
            <w:pPr>
              <w:jc w:val="center"/>
              <w:rPr>
                <w:rFonts w:cs="Arial"/>
                <w:b/>
                <w:szCs w:val="24"/>
              </w:rPr>
            </w:pPr>
            <w:r w:rsidRPr="00633AC4">
              <w:rPr>
                <w:rFonts w:cs="Arial"/>
                <w:b/>
                <w:szCs w:val="24"/>
              </w:rPr>
              <w:t>Feb</w:t>
            </w:r>
          </w:p>
          <w:p w14:paraId="144C3B54" w14:textId="77777777" w:rsidR="008F4C31" w:rsidRPr="00633AC4" w:rsidRDefault="008F4C31" w:rsidP="00795CE8">
            <w:pPr>
              <w:jc w:val="center"/>
              <w:rPr>
                <w:rFonts w:cs="Arial"/>
                <w:b/>
                <w:szCs w:val="24"/>
              </w:rPr>
            </w:pPr>
            <w:r w:rsidRPr="00633AC4">
              <w:rPr>
                <w:rFonts w:cs="Arial"/>
                <w:b/>
                <w:szCs w:val="24"/>
              </w:rPr>
              <w:t>18</w:t>
            </w:r>
          </w:p>
        </w:tc>
        <w:tc>
          <w:tcPr>
            <w:tcW w:w="1276" w:type="dxa"/>
            <w:shd w:val="clear" w:color="auto" w:fill="D9D9D9" w:themeFill="background1" w:themeFillShade="D9"/>
          </w:tcPr>
          <w:p w14:paraId="1346FC42" w14:textId="77777777" w:rsidR="00633AC4" w:rsidRPr="00633AC4" w:rsidRDefault="008F4C31" w:rsidP="00795CE8">
            <w:pPr>
              <w:jc w:val="center"/>
              <w:rPr>
                <w:rFonts w:cs="Arial"/>
                <w:b/>
                <w:szCs w:val="24"/>
              </w:rPr>
            </w:pPr>
            <w:r w:rsidRPr="00633AC4">
              <w:rPr>
                <w:rFonts w:cs="Arial"/>
                <w:b/>
                <w:szCs w:val="24"/>
              </w:rPr>
              <w:t>March</w:t>
            </w:r>
          </w:p>
          <w:p w14:paraId="4B8CB552" w14:textId="28139BA6" w:rsidR="008F4C31" w:rsidRPr="00633AC4" w:rsidRDefault="008F4C31" w:rsidP="00795CE8">
            <w:pPr>
              <w:jc w:val="center"/>
              <w:rPr>
                <w:rFonts w:cs="Arial"/>
                <w:b/>
                <w:szCs w:val="24"/>
              </w:rPr>
            </w:pPr>
            <w:r w:rsidRPr="00633AC4">
              <w:rPr>
                <w:rFonts w:cs="Arial"/>
                <w:b/>
                <w:szCs w:val="24"/>
              </w:rPr>
              <w:t xml:space="preserve"> 18</w:t>
            </w:r>
          </w:p>
        </w:tc>
        <w:tc>
          <w:tcPr>
            <w:tcW w:w="1417" w:type="dxa"/>
            <w:shd w:val="clear" w:color="auto" w:fill="D9D9D9" w:themeFill="background1" w:themeFillShade="D9"/>
          </w:tcPr>
          <w:p w14:paraId="7014E048" w14:textId="0A2A84C8" w:rsidR="008F4C31" w:rsidRPr="00633AC4" w:rsidRDefault="008F4C31" w:rsidP="00795CE8">
            <w:pPr>
              <w:jc w:val="center"/>
              <w:rPr>
                <w:rFonts w:cs="Arial"/>
                <w:b/>
                <w:szCs w:val="24"/>
              </w:rPr>
            </w:pPr>
            <w:r w:rsidRPr="00633AC4">
              <w:rPr>
                <w:rFonts w:cs="Arial"/>
                <w:b/>
                <w:szCs w:val="24"/>
              </w:rPr>
              <w:t>April</w:t>
            </w:r>
          </w:p>
          <w:p w14:paraId="6BED0DA9" w14:textId="77777777" w:rsidR="008F4C31" w:rsidRPr="00633AC4" w:rsidRDefault="008F4C31" w:rsidP="00795CE8">
            <w:pPr>
              <w:jc w:val="center"/>
              <w:rPr>
                <w:rFonts w:cs="Arial"/>
                <w:b/>
                <w:szCs w:val="24"/>
              </w:rPr>
            </w:pPr>
            <w:r w:rsidRPr="00633AC4">
              <w:rPr>
                <w:rFonts w:cs="Arial"/>
                <w:b/>
                <w:szCs w:val="24"/>
              </w:rPr>
              <w:t>18</w:t>
            </w:r>
          </w:p>
        </w:tc>
        <w:tc>
          <w:tcPr>
            <w:tcW w:w="1134" w:type="dxa"/>
            <w:shd w:val="clear" w:color="auto" w:fill="D9D9D9" w:themeFill="background1" w:themeFillShade="D9"/>
          </w:tcPr>
          <w:p w14:paraId="0031EEA1" w14:textId="1C34AEE5" w:rsidR="008F4C31" w:rsidRPr="00633AC4" w:rsidRDefault="008F4C31" w:rsidP="00795CE8">
            <w:pPr>
              <w:jc w:val="center"/>
              <w:rPr>
                <w:rFonts w:cs="Arial"/>
                <w:b/>
                <w:szCs w:val="24"/>
              </w:rPr>
            </w:pPr>
            <w:r w:rsidRPr="00633AC4">
              <w:rPr>
                <w:rFonts w:cs="Arial"/>
                <w:b/>
                <w:szCs w:val="24"/>
              </w:rPr>
              <w:t>May</w:t>
            </w:r>
          </w:p>
          <w:p w14:paraId="169C4F10" w14:textId="77777777" w:rsidR="008F4C31" w:rsidRPr="00633AC4" w:rsidRDefault="008F4C31" w:rsidP="00795CE8">
            <w:pPr>
              <w:jc w:val="center"/>
              <w:rPr>
                <w:rFonts w:cs="Arial"/>
                <w:b/>
                <w:szCs w:val="24"/>
              </w:rPr>
            </w:pPr>
            <w:r w:rsidRPr="00633AC4">
              <w:rPr>
                <w:rFonts w:cs="Arial"/>
                <w:b/>
                <w:szCs w:val="24"/>
              </w:rPr>
              <w:t>18</w:t>
            </w:r>
          </w:p>
        </w:tc>
        <w:tc>
          <w:tcPr>
            <w:tcW w:w="1134" w:type="dxa"/>
            <w:shd w:val="clear" w:color="auto" w:fill="D9D9D9" w:themeFill="background1" w:themeFillShade="D9"/>
          </w:tcPr>
          <w:p w14:paraId="29E05E0A" w14:textId="77777777" w:rsidR="00633AC4" w:rsidRPr="00633AC4" w:rsidRDefault="008F4C31" w:rsidP="00795CE8">
            <w:pPr>
              <w:jc w:val="center"/>
              <w:rPr>
                <w:rFonts w:cs="Arial"/>
                <w:b/>
                <w:szCs w:val="24"/>
              </w:rPr>
            </w:pPr>
            <w:r w:rsidRPr="00633AC4">
              <w:rPr>
                <w:rFonts w:cs="Arial"/>
                <w:b/>
                <w:szCs w:val="24"/>
              </w:rPr>
              <w:t xml:space="preserve">June </w:t>
            </w:r>
          </w:p>
          <w:p w14:paraId="0591D19D" w14:textId="20EFC835" w:rsidR="008F4C31" w:rsidRPr="00633AC4" w:rsidRDefault="008F4C31" w:rsidP="00795CE8">
            <w:pPr>
              <w:jc w:val="center"/>
              <w:rPr>
                <w:rFonts w:cs="Arial"/>
                <w:b/>
                <w:szCs w:val="24"/>
              </w:rPr>
            </w:pPr>
            <w:r w:rsidRPr="00633AC4">
              <w:rPr>
                <w:rFonts w:cs="Arial"/>
                <w:b/>
                <w:szCs w:val="24"/>
              </w:rPr>
              <w:t>18</w:t>
            </w:r>
          </w:p>
        </w:tc>
        <w:tc>
          <w:tcPr>
            <w:tcW w:w="1276" w:type="dxa"/>
            <w:shd w:val="clear" w:color="auto" w:fill="D9D9D9" w:themeFill="background1" w:themeFillShade="D9"/>
          </w:tcPr>
          <w:p w14:paraId="462329BD" w14:textId="2C26508C" w:rsidR="008F4C31" w:rsidRPr="00633AC4" w:rsidRDefault="008F4C31" w:rsidP="00795CE8">
            <w:pPr>
              <w:jc w:val="center"/>
              <w:rPr>
                <w:rFonts w:cs="Arial"/>
                <w:b/>
                <w:szCs w:val="24"/>
              </w:rPr>
            </w:pPr>
            <w:r w:rsidRPr="00633AC4">
              <w:rPr>
                <w:rFonts w:cs="Arial"/>
                <w:b/>
                <w:szCs w:val="24"/>
              </w:rPr>
              <w:t>July</w:t>
            </w:r>
          </w:p>
          <w:p w14:paraId="4E05226A" w14:textId="77777777" w:rsidR="008F4C31" w:rsidRPr="00633AC4" w:rsidRDefault="008F4C31" w:rsidP="00795CE8">
            <w:pPr>
              <w:jc w:val="center"/>
              <w:rPr>
                <w:rFonts w:cs="Arial"/>
                <w:b/>
                <w:szCs w:val="24"/>
              </w:rPr>
            </w:pPr>
            <w:r w:rsidRPr="00633AC4">
              <w:rPr>
                <w:rFonts w:cs="Arial"/>
                <w:b/>
                <w:szCs w:val="24"/>
              </w:rPr>
              <w:t>18</w:t>
            </w:r>
          </w:p>
        </w:tc>
      </w:tr>
      <w:tr w:rsidR="008F4C31" w:rsidRPr="000564EB" w14:paraId="2EA6A9F4" w14:textId="77777777" w:rsidTr="00BD3C09">
        <w:tc>
          <w:tcPr>
            <w:tcW w:w="1838" w:type="dxa"/>
          </w:tcPr>
          <w:p w14:paraId="22D36329" w14:textId="77777777" w:rsidR="008F4C31" w:rsidRPr="000564EB" w:rsidRDefault="008F4C31" w:rsidP="00BD3C09">
            <w:pPr>
              <w:rPr>
                <w:rFonts w:cs="Arial"/>
                <w:szCs w:val="24"/>
              </w:rPr>
            </w:pPr>
            <w:r w:rsidRPr="000564EB">
              <w:rPr>
                <w:rFonts w:cs="Arial"/>
                <w:szCs w:val="24"/>
              </w:rPr>
              <w:t>Calls Answered</w:t>
            </w:r>
          </w:p>
        </w:tc>
        <w:tc>
          <w:tcPr>
            <w:tcW w:w="1276" w:type="dxa"/>
          </w:tcPr>
          <w:p w14:paraId="228FE759" w14:textId="77777777" w:rsidR="008F4C31" w:rsidRPr="000564EB" w:rsidRDefault="008F4C31" w:rsidP="00795CE8">
            <w:pPr>
              <w:jc w:val="center"/>
              <w:rPr>
                <w:rFonts w:cs="Arial"/>
                <w:szCs w:val="24"/>
              </w:rPr>
            </w:pPr>
            <w:r w:rsidRPr="000564EB">
              <w:rPr>
                <w:rFonts w:cs="Arial"/>
                <w:szCs w:val="24"/>
              </w:rPr>
              <w:t>30960</w:t>
            </w:r>
          </w:p>
        </w:tc>
        <w:tc>
          <w:tcPr>
            <w:tcW w:w="1276" w:type="dxa"/>
          </w:tcPr>
          <w:p w14:paraId="05AB17CE" w14:textId="77777777" w:rsidR="008F4C31" w:rsidRPr="000564EB" w:rsidRDefault="008F4C31" w:rsidP="00795CE8">
            <w:pPr>
              <w:jc w:val="center"/>
              <w:rPr>
                <w:rFonts w:cs="Arial"/>
                <w:szCs w:val="24"/>
              </w:rPr>
            </w:pPr>
            <w:r w:rsidRPr="000564EB">
              <w:rPr>
                <w:rFonts w:cs="Arial"/>
                <w:szCs w:val="24"/>
              </w:rPr>
              <w:t>30390</w:t>
            </w:r>
          </w:p>
        </w:tc>
        <w:tc>
          <w:tcPr>
            <w:tcW w:w="1417" w:type="dxa"/>
          </w:tcPr>
          <w:p w14:paraId="0FBCDE7B" w14:textId="77777777" w:rsidR="008F4C31" w:rsidRPr="000564EB" w:rsidRDefault="008F4C31" w:rsidP="00795CE8">
            <w:pPr>
              <w:jc w:val="center"/>
              <w:rPr>
                <w:rFonts w:cs="Arial"/>
                <w:szCs w:val="24"/>
              </w:rPr>
            </w:pPr>
            <w:r w:rsidRPr="000564EB">
              <w:rPr>
                <w:rFonts w:cs="Arial"/>
                <w:szCs w:val="24"/>
              </w:rPr>
              <w:t>35702</w:t>
            </w:r>
          </w:p>
        </w:tc>
        <w:tc>
          <w:tcPr>
            <w:tcW w:w="1134" w:type="dxa"/>
          </w:tcPr>
          <w:p w14:paraId="5BAFC157" w14:textId="77777777" w:rsidR="008F4C31" w:rsidRPr="000564EB" w:rsidRDefault="008F4C31" w:rsidP="00795CE8">
            <w:pPr>
              <w:jc w:val="center"/>
              <w:rPr>
                <w:rFonts w:cs="Arial"/>
                <w:szCs w:val="24"/>
              </w:rPr>
            </w:pPr>
            <w:r w:rsidRPr="000564EB">
              <w:rPr>
                <w:rFonts w:cs="Arial"/>
                <w:szCs w:val="24"/>
              </w:rPr>
              <w:t>34308</w:t>
            </w:r>
          </w:p>
        </w:tc>
        <w:tc>
          <w:tcPr>
            <w:tcW w:w="1134" w:type="dxa"/>
          </w:tcPr>
          <w:p w14:paraId="00990A57" w14:textId="77777777" w:rsidR="008F4C31" w:rsidRPr="000564EB" w:rsidRDefault="008F4C31" w:rsidP="00795CE8">
            <w:pPr>
              <w:jc w:val="center"/>
              <w:rPr>
                <w:rFonts w:cs="Arial"/>
                <w:szCs w:val="24"/>
              </w:rPr>
            </w:pPr>
            <w:r w:rsidRPr="000564EB">
              <w:rPr>
                <w:rFonts w:cs="Arial"/>
                <w:szCs w:val="24"/>
              </w:rPr>
              <w:t>32249</w:t>
            </w:r>
          </w:p>
        </w:tc>
        <w:tc>
          <w:tcPr>
            <w:tcW w:w="1276" w:type="dxa"/>
          </w:tcPr>
          <w:p w14:paraId="0A2E5605" w14:textId="77777777" w:rsidR="008F4C31" w:rsidRPr="000564EB" w:rsidRDefault="008F4C31" w:rsidP="00795CE8">
            <w:pPr>
              <w:jc w:val="center"/>
              <w:rPr>
                <w:rFonts w:cs="Arial"/>
                <w:szCs w:val="24"/>
              </w:rPr>
            </w:pPr>
            <w:r w:rsidRPr="000564EB">
              <w:rPr>
                <w:rFonts w:cs="Arial"/>
                <w:szCs w:val="24"/>
              </w:rPr>
              <w:t>31520</w:t>
            </w:r>
          </w:p>
        </w:tc>
      </w:tr>
      <w:tr w:rsidR="008F4C31" w:rsidRPr="000564EB" w14:paraId="3865F580" w14:textId="77777777" w:rsidTr="00BD3C09">
        <w:tc>
          <w:tcPr>
            <w:tcW w:w="1838" w:type="dxa"/>
          </w:tcPr>
          <w:p w14:paraId="4AD2B418" w14:textId="77777777" w:rsidR="008F4C31" w:rsidRPr="000564EB" w:rsidRDefault="008F4C31" w:rsidP="00BD3C09">
            <w:pPr>
              <w:rPr>
                <w:rFonts w:cs="Arial"/>
                <w:szCs w:val="24"/>
              </w:rPr>
            </w:pPr>
            <w:r w:rsidRPr="000564EB">
              <w:rPr>
                <w:rFonts w:cs="Arial"/>
                <w:szCs w:val="24"/>
              </w:rPr>
              <w:t>Calls answered %</w:t>
            </w:r>
          </w:p>
        </w:tc>
        <w:tc>
          <w:tcPr>
            <w:tcW w:w="1276" w:type="dxa"/>
          </w:tcPr>
          <w:p w14:paraId="1053D2A1" w14:textId="77777777" w:rsidR="008F4C31" w:rsidRPr="000564EB" w:rsidRDefault="008F4C31" w:rsidP="00795CE8">
            <w:pPr>
              <w:jc w:val="center"/>
              <w:rPr>
                <w:rFonts w:cs="Arial"/>
                <w:szCs w:val="24"/>
              </w:rPr>
            </w:pPr>
            <w:r w:rsidRPr="000564EB">
              <w:rPr>
                <w:rFonts w:cs="Arial"/>
                <w:szCs w:val="24"/>
              </w:rPr>
              <w:t>96.2%</w:t>
            </w:r>
          </w:p>
        </w:tc>
        <w:tc>
          <w:tcPr>
            <w:tcW w:w="1276" w:type="dxa"/>
          </w:tcPr>
          <w:p w14:paraId="7AC41472" w14:textId="77777777" w:rsidR="008F4C31" w:rsidRPr="000564EB" w:rsidRDefault="008F4C31" w:rsidP="00795CE8">
            <w:pPr>
              <w:jc w:val="center"/>
              <w:rPr>
                <w:rFonts w:cs="Arial"/>
                <w:szCs w:val="24"/>
              </w:rPr>
            </w:pPr>
            <w:r w:rsidRPr="000564EB">
              <w:rPr>
                <w:rFonts w:cs="Arial"/>
                <w:szCs w:val="24"/>
              </w:rPr>
              <w:t>96.3%</w:t>
            </w:r>
          </w:p>
        </w:tc>
        <w:tc>
          <w:tcPr>
            <w:tcW w:w="1417" w:type="dxa"/>
          </w:tcPr>
          <w:p w14:paraId="4F514ED3" w14:textId="77777777" w:rsidR="008F4C31" w:rsidRPr="000564EB" w:rsidRDefault="008F4C31" w:rsidP="00795CE8">
            <w:pPr>
              <w:jc w:val="center"/>
              <w:rPr>
                <w:rFonts w:cs="Arial"/>
                <w:szCs w:val="24"/>
              </w:rPr>
            </w:pPr>
            <w:r w:rsidRPr="000564EB">
              <w:rPr>
                <w:rFonts w:cs="Arial"/>
                <w:szCs w:val="24"/>
              </w:rPr>
              <w:t>95.7%</w:t>
            </w:r>
          </w:p>
        </w:tc>
        <w:tc>
          <w:tcPr>
            <w:tcW w:w="1134" w:type="dxa"/>
          </w:tcPr>
          <w:p w14:paraId="7D49E6C4" w14:textId="77777777" w:rsidR="008F4C31" w:rsidRPr="000564EB" w:rsidRDefault="008F4C31" w:rsidP="00795CE8">
            <w:pPr>
              <w:jc w:val="center"/>
              <w:rPr>
                <w:rFonts w:cs="Arial"/>
                <w:szCs w:val="24"/>
              </w:rPr>
            </w:pPr>
            <w:r w:rsidRPr="000564EB">
              <w:rPr>
                <w:rFonts w:cs="Arial"/>
                <w:szCs w:val="24"/>
              </w:rPr>
              <w:t>97.4%</w:t>
            </w:r>
          </w:p>
        </w:tc>
        <w:tc>
          <w:tcPr>
            <w:tcW w:w="1134" w:type="dxa"/>
          </w:tcPr>
          <w:p w14:paraId="1726DF8C" w14:textId="77777777" w:rsidR="008F4C31" w:rsidRPr="000564EB" w:rsidRDefault="008F4C31" w:rsidP="00795CE8">
            <w:pPr>
              <w:jc w:val="center"/>
              <w:rPr>
                <w:rFonts w:cs="Arial"/>
                <w:szCs w:val="24"/>
              </w:rPr>
            </w:pPr>
            <w:r w:rsidRPr="000564EB">
              <w:rPr>
                <w:rFonts w:cs="Arial"/>
                <w:szCs w:val="24"/>
              </w:rPr>
              <w:t>98.3%</w:t>
            </w:r>
          </w:p>
        </w:tc>
        <w:tc>
          <w:tcPr>
            <w:tcW w:w="1276" w:type="dxa"/>
          </w:tcPr>
          <w:p w14:paraId="495AB887" w14:textId="63E5E0A6" w:rsidR="008F4C31" w:rsidRPr="000564EB" w:rsidRDefault="008F4C31" w:rsidP="00795CE8">
            <w:pPr>
              <w:jc w:val="center"/>
              <w:rPr>
                <w:rFonts w:cs="Arial"/>
                <w:szCs w:val="24"/>
              </w:rPr>
            </w:pPr>
            <w:r w:rsidRPr="000564EB">
              <w:rPr>
                <w:rFonts w:cs="Arial"/>
                <w:szCs w:val="24"/>
              </w:rPr>
              <w:t>97.</w:t>
            </w:r>
            <w:r w:rsidR="00226DF8">
              <w:rPr>
                <w:rFonts w:cs="Arial"/>
                <w:szCs w:val="24"/>
              </w:rPr>
              <w:t>2</w:t>
            </w:r>
            <w:r w:rsidRPr="000564EB">
              <w:rPr>
                <w:rFonts w:cs="Arial"/>
                <w:szCs w:val="24"/>
              </w:rPr>
              <w:t>%</w:t>
            </w:r>
          </w:p>
        </w:tc>
      </w:tr>
      <w:tr w:rsidR="008F4C31" w:rsidRPr="000564EB" w14:paraId="017EE993" w14:textId="77777777" w:rsidTr="00BD3C09">
        <w:tc>
          <w:tcPr>
            <w:tcW w:w="1838" w:type="dxa"/>
          </w:tcPr>
          <w:p w14:paraId="3A87FCE7" w14:textId="77777777" w:rsidR="008F4C31" w:rsidRDefault="008F4C31" w:rsidP="00216A86">
            <w:pPr>
              <w:rPr>
                <w:rFonts w:cs="Arial"/>
                <w:szCs w:val="24"/>
              </w:rPr>
            </w:pPr>
            <w:r w:rsidRPr="000564EB">
              <w:rPr>
                <w:rFonts w:cs="Arial"/>
                <w:szCs w:val="24"/>
              </w:rPr>
              <w:t xml:space="preserve">Average </w:t>
            </w:r>
            <w:r w:rsidR="00216A86">
              <w:rPr>
                <w:rFonts w:cs="Arial"/>
                <w:szCs w:val="24"/>
              </w:rPr>
              <w:t>h</w:t>
            </w:r>
            <w:r w:rsidRPr="000564EB">
              <w:rPr>
                <w:rFonts w:cs="Arial"/>
                <w:szCs w:val="24"/>
              </w:rPr>
              <w:t>andling time</w:t>
            </w:r>
          </w:p>
          <w:p w14:paraId="0DFDF5C0" w14:textId="77777777" w:rsidR="00216A86" w:rsidRPr="000564EB" w:rsidRDefault="00216A86" w:rsidP="00216A86">
            <w:pPr>
              <w:rPr>
                <w:rFonts w:cs="Arial"/>
                <w:szCs w:val="24"/>
              </w:rPr>
            </w:pPr>
            <w:r>
              <w:rPr>
                <w:rFonts w:cs="Arial"/>
                <w:szCs w:val="24"/>
              </w:rPr>
              <w:t>(seconds)</w:t>
            </w:r>
          </w:p>
        </w:tc>
        <w:tc>
          <w:tcPr>
            <w:tcW w:w="1276" w:type="dxa"/>
          </w:tcPr>
          <w:p w14:paraId="62C97355" w14:textId="77777777" w:rsidR="008F4C31" w:rsidRPr="000564EB" w:rsidRDefault="008F4C31" w:rsidP="00795CE8">
            <w:pPr>
              <w:jc w:val="center"/>
              <w:rPr>
                <w:rFonts w:cs="Arial"/>
                <w:szCs w:val="24"/>
              </w:rPr>
            </w:pPr>
            <w:r w:rsidRPr="000564EB">
              <w:rPr>
                <w:rFonts w:cs="Arial"/>
                <w:szCs w:val="24"/>
              </w:rPr>
              <w:t>367</w:t>
            </w:r>
          </w:p>
        </w:tc>
        <w:tc>
          <w:tcPr>
            <w:tcW w:w="1276" w:type="dxa"/>
          </w:tcPr>
          <w:p w14:paraId="655A60A3" w14:textId="77777777" w:rsidR="008F4C31" w:rsidRPr="000564EB" w:rsidRDefault="008F4C31" w:rsidP="00795CE8">
            <w:pPr>
              <w:jc w:val="center"/>
              <w:rPr>
                <w:rFonts w:cs="Arial"/>
                <w:szCs w:val="24"/>
              </w:rPr>
            </w:pPr>
            <w:r w:rsidRPr="000564EB">
              <w:rPr>
                <w:rFonts w:cs="Arial"/>
                <w:szCs w:val="24"/>
              </w:rPr>
              <w:t>369</w:t>
            </w:r>
          </w:p>
        </w:tc>
        <w:tc>
          <w:tcPr>
            <w:tcW w:w="1417" w:type="dxa"/>
          </w:tcPr>
          <w:p w14:paraId="573A4879" w14:textId="77777777" w:rsidR="008F4C31" w:rsidRPr="000564EB" w:rsidRDefault="008F4C31" w:rsidP="00795CE8">
            <w:pPr>
              <w:jc w:val="center"/>
              <w:rPr>
                <w:rFonts w:cs="Arial"/>
                <w:szCs w:val="24"/>
              </w:rPr>
            </w:pPr>
            <w:r w:rsidRPr="000564EB">
              <w:rPr>
                <w:rFonts w:cs="Arial"/>
                <w:szCs w:val="24"/>
              </w:rPr>
              <w:t>372</w:t>
            </w:r>
          </w:p>
        </w:tc>
        <w:tc>
          <w:tcPr>
            <w:tcW w:w="1134" w:type="dxa"/>
          </w:tcPr>
          <w:p w14:paraId="71FB1C13" w14:textId="77777777" w:rsidR="008F4C31" w:rsidRPr="000564EB" w:rsidRDefault="008F4C31" w:rsidP="00795CE8">
            <w:pPr>
              <w:jc w:val="center"/>
              <w:rPr>
                <w:rFonts w:cs="Arial"/>
                <w:szCs w:val="24"/>
              </w:rPr>
            </w:pPr>
            <w:r w:rsidRPr="000564EB">
              <w:rPr>
                <w:rFonts w:cs="Arial"/>
                <w:szCs w:val="24"/>
              </w:rPr>
              <w:t>363</w:t>
            </w:r>
          </w:p>
        </w:tc>
        <w:tc>
          <w:tcPr>
            <w:tcW w:w="1134" w:type="dxa"/>
          </w:tcPr>
          <w:p w14:paraId="4971081A" w14:textId="77777777" w:rsidR="008F4C31" w:rsidRPr="000564EB" w:rsidRDefault="008F4C31" w:rsidP="00795CE8">
            <w:pPr>
              <w:jc w:val="center"/>
              <w:rPr>
                <w:rFonts w:cs="Arial"/>
                <w:szCs w:val="24"/>
              </w:rPr>
            </w:pPr>
            <w:r w:rsidRPr="000564EB">
              <w:rPr>
                <w:rFonts w:cs="Arial"/>
                <w:szCs w:val="24"/>
              </w:rPr>
              <w:t>360</w:t>
            </w:r>
          </w:p>
        </w:tc>
        <w:tc>
          <w:tcPr>
            <w:tcW w:w="1276" w:type="dxa"/>
          </w:tcPr>
          <w:p w14:paraId="1050A963" w14:textId="77777777" w:rsidR="008F4C31" w:rsidRPr="000564EB" w:rsidRDefault="008F4C31" w:rsidP="00795CE8">
            <w:pPr>
              <w:jc w:val="center"/>
              <w:rPr>
                <w:rFonts w:cs="Arial"/>
                <w:szCs w:val="24"/>
              </w:rPr>
            </w:pPr>
            <w:r w:rsidRPr="000564EB">
              <w:rPr>
                <w:rFonts w:cs="Arial"/>
                <w:szCs w:val="24"/>
              </w:rPr>
              <w:t>360</w:t>
            </w:r>
          </w:p>
        </w:tc>
      </w:tr>
      <w:tr w:rsidR="008F4C31" w:rsidRPr="000564EB" w14:paraId="0384C6F2" w14:textId="77777777" w:rsidTr="00BD3C09">
        <w:tc>
          <w:tcPr>
            <w:tcW w:w="1838" w:type="dxa"/>
          </w:tcPr>
          <w:p w14:paraId="7CD35F20" w14:textId="77777777" w:rsidR="008F4C31" w:rsidRPr="000564EB" w:rsidRDefault="008F4C31" w:rsidP="00BD3C09">
            <w:pPr>
              <w:rPr>
                <w:rFonts w:cs="Arial"/>
                <w:szCs w:val="24"/>
              </w:rPr>
            </w:pPr>
            <w:r w:rsidRPr="000564EB">
              <w:rPr>
                <w:rFonts w:cs="Arial"/>
                <w:szCs w:val="24"/>
              </w:rPr>
              <w:t xml:space="preserve">Average </w:t>
            </w:r>
            <w:r w:rsidR="00216A86">
              <w:rPr>
                <w:rFonts w:cs="Arial"/>
                <w:szCs w:val="24"/>
              </w:rPr>
              <w:t>q</w:t>
            </w:r>
            <w:r w:rsidRPr="000564EB">
              <w:rPr>
                <w:rFonts w:cs="Arial"/>
                <w:szCs w:val="24"/>
              </w:rPr>
              <w:t>ueue time</w:t>
            </w:r>
          </w:p>
          <w:p w14:paraId="53F54DB4" w14:textId="77777777" w:rsidR="008F4C31" w:rsidRPr="000564EB" w:rsidRDefault="00216A86" w:rsidP="00216A86">
            <w:pPr>
              <w:rPr>
                <w:rFonts w:cs="Arial"/>
                <w:szCs w:val="24"/>
              </w:rPr>
            </w:pPr>
            <w:r>
              <w:rPr>
                <w:rFonts w:cs="Arial"/>
                <w:szCs w:val="24"/>
              </w:rPr>
              <w:t>(seconds)</w:t>
            </w:r>
          </w:p>
        </w:tc>
        <w:tc>
          <w:tcPr>
            <w:tcW w:w="1276" w:type="dxa"/>
          </w:tcPr>
          <w:p w14:paraId="04B2DA2C" w14:textId="77777777" w:rsidR="008F4C31" w:rsidRPr="000564EB" w:rsidRDefault="008F4C31" w:rsidP="00795CE8">
            <w:pPr>
              <w:jc w:val="center"/>
              <w:rPr>
                <w:rFonts w:cs="Arial"/>
                <w:szCs w:val="24"/>
              </w:rPr>
            </w:pPr>
            <w:r w:rsidRPr="000564EB">
              <w:rPr>
                <w:rFonts w:cs="Arial"/>
                <w:szCs w:val="24"/>
              </w:rPr>
              <w:t>39</w:t>
            </w:r>
          </w:p>
        </w:tc>
        <w:tc>
          <w:tcPr>
            <w:tcW w:w="1276" w:type="dxa"/>
          </w:tcPr>
          <w:p w14:paraId="5C686D0D" w14:textId="77777777" w:rsidR="008F4C31" w:rsidRPr="000564EB" w:rsidRDefault="008F4C31" w:rsidP="00795CE8">
            <w:pPr>
              <w:jc w:val="center"/>
              <w:rPr>
                <w:rFonts w:cs="Arial"/>
                <w:szCs w:val="24"/>
              </w:rPr>
            </w:pPr>
            <w:r w:rsidRPr="000564EB">
              <w:rPr>
                <w:rFonts w:cs="Arial"/>
                <w:szCs w:val="24"/>
              </w:rPr>
              <w:t>24</w:t>
            </w:r>
          </w:p>
        </w:tc>
        <w:tc>
          <w:tcPr>
            <w:tcW w:w="1417" w:type="dxa"/>
          </w:tcPr>
          <w:p w14:paraId="2D2C65DD" w14:textId="77777777" w:rsidR="008F4C31" w:rsidRPr="000564EB" w:rsidRDefault="008F4C31" w:rsidP="00795CE8">
            <w:pPr>
              <w:jc w:val="center"/>
              <w:rPr>
                <w:rFonts w:cs="Arial"/>
                <w:szCs w:val="24"/>
              </w:rPr>
            </w:pPr>
            <w:r w:rsidRPr="000564EB">
              <w:rPr>
                <w:rFonts w:cs="Arial"/>
                <w:szCs w:val="24"/>
              </w:rPr>
              <w:t>27</w:t>
            </w:r>
          </w:p>
        </w:tc>
        <w:tc>
          <w:tcPr>
            <w:tcW w:w="1134" w:type="dxa"/>
          </w:tcPr>
          <w:p w14:paraId="1B4C9678" w14:textId="77777777" w:rsidR="008F4C31" w:rsidRPr="000564EB" w:rsidRDefault="008F4C31" w:rsidP="00795CE8">
            <w:pPr>
              <w:jc w:val="center"/>
              <w:rPr>
                <w:rFonts w:cs="Arial"/>
                <w:szCs w:val="24"/>
              </w:rPr>
            </w:pPr>
            <w:r w:rsidRPr="000564EB">
              <w:rPr>
                <w:rFonts w:cs="Arial"/>
                <w:szCs w:val="24"/>
              </w:rPr>
              <w:t>36</w:t>
            </w:r>
          </w:p>
        </w:tc>
        <w:tc>
          <w:tcPr>
            <w:tcW w:w="1134" w:type="dxa"/>
          </w:tcPr>
          <w:p w14:paraId="6435427F" w14:textId="77777777" w:rsidR="008F4C31" w:rsidRPr="000564EB" w:rsidRDefault="008F4C31" w:rsidP="00795CE8">
            <w:pPr>
              <w:jc w:val="center"/>
              <w:rPr>
                <w:rFonts w:cs="Arial"/>
                <w:szCs w:val="24"/>
              </w:rPr>
            </w:pPr>
            <w:r w:rsidRPr="000564EB">
              <w:rPr>
                <w:rFonts w:cs="Arial"/>
                <w:szCs w:val="24"/>
              </w:rPr>
              <w:t>22</w:t>
            </w:r>
          </w:p>
        </w:tc>
        <w:tc>
          <w:tcPr>
            <w:tcW w:w="1276" w:type="dxa"/>
          </w:tcPr>
          <w:p w14:paraId="6A44F839" w14:textId="54ECDE07" w:rsidR="008F4C31" w:rsidRPr="000564EB" w:rsidRDefault="008F4C31" w:rsidP="00795CE8">
            <w:pPr>
              <w:jc w:val="center"/>
              <w:rPr>
                <w:rFonts w:cs="Arial"/>
                <w:szCs w:val="24"/>
              </w:rPr>
            </w:pPr>
            <w:r w:rsidRPr="000564EB">
              <w:rPr>
                <w:rFonts w:cs="Arial"/>
                <w:szCs w:val="24"/>
              </w:rPr>
              <w:t>11</w:t>
            </w:r>
          </w:p>
          <w:p w14:paraId="72F386BC" w14:textId="77777777" w:rsidR="008F4C31" w:rsidRPr="000564EB" w:rsidRDefault="008F4C31" w:rsidP="00795CE8">
            <w:pPr>
              <w:jc w:val="center"/>
              <w:rPr>
                <w:rFonts w:cs="Arial"/>
                <w:szCs w:val="24"/>
              </w:rPr>
            </w:pPr>
          </w:p>
        </w:tc>
      </w:tr>
      <w:tr w:rsidR="008F4C31" w:rsidRPr="000564EB" w14:paraId="7C7EE429" w14:textId="77777777" w:rsidTr="00BD3C09">
        <w:tc>
          <w:tcPr>
            <w:tcW w:w="1838" w:type="dxa"/>
          </w:tcPr>
          <w:p w14:paraId="17D0F414" w14:textId="77777777" w:rsidR="00216A86" w:rsidRDefault="008F4C31" w:rsidP="00216A86">
            <w:pPr>
              <w:rPr>
                <w:rFonts w:cs="Arial"/>
                <w:szCs w:val="24"/>
              </w:rPr>
            </w:pPr>
            <w:r w:rsidRPr="000564EB">
              <w:rPr>
                <w:rFonts w:cs="Arial"/>
                <w:szCs w:val="24"/>
              </w:rPr>
              <w:t xml:space="preserve">Average </w:t>
            </w:r>
            <w:r w:rsidR="00216A86">
              <w:rPr>
                <w:rFonts w:cs="Arial"/>
                <w:szCs w:val="24"/>
              </w:rPr>
              <w:t>s</w:t>
            </w:r>
            <w:r w:rsidRPr="000564EB">
              <w:rPr>
                <w:rFonts w:cs="Arial"/>
                <w:szCs w:val="24"/>
              </w:rPr>
              <w:t xml:space="preserve">peed of </w:t>
            </w:r>
            <w:r w:rsidR="00216A86">
              <w:rPr>
                <w:rFonts w:cs="Arial"/>
                <w:szCs w:val="24"/>
              </w:rPr>
              <w:t>a</w:t>
            </w:r>
            <w:r w:rsidRPr="000564EB">
              <w:rPr>
                <w:rFonts w:cs="Arial"/>
                <w:szCs w:val="24"/>
              </w:rPr>
              <w:t>nswer</w:t>
            </w:r>
          </w:p>
          <w:p w14:paraId="463065A7" w14:textId="77777777" w:rsidR="008F4C31" w:rsidRPr="000564EB" w:rsidRDefault="00216A86" w:rsidP="00216A86">
            <w:pPr>
              <w:rPr>
                <w:rFonts w:cs="Arial"/>
                <w:szCs w:val="24"/>
              </w:rPr>
            </w:pPr>
            <w:r>
              <w:rPr>
                <w:rFonts w:cs="Arial"/>
                <w:szCs w:val="24"/>
              </w:rPr>
              <w:t>(seconds)</w:t>
            </w:r>
            <w:r w:rsidR="008F4C31" w:rsidRPr="000564EB">
              <w:rPr>
                <w:rFonts w:cs="Arial"/>
                <w:szCs w:val="24"/>
              </w:rPr>
              <w:t xml:space="preserve"> </w:t>
            </w:r>
          </w:p>
        </w:tc>
        <w:tc>
          <w:tcPr>
            <w:tcW w:w="1276" w:type="dxa"/>
          </w:tcPr>
          <w:p w14:paraId="49B88EF6" w14:textId="77777777" w:rsidR="008F4C31" w:rsidRPr="000564EB" w:rsidRDefault="008F4C31" w:rsidP="00795CE8">
            <w:pPr>
              <w:jc w:val="center"/>
              <w:rPr>
                <w:rFonts w:cs="Arial"/>
                <w:szCs w:val="24"/>
              </w:rPr>
            </w:pPr>
            <w:r w:rsidRPr="000564EB">
              <w:rPr>
                <w:rFonts w:cs="Arial"/>
                <w:szCs w:val="24"/>
              </w:rPr>
              <w:t>45</w:t>
            </w:r>
          </w:p>
        </w:tc>
        <w:tc>
          <w:tcPr>
            <w:tcW w:w="1276" w:type="dxa"/>
          </w:tcPr>
          <w:p w14:paraId="48513E4C" w14:textId="77777777" w:rsidR="008F4C31" w:rsidRPr="000564EB" w:rsidRDefault="008F4C31" w:rsidP="00795CE8">
            <w:pPr>
              <w:jc w:val="center"/>
              <w:rPr>
                <w:rFonts w:cs="Arial"/>
                <w:szCs w:val="24"/>
              </w:rPr>
            </w:pPr>
            <w:r w:rsidRPr="000564EB">
              <w:rPr>
                <w:rFonts w:cs="Arial"/>
                <w:szCs w:val="24"/>
              </w:rPr>
              <w:t>43</w:t>
            </w:r>
          </w:p>
        </w:tc>
        <w:tc>
          <w:tcPr>
            <w:tcW w:w="1417" w:type="dxa"/>
          </w:tcPr>
          <w:p w14:paraId="6FCFB5A9" w14:textId="77777777" w:rsidR="008F4C31" w:rsidRPr="000564EB" w:rsidRDefault="008F4C31" w:rsidP="00795CE8">
            <w:pPr>
              <w:jc w:val="center"/>
              <w:rPr>
                <w:rFonts w:cs="Arial"/>
                <w:szCs w:val="24"/>
              </w:rPr>
            </w:pPr>
            <w:r w:rsidRPr="000564EB">
              <w:rPr>
                <w:rFonts w:cs="Arial"/>
                <w:szCs w:val="24"/>
              </w:rPr>
              <w:t>49</w:t>
            </w:r>
          </w:p>
        </w:tc>
        <w:tc>
          <w:tcPr>
            <w:tcW w:w="1134" w:type="dxa"/>
          </w:tcPr>
          <w:p w14:paraId="0E78FC40" w14:textId="77777777" w:rsidR="008F4C31" w:rsidRPr="000564EB" w:rsidRDefault="008F4C31" w:rsidP="00795CE8">
            <w:pPr>
              <w:jc w:val="center"/>
              <w:rPr>
                <w:rFonts w:cs="Arial"/>
                <w:szCs w:val="24"/>
              </w:rPr>
            </w:pPr>
            <w:r w:rsidRPr="000564EB">
              <w:rPr>
                <w:rFonts w:cs="Arial"/>
                <w:szCs w:val="24"/>
              </w:rPr>
              <w:t>37</w:t>
            </w:r>
          </w:p>
        </w:tc>
        <w:tc>
          <w:tcPr>
            <w:tcW w:w="1134" w:type="dxa"/>
          </w:tcPr>
          <w:p w14:paraId="5271CD6F" w14:textId="77777777" w:rsidR="008F4C31" w:rsidRPr="000564EB" w:rsidRDefault="008F4C31" w:rsidP="00795CE8">
            <w:pPr>
              <w:jc w:val="center"/>
              <w:rPr>
                <w:rFonts w:cs="Arial"/>
                <w:szCs w:val="24"/>
              </w:rPr>
            </w:pPr>
            <w:r w:rsidRPr="000564EB">
              <w:rPr>
                <w:rFonts w:cs="Arial"/>
                <w:szCs w:val="24"/>
              </w:rPr>
              <w:t>23</w:t>
            </w:r>
          </w:p>
        </w:tc>
        <w:tc>
          <w:tcPr>
            <w:tcW w:w="1276" w:type="dxa"/>
          </w:tcPr>
          <w:p w14:paraId="72E2FF47" w14:textId="1E0EA436" w:rsidR="008F4C31" w:rsidRPr="000564EB" w:rsidRDefault="00226DF8" w:rsidP="00795CE8">
            <w:pPr>
              <w:jc w:val="center"/>
              <w:rPr>
                <w:rFonts w:cs="Arial"/>
                <w:szCs w:val="24"/>
              </w:rPr>
            </w:pPr>
            <w:r>
              <w:rPr>
                <w:rFonts w:cs="Arial"/>
                <w:szCs w:val="24"/>
              </w:rPr>
              <w:t>31</w:t>
            </w:r>
          </w:p>
          <w:p w14:paraId="09682C79" w14:textId="77777777" w:rsidR="008F4C31" w:rsidRPr="000564EB" w:rsidRDefault="008F4C31" w:rsidP="00795CE8">
            <w:pPr>
              <w:jc w:val="center"/>
              <w:rPr>
                <w:rFonts w:cs="Arial"/>
                <w:szCs w:val="24"/>
              </w:rPr>
            </w:pPr>
          </w:p>
        </w:tc>
      </w:tr>
      <w:tr w:rsidR="008F4C31" w:rsidRPr="000564EB" w14:paraId="45D46C90" w14:textId="77777777" w:rsidTr="00BD3C09">
        <w:tc>
          <w:tcPr>
            <w:tcW w:w="1838" w:type="dxa"/>
          </w:tcPr>
          <w:p w14:paraId="2B0400AB" w14:textId="77777777" w:rsidR="008F4C31" w:rsidRPr="000564EB" w:rsidRDefault="008F4C31" w:rsidP="00BD3C09">
            <w:pPr>
              <w:rPr>
                <w:rFonts w:cs="Arial"/>
                <w:szCs w:val="24"/>
              </w:rPr>
            </w:pPr>
            <w:r w:rsidRPr="000564EB">
              <w:rPr>
                <w:rFonts w:cs="Arial"/>
                <w:szCs w:val="24"/>
              </w:rPr>
              <w:t>Telephony complaints</w:t>
            </w:r>
          </w:p>
        </w:tc>
        <w:tc>
          <w:tcPr>
            <w:tcW w:w="1276" w:type="dxa"/>
          </w:tcPr>
          <w:p w14:paraId="539A58B1" w14:textId="32BE7426" w:rsidR="008F4C31" w:rsidRPr="000564EB" w:rsidRDefault="008F4C31" w:rsidP="00795CE8">
            <w:pPr>
              <w:jc w:val="center"/>
              <w:rPr>
                <w:rFonts w:cs="Arial"/>
                <w:szCs w:val="24"/>
              </w:rPr>
            </w:pPr>
            <w:r w:rsidRPr="000564EB">
              <w:rPr>
                <w:rFonts w:cs="Arial"/>
                <w:szCs w:val="24"/>
              </w:rPr>
              <w:t>13</w:t>
            </w:r>
          </w:p>
        </w:tc>
        <w:tc>
          <w:tcPr>
            <w:tcW w:w="1276" w:type="dxa"/>
          </w:tcPr>
          <w:p w14:paraId="63495D75" w14:textId="4F7AA90D" w:rsidR="008F4C31" w:rsidRPr="000564EB" w:rsidRDefault="008F4C31" w:rsidP="00795CE8">
            <w:pPr>
              <w:jc w:val="center"/>
              <w:rPr>
                <w:rFonts w:cs="Arial"/>
                <w:szCs w:val="24"/>
              </w:rPr>
            </w:pPr>
            <w:r w:rsidRPr="000564EB">
              <w:rPr>
                <w:rFonts w:cs="Arial"/>
                <w:szCs w:val="24"/>
              </w:rPr>
              <w:t>10</w:t>
            </w:r>
          </w:p>
        </w:tc>
        <w:tc>
          <w:tcPr>
            <w:tcW w:w="1417" w:type="dxa"/>
          </w:tcPr>
          <w:p w14:paraId="10934592" w14:textId="2FB429FF" w:rsidR="008F4C31" w:rsidRPr="000564EB" w:rsidRDefault="008F4C31" w:rsidP="00795CE8">
            <w:pPr>
              <w:jc w:val="center"/>
              <w:rPr>
                <w:rFonts w:cs="Arial"/>
                <w:szCs w:val="24"/>
              </w:rPr>
            </w:pPr>
            <w:r w:rsidRPr="000564EB">
              <w:rPr>
                <w:rFonts w:cs="Arial"/>
                <w:szCs w:val="24"/>
              </w:rPr>
              <w:t>9</w:t>
            </w:r>
          </w:p>
        </w:tc>
        <w:tc>
          <w:tcPr>
            <w:tcW w:w="1134" w:type="dxa"/>
          </w:tcPr>
          <w:p w14:paraId="7CE0B360" w14:textId="2DBBE00C" w:rsidR="008F4C31" w:rsidRPr="000564EB" w:rsidRDefault="008F4C31" w:rsidP="00795CE8">
            <w:pPr>
              <w:jc w:val="center"/>
              <w:rPr>
                <w:rFonts w:cs="Arial"/>
                <w:szCs w:val="24"/>
              </w:rPr>
            </w:pPr>
            <w:r w:rsidRPr="000564EB">
              <w:rPr>
                <w:rFonts w:cs="Arial"/>
                <w:szCs w:val="24"/>
              </w:rPr>
              <w:t>16</w:t>
            </w:r>
          </w:p>
        </w:tc>
        <w:tc>
          <w:tcPr>
            <w:tcW w:w="1134" w:type="dxa"/>
          </w:tcPr>
          <w:p w14:paraId="534E52B3" w14:textId="1B8EFFFB" w:rsidR="008F4C31" w:rsidRPr="000564EB" w:rsidRDefault="008F4C31" w:rsidP="00795CE8">
            <w:pPr>
              <w:jc w:val="center"/>
              <w:rPr>
                <w:rFonts w:cs="Arial"/>
                <w:szCs w:val="24"/>
              </w:rPr>
            </w:pPr>
            <w:r w:rsidRPr="000564EB">
              <w:rPr>
                <w:rFonts w:cs="Arial"/>
                <w:szCs w:val="24"/>
              </w:rPr>
              <w:t>23</w:t>
            </w:r>
          </w:p>
        </w:tc>
        <w:tc>
          <w:tcPr>
            <w:tcW w:w="1276" w:type="dxa"/>
          </w:tcPr>
          <w:p w14:paraId="7EC77B5C" w14:textId="57FF0EEF" w:rsidR="008F4C31" w:rsidRPr="000564EB" w:rsidRDefault="008F4C31" w:rsidP="00795CE8">
            <w:pPr>
              <w:jc w:val="center"/>
              <w:rPr>
                <w:rFonts w:cs="Arial"/>
                <w:szCs w:val="24"/>
              </w:rPr>
            </w:pPr>
            <w:r w:rsidRPr="000564EB">
              <w:rPr>
                <w:rFonts w:cs="Arial"/>
                <w:szCs w:val="24"/>
              </w:rPr>
              <w:t>10</w:t>
            </w:r>
          </w:p>
        </w:tc>
      </w:tr>
      <w:tr w:rsidR="008F4C31" w:rsidRPr="000564EB" w14:paraId="1DF86A8B" w14:textId="77777777" w:rsidTr="00BD3C09">
        <w:tc>
          <w:tcPr>
            <w:tcW w:w="1838" w:type="dxa"/>
          </w:tcPr>
          <w:p w14:paraId="015598C6" w14:textId="77777777" w:rsidR="008F4C31" w:rsidRPr="000564EB" w:rsidRDefault="008F4C31" w:rsidP="00BD3C09">
            <w:pPr>
              <w:rPr>
                <w:rFonts w:cs="Arial"/>
                <w:szCs w:val="24"/>
              </w:rPr>
            </w:pPr>
            <w:r w:rsidRPr="000564EB">
              <w:rPr>
                <w:rFonts w:cs="Arial"/>
                <w:szCs w:val="24"/>
              </w:rPr>
              <w:t>Outcome 5</w:t>
            </w:r>
          </w:p>
          <w:p w14:paraId="4BD289D8" w14:textId="77777777" w:rsidR="008F4C31" w:rsidRPr="000564EB" w:rsidRDefault="008F4C31" w:rsidP="00BD3C09">
            <w:pPr>
              <w:rPr>
                <w:rFonts w:cs="Arial"/>
                <w:szCs w:val="24"/>
              </w:rPr>
            </w:pPr>
            <w:r w:rsidRPr="000564EB">
              <w:rPr>
                <w:rFonts w:cs="Arial"/>
                <w:szCs w:val="24"/>
              </w:rPr>
              <w:t>Satisfied</w:t>
            </w:r>
          </w:p>
        </w:tc>
        <w:tc>
          <w:tcPr>
            <w:tcW w:w="1276" w:type="dxa"/>
          </w:tcPr>
          <w:p w14:paraId="66FEF9DC" w14:textId="77777777" w:rsidR="008F4C31" w:rsidRPr="000564EB" w:rsidRDefault="008F4C31" w:rsidP="00795CE8">
            <w:pPr>
              <w:jc w:val="center"/>
              <w:rPr>
                <w:rFonts w:cs="Arial"/>
                <w:szCs w:val="24"/>
              </w:rPr>
            </w:pPr>
            <w:r w:rsidRPr="000564EB">
              <w:rPr>
                <w:rFonts w:cs="Arial"/>
                <w:szCs w:val="24"/>
              </w:rPr>
              <w:t>73.74%</w:t>
            </w:r>
          </w:p>
        </w:tc>
        <w:tc>
          <w:tcPr>
            <w:tcW w:w="1276" w:type="dxa"/>
          </w:tcPr>
          <w:p w14:paraId="5EC462C8" w14:textId="77777777" w:rsidR="008F4C31" w:rsidRPr="000564EB" w:rsidRDefault="008F4C31" w:rsidP="00795CE8">
            <w:pPr>
              <w:jc w:val="center"/>
              <w:rPr>
                <w:rFonts w:cs="Arial"/>
                <w:szCs w:val="24"/>
              </w:rPr>
            </w:pPr>
            <w:r w:rsidRPr="000564EB">
              <w:rPr>
                <w:rFonts w:cs="Arial"/>
                <w:szCs w:val="24"/>
              </w:rPr>
              <w:t>74.80%</w:t>
            </w:r>
          </w:p>
        </w:tc>
        <w:tc>
          <w:tcPr>
            <w:tcW w:w="1417" w:type="dxa"/>
          </w:tcPr>
          <w:p w14:paraId="2F0E8825" w14:textId="77777777" w:rsidR="008F4C31" w:rsidRPr="000564EB" w:rsidRDefault="008F4C31" w:rsidP="00795CE8">
            <w:pPr>
              <w:jc w:val="center"/>
              <w:rPr>
                <w:rFonts w:cs="Arial"/>
                <w:szCs w:val="24"/>
              </w:rPr>
            </w:pPr>
            <w:r w:rsidRPr="000564EB">
              <w:rPr>
                <w:rFonts w:cs="Arial"/>
                <w:szCs w:val="24"/>
              </w:rPr>
              <w:t>71.61%</w:t>
            </w:r>
          </w:p>
        </w:tc>
        <w:tc>
          <w:tcPr>
            <w:tcW w:w="1134" w:type="dxa"/>
          </w:tcPr>
          <w:p w14:paraId="5B89C616" w14:textId="77777777" w:rsidR="008F4C31" w:rsidRPr="000564EB" w:rsidRDefault="008F4C31" w:rsidP="00795CE8">
            <w:pPr>
              <w:jc w:val="center"/>
              <w:rPr>
                <w:rFonts w:cs="Arial"/>
                <w:szCs w:val="24"/>
              </w:rPr>
            </w:pPr>
            <w:r w:rsidRPr="000564EB">
              <w:rPr>
                <w:rFonts w:cs="Arial"/>
                <w:szCs w:val="24"/>
              </w:rPr>
              <w:t>71.61%</w:t>
            </w:r>
          </w:p>
        </w:tc>
        <w:tc>
          <w:tcPr>
            <w:tcW w:w="1134" w:type="dxa"/>
          </w:tcPr>
          <w:p w14:paraId="4F81213E" w14:textId="77777777" w:rsidR="008F4C31" w:rsidRPr="000564EB" w:rsidRDefault="008F4C31" w:rsidP="00795CE8">
            <w:pPr>
              <w:jc w:val="center"/>
              <w:rPr>
                <w:rFonts w:cs="Arial"/>
                <w:szCs w:val="24"/>
              </w:rPr>
            </w:pPr>
            <w:r w:rsidRPr="000564EB">
              <w:rPr>
                <w:rFonts w:cs="Arial"/>
                <w:szCs w:val="24"/>
              </w:rPr>
              <w:t>72.27%</w:t>
            </w:r>
          </w:p>
        </w:tc>
        <w:tc>
          <w:tcPr>
            <w:tcW w:w="1276" w:type="dxa"/>
          </w:tcPr>
          <w:p w14:paraId="27E52CE7" w14:textId="77777777" w:rsidR="008F4C31" w:rsidRPr="000564EB" w:rsidRDefault="008F4C31" w:rsidP="00795CE8">
            <w:pPr>
              <w:jc w:val="center"/>
              <w:rPr>
                <w:rFonts w:cs="Arial"/>
                <w:szCs w:val="24"/>
              </w:rPr>
            </w:pPr>
            <w:r w:rsidRPr="000564EB">
              <w:rPr>
                <w:rFonts w:cs="Arial"/>
                <w:szCs w:val="24"/>
              </w:rPr>
              <w:t>72.80%</w:t>
            </w:r>
          </w:p>
        </w:tc>
      </w:tr>
    </w:tbl>
    <w:p w14:paraId="5E1C1B0E" w14:textId="77777777" w:rsidR="008F4C31" w:rsidRPr="000564EB" w:rsidRDefault="008F4C31" w:rsidP="008F4C31">
      <w:pPr>
        <w:rPr>
          <w:rFonts w:cs="Arial"/>
          <w:szCs w:val="24"/>
        </w:rPr>
      </w:pPr>
    </w:p>
    <w:p w14:paraId="71B28572" w14:textId="7D9742FA" w:rsidR="008C3CD0" w:rsidRPr="00573340" w:rsidRDefault="008C3CD0" w:rsidP="008474A5">
      <w:pPr>
        <w:pStyle w:val="ListParagraph"/>
        <w:numPr>
          <w:ilvl w:val="0"/>
          <w:numId w:val="6"/>
        </w:numPr>
        <w:ind w:left="0" w:hanging="284"/>
        <w:rPr>
          <w:rFonts w:cs="Arial"/>
          <w:szCs w:val="24"/>
        </w:rPr>
      </w:pPr>
      <w:r w:rsidRPr="00573340">
        <w:rPr>
          <w:rFonts w:cs="Arial"/>
          <w:szCs w:val="24"/>
        </w:rPr>
        <w:t xml:space="preserve">The </w:t>
      </w:r>
      <w:r w:rsidR="00546C41" w:rsidRPr="00573340">
        <w:rPr>
          <w:rFonts w:cs="Arial"/>
          <w:szCs w:val="24"/>
        </w:rPr>
        <w:t>table below</w:t>
      </w:r>
      <w:r w:rsidRPr="00573340">
        <w:rPr>
          <w:rFonts w:cs="Arial"/>
          <w:szCs w:val="24"/>
        </w:rPr>
        <w:t xml:space="preserve"> detail</w:t>
      </w:r>
      <w:r w:rsidR="00546C41" w:rsidRPr="00573340">
        <w:rPr>
          <w:rFonts w:cs="Arial"/>
          <w:szCs w:val="24"/>
        </w:rPr>
        <w:t>s</w:t>
      </w:r>
      <w:r w:rsidRPr="00573340">
        <w:rPr>
          <w:rFonts w:cs="Arial"/>
          <w:szCs w:val="24"/>
        </w:rPr>
        <w:t xml:space="preserve"> the t</w:t>
      </w:r>
      <w:r w:rsidR="00620461" w:rsidRPr="00573340">
        <w:rPr>
          <w:rFonts w:cs="Arial"/>
          <w:szCs w:val="24"/>
        </w:rPr>
        <w:t xml:space="preserve">elephony </w:t>
      </w:r>
      <w:r w:rsidRPr="00573340">
        <w:rPr>
          <w:rFonts w:cs="Arial"/>
          <w:szCs w:val="24"/>
        </w:rPr>
        <w:t xml:space="preserve">performance metrics </w:t>
      </w:r>
      <w:r w:rsidR="00F3342F" w:rsidRPr="00573340">
        <w:rPr>
          <w:rFonts w:cs="Arial"/>
          <w:szCs w:val="24"/>
        </w:rPr>
        <w:t>over the last 12 months (</w:t>
      </w:r>
      <w:r w:rsidR="00620461" w:rsidRPr="00573340">
        <w:rPr>
          <w:rFonts w:cs="Arial"/>
          <w:szCs w:val="24"/>
        </w:rPr>
        <w:t>SD6/200618</w:t>
      </w:r>
      <w:r w:rsidRPr="00573340">
        <w:rPr>
          <w:rFonts w:cs="Arial"/>
          <w:szCs w:val="24"/>
        </w:rPr>
        <w:t xml:space="preserve"> refers</w:t>
      </w:r>
      <w:r w:rsidR="00F3342F" w:rsidRPr="00573340">
        <w:rPr>
          <w:rFonts w:cs="Arial"/>
          <w:szCs w:val="24"/>
        </w:rPr>
        <w:t>)</w:t>
      </w:r>
      <w:r w:rsidRPr="00573340">
        <w:rPr>
          <w:rFonts w:cs="Arial"/>
          <w:szCs w:val="24"/>
        </w:rPr>
        <w:t>.</w:t>
      </w:r>
      <w:r w:rsidR="00E05AC3" w:rsidRPr="00573340">
        <w:rPr>
          <w:rFonts w:cs="Arial"/>
          <w:szCs w:val="24"/>
        </w:rPr>
        <w:t xml:space="preserve">  This information is provided using the Avaya telephony service </w:t>
      </w:r>
      <w:r w:rsidR="00EF15DE" w:rsidRPr="00573340">
        <w:rPr>
          <w:rFonts w:cs="Arial"/>
          <w:szCs w:val="24"/>
        </w:rPr>
        <w:t>used</w:t>
      </w:r>
      <w:r w:rsidR="00E05AC3" w:rsidRPr="00573340">
        <w:rPr>
          <w:rFonts w:cs="Arial"/>
          <w:szCs w:val="24"/>
        </w:rPr>
        <w:t xml:space="preserve"> by TP.</w:t>
      </w:r>
      <w:r w:rsidRPr="00573340">
        <w:rPr>
          <w:rFonts w:cs="Arial"/>
          <w:szCs w:val="24"/>
        </w:rPr>
        <w:t xml:space="preserve"> </w:t>
      </w:r>
    </w:p>
    <w:p w14:paraId="68B663C4" w14:textId="77777777" w:rsidR="008F4C31" w:rsidRPr="000564EB" w:rsidRDefault="008F4C31" w:rsidP="008F4C31">
      <w:pPr>
        <w:rPr>
          <w:rFonts w:cs="Arial"/>
          <w:szCs w:val="24"/>
        </w:rPr>
      </w:pPr>
    </w:p>
    <w:p w14:paraId="381E520F" w14:textId="77777777" w:rsidR="008C3CD0" w:rsidRPr="000564EB" w:rsidRDefault="008C3CD0" w:rsidP="008F4C31">
      <w:pPr>
        <w:rPr>
          <w:rFonts w:cs="Arial"/>
          <w:color w:val="FF0000"/>
          <w:szCs w:val="24"/>
        </w:rPr>
        <w:sectPr w:rsidR="008C3CD0" w:rsidRPr="000564EB" w:rsidSect="00606998">
          <w:headerReference w:type="default" r:id="rId12"/>
          <w:footerReference w:type="default" r:id="rId13"/>
          <w:pgSz w:w="11906" w:h="16838"/>
          <w:pgMar w:top="1440" w:right="1418" w:bottom="1134" w:left="1440" w:header="709" w:footer="709" w:gutter="0"/>
          <w:cols w:space="708"/>
          <w:docGrid w:linePitch="360"/>
        </w:sectPr>
      </w:pPr>
    </w:p>
    <w:p w14:paraId="7E3EECF3" w14:textId="77777777" w:rsidR="008C3CD0" w:rsidRPr="000564EB" w:rsidRDefault="008C3CD0" w:rsidP="008474A5">
      <w:pPr>
        <w:pStyle w:val="ListParagraph"/>
        <w:numPr>
          <w:ilvl w:val="0"/>
          <w:numId w:val="6"/>
        </w:numPr>
        <w:ind w:left="0" w:firstLine="142"/>
        <w:rPr>
          <w:rFonts w:cs="Arial"/>
          <w:szCs w:val="24"/>
        </w:rPr>
      </w:pPr>
      <w:r w:rsidRPr="000564EB">
        <w:rPr>
          <w:rFonts w:cs="Arial"/>
          <w:szCs w:val="24"/>
        </w:rPr>
        <w:lastRenderedPageBreak/>
        <w:t xml:space="preserve">Performance Metrics </w:t>
      </w:r>
      <w:r w:rsidR="00D24A01" w:rsidRPr="000564EB">
        <w:rPr>
          <w:rFonts w:cs="Arial"/>
          <w:szCs w:val="24"/>
        </w:rPr>
        <w:t>for last 12 months</w:t>
      </w:r>
    </w:p>
    <w:p w14:paraId="4F152EDF" w14:textId="77777777" w:rsidR="008C3CD0" w:rsidRPr="000564EB" w:rsidRDefault="008C3CD0" w:rsidP="008C3CD0">
      <w:pPr>
        <w:rPr>
          <w:rFonts w:cs="Arial"/>
          <w:szCs w:val="24"/>
        </w:rPr>
      </w:pPr>
    </w:p>
    <w:tbl>
      <w:tblPr>
        <w:tblStyle w:val="TableGrid"/>
        <w:tblW w:w="0" w:type="auto"/>
        <w:tblLook w:val="04A0" w:firstRow="1" w:lastRow="0" w:firstColumn="1" w:lastColumn="0" w:noHBand="0" w:noVBand="1"/>
      </w:tblPr>
      <w:tblGrid>
        <w:gridCol w:w="1505"/>
        <w:gridCol w:w="1030"/>
        <w:gridCol w:w="1030"/>
        <w:gridCol w:w="1030"/>
        <w:gridCol w:w="1030"/>
        <w:gridCol w:w="1030"/>
        <w:gridCol w:w="1030"/>
        <w:gridCol w:w="1030"/>
        <w:gridCol w:w="1030"/>
        <w:gridCol w:w="1030"/>
        <w:gridCol w:w="1030"/>
        <w:gridCol w:w="1030"/>
        <w:gridCol w:w="1030"/>
      </w:tblGrid>
      <w:tr w:rsidR="008C3CD0" w:rsidRPr="00633AC4" w14:paraId="6526C8C9" w14:textId="77777777" w:rsidTr="00633AC4">
        <w:tc>
          <w:tcPr>
            <w:tcW w:w="1505" w:type="dxa"/>
            <w:shd w:val="clear" w:color="auto" w:fill="D9D9D9" w:themeFill="background1" w:themeFillShade="D9"/>
          </w:tcPr>
          <w:p w14:paraId="7AB3FFF1" w14:textId="77777777" w:rsidR="008C3CD0" w:rsidRPr="00633AC4" w:rsidRDefault="008C3CD0" w:rsidP="00BD3C09">
            <w:pPr>
              <w:rPr>
                <w:rFonts w:cs="Arial"/>
                <w:b/>
                <w:szCs w:val="24"/>
              </w:rPr>
            </w:pPr>
          </w:p>
        </w:tc>
        <w:tc>
          <w:tcPr>
            <w:tcW w:w="977" w:type="dxa"/>
            <w:shd w:val="clear" w:color="auto" w:fill="D9D9D9" w:themeFill="background1" w:themeFillShade="D9"/>
          </w:tcPr>
          <w:p w14:paraId="666EC612" w14:textId="77777777" w:rsidR="008C3CD0" w:rsidRPr="00633AC4" w:rsidRDefault="008C3CD0" w:rsidP="00BD3C09">
            <w:pPr>
              <w:jc w:val="center"/>
              <w:rPr>
                <w:rFonts w:cs="Arial"/>
                <w:b/>
                <w:szCs w:val="24"/>
              </w:rPr>
            </w:pPr>
            <w:r w:rsidRPr="00633AC4">
              <w:rPr>
                <w:rFonts w:cs="Arial"/>
                <w:b/>
                <w:szCs w:val="24"/>
              </w:rPr>
              <w:t>Aug</w:t>
            </w:r>
          </w:p>
          <w:p w14:paraId="42B194C1" w14:textId="77777777" w:rsidR="008C3CD0" w:rsidRPr="00633AC4" w:rsidRDefault="008C3CD0" w:rsidP="00BD3C09">
            <w:pPr>
              <w:jc w:val="center"/>
              <w:rPr>
                <w:rFonts w:cs="Arial"/>
                <w:b/>
                <w:szCs w:val="24"/>
              </w:rPr>
            </w:pPr>
            <w:r w:rsidRPr="00633AC4">
              <w:rPr>
                <w:rFonts w:cs="Arial"/>
                <w:b/>
                <w:szCs w:val="24"/>
              </w:rPr>
              <w:t>17</w:t>
            </w:r>
          </w:p>
        </w:tc>
        <w:tc>
          <w:tcPr>
            <w:tcW w:w="1030" w:type="dxa"/>
            <w:shd w:val="clear" w:color="auto" w:fill="D9D9D9" w:themeFill="background1" w:themeFillShade="D9"/>
          </w:tcPr>
          <w:p w14:paraId="31A47F63" w14:textId="77777777" w:rsidR="008C3CD0" w:rsidRPr="00633AC4" w:rsidRDefault="008C3CD0" w:rsidP="00BD3C09">
            <w:pPr>
              <w:jc w:val="center"/>
              <w:rPr>
                <w:rFonts w:cs="Arial"/>
                <w:b/>
                <w:szCs w:val="24"/>
              </w:rPr>
            </w:pPr>
            <w:r w:rsidRPr="00633AC4">
              <w:rPr>
                <w:rFonts w:cs="Arial"/>
                <w:b/>
                <w:szCs w:val="24"/>
              </w:rPr>
              <w:t>Sept 17</w:t>
            </w:r>
          </w:p>
        </w:tc>
        <w:tc>
          <w:tcPr>
            <w:tcW w:w="1030" w:type="dxa"/>
            <w:shd w:val="clear" w:color="auto" w:fill="D9D9D9" w:themeFill="background1" w:themeFillShade="D9"/>
          </w:tcPr>
          <w:p w14:paraId="0EB7D98D" w14:textId="77777777" w:rsidR="008C3CD0" w:rsidRPr="00633AC4" w:rsidRDefault="008C3CD0" w:rsidP="00BD3C09">
            <w:pPr>
              <w:jc w:val="center"/>
              <w:rPr>
                <w:rFonts w:cs="Arial"/>
                <w:b/>
                <w:szCs w:val="24"/>
              </w:rPr>
            </w:pPr>
            <w:r w:rsidRPr="00633AC4">
              <w:rPr>
                <w:rFonts w:cs="Arial"/>
                <w:b/>
                <w:szCs w:val="24"/>
              </w:rPr>
              <w:t xml:space="preserve">Oct </w:t>
            </w:r>
          </w:p>
          <w:p w14:paraId="3E21AEDE" w14:textId="77777777" w:rsidR="008C3CD0" w:rsidRPr="00633AC4" w:rsidRDefault="008C3CD0" w:rsidP="00BD3C09">
            <w:pPr>
              <w:jc w:val="center"/>
              <w:rPr>
                <w:rFonts w:cs="Arial"/>
                <w:b/>
                <w:szCs w:val="24"/>
              </w:rPr>
            </w:pPr>
            <w:r w:rsidRPr="00633AC4">
              <w:rPr>
                <w:rFonts w:cs="Arial"/>
                <w:b/>
                <w:szCs w:val="24"/>
              </w:rPr>
              <w:t>17</w:t>
            </w:r>
          </w:p>
        </w:tc>
        <w:tc>
          <w:tcPr>
            <w:tcW w:w="1030" w:type="dxa"/>
            <w:shd w:val="clear" w:color="auto" w:fill="D9D9D9" w:themeFill="background1" w:themeFillShade="D9"/>
          </w:tcPr>
          <w:p w14:paraId="2D3E60C7" w14:textId="77777777" w:rsidR="008C3CD0" w:rsidRPr="00633AC4" w:rsidRDefault="008C3CD0" w:rsidP="00BD3C09">
            <w:pPr>
              <w:jc w:val="center"/>
              <w:rPr>
                <w:rFonts w:cs="Arial"/>
                <w:b/>
                <w:szCs w:val="24"/>
              </w:rPr>
            </w:pPr>
            <w:r w:rsidRPr="00633AC4">
              <w:rPr>
                <w:rFonts w:cs="Arial"/>
                <w:b/>
                <w:szCs w:val="24"/>
              </w:rPr>
              <w:t xml:space="preserve">Nov </w:t>
            </w:r>
          </w:p>
          <w:p w14:paraId="4D137BDF" w14:textId="77777777" w:rsidR="008C3CD0" w:rsidRPr="00633AC4" w:rsidRDefault="008C3CD0" w:rsidP="00BD3C09">
            <w:pPr>
              <w:jc w:val="center"/>
              <w:rPr>
                <w:rFonts w:cs="Arial"/>
                <w:b/>
                <w:szCs w:val="24"/>
              </w:rPr>
            </w:pPr>
            <w:r w:rsidRPr="00633AC4">
              <w:rPr>
                <w:rFonts w:cs="Arial"/>
                <w:b/>
                <w:szCs w:val="24"/>
              </w:rPr>
              <w:t>17</w:t>
            </w:r>
          </w:p>
        </w:tc>
        <w:tc>
          <w:tcPr>
            <w:tcW w:w="1030" w:type="dxa"/>
            <w:shd w:val="clear" w:color="auto" w:fill="D9D9D9" w:themeFill="background1" w:themeFillShade="D9"/>
          </w:tcPr>
          <w:p w14:paraId="7F840215" w14:textId="77777777" w:rsidR="008C3CD0" w:rsidRPr="00633AC4" w:rsidRDefault="008C3CD0" w:rsidP="00BD3C09">
            <w:pPr>
              <w:jc w:val="center"/>
              <w:rPr>
                <w:rFonts w:cs="Arial"/>
                <w:b/>
                <w:szCs w:val="24"/>
              </w:rPr>
            </w:pPr>
            <w:r w:rsidRPr="00633AC4">
              <w:rPr>
                <w:rFonts w:cs="Arial"/>
                <w:b/>
                <w:szCs w:val="24"/>
              </w:rPr>
              <w:t xml:space="preserve">Dec </w:t>
            </w:r>
          </w:p>
          <w:p w14:paraId="0650EB4D" w14:textId="77777777" w:rsidR="008C3CD0" w:rsidRPr="00633AC4" w:rsidRDefault="008C3CD0" w:rsidP="00BD3C09">
            <w:pPr>
              <w:jc w:val="center"/>
              <w:rPr>
                <w:rFonts w:cs="Arial"/>
                <w:b/>
                <w:szCs w:val="24"/>
              </w:rPr>
            </w:pPr>
            <w:r w:rsidRPr="00633AC4">
              <w:rPr>
                <w:rFonts w:cs="Arial"/>
                <w:b/>
                <w:szCs w:val="24"/>
              </w:rPr>
              <w:t>17</w:t>
            </w:r>
          </w:p>
        </w:tc>
        <w:tc>
          <w:tcPr>
            <w:tcW w:w="1030" w:type="dxa"/>
            <w:shd w:val="clear" w:color="auto" w:fill="D9D9D9" w:themeFill="background1" w:themeFillShade="D9"/>
          </w:tcPr>
          <w:p w14:paraId="695F8C43" w14:textId="77777777" w:rsidR="008C3CD0" w:rsidRPr="00633AC4" w:rsidRDefault="008C3CD0" w:rsidP="00BD3C09">
            <w:pPr>
              <w:jc w:val="center"/>
              <w:rPr>
                <w:rFonts w:cs="Arial"/>
                <w:b/>
                <w:szCs w:val="24"/>
              </w:rPr>
            </w:pPr>
            <w:r w:rsidRPr="00633AC4">
              <w:rPr>
                <w:rFonts w:cs="Arial"/>
                <w:b/>
                <w:szCs w:val="24"/>
              </w:rPr>
              <w:t>Jan</w:t>
            </w:r>
          </w:p>
          <w:p w14:paraId="1194D563" w14:textId="77777777" w:rsidR="008C3CD0" w:rsidRPr="00633AC4" w:rsidRDefault="008C3CD0" w:rsidP="00BD3C09">
            <w:pPr>
              <w:jc w:val="center"/>
              <w:rPr>
                <w:rFonts w:cs="Arial"/>
                <w:b/>
                <w:szCs w:val="24"/>
              </w:rPr>
            </w:pPr>
            <w:r w:rsidRPr="00633AC4">
              <w:rPr>
                <w:rFonts w:cs="Arial"/>
                <w:b/>
                <w:szCs w:val="24"/>
              </w:rPr>
              <w:t>18</w:t>
            </w:r>
          </w:p>
        </w:tc>
        <w:tc>
          <w:tcPr>
            <w:tcW w:w="1030" w:type="dxa"/>
            <w:shd w:val="clear" w:color="auto" w:fill="D9D9D9" w:themeFill="background1" w:themeFillShade="D9"/>
          </w:tcPr>
          <w:p w14:paraId="15CAF1C9" w14:textId="77777777" w:rsidR="008C3CD0" w:rsidRPr="00633AC4" w:rsidRDefault="008C3CD0" w:rsidP="00BD3C09">
            <w:pPr>
              <w:jc w:val="center"/>
              <w:rPr>
                <w:rFonts w:cs="Arial"/>
                <w:b/>
                <w:szCs w:val="24"/>
              </w:rPr>
            </w:pPr>
            <w:r w:rsidRPr="00633AC4">
              <w:rPr>
                <w:rFonts w:cs="Arial"/>
                <w:b/>
                <w:szCs w:val="24"/>
              </w:rPr>
              <w:t xml:space="preserve">Feb </w:t>
            </w:r>
          </w:p>
          <w:p w14:paraId="25AA760D" w14:textId="77777777" w:rsidR="008C3CD0" w:rsidRPr="00633AC4" w:rsidRDefault="008C3CD0" w:rsidP="00BD3C09">
            <w:pPr>
              <w:jc w:val="center"/>
              <w:rPr>
                <w:rFonts w:cs="Arial"/>
                <w:b/>
                <w:szCs w:val="24"/>
              </w:rPr>
            </w:pPr>
            <w:r w:rsidRPr="00633AC4">
              <w:rPr>
                <w:rFonts w:cs="Arial"/>
                <w:b/>
                <w:szCs w:val="24"/>
              </w:rPr>
              <w:t>18</w:t>
            </w:r>
          </w:p>
        </w:tc>
        <w:tc>
          <w:tcPr>
            <w:tcW w:w="1030" w:type="dxa"/>
            <w:shd w:val="clear" w:color="auto" w:fill="D9D9D9" w:themeFill="background1" w:themeFillShade="D9"/>
          </w:tcPr>
          <w:p w14:paraId="177F95E2" w14:textId="77777777" w:rsidR="008C3CD0" w:rsidRPr="00633AC4" w:rsidRDefault="008C3CD0" w:rsidP="00BD3C09">
            <w:pPr>
              <w:jc w:val="center"/>
              <w:rPr>
                <w:rFonts w:cs="Arial"/>
                <w:b/>
                <w:szCs w:val="24"/>
              </w:rPr>
            </w:pPr>
            <w:r w:rsidRPr="00633AC4">
              <w:rPr>
                <w:rFonts w:cs="Arial"/>
                <w:b/>
                <w:szCs w:val="24"/>
              </w:rPr>
              <w:t>March 18</w:t>
            </w:r>
          </w:p>
        </w:tc>
        <w:tc>
          <w:tcPr>
            <w:tcW w:w="1030" w:type="dxa"/>
            <w:shd w:val="clear" w:color="auto" w:fill="D9D9D9" w:themeFill="background1" w:themeFillShade="D9"/>
          </w:tcPr>
          <w:p w14:paraId="14A5CBAE" w14:textId="77777777" w:rsidR="008C3CD0" w:rsidRPr="00633AC4" w:rsidRDefault="008C3CD0" w:rsidP="00BD3C09">
            <w:pPr>
              <w:jc w:val="center"/>
              <w:rPr>
                <w:rFonts w:cs="Arial"/>
                <w:b/>
                <w:szCs w:val="24"/>
              </w:rPr>
            </w:pPr>
            <w:r w:rsidRPr="00633AC4">
              <w:rPr>
                <w:rFonts w:cs="Arial"/>
                <w:b/>
                <w:szCs w:val="24"/>
              </w:rPr>
              <w:t xml:space="preserve">April </w:t>
            </w:r>
          </w:p>
          <w:p w14:paraId="37839E1D" w14:textId="77777777" w:rsidR="008C3CD0" w:rsidRPr="00633AC4" w:rsidRDefault="008C3CD0" w:rsidP="00BD3C09">
            <w:pPr>
              <w:jc w:val="center"/>
              <w:rPr>
                <w:rFonts w:cs="Arial"/>
                <w:b/>
                <w:szCs w:val="24"/>
              </w:rPr>
            </w:pPr>
            <w:r w:rsidRPr="00633AC4">
              <w:rPr>
                <w:rFonts w:cs="Arial"/>
                <w:b/>
                <w:szCs w:val="24"/>
              </w:rPr>
              <w:t>18</w:t>
            </w:r>
          </w:p>
        </w:tc>
        <w:tc>
          <w:tcPr>
            <w:tcW w:w="1030" w:type="dxa"/>
            <w:shd w:val="clear" w:color="auto" w:fill="D9D9D9" w:themeFill="background1" w:themeFillShade="D9"/>
          </w:tcPr>
          <w:p w14:paraId="4F559873" w14:textId="77777777" w:rsidR="008C3CD0" w:rsidRPr="00633AC4" w:rsidRDefault="008C3CD0" w:rsidP="00BD3C09">
            <w:pPr>
              <w:jc w:val="center"/>
              <w:rPr>
                <w:rFonts w:cs="Arial"/>
                <w:b/>
                <w:szCs w:val="24"/>
              </w:rPr>
            </w:pPr>
            <w:r w:rsidRPr="00633AC4">
              <w:rPr>
                <w:rFonts w:cs="Arial"/>
                <w:b/>
                <w:szCs w:val="24"/>
              </w:rPr>
              <w:t xml:space="preserve">May </w:t>
            </w:r>
          </w:p>
          <w:p w14:paraId="21C64C6B" w14:textId="77777777" w:rsidR="008C3CD0" w:rsidRPr="00633AC4" w:rsidRDefault="008C3CD0" w:rsidP="00BD3C09">
            <w:pPr>
              <w:jc w:val="center"/>
              <w:rPr>
                <w:rFonts w:cs="Arial"/>
                <w:b/>
                <w:szCs w:val="24"/>
              </w:rPr>
            </w:pPr>
            <w:r w:rsidRPr="00633AC4">
              <w:rPr>
                <w:rFonts w:cs="Arial"/>
                <w:b/>
                <w:szCs w:val="24"/>
              </w:rPr>
              <w:t>18</w:t>
            </w:r>
          </w:p>
        </w:tc>
        <w:tc>
          <w:tcPr>
            <w:tcW w:w="1030" w:type="dxa"/>
            <w:shd w:val="clear" w:color="auto" w:fill="D9D9D9" w:themeFill="background1" w:themeFillShade="D9"/>
          </w:tcPr>
          <w:p w14:paraId="4F6E7A24" w14:textId="77777777" w:rsidR="008C3CD0" w:rsidRPr="00633AC4" w:rsidRDefault="008C3CD0" w:rsidP="00BD3C09">
            <w:pPr>
              <w:jc w:val="center"/>
              <w:rPr>
                <w:rFonts w:cs="Arial"/>
                <w:b/>
                <w:szCs w:val="24"/>
              </w:rPr>
            </w:pPr>
            <w:r w:rsidRPr="00633AC4">
              <w:rPr>
                <w:rFonts w:cs="Arial"/>
                <w:b/>
                <w:szCs w:val="24"/>
              </w:rPr>
              <w:t>June 18</w:t>
            </w:r>
          </w:p>
        </w:tc>
        <w:tc>
          <w:tcPr>
            <w:tcW w:w="1030" w:type="dxa"/>
            <w:shd w:val="clear" w:color="auto" w:fill="D9D9D9" w:themeFill="background1" w:themeFillShade="D9"/>
          </w:tcPr>
          <w:p w14:paraId="5C5085AD" w14:textId="77777777" w:rsidR="008C3CD0" w:rsidRPr="00633AC4" w:rsidRDefault="008C3CD0" w:rsidP="00BD3C09">
            <w:pPr>
              <w:jc w:val="center"/>
              <w:rPr>
                <w:rFonts w:cs="Arial"/>
                <w:b/>
                <w:szCs w:val="24"/>
              </w:rPr>
            </w:pPr>
            <w:r w:rsidRPr="00633AC4">
              <w:rPr>
                <w:rFonts w:cs="Arial"/>
                <w:b/>
                <w:szCs w:val="24"/>
              </w:rPr>
              <w:t xml:space="preserve">July </w:t>
            </w:r>
          </w:p>
          <w:p w14:paraId="18252C72" w14:textId="77777777" w:rsidR="008C3CD0" w:rsidRPr="00633AC4" w:rsidRDefault="008C3CD0" w:rsidP="00BD3C09">
            <w:pPr>
              <w:jc w:val="center"/>
              <w:rPr>
                <w:rFonts w:cs="Arial"/>
                <w:b/>
                <w:szCs w:val="24"/>
              </w:rPr>
            </w:pPr>
            <w:r w:rsidRPr="00633AC4">
              <w:rPr>
                <w:rFonts w:cs="Arial"/>
                <w:b/>
                <w:szCs w:val="24"/>
              </w:rPr>
              <w:t>18</w:t>
            </w:r>
          </w:p>
        </w:tc>
      </w:tr>
      <w:tr w:rsidR="008C3CD0" w:rsidRPr="000564EB" w14:paraId="25641420" w14:textId="77777777" w:rsidTr="00BD3C09">
        <w:tc>
          <w:tcPr>
            <w:tcW w:w="1505" w:type="dxa"/>
          </w:tcPr>
          <w:p w14:paraId="1BF1A9C7" w14:textId="77777777" w:rsidR="008C3CD0" w:rsidRPr="000564EB" w:rsidRDefault="008C3CD0" w:rsidP="00BD3C09">
            <w:pPr>
              <w:rPr>
                <w:rFonts w:cs="Arial"/>
                <w:szCs w:val="24"/>
              </w:rPr>
            </w:pPr>
            <w:r w:rsidRPr="000564EB">
              <w:rPr>
                <w:rFonts w:cs="Arial"/>
                <w:szCs w:val="24"/>
              </w:rPr>
              <w:t>Calls Answered</w:t>
            </w:r>
          </w:p>
        </w:tc>
        <w:tc>
          <w:tcPr>
            <w:tcW w:w="977" w:type="dxa"/>
          </w:tcPr>
          <w:p w14:paraId="210AFA35" w14:textId="77777777" w:rsidR="008C3CD0" w:rsidRPr="000564EB" w:rsidRDefault="008C3CD0" w:rsidP="00BD3C09">
            <w:pPr>
              <w:jc w:val="center"/>
              <w:rPr>
                <w:rFonts w:cs="Arial"/>
                <w:szCs w:val="24"/>
              </w:rPr>
            </w:pPr>
            <w:r w:rsidRPr="000564EB">
              <w:rPr>
                <w:rFonts w:cs="Arial"/>
                <w:szCs w:val="24"/>
              </w:rPr>
              <w:t>21836</w:t>
            </w:r>
          </w:p>
        </w:tc>
        <w:tc>
          <w:tcPr>
            <w:tcW w:w="1030" w:type="dxa"/>
          </w:tcPr>
          <w:p w14:paraId="3D2D7E99" w14:textId="77777777" w:rsidR="008C3CD0" w:rsidRPr="000564EB" w:rsidRDefault="008C3CD0" w:rsidP="00BD3C09">
            <w:pPr>
              <w:jc w:val="center"/>
              <w:rPr>
                <w:rFonts w:cs="Arial"/>
                <w:szCs w:val="24"/>
              </w:rPr>
            </w:pPr>
            <w:r w:rsidRPr="000564EB">
              <w:rPr>
                <w:rFonts w:cs="Arial"/>
                <w:szCs w:val="24"/>
              </w:rPr>
              <w:t>17888</w:t>
            </w:r>
          </w:p>
        </w:tc>
        <w:tc>
          <w:tcPr>
            <w:tcW w:w="1030" w:type="dxa"/>
          </w:tcPr>
          <w:p w14:paraId="155E8807" w14:textId="77777777" w:rsidR="008C3CD0" w:rsidRPr="000564EB" w:rsidRDefault="008C3CD0" w:rsidP="00BD3C09">
            <w:pPr>
              <w:jc w:val="center"/>
              <w:rPr>
                <w:rFonts w:cs="Arial"/>
                <w:szCs w:val="24"/>
              </w:rPr>
            </w:pPr>
            <w:r w:rsidRPr="000564EB">
              <w:rPr>
                <w:rFonts w:cs="Arial"/>
                <w:szCs w:val="24"/>
              </w:rPr>
              <w:t>19951</w:t>
            </w:r>
          </w:p>
          <w:p w14:paraId="66954337" w14:textId="77777777" w:rsidR="008C3CD0" w:rsidRPr="000564EB" w:rsidRDefault="008C3CD0" w:rsidP="00BD3C09">
            <w:pPr>
              <w:rPr>
                <w:rFonts w:cs="Arial"/>
                <w:szCs w:val="24"/>
              </w:rPr>
            </w:pPr>
          </w:p>
        </w:tc>
        <w:tc>
          <w:tcPr>
            <w:tcW w:w="1030" w:type="dxa"/>
          </w:tcPr>
          <w:p w14:paraId="07408A8C" w14:textId="77777777" w:rsidR="008C3CD0" w:rsidRPr="000564EB" w:rsidRDefault="008C3CD0" w:rsidP="00BD3C09">
            <w:pPr>
              <w:rPr>
                <w:rFonts w:cs="Arial"/>
                <w:szCs w:val="24"/>
              </w:rPr>
            </w:pPr>
            <w:r w:rsidRPr="000564EB">
              <w:rPr>
                <w:rFonts w:cs="Arial"/>
                <w:szCs w:val="24"/>
              </w:rPr>
              <w:t>28412</w:t>
            </w:r>
          </w:p>
        </w:tc>
        <w:tc>
          <w:tcPr>
            <w:tcW w:w="1030" w:type="dxa"/>
          </w:tcPr>
          <w:p w14:paraId="520FD01C" w14:textId="77777777" w:rsidR="008C3CD0" w:rsidRPr="000564EB" w:rsidRDefault="008C3CD0" w:rsidP="00BD3C09">
            <w:pPr>
              <w:jc w:val="center"/>
              <w:rPr>
                <w:rFonts w:cs="Arial"/>
                <w:szCs w:val="24"/>
              </w:rPr>
            </w:pPr>
            <w:r w:rsidRPr="000564EB">
              <w:rPr>
                <w:rFonts w:cs="Arial"/>
                <w:szCs w:val="24"/>
              </w:rPr>
              <w:t>25068</w:t>
            </w:r>
          </w:p>
        </w:tc>
        <w:tc>
          <w:tcPr>
            <w:tcW w:w="1030" w:type="dxa"/>
          </w:tcPr>
          <w:p w14:paraId="43AFA54D" w14:textId="77777777" w:rsidR="008C3CD0" w:rsidRPr="000564EB" w:rsidRDefault="008C3CD0" w:rsidP="00BD3C09">
            <w:pPr>
              <w:jc w:val="center"/>
              <w:rPr>
                <w:rFonts w:cs="Arial"/>
                <w:szCs w:val="24"/>
              </w:rPr>
            </w:pPr>
            <w:r w:rsidRPr="000564EB">
              <w:rPr>
                <w:rFonts w:cs="Arial"/>
                <w:szCs w:val="24"/>
              </w:rPr>
              <w:t>39592</w:t>
            </w:r>
          </w:p>
        </w:tc>
        <w:tc>
          <w:tcPr>
            <w:tcW w:w="1030" w:type="dxa"/>
          </w:tcPr>
          <w:p w14:paraId="446560BA" w14:textId="77777777" w:rsidR="008C3CD0" w:rsidRPr="000564EB" w:rsidRDefault="008C3CD0" w:rsidP="00BD3C09">
            <w:pPr>
              <w:jc w:val="center"/>
              <w:rPr>
                <w:rFonts w:cs="Arial"/>
                <w:szCs w:val="24"/>
              </w:rPr>
            </w:pPr>
            <w:r w:rsidRPr="000564EB">
              <w:rPr>
                <w:rFonts w:cs="Arial"/>
                <w:szCs w:val="24"/>
              </w:rPr>
              <w:t>30960</w:t>
            </w:r>
          </w:p>
        </w:tc>
        <w:tc>
          <w:tcPr>
            <w:tcW w:w="1030" w:type="dxa"/>
          </w:tcPr>
          <w:p w14:paraId="003C8CAD" w14:textId="77777777" w:rsidR="008C3CD0" w:rsidRPr="000564EB" w:rsidRDefault="008C3CD0" w:rsidP="00BD3C09">
            <w:pPr>
              <w:jc w:val="center"/>
              <w:rPr>
                <w:rFonts w:cs="Arial"/>
                <w:szCs w:val="24"/>
              </w:rPr>
            </w:pPr>
            <w:r w:rsidRPr="000564EB">
              <w:rPr>
                <w:rFonts w:cs="Arial"/>
                <w:szCs w:val="24"/>
              </w:rPr>
              <w:t>30390</w:t>
            </w:r>
          </w:p>
        </w:tc>
        <w:tc>
          <w:tcPr>
            <w:tcW w:w="1030" w:type="dxa"/>
          </w:tcPr>
          <w:p w14:paraId="2DED78CE" w14:textId="77777777" w:rsidR="008C3CD0" w:rsidRPr="000564EB" w:rsidRDefault="008C3CD0" w:rsidP="00BD3C09">
            <w:pPr>
              <w:jc w:val="center"/>
              <w:rPr>
                <w:rFonts w:cs="Arial"/>
                <w:szCs w:val="24"/>
              </w:rPr>
            </w:pPr>
            <w:r w:rsidRPr="000564EB">
              <w:rPr>
                <w:rFonts w:cs="Arial"/>
                <w:szCs w:val="24"/>
              </w:rPr>
              <w:t>35702</w:t>
            </w:r>
          </w:p>
        </w:tc>
        <w:tc>
          <w:tcPr>
            <w:tcW w:w="1030" w:type="dxa"/>
          </w:tcPr>
          <w:p w14:paraId="0A4033E8" w14:textId="77777777" w:rsidR="008C3CD0" w:rsidRPr="000564EB" w:rsidRDefault="008C3CD0" w:rsidP="00BD3C09">
            <w:pPr>
              <w:jc w:val="center"/>
              <w:rPr>
                <w:rFonts w:cs="Arial"/>
                <w:szCs w:val="24"/>
              </w:rPr>
            </w:pPr>
            <w:r w:rsidRPr="000564EB">
              <w:rPr>
                <w:rFonts w:cs="Arial"/>
                <w:szCs w:val="24"/>
              </w:rPr>
              <w:t>34308</w:t>
            </w:r>
          </w:p>
        </w:tc>
        <w:tc>
          <w:tcPr>
            <w:tcW w:w="1030" w:type="dxa"/>
          </w:tcPr>
          <w:p w14:paraId="5C140E91" w14:textId="77777777" w:rsidR="008C3CD0" w:rsidRPr="000564EB" w:rsidRDefault="008C3CD0" w:rsidP="00BD3C09">
            <w:pPr>
              <w:jc w:val="center"/>
              <w:rPr>
                <w:rFonts w:cs="Arial"/>
                <w:szCs w:val="24"/>
              </w:rPr>
            </w:pPr>
            <w:r w:rsidRPr="000564EB">
              <w:rPr>
                <w:rFonts w:cs="Arial"/>
                <w:szCs w:val="24"/>
              </w:rPr>
              <w:t>32249</w:t>
            </w:r>
          </w:p>
        </w:tc>
        <w:tc>
          <w:tcPr>
            <w:tcW w:w="1030" w:type="dxa"/>
          </w:tcPr>
          <w:p w14:paraId="087FAEDD" w14:textId="77777777" w:rsidR="008C3CD0" w:rsidRPr="000564EB" w:rsidRDefault="008C3CD0" w:rsidP="00BD3C09">
            <w:pPr>
              <w:jc w:val="center"/>
              <w:rPr>
                <w:rFonts w:cs="Arial"/>
                <w:szCs w:val="24"/>
              </w:rPr>
            </w:pPr>
            <w:r w:rsidRPr="000564EB">
              <w:rPr>
                <w:rFonts w:cs="Arial"/>
                <w:szCs w:val="24"/>
              </w:rPr>
              <w:t>31520</w:t>
            </w:r>
          </w:p>
        </w:tc>
      </w:tr>
      <w:tr w:rsidR="008C3CD0" w:rsidRPr="000564EB" w14:paraId="254EE362" w14:textId="77777777" w:rsidTr="00BD3C09">
        <w:tc>
          <w:tcPr>
            <w:tcW w:w="1505" w:type="dxa"/>
          </w:tcPr>
          <w:p w14:paraId="0B64E02D" w14:textId="77777777" w:rsidR="008C3CD0" w:rsidRPr="000564EB" w:rsidRDefault="008C3CD0" w:rsidP="00BD3C09">
            <w:pPr>
              <w:rPr>
                <w:rFonts w:cs="Arial"/>
                <w:szCs w:val="24"/>
              </w:rPr>
            </w:pPr>
            <w:r w:rsidRPr="000564EB">
              <w:rPr>
                <w:rFonts w:cs="Arial"/>
                <w:szCs w:val="24"/>
              </w:rPr>
              <w:t>Calls answered %</w:t>
            </w:r>
          </w:p>
        </w:tc>
        <w:tc>
          <w:tcPr>
            <w:tcW w:w="977" w:type="dxa"/>
          </w:tcPr>
          <w:p w14:paraId="37F8DBF1" w14:textId="77777777" w:rsidR="008C3CD0" w:rsidRPr="000564EB" w:rsidRDefault="008C3CD0" w:rsidP="00BD3C09">
            <w:pPr>
              <w:jc w:val="center"/>
              <w:rPr>
                <w:rFonts w:cs="Arial"/>
                <w:szCs w:val="24"/>
              </w:rPr>
            </w:pPr>
            <w:r w:rsidRPr="000564EB">
              <w:rPr>
                <w:rFonts w:cs="Arial"/>
                <w:szCs w:val="24"/>
              </w:rPr>
              <w:t>46.5%</w:t>
            </w:r>
          </w:p>
        </w:tc>
        <w:tc>
          <w:tcPr>
            <w:tcW w:w="1030" w:type="dxa"/>
          </w:tcPr>
          <w:p w14:paraId="611A6BDD" w14:textId="77777777" w:rsidR="008C3CD0" w:rsidRPr="000564EB" w:rsidRDefault="008C3CD0" w:rsidP="00BD3C09">
            <w:pPr>
              <w:jc w:val="center"/>
              <w:rPr>
                <w:rFonts w:cs="Arial"/>
                <w:szCs w:val="24"/>
              </w:rPr>
            </w:pPr>
            <w:r w:rsidRPr="000564EB">
              <w:rPr>
                <w:rFonts w:cs="Arial"/>
                <w:szCs w:val="24"/>
              </w:rPr>
              <w:t>37.6%</w:t>
            </w:r>
          </w:p>
        </w:tc>
        <w:tc>
          <w:tcPr>
            <w:tcW w:w="1030" w:type="dxa"/>
          </w:tcPr>
          <w:p w14:paraId="4DA8E9C8" w14:textId="77777777" w:rsidR="008C3CD0" w:rsidRPr="000564EB" w:rsidRDefault="008C3CD0" w:rsidP="00BD3C09">
            <w:pPr>
              <w:jc w:val="center"/>
              <w:rPr>
                <w:rFonts w:cs="Arial"/>
                <w:szCs w:val="24"/>
              </w:rPr>
            </w:pPr>
            <w:r w:rsidRPr="000564EB">
              <w:rPr>
                <w:rFonts w:cs="Arial"/>
                <w:szCs w:val="24"/>
              </w:rPr>
              <w:t>41.9%</w:t>
            </w:r>
          </w:p>
        </w:tc>
        <w:tc>
          <w:tcPr>
            <w:tcW w:w="1030" w:type="dxa"/>
          </w:tcPr>
          <w:p w14:paraId="641D7818" w14:textId="77777777" w:rsidR="008C3CD0" w:rsidRPr="000564EB" w:rsidRDefault="008C3CD0" w:rsidP="00BD3C09">
            <w:pPr>
              <w:jc w:val="center"/>
              <w:rPr>
                <w:rFonts w:cs="Arial"/>
                <w:szCs w:val="24"/>
              </w:rPr>
            </w:pPr>
            <w:r w:rsidRPr="000564EB">
              <w:rPr>
                <w:rFonts w:cs="Arial"/>
                <w:szCs w:val="24"/>
              </w:rPr>
              <w:t>72.3%</w:t>
            </w:r>
          </w:p>
        </w:tc>
        <w:tc>
          <w:tcPr>
            <w:tcW w:w="1030" w:type="dxa"/>
          </w:tcPr>
          <w:p w14:paraId="599513C6" w14:textId="77777777" w:rsidR="008C3CD0" w:rsidRPr="000564EB" w:rsidRDefault="008C3CD0" w:rsidP="00BD3C09">
            <w:pPr>
              <w:jc w:val="center"/>
              <w:rPr>
                <w:rFonts w:cs="Arial"/>
                <w:szCs w:val="24"/>
              </w:rPr>
            </w:pPr>
            <w:r w:rsidRPr="000564EB">
              <w:rPr>
                <w:rFonts w:cs="Arial"/>
                <w:szCs w:val="24"/>
              </w:rPr>
              <w:t>96.2%</w:t>
            </w:r>
          </w:p>
        </w:tc>
        <w:tc>
          <w:tcPr>
            <w:tcW w:w="1030" w:type="dxa"/>
          </w:tcPr>
          <w:p w14:paraId="472471B7" w14:textId="77777777" w:rsidR="008C3CD0" w:rsidRPr="000564EB" w:rsidRDefault="008C3CD0" w:rsidP="00BD3C09">
            <w:pPr>
              <w:rPr>
                <w:rFonts w:cs="Arial"/>
                <w:szCs w:val="24"/>
              </w:rPr>
            </w:pPr>
            <w:r w:rsidRPr="000564EB">
              <w:rPr>
                <w:rFonts w:cs="Arial"/>
                <w:szCs w:val="24"/>
              </w:rPr>
              <w:t>93.8%</w:t>
            </w:r>
          </w:p>
        </w:tc>
        <w:tc>
          <w:tcPr>
            <w:tcW w:w="1030" w:type="dxa"/>
          </w:tcPr>
          <w:p w14:paraId="5C2B4AB4" w14:textId="77777777" w:rsidR="008C3CD0" w:rsidRPr="000564EB" w:rsidRDefault="008C3CD0" w:rsidP="00BD3C09">
            <w:pPr>
              <w:jc w:val="center"/>
              <w:rPr>
                <w:rFonts w:cs="Arial"/>
                <w:szCs w:val="24"/>
              </w:rPr>
            </w:pPr>
            <w:r w:rsidRPr="000564EB">
              <w:rPr>
                <w:rFonts w:cs="Arial"/>
                <w:szCs w:val="24"/>
              </w:rPr>
              <w:t>96.2%</w:t>
            </w:r>
          </w:p>
        </w:tc>
        <w:tc>
          <w:tcPr>
            <w:tcW w:w="1030" w:type="dxa"/>
          </w:tcPr>
          <w:p w14:paraId="03DDB156" w14:textId="77777777" w:rsidR="008C3CD0" w:rsidRPr="000564EB" w:rsidRDefault="008C3CD0" w:rsidP="00BD3C09">
            <w:pPr>
              <w:jc w:val="center"/>
              <w:rPr>
                <w:rFonts w:cs="Arial"/>
                <w:szCs w:val="24"/>
              </w:rPr>
            </w:pPr>
            <w:r w:rsidRPr="000564EB">
              <w:rPr>
                <w:rFonts w:cs="Arial"/>
                <w:szCs w:val="24"/>
              </w:rPr>
              <w:t>96.3%</w:t>
            </w:r>
          </w:p>
        </w:tc>
        <w:tc>
          <w:tcPr>
            <w:tcW w:w="1030" w:type="dxa"/>
          </w:tcPr>
          <w:p w14:paraId="6AE8F0D4" w14:textId="77777777" w:rsidR="008C3CD0" w:rsidRPr="000564EB" w:rsidRDefault="008C3CD0" w:rsidP="00BD3C09">
            <w:pPr>
              <w:jc w:val="center"/>
              <w:rPr>
                <w:rFonts w:cs="Arial"/>
                <w:szCs w:val="24"/>
              </w:rPr>
            </w:pPr>
            <w:r w:rsidRPr="000564EB">
              <w:rPr>
                <w:rFonts w:cs="Arial"/>
                <w:szCs w:val="24"/>
              </w:rPr>
              <w:t>95.7%</w:t>
            </w:r>
          </w:p>
        </w:tc>
        <w:tc>
          <w:tcPr>
            <w:tcW w:w="1030" w:type="dxa"/>
          </w:tcPr>
          <w:p w14:paraId="056BE4E3" w14:textId="77777777" w:rsidR="008C3CD0" w:rsidRPr="000564EB" w:rsidRDefault="008C3CD0" w:rsidP="00BD3C09">
            <w:pPr>
              <w:jc w:val="center"/>
              <w:rPr>
                <w:rFonts w:cs="Arial"/>
                <w:szCs w:val="24"/>
              </w:rPr>
            </w:pPr>
            <w:r w:rsidRPr="000564EB">
              <w:rPr>
                <w:rFonts w:cs="Arial"/>
                <w:szCs w:val="24"/>
              </w:rPr>
              <w:t>97.4%</w:t>
            </w:r>
          </w:p>
        </w:tc>
        <w:tc>
          <w:tcPr>
            <w:tcW w:w="1030" w:type="dxa"/>
          </w:tcPr>
          <w:p w14:paraId="17389349" w14:textId="77777777" w:rsidR="008C3CD0" w:rsidRPr="000564EB" w:rsidRDefault="008C3CD0" w:rsidP="00BD3C09">
            <w:pPr>
              <w:jc w:val="center"/>
              <w:rPr>
                <w:rFonts w:cs="Arial"/>
                <w:szCs w:val="24"/>
              </w:rPr>
            </w:pPr>
            <w:r w:rsidRPr="000564EB">
              <w:rPr>
                <w:rFonts w:cs="Arial"/>
                <w:szCs w:val="24"/>
              </w:rPr>
              <w:t>98.3%</w:t>
            </w:r>
          </w:p>
        </w:tc>
        <w:tc>
          <w:tcPr>
            <w:tcW w:w="1030" w:type="dxa"/>
          </w:tcPr>
          <w:p w14:paraId="7077218C" w14:textId="6FA4FD60" w:rsidR="008C3CD0" w:rsidRPr="000564EB" w:rsidRDefault="00795CE8" w:rsidP="00BD3C09">
            <w:pPr>
              <w:jc w:val="center"/>
              <w:rPr>
                <w:rFonts w:cs="Arial"/>
                <w:szCs w:val="24"/>
              </w:rPr>
            </w:pPr>
            <w:r>
              <w:rPr>
                <w:rFonts w:cs="Arial"/>
                <w:szCs w:val="24"/>
              </w:rPr>
              <w:t>97.2</w:t>
            </w:r>
            <w:r w:rsidR="008C3CD0" w:rsidRPr="000564EB">
              <w:rPr>
                <w:rFonts w:cs="Arial"/>
                <w:szCs w:val="24"/>
              </w:rPr>
              <w:t>%</w:t>
            </w:r>
          </w:p>
        </w:tc>
      </w:tr>
      <w:tr w:rsidR="008C3CD0" w:rsidRPr="000564EB" w14:paraId="74E91EAE" w14:textId="77777777" w:rsidTr="00BD3C09">
        <w:tc>
          <w:tcPr>
            <w:tcW w:w="1505" w:type="dxa"/>
          </w:tcPr>
          <w:p w14:paraId="5E75F340" w14:textId="77777777" w:rsidR="008C3CD0" w:rsidRPr="000564EB" w:rsidRDefault="008C3CD0" w:rsidP="00BD3C09">
            <w:pPr>
              <w:rPr>
                <w:rFonts w:cs="Arial"/>
                <w:szCs w:val="24"/>
              </w:rPr>
            </w:pPr>
            <w:r w:rsidRPr="000564EB">
              <w:rPr>
                <w:rFonts w:cs="Arial"/>
                <w:szCs w:val="24"/>
              </w:rPr>
              <w:t>Average Handling time</w:t>
            </w:r>
          </w:p>
        </w:tc>
        <w:tc>
          <w:tcPr>
            <w:tcW w:w="977" w:type="dxa"/>
          </w:tcPr>
          <w:p w14:paraId="6E01D77B" w14:textId="77777777" w:rsidR="008C3CD0" w:rsidRPr="000564EB" w:rsidRDefault="008C3CD0" w:rsidP="00BD3C09">
            <w:pPr>
              <w:jc w:val="center"/>
              <w:rPr>
                <w:rFonts w:cs="Arial"/>
                <w:szCs w:val="24"/>
              </w:rPr>
            </w:pPr>
            <w:r w:rsidRPr="000564EB">
              <w:rPr>
                <w:rFonts w:cs="Arial"/>
                <w:szCs w:val="24"/>
              </w:rPr>
              <w:t>384</w:t>
            </w:r>
          </w:p>
        </w:tc>
        <w:tc>
          <w:tcPr>
            <w:tcW w:w="1030" w:type="dxa"/>
          </w:tcPr>
          <w:p w14:paraId="57B485D7" w14:textId="77777777" w:rsidR="008C3CD0" w:rsidRPr="000564EB" w:rsidRDefault="008C3CD0" w:rsidP="00BD3C09">
            <w:pPr>
              <w:jc w:val="center"/>
              <w:rPr>
                <w:rFonts w:cs="Arial"/>
                <w:szCs w:val="24"/>
              </w:rPr>
            </w:pPr>
            <w:r w:rsidRPr="000564EB">
              <w:rPr>
                <w:rFonts w:cs="Arial"/>
                <w:szCs w:val="24"/>
              </w:rPr>
              <w:t>419</w:t>
            </w:r>
          </w:p>
        </w:tc>
        <w:tc>
          <w:tcPr>
            <w:tcW w:w="1030" w:type="dxa"/>
          </w:tcPr>
          <w:p w14:paraId="437F6232" w14:textId="77777777" w:rsidR="008C3CD0" w:rsidRPr="000564EB" w:rsidRDefault="008C3CD0" w:rsidP="00BD3C09">
            <w:pPr>
              <w:jc w:val="center"/>
              <w:rPr>
                <w:rFonts w:cs="Arial"/>
                <w:szCs w:val="24"/>
              </w:rPr>
            </w:pPr>
            <w:r w:rsidRPr="000564EB">
              <w:rPr>
                <w:rFonts w:cs="Arial"/>
                <w:szCs w:val="24"/>
              </w:rPr>
              <w:t>434</w:t>
            </w:r>
          </w:p>
        </w:tc>
        <w:tc>
          <w:tcPr>
            <w:tcW w:w="1030" w:type="dxa"/>
          </w:tcPr>
          <w:p w14:paraId="08E6F0E2" w14:textId="77777777" w:rsidR="008C3CD0" w:rsidRPr="000564EB" w:rsidRDefault="008C3CD0" w:rsidP="00BD3C09">
            <w:pPr>
              <w:jc w:val="center"/>
              <w:rPr>
                <w:rFonts w:cs="Arial"/>
                <w:szCs w:val="24"/>
              </w:rPr>
            </w:pPr>
            <w:r w:rsidRPr="000564EB">
              <w:rPr>
                <w:rFonts w:cs="Arial"/>
                <w:szCs w:val="24"/>
              </w:rPr>
              <w:t>367</w:t>
            </w:r>
          </w:p>
        </w:tc>
        <w:tc>
          <w:tcPr>
            <w:tcW w:w="1030" w:type="dxa"/>
          </w:tcPr>
          <w:p w14:paraId="1EB3C3FA" w14:textId="77777777" w:rsidR="008C3CD0" w:rsidRPr="000564EB" w:rsidRDefault="008C3CD0" w:rsidP="00BD3C09">
            <w:pPr>
              <w:jc w:val="center"/>
              <w:rPr>
                <w:rFonts w:cs="Arial"/>
                <w:szCs w:val="24"/>
              </w:rPr>
            </w:pPr>
            <w:r w:rsidRPr="000564EB">
              <w:rPr>
                <w:rFonts w:cs="Arial"/>
                <w:szCs w:val="24"/>
              </w:rPr>
              <w:t>302</w:t>
            </w:r>
          </w:p>
        </w:tc>
        <w:tc>
          <w:tcPr>
            <w:tcW w:w="1030" w:type="dxa"/>
          </w:tcPr>
          <w:p w14:paraId="7172184C" w14:textId="77777777" w:rsidR="008C3CD0" w:rsidRPr="000564EB" w:rsidRDefault="008C3CD0" w:rsidP="00BD3C09">
            <w:pPr>
              <w:jc w:val="center"/>
              <w:rPr>
                <w:rFonts w:cs="Arial"/>
                <w:szCs w:val="24"/>
              </w:rPr>
            </w:pPr>
            <w:r w:rsidRPr="000564EB">
              <w:rPr>
                <w:rFonts w:cs="Arial"/>
                <w:szCs w:val="24"/>
              </w:rPr>
              <w:t>352</w:t>
            </w:r>
          </w:p>
        </w:tc>
        <w:tc>
          <w:tcPr>
            <w:tcW w:w="1030" w:type="dxa"/>
          </w:tcPr>
          <w:p w14:paraId="411B0A94" w14:textId="77777777" w:rsidR="008C3CD0" w:rsidRPr="000564EB" w:rsidRDefault="008C3CD0" w:rsidP="00BD3C09">
            <w:pPr>
              <w:jc w:val="center"/>
              <w:rPr>
                <w:rFonts w:cs="Arial"/>
                <w:szCs w:val="24"/>
              </w:rPr>
            </w:pPr>
            <w:r w:rsidRPr="000564EB">
              <w:rPr>
                <w:rFonts w:cs="Arial"/>
                <w:szCs w:val="24"/>
              </w:rPr>
              <w:t>367</w:t>
            </w:r>
          </w:p>
        </w:tc>
        <w:tc>
          <w:tcPr>
            <w:tcW w:w="1030" w:type="dxa"/>
          </w:tcPr>
          <w:p w14:paraId="4571AA0E" w14:textId="77777777" w:rsidR="008C3CD0" w:rsidRPr="000564EB" w:rsidRDefault="008C3CD0" w:rsidP="00BD3C09">
            <w:pPr>
              <w:jc w:val="center"/>
              <w:rPr>
                <w:rFonts w:cs="Arial"/>
                <w:szCs w:val="24"/>
              </w:rPr>
            </w:pPr>
            <w:r w:rsidRPr="000564EB">
              <w:rPr>
                <w:rFonts w:cs="Arial"/>
                <w:szCs w:val="24"/>
              </w:rPr>
              <w:t>369</w:t>
            </w:r>
          </w:p>
        </w:tc>
        <w:tc>
          <w:tcPr>
            <w:tcW w:w="1030" w:type="dxa"/>
          </w:tcPr>
          <w:p w14:paraId="3495B035" w14:textId="77777777" w:rsidR="008C3CD0" w:rsidRPr="000564EB" w:rsidRDefault="008C3CD0" w:rsidP="00BD3C09">
            <w:pPr>
              <w:jc w:val="center"/>
              <w:rPr>
                <w:rFonts w:cs="Arial"/>
                <w:szCs w:val="24"/>
              </w:rPr>
            </w:pPr>
            <w:r w:rsidRPr="000564EB">
              <w:rPr>
                <w:rFonts w:cs="Arial"/>
                <w:szCs w:val="24"/>
              </w:rPr>
              <w:t>372</w:t>
            </w:r>
          </w:p>
        </w:tc>
        <w:tc>
          <w:tcPr>
            <w:tcW w:w="1030" w:type="dxa"/>
          </w:tcPr>
          <w:p w14:paraId="6D95A1EA" w14:textId="77777777" w:rsidR="008C3CD0" w:rsidRPr="000564EB" w:rsidRDefault="008C3CD0" w:rsidP="00BD3C09">
            <w:pPr>
              <w:jc w:val="center"/>
              <w:rPr>
                <w:rFonts w:cs="Arial"/>
                <w:szCs w:val="24"/>
              </w:rPr>
            </w:pPr>
            <w:r w:rsidRPr="000564EB">
              <w:rPr>
                <w:rFonts w:cs="Arial"/>
                <w:szCs w:val="24"/>
              </w:rPr>
              <w:t>363</w:t>
            </w:r>
          </w:p>
        </w:tc>
        <w:tc>
          <w:tcPr>
            <w:tcW w:w="1030" w:type="dxa"/>
          </w:tcPr>
          <w:p w14:paraId="207184D9" w14:textId="77777777" w:rsidR="008C3CD0" w:rsidRPr="000564EB" w:rsidRDefault="008C3CD0" w:rsidP="00BD3C09">
            <w:pPr>
              <w:jc w:val="center"/>
              <w:rPr>
                <w:rFonts w:cs="Arial"/>
                <w:szCs w:val="24"/>
              </w:rPr>
            </w:pPr>
            <w:r w:rsidRPr="000564EB">
              <w:rPr>
                <w:rFonts w:cs="Arial"/>
                <w:szCs w:val="24"/>
              </w:rPr>
              <w:t>360</w:t>
            </w:r>
          </w:p>
        </w:tc>
        <w:tc>
          <w:tcPr>
            <w:tcW w:w="1030" w:type="dxa"/>
          </w:tcPr>
          <w:p w14:paraId="3E022F9B" w14:textId="77777777" w:rsidR="008C3CD0" w:rsidRPr="000564EB" w:rsidRDefault="008C3CD0" w:rsidP="00BD3C09">
            <w:pPr>
              <w:jc w:val="center"/>
              <w:rPr>
                <w:rFonts w:cs="Arial"/>
                <w:szCs w:val="24"/>
              </w:rPr>
            </w:pPr>
            <w:r w:rsidRPr="000564EB">
              <w:rPr>
                <w:rFonts w:cs="Arial"/>
                <w:szCs w:val="24"/>
              </w:rPr>
              <w:t>360</w:t>
            </w:r>
          </w:p>
        </w:tc>
      </w:tr>
      <w:tr w:rsidR="008C3CD0" w:rsidRPr="000564EB" w14:paraId="5F489D3C" w14:textId="77777777" w:rsidTr="00BD3C09">
        <w:tc>
          <w:tcPr>
            <w:tcW w:w="1505" w:type="dxa"/>
          </w:tcPr>
          <w:p w14:paraId="2E4ADD17" w14:textId="77777777" w:rsidR="008C3CD0" w:rsidRPr="000564EB" w:rsidRDefault="008C3CD0" w:rsidP="00BD3C09">
            <w:pPr>
              <w:rPr>
                <w:rFonts w:cs="Arial"/>
                <w:szCs w:val="24"/>
              </w:rPr>
            </w:pPr>
            <w:r w:rsidRPr="000564EB">
              <w:rPr>
                <w:rFonts w:cs="Arial"/>
                <w:szCs w:val="24"/>
              </w:rPr>
              <w:t>Average Queue time</w:t>
            </w:r>
          </w:p>
          <w:p w14:paraId="09109A25" w14:textId="77777777" w:rsidR="008C3CD0" w:rsidRPr="000564EB" w:rsidRDefault="008C3CD0" w:rsidP="00BD3C09">
            <w:pPr>
              <w:rPr>
                <w:rFonts w:cs="Arial"/>
                <w:szCs w:val="24"/>
              </w:rPr>
            </w:pPr>
          </w:p>
        </w:tc>
        <w:tc>
          <w:tcPr>
            <w:tcW w:w="977" w:type="dxa"/>
          </w:tcPr>
          <w:p w14:paraId="5CF6284D" w14:textId="77777777" w:rsidR="008C3CD0" w:rsidRPr="000564EB" w:rsidRDefault="008C3CD0" w:rsidP="00BD3C09">
            <w:pPr>
              <w:jc w:val="center"/>
              <w:rPr>
                <w:rFonts w:cs="Arial"/>
                <w:szCs w:val="24"/>
              </w:rPr>
            </w:pPr>
            <w:r w:rsidRPr="000564EB">
              <w:rPr>
                <w:rFonts w:cs="Arial"/>
                <w:szCs w:val="24"/>
              </w:rPr>
              <w:t>547</w:t>
            </w:r>
          </w:p>
        </w:tc>
        <w:tc>
          <w:tcPr>
            <w:tcW w:w="1030" w:type="dxa"/>
          </w:tcPr>
          <w:p w14:paraId="6A74E7EA" w14:textId="77777777" w:rsidR="008C3CD0" w:rsidRPr="000564EB" w:rsidRDefault="008C3CD0" w:rsidP="00BD3C09">
            <w:pPr>
              <w:jc w:val="center"/>
              <w:rPr>
                <w:rFonts w:cs="Arial"/>
                <w:szCs w:val="24"/>
              </w:rPr>
            </w:pPr>
            <w:r w:rsidRPr="000564EB">
              <w:rPr>
                <w:rFonts w:cs="Arial"/>
                <w:szCs w:val="24"/>
              </w:rPr>
              <w:t>501</w:t>
            </w:r>
          </w:p>
        </w:tc>
        <w:tc>
          <w:tcPr>
            <w:tcW w:w="1030" w:type="dxa"/>
          </w:tcPr>
          <w:p w14:paraId="21F1E2F6" w14:textId="77777777" w:rsidR="008C3CD0" w:rsidRPr="000564EB" w:rsidRDefault="008C3CD0" w:rsidP="00BD3C09">
            <w:pPr>
              <w:jc w:val="center"/>
              <w:rPr>
                <w:rFonts w:cs="Arial"/>
                <w:szCs w:val="24"/>
              </w:rPr>
            </w:pPr>
            <w:r w:rsidRPr="000564EB">
              <w:rPr>
                <w:rFonts w:cs="Arial"/>
                <w:szCs w:val="24"/>
              </w:rPr>
              <w:t>504</w:t>
            </w:r>
          </w:p>
        </w:tc>
        <w:tc>
          <w:tcPr>
            <w:tcW w:w="1030" w:type="dxa"/>
          </w:tcPr>
          <w:p w14:paraId="579CC0DF" w14:textId="77777777" w:rsidR="008C3CD0" w:rsidRPr="000564EB" w:rsidRDefault="008C3CD0" w:rsidP="00BD3C09">
            <w:pPr>
              <w:jc w:val="center"/>
              <w:rPr>
                <w:rFonts w:cs="Arial"/>
                <w:szCs w:val="24"/>
              </w:rPr>
            </w:pPr>
            <w:r w:rsidRPr="000564EB">
              <w:rPr>
                <w:rFonts w:cs="Arial"/>
                <w:szCs w:val="24"/>
              </w:rPr>
              <w:t>277</w:t>
            </w:r>
          </w:p>
        </w:tc>
        <w:tc>
          <w:tcPr>
            <w:tcW w:w="1030" w:type="dxa"/>
          </w:tcPr>
          <w:p w14:paraId="33A00C1F" w14:textId="77777777" w:rsidR="008C3CD0" w:rsidRPr="000564EB" w:rsidRDefault="008C3CD0" w:rsidP="00BD3C09">
            <w:pPr>
              <w:jc w:val="center"/>
              <w:rPr>
                <w:rFonts w:cs="Arial"/>
                <w:szCs w:val="24"/>
              </w:rPr>
            </w:pPr>
            <w:r w:rsidRPr="000564EB">
              <w:rPr>
                <w:rFonts w:cs="Arial"/>
                <w:szCs w:val="24"/>
              </w:rPr>
              <w:t>25</w:t>
            </w:r>
          </w:p>
        </w:tc>
        <w:tc>
          <w:tcPr>
            <w:tcW w:w="1030" w:type="dxa"/>
          </w:tcPr>
          <w:p w14:paraId="1DFDC453" w14:textId="77777777" w:rsidR="008C3CD0" w:rsidRPr="000564EB" w:rsidRDefault="008C3CD0" w:rsidP="00BD3C09">
            <w:pPr>
              <w:jc w:val="center"/>
              <w:rPr>
                <w:rFonts w:cs="Arial"/>
                <w:szCs w:val="24"/>
              </w:rPr>
            </w:pPr>
            <w:r w:rsidRPr="000564EB">
              <w:rPr>
                <w:rFonts w:cs="Arial"/>
                <w:szCs w:val="24"/>
              </w:rPr>
              <w:t>108</w:t>
            </w:r>
          </w:p>
        </w:tc>
        <w:tc>
          <w:tcPr>
            <w:tcW w:w="1030" w:type="dxa"/>
          </w:tcPr>
          <w:p w14:paraId="2B616D6F" w14:textId="77777777" w:rsidR="008C3CD0" w:rsidRPr="000564EB" w:rsidRDefault="008C3CD0" w:rsidP="00BD3C09">
            <w:pPr>
              <w:jc w:val="center"/>
              <w:rPr>
                <w:rFonts w:cs="Arial"/>
                <w:szCs w:val="24"/>
              </w:rPr>
            </w:pPr>
            <w:r w:rsidRPr="000564EB">
              <w:rPr>
                <w:rFonts w:cs="Arial"/>
                <w:szCs w:val="24"/>
              </w:rPr>
              <w:t>39</w:t>
            </w:r>
          </w:p>
        </w:tc>
        <w:tc>
          <w:tcPr>
            <w:tcW w:w="1030" w:type="dxa"/>
          </w:tcPr>
          <w:p w14:paraId="53B00787" w14:textId="77777777" w:rsidR="008C3CD0" w:rsidRPr="000564EB" w:rsidRDefault="008C3CD0" w:rsidP="00BD3C09">
            <w:pPr>
              <w:jc w:val="center"/>
              <w:rPr>
                <w:rFonts w:cs="Arial"/>
                <w:szCs w:val="24"/>
              </w:rPr>
            </w:pPr>
            <w:r w:rsidRPr="000564EB">
              <w:rPr>
                <w:rFonts w:cs="Arial"/>
                <w:szCs w:val="24"/>
              </w:rPr>
              <w:t>24</w:t>
            </w:r>
          </w:p>
        </w:tc>
        <w:tc>
          <w:tcPr>
            <w:tcW w:w="1030" w:type="dxa"/>
          </w:tcPr>
          <w:p w14:paraId="231D9578" w14:textId="77777777" w:rsidR="008C3CD0" w:rsidRPr="000564EB" w:rsidRDefault="008C3CD0" w:rsidP="00BD3C09">
            <w:pPr>
              <w:jc w:val="center"/>
              <w:rPr>
                <w:rFonts w:cs="Arial"/>
                <w:szCs w:val="24"/>
              </w:rPr>
            </w:pPr>
            <w:r w:rsidRPr="000564EB">
              <w:rPr>
                <w:rFonts w:cs="Arial"/>
                <w:szCs w:val="24"/>
              </w:rPr>
              <w:t>27</w:t>
            </w:r>
          </w:p>
        </w:tc>
        <w:tc>
          <w:tcPr>
            <w:tcW w:w="1030" w:type="dxa"/>
          </w:tcPr>
          <w:p w14:paraId="40FBE4C0" w14:textId="77777777" w:rsidR="008C3CD0" w:rsidRPr="000564EB" w:rsidRDefault="008C3CD0" w:rsidP="00BD3C09">
            <w:pPr>
              <w:jc w:val="center"/>
              <w:rPr>
                <w:rFonts w:cs="Arial"/>
                <w:szCs w:val="24"/>
              </w:rPr>
            </w:pPr>
            <w:r w:rsidRPr="000564EB">
              <w:rPr>
                <w:rFonts w:cs="Arial"/>
                <w:szCs w:val="24"/>
              </w:rPr>
              <w:t>36</w:t>
            </w:r>
          </w:p>
        </w:tc>
        <w:tc>
          <w:tcPr>
            <w:tcW w:w="1030" w:type="dxa"/>
          </w:tcPr>
          <w:p w14:paraId="1A837085" w14:textId="77777777" w:rsidR="008C3CD0" w:rsidRPr="000564EB" w:rsidRDefault="008C3CD0" w:rsidP="00BD3C09">
            <w:pPr>
              <w:jc w:val="center"/>
              <w:rPr>
                <w:rFonts w:cs="Arial"/>
                <w:szCs w:val="24"/>
              </w:rPr>
            </w:pPr>
            <w:r w:rsidRPr="000564EB">
              <w:rPr>
                <w:rFonts w:cs="Arial"/>
                <w:szCs w:val="24"/>
              </w:rPr>
              <w:t>22</w:t>
            </w:r>
          </w:p>
        </w:tc>
        <w:tc>
          <w:tcPr>
            <w:tcW w:w="1030" w:type="dxa"/>
          </w:tcPr>
          <w:p w14:paraId="3F805ED4" w14:textId="77777777" w:rsidR="008C3CD0" w:rsidRPr="000564EB" w:rsidRDefault="008C3CD0" w:rsidP="00BD3C09">
            <w:pPr>
              <w:rPr>
                <w:rFonts w:cs="Arial"/>
                <w:szCs w:val="24"/>
              </w:rPr>
            </w:pPr>
            <w:r w:rsidRPr="000564EB">
              <w:rPr>
                <w:rFonts w:cs="Arial"/>
                <w:szCs w:val="24"/>
              </w:rPr>
              <w:t xml:space="preserve">    11</w:t>
            </w:r>
          </w:p>
          <w:p w14:paraId="3AC2D3EA" w14:textId="77777777" w:rsidR="008C3CD0" w:rsidRPr="000564EB" w:rsidRDefault="008C3CD0" w:rsidP="00BD3C09">
            <w:pPr>
              <w:rPr>
                <w:rFonts w:cs="Arial"/>
                <w:szCs w:val="24"/>
              </w:rPr>
            </w:pPr>
          </w:p>
        </w:tc>
      </w:tr>
      <w:tr w:rsidR="008C3CD0" w:rsidRPr="000564EB" w14:paraId="1A41DCE3" w14:textId="77777777" w:rsidTr="00BD3C09">
        <w:tc>
          <w:tcPr>
            <w:tcW w:w="1505" w:type="dxa"/>
          </w:tcPr>
          <w:p w14:paraId="7FC4EFD8" w14:textId="77777777" w:rsidR="008C3CD0" w:rsidRPr="000564EB" w:rsidRDefault="008C3CD0" w:rsidP="00BD3C09">
            <w:pPr>
              <w:rPr>
                <w:rFonts w:cs="Arial"/>
                <w:szCs w:val="24"/>
              </w:rPr>
            </w:pPr>
            <w:r w:rsidRPr="000564EB">
              <w:rPr>
                <w:rFonts w:cs="Arial"/>
                <w:szCs w:val="24"/>
              </w:rPr>
              <w:t xml:space="preserve">Average Speed of Answer </w:t>
            </w:r>
          </w:p>
        </w:tc>
        <w:tc>
          <w:tcPr>
            <w:tcW w:w="977" w:type="dxa"/>
          </w:tcPr>
          <w:p w14:paraId="413224A2" w14:textId="77777777" w:rsidR="008C3CD0" w:rsidRPr="000564EB" w:rsidRDefault="008C3CD0" w:rsidP="00BD3C09">
            <w:pPr>
              <w:jc w:val="center"/>
              <w:rPr>
                <w:rFonts w:cs="Arial"/>
                <w:szCs w:val="24"/>
              </w:rPr>
            </w:pPr>
            <w:r w:rsidRPr="000564EB">
              <w:rPr>
                <w:rFonts w:cs="Arial"/>
                <w:szCs w:val="24"/>
              </w:rPr>
              <w:t>272</w:t>
            </w:r>
          </w:p>
        </w:tc>
        <w:tc>
          <w:tcPr>
            <w:tcW w:w="1030" w:type="dxa"/>
          </w:tcPr>
          <w:p w14:paraId="3BB43BBC" w14:textId="77777777" w:rsidR="008C3CD0" w:rsidRPr="000564EB" w:rsidRDefault="008C3CD0" w:rsidP="00BD3C09">
            <w:pPr>
              <w:jc w:val="center"/>
              <w:rPr>
                <w:rFonts w:cs="Arial"/>
                <w:szCs w:val="24"/>
              </w:rPr>
            </w:pPr>
            <w:r w:rsidRPr="000564EB">
              <w:rPr>
                <w:rFonts w:cs="Arial"/>
                <w:szCs w:val="24"/>
              </w:rPr>
              <w:t>256</w:t>
            </w:r>
          </w:p>
        </w:tc>
        <w:tc>
          <w:tcPr>
            <w:tcW w:w="1030" w:type="dxa"/>
          </w:tcPr>
          <w:p w14:paraId="0C646FD2" w14:textId="77777777" w:rsidR="008C3CD0" w:rsidRPr="000564EB" w:rsidRDefault="008C3CD0" w:rsidP="00BD3C09">
            <w:pPr>
              <w:jc w:val="center"/>
              <w:rPr>
                <w:rFonts w:cs="Arial"/>
                <w:szCs w:val="24"/>
              </w:rPr>
            </w:pPr>
            <w:r w:rsidRPr="000564EB">
              <w:rPr>
                <w:rFonts w:cs="Arial"/>
                <w:szCs w:val="24"/>
              </w:rPr>
              <w:t>221</w:t>
            </w:r>
          </w:p>
        </w:tc>
        <w:tc>
          <w:tcPr>
            <w:tcW w:w="1030" w:type="dxa"/>
          </w:tcPr>
          <w:p w14:paraId="04227A93" w14:textId="77777777" w:rsidR="008C3CD0" w:rsidRPr="000564EB" w:rsidRDefault="008C3CD0" w:rsidP="00BD3C09">
            <w:pPr>
              <w:jc w:val="center"/>
              <w:rPr>
                <w:rFonts w:cs="Arial"/>
                <w:szCs w:val="24"/>
              </w:rPr>
            </w:pPr>
            <w:r w:rsidRPr="000564EB">
              <w:rPr>
                <w:rFonts w:cs="Arial"/>
                <w:szCs w:val="24"/>
              </w:rPr>
              <w:t>69</w:t>
            </w:r>
          </w:p>
        </w:tc>
        <w:tc>
          <w:tcPr>
            <w:tcW w:w="1030" w:type="dxa"/>
          </w:tcPr>
          <w:p w14:paraId="39C4FE1E" w14:textId="77777777" w:rsidR="008C3CD0" w:rsidRPr="000564EB" w:rsidRDefault="008C3CD0" w:rsidP="00BD3C09">
            <w:pPr>
              <w:jc w:val="center"/>
              <w:rPr>
                <w:rFonts w:cs="Arial"/>
                <w:szCs w:val="24"/>
              </w:rPr>
            </w:pPr>
            <w:r w:rsidRPr="000564EB">
              <w:rPr>
                <w:rFonts w:cs="Arial"/>
                <w:szCs w:val="24"/>
              </w:rPr>
              <w:t>37</w:t>
            </w:r>
          </w:p>
        </w:tc>
        <w:tc>
          <w:tcPr>
            <w:tcW w:w="1030" w:type="dxa"/>
          </w:tcPr>
          <w:p w14:paraId="55559EE3" w14:textId="77777777" w:rsidR="008C3CD0" w:rsidRPr="000564EB" w:rsidRDefault="008C3CD0" w:rsidP="00BD3C09">
            <w:pPr>
              <w:jc w:val="center"/>
              <w:rPr>
                <w:rFonts w:cs="Arial"/>
                <w:szCs w:val="24"/>
              </w:rPr>
            </w:pPr>
            <w:r w:rsidRPr="000564EB">
              <w:rPr>
                <w:rFonts w:cs="Arial"/>
                <w:szCs w:val="24"/>
              </w:rPr>
              <w:t>94</w:t>
            </w:r>
          </w:p>
        </w:tc>
        <w:tc>
          <w:tcPr>
            <w:tcW w:w="1030" w:type="dxa"/>
          </w:tcPr>
          <w:p w14:paraId="50BD4A13" w14:textId="77777777" w:rsidR="008C3CD0" w:rsidRPr="000564EB" w:rsidRDefault="008C3CD0" w:rsidP="00BD3C09">
            <w:pPr>
              <w:jc w:val="center"/>
              <w:rPr>
                <w:rFonts w:cs="Arial"/>
                <w:szCs w:val="24"/>
              </w:rPr>
            </w:pPr>
            <w:r w:rsidRPr="000564EB">
              <w:rPr>
                <w:rFonts w:cs="Arial"/>
                <w:szCs w:val="24"/>
              </w:rPr>
              <w:t>45</w:t>
            </w:r>
          </w:p>
        </w:tc>
        <w:tc>
          <w:tcPr>
            <w:tcW w:w="1030" w:type="dxa"/>
          </w:tcPr>
          <w:p w14:paraId="08CF8C0E" w14:textId="77777777" w:rsidR="008C3CD0" w:rsidRPr="000564EB" w:rsidRDefault="008C3CD0" w:rsidP="00BD3C09">
            <w:pPr>
              <w:jc w:val="center"/>
              <w:rPr>
                <w:rFonts w:cs="Arial"/>
                <w:szCs w:val="24"/>
              </w:rPr>
            </w:pPr>
            <w:r w:rsidRPr="000564EB">
              <w:rPr>
                <w:rFonts w:cs="Arial"/>
                <w:szCs w:val="24"/>
              </w:rPr>
              <w:t>43</w:t>
            </w:r>
          </w:p>
        </w:tc>
        <w:tc>
          <w:tcPr>
            <w:tcW w:w="1030" w:type="dxa"/>
          </w:tcPr>
          <w:p w14:paraId="1D3C9DB3" w14:textId="77777777" w:rsidR="008C3CD0" w:rsidRPr="000564EB" w:rsidRDefault="008C3CD0" w:rsidP="00BD3C09">
            <w:pPr>
              <w:jc w:val="center"/>
              <w:rPr>
                <w:rFonts w:cs="Arial"/>
                <w:szCs w:val="24"/>
              </w:rPr>
            </w:pPr>
            <w:r w:rsidRPr="000564EB">
              <w:rPr>
                <w:rFonts w:cs="Arial"/>
                <w:szCs w:val="24"/>
              </w:rPr>
              <w:t>49</w:t>
            </w:r>
          </w:p>
        </w:tc>
        <w:tc>
          <w:tcPr>
            <w:tcW w:w="1030" w:type="dxa"/>
          </w:tcPr>
          <w:p w14:paraId="397AA0BD" w14:textId="77777777" w:rsidR="008C3CD0" w:rsidRPr="000564EB" w:rsidRDefault="008C3CD0" w:rsidP="00BD3C09">
            <w:pPr>
              <w:jc w:val="center"/>
              <w:rPr>
                <w:rFonts w:cs="Arial"/>
                <w:szCs w:val="24"/>
              </w:rPr>
            </w:pPr>
            <w:r w:rsidRPr="000564EB">
              <w:rPr>
                <w:rFonts w:cs="Arial"/>
                <w:szCs w:val="24"/>
              </w:rPr>
              <w:t>37</w:t>
            </w:r>
          </w:p>
        </w:tc>
        <w:tc>
          <w:tcPr>
            <w:tcW w:w="1030" w:type="dxa"/>
          </w:tcPr>
          <w:p w14:paraId="30753BCB" w14:textId="77777777" w:rsidR="008C3CD0" w:rsidRPr="000564EB" w:rsidRDefault="008C3CD0" w:rsidP="00BD3C09">
            <w:pPr>
              <w:jc w:val="center"/>
              <w:rPr>
                <w:rFonts w:cs="Arial"/>
                <w:szCs w:val="24"/>
              </w:rPr>
            </w:pPr>
            <w:r w:rsidRPr="000564EB">
              <w:rPr>
                <w:rFonts w:cs="Arial"/>
                <w:szCs w:val="24"/>
              </w:rPr>
              <w:t>23</w:t>
            </w:r>
          </w:p>
        </w:tc>
        <w:tc>
          <w:tcPr>
            <w:tcW w:w="1030" w:type="dxa"/>
          </w:tcPr>
          <w:p w14:paraId="1C839904" w14:textId="21F23A7E" w:rsidR="008C3CD0" w:rsidRPr="000564EB" w:rsidRDefault="008C3CD0" w:rsidP="00BD3C09">
            <w:pPr>
              <w:rPr>
                <w:rFonts w:cs="Arial"/>
                <w:szCs w:val="24"/>
              </w:rPr>
            </w:pPr>
            <w:r w:rsidRPr="000564EB">
              <w:rPr>
                <w:rFonts w:cs="Arial"/>
                <w:szCs w:val="24"/>
              </w:rPr>
              <w:t xml:space="preserve">    </w:t>
            </w:r>
            <w:r w:rsidR="00795CE8">
              <w:rPr>
                <w:rFonts w:cs="Arial"/>
                <w:szCs w:val="24"/>
              </w:rPr>
              <w:t>31</w:t>
            </w:r>
          </w:p>
          <w:p w14:paraId="7F91DFC1" w14:textId="77777777" w:rsidR="008C3CD0" w:rsidRPr="000564EB" w:rsidRDefault="008C3CD0" w:rsidP="00BD3C09">
            <w:pPr>
              <w:rPr>
                <w:rFonts w:cs="Arial"/>
                <w:szCs w:val="24"/>
              </w:rPr>
            </w:pPr>
          </w:p>
        </w:tc>
      </w:tr>
      <w:tr w:rsidR="008C3CD0" w:rsidRPr="000564EB" w14:paraId="2EB1CE2E" w14:textId="77777777" w:rsidTr="00BD3C09">
        <w:tc>
          <w:tcPr>
            <w:tcW w:w="1505" w:type="dxa"/>
          </w:tcPr>
          <w:p w14:paraId="6BC3A7FC" w14:textId="77777777" w:rsidR="008C3CD0" w:rsidRPr="000564EB" w:rsidRDefault="008C3CD0" w:rsidP="00BD3C09">
            <w:pPr>
              <w:rPr>
                <w:rFonts w:cs="Arial"/>
                <w:szCs w:val="24"/>
              </w:rPr>
            </w:pPr>
            <w:r w:rsidRPr="000564EB">
              <w:rPr>
                <w:rFonts w:cs="Arial"/>
                <w:szCs w:val="24"/>
              </w:rPr>
              <w:t>Telephony complaints</w:t>
            </w:r>
          </w:p>
        </w:tc>
        <w:tc>
          <w:tcPr>
            <w:tcW w:w="977" w:type="dxa"/>
          </w:tcPr>
          <w:p w14:paraId="4C105F3D" w14:textId="77777777" w:rsidR="008C3CD0" w:rsidRPr="000564EB" w:rsidRDefault="008C3CD0" w:rsidP="00BD3C09">
            <w:pPr>
              <w:jc w:val="center"/>
              <w:rPr>
                <w:rFonts w:cs="Arial"/>
                <w:szCs w:val="24"/>
              </w:rPr>
            </w:pPr>
            <w:r w:rsidRPr="000564EB">
              <w:rPr>
                <w:rFonts w:cs="Arial"/>
                <w:szCs w:val="24"/>
              </w:rPr>
              <w:t xml:space="preserve">144 </w:t>
            </w:r>
          </w:p>
        </w:tc>
        <w:tc>
          <w:tcPr>
            <w:tcW w:w="1030" w:type="dxa"/>
          </w:tcPr>
          <w:p w14:paraId="2B228832" w14:textId="77777777" w:rsidR="008C3CD0" w:rsidRPr="000564EB" w:rsidRDefault="008C3CD0" w:rsidP="00BD3C09">
            <w:pPr>
              <w:jc w:val="center"/>
              <w:rPr>
                <w:rFonts w:cs="Arial"/>
                <w:szCs w:val="24"/>
              </w:rPr>
            </w:pPr>
            <w:r w:rsidRPr="000564EB">
              <w:rPr>
                <w:rFonts w:cs="Arial"/>
                <w:szCs w:val="24"/>
              </w:rPr>
              <w:t xml:space="preserve">194 </w:t>
            </w:r>
          </w:p>
        </w:tc>
        <w:tc>
          <w:tcPr>
            <w:tcW w:w="1030" w:type="dxa"/>
          </w:tcPr>
          <w:p w14:paraId="66CFA241" w14:textId="77777777" w:rsidR="008C3CD0" w:rsidRPr="000564EB" w:rsidRDefault="008C3CD0" w:rsidP="00BD3C09">
            <w:pPr>
              <w:jc w:val="center"/>
              <w:rPr>
                <w:rFonts w:cs="Arial"/>
                <w:szCs w:val="24"/>
              </w:rPr>
            </w:pPr>
            <w:r w:rsidRPr="000564EB">
              <w:rPr>
                <w:rFonts w:cs="Arial"/>
                <w:szCs w:val="24"/>
              </w:rPr>
              <w:t xml:space="preserve">116 </w:t>
            </w:r>
          </w:p>
        </w:tc>
        <w:tc>
          <w:tcPr>
            <w:tcW w:w="1030" w:type="dxa"/>
          </w:tcPr>
          <w:p w14:paraId="46908B61" w14:textId="77777777" w:rsidR="008C3CD0" w:rsidRPr="000564EB" w:rsidRDefault="008C3CD0" w:rsidP="00BD3C09">
            <w:pPr>
              <w:jc w:val="center"/>
              <w:rPr>
                <w:rFonts w:cs="Arial"/>
                <w:szCs w:val="24"/>
              </w:rPr>
            </w:pPr>
            <w:r w:rsidRPr="000564EB">
              <w:rPr>
                <w:rFonts w:cs="Arial"/>
                <w:szCs w:val="24"/>
              </w:rPr>
              <w:t xml:space="preserve">47 </w:t>
            </w:r>
          </w:p>
        </w:tc>
        <w:tc>
          <w:tcPr>
            <w:tcW w:w="1030" w:type="dxa"/>
          </w:tcPr>
          <w:p w14:paraId="323FD411" w14:textId="77777777" w:rsidR="008C3CD0" w:rsidRPr="000564EB" w:rsidRDefault="008C3CD0" w:rsidP="00BD3C09">
            <w:pPr>
              <w:jc w:val="center"/>
              <w:rPr>
                <w:rFonts w:cs="Arial"/>
                <w:szCs w:val="24"/>
              </w:rPr>
            </w:pPr>
            <w:r w:rsidRPr="000564EB">
              <w:rPr>
                <w:rFonts w:cs="Arial"/>
                <w:szCs w:val="24"/>
              </w:rPr>
              <w:t xml:space="preserve">14 </w:t>
            </w:r>
          </w:p>
        </w:tc>
        <w:tc>
          <w:tcPr>
            <w:tcW w:w="1030" w:type="dxa"/>
          </w:tcPr>
          <w:p w14:paraId="55B7631F" w14:textId="77777777" w:rsidR="008C3CD0" w:rsidRPr="000564EB" w:rsidRDefault="008C3CD0" w:rsidP="00BD3C09">
            <w:pPr>
              <w:jc w:val="center"/>
              <w:rPr>
                <w:rFonts w:cs="Arial"/>
                <w:szCs w:val="24"/>
              </w:rPr>
            </w:pPr>
            <w:r w:rsidRPr="000564EB">
              <w:rPr>
                <w:rFonts w:cs="Arial"/>
                <w:szCs w:val="24"/>
              </w:rPr>
              <w:t xml:space="preserve">12 </w:t>
            </w:r>
          </w:p>
        </w:tc>
        <w:tc>
          <w:tcPr>
            <w:tcW w:w="1030" w:type="dxa"/>
          </w:tcPr>
          <w:p w14:paraId="77627905" w14:textId="77777777" w:rsidR="008C3CD0" w:rsidRPr="000564EB" w:rsidRDefault="008C3CD0" w:rsidP="00BD3C09">
            <w:pPr>
              <w:jc w:val="center"/>
              <w:rPr>
                <w:rFonts w:cs="Arial"/>
                <w:szCs w:val="24"/>
              </w:rPr>
            </w:pPr>
            <w:r w:rsidRPr="000564EB">
              <w:rPr>
                <w:rFonts w:cs="Arial"/>
                <w:szCs w:val="24"/>
              </w:rPr>
              <w:t xml:space="preserve">13 </w:t>
            </w:r>
          </w:p>
        </w:tc>
        <w:tc>
          <w:tcPr>
            <w:tcW w:w="1030" w:type="dxa"/>
          </w:tcPr>
          <w:p w14:paraId="17C9B014" w14:textId="77777777" w:rsidR="008C3CD0" w:rsidRPr="000564EB" w:rsidRDefault="008C3CD0" w:rsidP="00BD3C09">
            <w:pPr>
              <w:jc w:val="center"/>
              <w:rPr>
                <w:rFonts w:cs="Arial"/>
                <w:szCs w:val="24"/>
              </w:rPr>
            </w:pPr>
            <w:r w:rsidRPr="000564EB">
              <w:rPr>
                <w:rFonts w:cs="Arial"/>
                <w:szCs w:val="24"/>
              </w:rPr>
              <w:t xml:space="preserve">10 </w:t>
            </w:r>
          </w:p>
        </w:tc>
        <w:tc>
          <w:tcPr>
            <w:tcW w:w="1030" w:type="dxa"/>
          </w:tcPr>
          <w:p w14:paraId="2F749B1A" w14:textId="77777777" w:rsidR="008C3CD0" w:rsidRPr="000564EB" w:rsidRDefault="008C3CD0" w:rsidP="00BD3C09">
            <w:pPr>
              <w:jc w:val="center"/>
              <w:rPr>
                <w:rFonts w:cs="Arial"/>
                <w:szCs w:val="24"/>
              </w:rPr>
            </w:pPr>
            <w:r w:rsidRPr="000564EB">
              <w:rPr>
                <w:rFonts w:cs="Arial"/>
                <w:szCs w:val="24"/>
              </w:rPr>
              <w:t xml:space="preserve">9 </w:t>
            </w:r>
          </w:p>
        </w:tc>
        <w:tc>
          <w:tcPr>
            <w:tcW w:w="1030" w:type="dxa"/>
          </w:tcPr>
          <w:p w14:paraId="276EF1E3" w14:textId="77777777" w:rsidR="008C3CD0" w:rsidRPr="000564EB" w:rsidRDefault="008C3CD0" w:rsidP="00BD3C09">
            <w:pPr>
              <w:jc w:val="center"/>
              <w:rPr>
                <w:rFonts w:cs="Arial"/>
                <w:szCs w:val="24"/>
              </w:rPr>
            </w:pPr>
            <w:r w:rsidRPr="000564EB">
              <w:rPr>
                <w:rFonts w:cs="Arial"/>
                <w:szCs w:val="24"/>
              </w:rPr>
              <w:t xml:space="preserve">16 </w:t>
            </w:r>
          </w:p>
        </w:tc>
        <w:tc>
          <w:tcPr>
            <w:tcW w:w="1030" w:type="dxa"/>
          </w:tcPr>
          <w:p w14:paraId="66426934" w14:textId="77777777" w:rsidR="008C3CD0" w:rsidRPr="000564EB" w:rsidRDefault="008C3CD0" w:rsidP="00BD3C09">
            <w:pPr>
              <w:jc w:val="center"/>
              <w:rPr>
                <w:rFonts w:cs="Arial"/>
                <w:szCs w:val="24"/>
              </w:rPr>
            </w:pPr>
            <w:r w:rsidRPr="000564EB">
              <w:rPr>
                <w:rFonts w:cs="Arial"/>
                <w:szCs w:val="24"/>
              </w:rPr>
              <w:t xml:space="preserve">23 </w:t>
            </w:r>
          </w:p>
        </w:tc>
        <w:tc>
          <w:tcPr>
            <w:tcW w:w="1030" w:type="dxa"/>
          </w:tcPr>
          <w:p w14:paraId="1CCAE4A2" w14:textId="77777777" w:rsidR="008C3CD0" w:rsidRPr="000564EB" w:rsidRDefault="008C3CD0" w:rsidP="00BD3C09">
            <w:pPr>
              <w:jc w:val="center"/>
              <w:rPr>
                <w:rFonts w:cs="Arial"/>
                <w:szCs w:val="24"/>
              </w:rPr>
            </w:pPr>
            <w:r w:rsidRPr="000564EB">
              <w:rPr>
                <w:rFonts w:cs="Arial"/>
                <w:szCs w:val="24"/>
              </w:rPr>
              <w:t xml:space="preserve">10 </w:t>
            </w:r>
          </w:p>
        </w:tc>
      </w:tr>
      <w:tr w:rsidR="008C3CD0" w:rsidRPr="000564EB" w14:paraId="7C5A3929" w14:textId="77777777" w:rsidTr="00BD3C09">
        <w:tc>
          <w:tcPr>
            <w:tcW w:w="1505" w:type="dxa"/>
          </w:tcPr>
          <w:p w14:paraId="763F7E71" w14:textId="77777777" w:rsidR="008C3CD0" w:rsidRPr="000564EB" w:rsidRDefault="008C3CD0" w:rsidP="00BD3C09">
            <w:pPr>
              <w:rPr>
                <w:rFonts w:cs="Arial"/>
                <w:szCs w:val="24"/>
              </w:rPr>
            </w:pPr>
            <w:r w:rsidRPr="000564EB">
              <w:rPr>
                <w:rFonts w:cs="Arial"/>
                <w:szCs w:val="24"/>
              </w:rPr>
              <w:t>Outcome 5</w:t>
            </w:r>
          </w:p>
          <w:p w14:paraId="7CE2BD0B" w14:textId="77777777" w:rsidR="008C3CD0" w:rsidRPr="000564EB" w:rsidRDefault="008C3CD0" w:rsidP="00BD3C09">
            <w:pPr>
              <w:rPr>
                <w:rFonts w:cs="Arial"/>
                <w:szCs w:val="24"/>
              </w:rPr>
            </w:pPr>
            <w:r w:rsidRPr="000564EB">
              <w:rPr>
                <w:rFonts w:cs="Arial"/>
                <w:szCs w:val="24"/>
              </w:rPr>
              <w:t>Satisfied</w:t>
            </w:r>
          </w:p>
        </w:tc>
        <w:tc>
          <w:tcPr>
            <w:tcW w:w="977" w:type="dxa"/>
          </w:tcPr>
          <w:p w14:paraId="217B42EA" w14:textId="77777777" w:rsidR="008C3CD0" w:rsidRPr="000564EB" w:rsidRDefault="008C3CD0" w:rsidP="00BD3C09">
            <w:pPr>
              <w:jc w:val="center"/>
              <w:rPr>
                <w:rFonts w:cs="Arial"/>
                <w:szCs w:val="24"/>
              </w:rPr>
            </w:pPr>
            <w:r w:rsidRPr="000564EB">
              <w:rPr>
                <w:rFonts w:cs="Arial"/>
                <w:szCs w:val="24"/>
              </w:rPr>
              <w:t>63.45%</w:t>
            </w:r>
          </w:p>
        </w:tc>
        <w:tc>
          <w:tcPr>
            <w:tcW w:w="1030" w:type="dxa"/>
          </w:tcPr>
          <w:p w14:paraId="10C2BE7D" w14:textId="77777777" w:rsidR="008C3CD0" w:rsidRPr="000564EB" w:rsidRDefault="008C3CD0" w:rsidP="00BD3C09">
            <w:pPr>
              <w:jc w:val="center"/>
              <w:rPr>
                <w:rFonts w:cs="Arial"/>
                <w:szCs w:val="24"/>
              </w:rPr>
            </w:pPr>
            <w:r w:rsidRPr="000564EB">
              <w:rPr>
                <w:rFonts w:cs="Arial"/>
                <w:szCs w:val="24"/>
              </w:rPr>
              <w:t>58.75%</w:t>
            </w:r>
          </w:p>
        </w:tc>
        <w:tc>
          <w:tcPr>
            <w:tcW w:w="1030" w:type="dxa"/>
          </w:tcPr>
          <w:p w14:paraId="1A126CB9" w14:textId="77777777" w:rsidR="008C3CD0" w:rsidRPr="000564EB" w:rsidRDefault="008C3CD0" w:rsidP="00BD3C09">
            <w:pPr>
              <w:jc w:val="center"/>
              <w:rPr>
                <w:rFonts w:cs="Arial"/>
                <w:szCs w:val="24"/>
              </w:rPr>
            </w:pPr>
            <w:r w:rsidRPr="000564EB">
              <w:rPr>
                <w:rFonts w:cs="Arial"/>
                <w:szCs w:val="24"/>
              </w:rPr>
              <w:t>56.04%</w:t>
            </w:r>
          </w:p>
        </w:tc>
        <w:tc>
          <w:tcPr>
            <w:tcW w:w="1030" w:type="dxa"/>
          </w:tcPr>
          <w:p w14:paraId="4FE1A83C" w14:textId="77777777" w:rsidR="008C3CD0" w:rsidRPr="000564EB" w:rsidRDefault="008C3CD0" w:rsidP="00BD3C09">
            <w:pPr>
              <w:jc w:val="center"/>
              <w:rPr>
                <w:rFonts w:cs="Arial"/>
                <w:szCs w:val="24"/>
              </w:rPr>
            </w:pPr>
            <w:r w:rsidRPr="000564EB">
              <w:rPr>
                <w:rFonts w:cs="Arial"/>
                <w:szCs w:val="24"/>
              </w:rPr>
              <w:t>69.92%</w:t>
            </w:r>
          </w:p>
        </w:tc>
        <w:tc>
          <w:tcPr>
            <w:tcW w:w="1030" w:type="dxa"/>
          </w:tcPr>
          <w:p w14:paraId="1EFFD406" w14:textId="77777777" w:rsidR="008C3CD0" w:rsidRPr="000564EB" w:rsidRDefault="008C3CD0" w:rsidP="00BD3C09">
            <w:pPr>
              <w:jc w:val="center"/>
              <w:rPr>
                <w:rFonts w:cs="Arial"/>
                <w:szCs w:val="24"/>
              </w:rPr>
            </w:pPr>
            <w:r w:rsidRPr="000564EB">
              <w:rPr>
                <w:rFonts w:cs="Arial"/>
                <w:szCs w:val="24"/>
              </w:rPr>
              <w:t>80.27%</w:t>
            </w:r>
          </w:p>
        </w:tc>
        <w:tc>
          <w:tcPr>
            <w:tcW w:w="1030" w:type="dxa"/>
          </w:tcPr>
          <w:p w14:paraId="5775B5EE" w14:textId="77777777" w:rsidR="008C3CD0" w:rsidRPr="000564EB" w:rsidRDefault="008C3CD0" w:rsidP="00BD3C09">
            <w:pPr>
              <w:jc w:val="center"/>
              <w:rPr>
                <w:rFonts w:cs="Arial"/>
                <w:szCs w:val="24"/>
              </w:rPr>
            </w:pPr>
            <w:r w:rsidRPr="000564EB">
              <w:rPr>
                <w:rFonts w:cs="Arial"/>
                <w:szCs w:val="24"/>
              </w:rPr>
              <w:t>78.69%</w:t>
            </w:r>
          </w:p>
        </w:tc>
        <w:tc>
          <w:tcPr>
            <w:tcW w:w="1030" w:type="dxa"/>
          </w:tcPr>
          <w:p w14:paraId="59D15DCD" w14:textId="77777777" w:rsidR="008C3CD0" w:rsidRPr="000564EB" w:rsidRDefault="008C3CD0" w:rsidP="00BD3C09">
            <w:pPr>
              <w:jc w:val="center"/>
              <w:rPr>
                <w:rFonts w:cs="Arial"/>
                <w:szCs w:val="24"/>
              </w:rPr>
            </w:pPr>
            <w:r w:rsidRPr="000564EB">
              <w:rPr>
                <w:rFonts w:cs="Arial"/>
                <w:szCs w:val="24"/>
              </w:rPr>
              <w:t>73.74%</w:t>
            </w:r>
          </w:p>
        </w:tc>
        <w:tc>
          <w:tcPr>
            <w:tcW w:w="1030" w:type="dxa"/>
          </w:tcPr>
          <w:p w14:paraId="5008625B" w14:textId="77777777" w:rsidR="008C3CD0" w:rsidRPr="000564EB" w:rsidRDefault="008C3CD0" w:rsidP="00BD3C09">
            <w:pPr>
              <w:jc w:val="center"/>
              <w:rPr>
                <w:rFonts w:cs="Arial"/>
                <w:szCs w:val="24"/>
              </w:rPr>
            </w:pPr>
            <w:r w:rsidRPr="000564EB">
              <w:rPr>
                <w:rFonts w:cs="Arial"/>
                <w:szCs w:val="24"/>
              </w:rPr>
              <w:t>74.80%</w:t>
            </w:r>
          </w:p>
        </w:tc>
        <w:tc>
          <w:tcPr>
            <w:tcW w:w="1030" w:type="dxa"/>
          </w:tcPr>
          <w:p w14:paraId="6CB21193" w14:textId="77777777" w:rsidR="008C3CD0" w:rsidRPr="000564EB" w:rsidRDefault="008C3CD0" w:rsidP="00BD3C09">
            <w:pPr>
              <w:jc w:val="center"/>
              <w:rPr>
                <w:rFonts w:cs="Arial"/>
                <w:szCs w:val="24"/>
              </w:rPr>
            </w:pPr>
            <w:r w:rsidRPr="000564EB">
              <w:rPr>
                <w:rFonts w:cs="Arial"/>
                <w:szCs w:val="24"/>
              </w:rPr>
              <w:t>71.61%</w:t>
            </w:r>
          </w:p>
        </w:tc>
        <w:tc>
          <w:tcPr>
            <w:tcW w:w="1030" w:type="dxa"/>
          </w:tcPr>
          <w:p w14:paraId="0659306A" w14:textId="77777777" w:rsidR="008C3CD0" w:rsidRPr="000564EB" w:rsidRDefault="008C3CD0" w:rsidP="00BD3C09">
            <w:pPr>
              <w:jc w:val="center"/>
              <w:rPr>
                <w:rFonts w:cs="Arial"/>
                <w:szCs w:val="24"/>
              </w:rPr>
            </w:pPr>
            <w:r w:rsidRPr="000564EB">
              <w:rPr>
                <w:rFonts w:cs="Arial"/>
                <w:szCs w:val="24"/>
              </w:rPr>
              <w:t>71.61%</w:t>
            </w:r>
          </w:p>
        </w:tc>
        <w:tc>
          <w:tcPr>
            <w:tcW w:w="1030" w:type="dxa"/>
          </w:tcPr>
          <w:p w14:paraId="26A2F74D" w14:textId="77777777" w:rsidR="008C3CD0" w:rsidRPr="000564EB" w:rsidRDefault="008C3CD0" w:rsidP="00BD3C09">
            <w:pPr>
              <w:jc w:val="center"/>
              <w:rPr>
                <w:rFonts w:cs="Arial"/>
                <w:szCs w:val="24"/>
              </w:rPr>
            </w:pPr>
            <w:r w:rsidRPr="000564EB">
              <w:rPr>
                <w:rFonts w:cs="Arial"/>
                <w:szCs w:val="24"/>
              </w:rPr>
              <w:t>72.27%</w:t>
            </w:r>
          </w:p>
        </w:tc>
        <w:tc>
          <w:tcPr>
            <w:tcW w:w="1030" w:type="dxa"/>
          </w:tcPr>
          <w:p w14:paraId="54F5FF91" w14:textId="77777777" w:rsidR="008C3CD0" w:rsidRPr="000564EB" w:rsidRDefault="008C3CD0" w:rsidP="00BD3C09">
            <w:pPr>
              <w:jc w:val="center"/>
              <w:rPr>
                <w:rFonts w:cs="Arial"/>
                <w:szCs w:val="24"/>
              </w:rPr>
            </w:pPr>
            <w:r w:rsidRPr="000564EB">
              <w:rPr>
                <w:rFonts w:cs="Arial"/>
                <w:szCs w:val="24"/>
              </w:rPr>
              <w:t>72.80%</w:t>
            </w:r>
          </w:p>
        </w:tc>
      </w:tr>
    </w:tbl>
    <w:p w14:paraId="2C4FD1C8" w14:textId="77777777" w:rsidR="008C3CD0" w:rsidRPr="000564EB" w:rsidRDefault="008C3CD0" w:rsidP="008C3CD0">
      <w:pPr>
        <w:rPr>
          <w:rFonts w:cs="Arial"/>
          <w:szCs w:val="24"/>
        </w:rPr>
      </w:pPr>
    </w:p>
    <w:p w14:paraId="0D2FB11D" w14:textId="77777777" w:rsidR="00D24A01" w:rsidRPr="000564EB" w:rsidRDefault="00D24A01" w:rsidP="008C3CD0">
      <w:pPr>
        <w:rPr>
          <w:rFonts w:cs="Arial"/>
          <w:szCs w:val="24"/>
        </w:rPr>
      </w:pPr>
    </w:p>
    <w:p w14:paraId="79AA55A3" w14:textId="77777777" w:rsidR="00D24A01" w:rsidRPr="000564EB" w:rsidRDefault="00D24A01" w:rsidP="008C3CD0">
      <w:pPr>
        <w:rPr>
          <w:rFonts w:cs="Arial"/>
          <w:szCs w:val="24"/>
        </w:rPr>
      </w:pPr>
    </w:p>
    <w:p w14:paraId="16A43F96" w14:textId="77777777" w:rsidR="00D24A01" w:rsidRPr="000564EB" w:rsidRDefault="00D24A01" w:rsidP="008C3CD0">
      <w:pPr>
        <w:rPr>
          <w:rFonts w:cs="Arial"/>
          <w:szCs w:val="24"/>
        </w:rPr>
      </w:pPr>
    </w:p>
    <w:p w14:paraId="36280A3A" w14:textId="77777777" w:rsidR="00D24A01" w:rsidRPr="000564EB" w:rsidRDefault="00D24A01" w:rsidP="008C3CD0">
      <w:pPr>
        <w:rPr>
          <w:rFonts w:cs="Arial"/>
          <w:szCs w:val="24"/>
        </w:rPr>
      </w:pPr>
    </w:p>
    <w:p w14:paraId="391D1768" w14:textId="77777777" w:rsidR="00D24A01" w:rsidRPr="000564EB" w:rsidRDefault="00D24A01" w:rsidP="008C3CD0">
      <w:pPr>
        <w:rPr>
          <w:rFonts w:cs="Arial"/>
          <w:szCs w:val="24"/>
        </w:rPr>
      </w:pPr>
    </w:p>
    <w:p w14:paraId="2C17BD6F" w14:textId="77777777" w:rsidR="00D24A01" w:rsidRPr="000564EB" w:rsidRDefault="00D24A01" w:rsidP="008C3CD0">
      <w:pPr>
        <w:rPr>
          <w:rFonts w:cs="Arial"/>
          <w:szCs w:val="24"/>
        </w:rPr>
      </w:pPr>
    </w:p>
    <w:p w14:paraId="25CB1E32" w14:textId="77777777" w:rsidR="00D24A01" w:rsidRPr="000564EB" w:rsidRDefault="00D24A01" w:rsidP="008C3CD0">
      <w:pPr>
        <w:rPr>
          <w:rFonts w:cs="Arial"/>
          <w:szCs w:val="24"/>
        </w:rPr>
      </w:pPr>
    </w:p>
    <w:p w14:paraId="7C5239F4" w14:textId="77777777" w:rsidR="00D24A01" w:rsidRPr="000564EB" w:rsidRDefault="00D24A01" w:rsidP="008C3CD0">
      <w:pPr>
        <w:rPr>
          <w:rFonts w:cs="Arial"/>
          <w:szCs w:val="24"/>
        </w:rPr>
      </w:pPr>
    </w:p>
    <w:p w14:paraId="79864504" w14:textId="77777777" w:rsidR="00D24A01" w:rsidRPr="000564EB" w:rsidRDefault="00D24A01" w:rsidP="008C3CD0">
      <w:pPr>
        <w:rPr>
          <w:rFonts w:cs="Arial"/>
          <w:szCs w:val="24"/>
        </w:rPr>
      </w:pPr>
    </w:p>
    <w:p w14:paraId="2F12A291" w14:textId="77777777" w:rsidR="00BE5F99" w:rsidRPr="008664C2" w:rsidRDefault="00BE5F99" w:rsidP="008664C2">
      <w:pPr>
        <w:rPr>
          <w:rFonts w:cs="Arial"/>
          <w:szCs w:val="24"/>
        </w:rPr>
        <w:sectPr w:rsidR="00BE5F99" w:rsidRPr="008664C2" w:rsidSect="008C3CD0">
          <w:pgSz w:w="16838" w:h="11906" w:orient="landscape"/>
          <w:pgMar w:top="1440" w:right="1440" w:bottom="1418" w:left="1134" w:header="709" w:footer="709" w:gutter="0"/>
          <w:cols w:space="708"/>
          <w:docGrid w:linePitch="360"/>
        </w:sectPr>
      </w:pPr>
    </w:p>
    <w:p w14:paraId="78F34EBE" w14:textId="77777777" w:rsidR="00304199" w:rsidRPr="008664C2" w:rsidRDefault="00304199" w:rsidP="008664C2">
      <w:pPr>
        <w:rPr>
          <w:rFonts w:cs="Arial"/>
          <w:szCs w:val="24"/>
        </w:rPr>
      </w:pPr>
    </w:p>
    <w:p w14:paraId="0902747F" w14:textId="20108899" w:rsidR="00241A47" w:rsidRDefault="00241A47" w:rsidP="008474A5">
      <w:pPr>
        <w:pStyle w:val="ListParagraph"/>
        <w:widowControl/>
        <w:numPr>
          <w:ilvl w:val="0"/>
          <w:numId w:val="6"/>
        </w:numPr>
        <w:overflowPunct/>
        <w:autoSpaceDE/>
        <w:autoSpaceDN/>
        <w:adjustRightInd/>
        <w:ind w:left="284" w:hanging="218"/>
        <w:textAlignment w:val="auto"/>
        <w:rPr>
          <w:rFonts w:cs="Arial"/>
          <w:szCs w:val="24"/>
        </w:rPr>
      </w:pPr>
      <w:r>
        <w:rPr>
          <w:rFonts w:cs="Arial"/>
          <w:szCs w:val="24"/>
        </w:rPr>
        <w:t xml:space="preserve">TP are now collecting more data on reason for contact, and using that alongside data on outcomes to </w:t>
      </w:r>
      <w:r w:rsidRPr="000564EB">
        <w:rPr>
          <w:rFonts w:cs="Arial"/>
          <w:szCs w:val="24"/>
        </w:rPr>
        <w:t>identify</w:t>
      </w:r>
      <w:r>
        <w:rPr>
          <w:rFonts w:cs="Arial"/>
          <w:szCs w:val="24"/>
        </w:rPr>
        <w:t>:</w:t>
      </w:r>
      <w:r w:rsidRPr="000564EB">
        <w:rPr>
          <w:rFonts w:cs="Arial"/>
          <w:szCs w:val="24"/>
        </w:rPr>
        <w:t xml:space="preserve"> </w:t>
      </w:r>
      <w:r>
        <w:rPr>
          <w:rFonts w:cs="Arial"/>
          <w:szCs w:val="24"/>
        </w:rPr>
        <w:t xml:space="preserve">trends; </w:t>
      </w:r>
      <w:r w:rsidRPr="000564EB">
        <w:rPr>
          <w:rFonts w:cs="Arial"/>
          <w:szCs w:val="24"/>
        </w:rPr>
        <w:t>pressure points</w:t>
      </w:r>
      <w:r>
        <w:rPr>
          <w:rFonts w:cs="Arial"/>
          <w:szCs w:val="24"/>
        </w:rPr>
        <w:t>;</w:t>
      </w:r>
      <w:r w:rsidRPr="000564EB">
        <w:rPr>
          <w:rFonts w:cs="Arial"/>
          <w:szCs w:val="24"/>
        </w:rPr>
        <w:t xml:space="preserve"> potential risks and the opportunity to proactivity mitigate th</w:t>
      </w:r>
      <w:r>
        <w:rPr>
          <w:rFonts w:cs="Arial"/>
          <w:szCs w:val="24"/>
        </w:rPr>
        <w:t>o</w:t>
      </w:r>
      <w:r w:rsidRPr="000564EB">
        <w:rPr>
          <w:rFonts w:cs="Arial"/>
          <w:szCs w:val="24"/>
        </w:rPr>
        <w:t>se.</w:t>
      </w:r>
      <w:r w:rsidR="000C146F">
        <w:rPr>
          <w:rFonts w:cs="Arial"/>
          <w:szCs w:val="24"/>
        </w:rPr>
        <w:t xml:space="preserve">  The d</w:t>
      </w:r>
      <w:r>
        <w:rPr>
          <w:rFonts w:cs="Arial"/>
          <w:szCs w:val="24"/>
        </w:rPr>
        <w:t>epartment is monitoring how this is</w:t>
      </w:r>
      <w:r w:rsidRPr="000564EB">
        <w:rPr>
          <w:rFonts w:cs="Arial"/>
          <w:szCs w:val="24"/>
        </w:rPr>
        <w:t xml:space="preserve"> </w:t>
      </w:r>
      <w:r>
        <w:rPr>
          <w:rFonts w:cs="Arial"/>
          <w:szCs w:val="24"/>
        </w:rPr>
        <w:t>ensuring flexibility</w:t>
      </w:r>
      <w:r w:rsidR="000C146F">
        <w:rPr>
          <w:rFonts w:cs="Arial"/>
          <w:szCs w:val="24"/>
        </w:rPr>
        <w:t>,</w:t>
      </w:r>
      <w:r>
        <w:rPr>
          <w:rFonts w:cs="Arial"/>
          <w:szCs w:val="24"/>
        </w:rPr>
        <w:t xml:space="preserve"> and the Board </w:t>
      </w:r>
      <w:r w:rsidR="000C146F">
        <w:rPr>
          <w:rFonts w:cs="Arial"/>
          <w:szCs w:val="24"/>
        </w:rPr>
        <w:t xml:space="preserve">will </w:t>
      </w:r>
      <w:r>
        <w:rPr>
          <w:rFonts w:cs="Arial"/>
          <w:szCs w:val="24"/>
        </w:rPr>
        <w:t>continue to receive suitable reporting</w:t>
      </w:r>
      <w:r w:rsidR="007A47BE">
        <w:rPr>
          <w:rFonts w:cs="Arial"/>
          <w:szCs w:val="24"/>
        </w:rPr>
        <w:t xml:space="preserve"> (see paragraph 47</w:t>
      </w:r>
      <w:r w:rsidR="005E32F5">
        <w:rPr>
          <w:rFonts w:cs="Arial"/>
          <w:szCs w:val="24"/>
        </w:rPr>
        <w:t xml:space="preserve"> </w:t>
      </w:r>
      <w:r w:rsidR="00A31934">
        <w:rPr>
          <w:rFonts w:cs="Arial"/>
          <w:szCs w:val="24"/>
        </w:rPr>
        <w:t>for</w:t>
      </w:r>
      <w:r w:rsidR="005E32F5">
        <w:rPr>
          <w:rFonts w:cs="Arial"/>
          <w:szCs w:val="24"/>
        </w:rPr>
        <w:t xml:space="preserve"> reasons for contact</w:t>
      </w:r>
      <w:r w:rsidR="009E5570">
        <w:rPr>
          <w:rFonts w:cs="Arial"/>
          <w:szCs w:val="24"/>
        </w:rPr>
        <w:t>)</w:t>
      </w:r>
      <w:r>
        <w:rPr>
          <w:rFonts w:cs="Arial"/>
          <w:szCs w:val="24"/>
        </w:rPr>
        <w:t>.</w:t>
      </w:r>
      <w:r w:rsidRPr="000564EB">
        <w:rPr>
          <w:rFonts w:cs="Arial"/>
          <w:szCs w:val="24"/>
        </w:rPr>
        <w:t xml:space="preserve"> </w:t>
      </w:r>
    </w:p>
    <w:p w14:paraId="493483AE" w14:textId="77777777" w:rsidR="00241A47" w:rsidRDefault="00241A47" w:rsidP="008474A5">
      <w:pPr>
        <w:pStyle w:val="ListParagraph"/>
        <w:widowControl/>
        <w:overflowPunct/>
        <w:autoSpaceDE/>
        <w:autoSpaceDN/>
        <w:adjustRightInd/>
        <w:ind w:left="284" w:hanging="218"/>
        <w:textAlignment w:val="auto"/>
        <w:rPr>
          <w:rFonts w:cs="Arial"/>
          <w:szCs w:val="24"/>
        </w:rPr>
      </w:pPr>
    </w:p>
    <w:p w14:paraId="2920C676" w14:textId="27FFACFF" w:rsidR="00C36CC6" w:rsidRPr="000564EB" w:rsidRDefault="00304199" w:rsidP="008474A5">
      <w:pPr>
        <w:pStyle w:val="ListParagraph"/>
        <w:widowControl/>
        <w:numPr>
          <w:ilvl w:val="0"/>
          <w:numId w:val="6"/>
        </w:numPr>
        <w:overflowPunct/>
        <w:autoSpaceDE/>
        <w:autoSpaceDN/>
        <w:adjustRightInd/>
        <w:ind w:left="284" w:hanging="218"/>
        <w:textAlignment w:val="auto"/>
        <w:rPr>
          <w:rFonts w:cs="Arial"/>
          <w:szCs w:val="24"/>
        </w:rPr>
      </w:pPr>
      <w:r w:rsidRPr="000564EB">
        <w:rPr>
          <w:rFonts w:cs="Arial"/>
          <w:szCs w:val="24"/>
        </w:rPr>
        <w:t xml:space="preserve">The </w:t>
      </w:r>
      <w:r w:rsidR="00241A47">
        <w:rPr>
          <w:rFonts w:cs="Arial"/>
          <w:szCs w:val="24"/>
        </w:rPr>
        <w:t xml:space="preserve">current position is that the </w:t>
      </w:r>
      <w:r w:rsidRPr="000564EB">
        <w:rPr>
          <w:rFonts w:cs="Arial"/>
          <w:szCs w:val="24"/>
        </w:rPr>
        <w:t xml:space="preserve">challenges faced in the contact centre </w:t>
      </w:r>
      <w:r w:rsidR="00241A47">
        <w:rPr>
          <w:rFonts w:cs="Arial"/>
          <w:szCs w:val="24"/>
        </w:rPr>
        <w:t xml:space="preserve">over the course of last year </w:t>
      </w:r>
      <w:r w:rsidRPr="000564EB">
        <w:rPr>
          <w:rFonts w:cs="Arial"/>
          <w:szCs w:val="24"/>
        </w:rPr>
        <w:t>have been addressed and performance remains at a stable level.</w:t>
      </w:r>
      <w:r w:rsidR="00241A47">
        <w:rPr>
          <w:rFonts w:cs="Arial"/>
          <w:szCs w:val="24"/>
        </w:rPr>
        <w:t xml:space="preserve">  The future challenge is to ensure performance remains good, the service is responsive to changing trends and that customers are suitabl</w:t>
      </w:r>
      <w:r w:rsidR="006A7EFB">
        <w:rPr>
          <w:rFonts w:cs="Arial"/>
          <w:szCs w:val="24"/>
        </w:rPr>
        <w:t>y</w:t>
      </w:r>
      <w:r w:rsidR="00241A47">
        <w:rPr>
          <w:rFonts w:cs="Arial"/>
          <w:szCs w:val="24"/>
        </w:rPr>
        <w:t xml:space="preserve"> persuaded to use the communication channel best suited to their needs.</w:t>
      </w:r>
      <w:r w:rsidR="006E6B6C" w:rsidRPr="000564EB">
        <w:rPr>
          <w:rFonts w:cs="Arial"/>
          <w:szCs w:val="24"/>
        </w:rPr>
        <w:t xml:space="preserve"> </w:t>
      </w:r>
    </w:p>
    <w:p w14:paraId="696A6505" w14:textId="77777777" w:rsidR="00EE1811" w:rsidRPr="000564EB" w:rsidRDefault="00EE1811" w:rsidP="008474A5">
      <w:pPr>
        <w:ind w:left="284" w:hanging="218"/>
        <w:rPr>
          <w:rFonts w:cs="Arial"/>
          <w:szCs w:val="24"/>
        </w:rPr>
      </w:pPr>
    </w:p>
    <w:tbl>
      <w:tblPr>
        <w:tblStyle w:val="TableGrid"/>
        <w:tblW w:w="0" w:type="auto"/>
        <w:tblInd w:w="108" w:type="dxa"/>
        <w:tblLook w:val="04A0" w:firstRow="1" w:lastRow="0" w:firstColumn="1" w:lastColumn="0" w:noHBand="0" w:noVBand="1"/>
      </w:tblPr>
      <w:tblGrid>
        <w:gridCol w:w="7230"/>
        <w:gridCol w:w="1134"/>
      </w:tblGrid>
      <w:tr w:rsidR="00EE1811" w:rsidRPr="000564EB" w14:paraId="12DB8063" w14:textId="77777777" w:rsidTr="00EE1811">
        <w:tc>
          <w:tcPr>
            <w:tcW w:w="7230" w:type="dxa"/>
          </w:tcPr>
          <w:p w14:paraId="31B26DF3" w14:textId="77777777" w:rsidR="00EE1811" w:rsidRPr="000564EB" w:rsidRDefault="00EE1811" w:rsidP="008474A5">
            <w:pPr>
              <w:ind w:left="284" w:hanging="218"/>
              <w:rPr>
                <w:rFonts w:cs="Arial"/>
                <w:b/>
                <w:color w:val="FF0000"/>
                <w:szCs w:val="24"/>
              </w:rPr>
            </w:pPr>
            <w:r w:rsidRPr="000564EB">
              <w:rPr>
                <w:rFonts w:cs="Arial"/>
                <w:b/>
                <w:color w:val="000000"/>
                <w:szCs w:val="24"/>
                <w:lang w:eastAsia="en-GB"/>
              </w:rPr>
              <w:t xml:space="preserve">SLAs </w:t>
            </w:r>
            <w:r w:rsidR="00F70C7F" w:rsidRPr="000564EB">
              <w:rPr>
                <w:rFonts w:cs="Arial"/>
                <w:b/>
                <w:color w:val="000000"/>
                <w:szCs w:val="24"/>
                <w:lang w:eastAsia="en-GB"/>
              </w:rPr>
              <w:t>&amp;</w:t>
            </w:r>
            <w:r w:rsidRPr="000564EB">
              <w:rPr>
                <w:rFonts w:cs="Arial"/>
                <w:b/>
                <w:color w:val="000000"/>
                <w:szCs w:val="24"/>
                <w:lang w:eastAsia="en-GB"/>
              </w:rPr>
              <w:t xml:space="preserve"> KPIs </w:t>
            </w:r>
          </w:p>
        </w:tc>
        <w:tc>
          <w:tcPr>
            <w:tcW w:w="1134" w:type="dxa"/>
            <w:shd w:val="clear" w:color="auto" w:fill="FFC000"/>
          </w:tcPr>
          <w:p w14:paraId="2530C3CB" w14:textId="77777777" w:rsidR="00EE1811" w:rsidRPr="000564EB" w:rsidRDefault="00EE1811" w:rsidP="008474A5">
            <w:pPr>
              <w:ind w:left="284" w:hanging="218"/>
              <w:rPr>
                <w:rFonts w:cs="Arial"/>
                <w:color w:val="FFFF00"/>
                <w:szCs w:val="24"/>
                <w:highlight w:val="red"/>
              </w:rPr>
            </w:pPr>
            <w:r w:rsidRPr="000564EB">
              <w:rPr>
                <w:rFonts w:cs="Arial"/>
                <w:noProof/>
                <w:color w:val="00B050"/>
                <w:szCs w:val="24"/>
                <w:highlight w:val="red"/>
                <w:lang w:eastAsia="en-GB"/>
              </w:rPr>
              <mc:AlternateContent>
                <mc:Choice Requires="wps">
                  <w:drawing>
                    <wp:anchor distT="0" distB="0" distL="114300" distR="114300" simplePos="0" relativeHeight="251608576" behindDoc="0" locked="0" layoutInCell="1" allowOverlap="1" wp14:anchorId="51F81D02" wp14:editId="21569148">
                      <wp:simplePos x="0" y="0"/>
                      <wp:positionH relativeFrom="column">
                        <wp:posOffset>61287</wp:posOffset>
                      </wp:positionH>
                      <wp:positionV relativeFrom="paragraph">
                        <wp:posOffset>100990</wp:posOffset>
                      </wp:positionV>
                      <wp:extent cx="475699" cy="108511"/>
                      <wp:effectExtent l="38100" t="57150" r="19685" b="82550"/>
                      <wp:wrapNone/>
                      <wp:docPr id="6" name="Straight Arrow Connector 6"/>
                      <wp:cNvGraphicFramePr/>
                      <a:graphic xmlns:a="http://schemas.openxmlformats.org/drawingml/2006/main">
                        <a:graphicData uri="http://schemas.microsoft.com/office/word/2010/wordprocessingShape">
                          <wps:wsp>
                            <wps:cNvCnPr/>
                            <wps:spPr>
                              <a:xfrm flipV="1">
                                <a:off x="0" y="0"/>
                                <a:ext cx="475699" cy="108511"/>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42C2F045" id="_x0000_t32" coordsize="21600,21600" o:spt="32" o:oned="t" path="m,l21600,21600e" filled="f">
                      <v:path arrowok="t" fillok="f" o:connecttype="none"/>
                      <o:lock v:ext="edit" shapetype="t"/>
                    </v:shapetype>
                    <v:shape id="Straight Arrow Connector 6" o:spid="_x0000_s1026" type="#_x0000_t32" style="position:absolute;margin-left:4.85pt;margin-top:7.95pt;width:37.45pt;height:8.55pt;flip:y;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" strokecolor="windowText" strokeweight="2pt">
                      <v:stroke endarrow="open"/>
                      <v:shadow on="t" color="black" opacity="24903f" origin=",.5" offset="0,.55556mm"/>
                    </v:shape>
                  </w:pict>
                </mc:Fallback>
              </mc:AlternateContent>
            </w:r>
          </w:p>
          <w:p w14:paraId="5AD40548" w14:textId="77777777" w:rsidR="00EE1811" w:rsidRPr="000564EB" w:rsidRDefault="00EE1811" w:rsidP="008474A5">
            <w:pPr>
              <w:ind w:left="284" w:hanging="218"/>
              <w:rPr>
                <w:rFonts w:cs="Arial"/>
                <w:color w:val="00B050"/>
                <w:szCs w:val="24"/>
                <w:highlight w:val="red"/>
              </w:rPr>
            </w:pPr>
          </w:p>
        </w:tc>
      </w:tr>
    </w:tbl>
    <w:p w14:paraId="09D918A8" w14:textId="77777777" w:rsidR="00EE1811" w:rsidRPr="000564EB" w:rsidRDefault="00EE1811" w:rsidP="008474A5">
      <w:pPr>
        <w:ind w:left="284" w:hanging="218"/>
        <w:rPr>
          <w:rFonts w:cs="Arial"/>
          <w:szCs w:val="24"/>
        </w:rPr>
      </w:pPr>
    </w:p>
    <w:p w14:paraId="68938B78" w14:textId="7B52EF01" w:rsidR="00D575DF" w:rsidRPr="000564EB" w:rsidRDefault="002B7B64" w:rsidP="008474A5">
      <w:pPr>
        <w:pStyle w:val="ListParagraph"/>
        <w:numPr>
          <w:ilvl w:val="0"/>
          <w:numId w:val="6"/>
        </w:numPr>
        <w:ind w:left="284" w:hanging="218"/>
        <w:rPr>
          <w:rFonts w:cs="Arial"/>
          <w:szCs w:val="24"/>
        </w:rPr>
      </w:pPr>
      <w:r w:rsidRPr="000564EB">
        <w:rPr>
          <w:rFonts w:cs="Arial"/>
          <w:szCs w:val="24"/>
        </w:rPr>
        <w:t xml:space="preserve">The overall SLA and KPI performance in the quarter has remained stable notwithstanding the challenges still faced in </w:t>
      </w:r>
      <w:r w:rsidR="00722150" w:rsidRPr="000564EB">
        <w:rPr>
          <w:rFonts w:cs="Arial"/>
          <w:szCs w:val="24"/>
        </w:rPr>
        <w:t>bereavement (SLA4)</w:t>
      </w:r>
      <w:r w:rsidR="000C146F">
        <w:rPr>
          <w:rFonts w:cs="Arial"/>
          <w:szCs w:val="24"/>
        </w:rPr>
        <w:t>;</w:t>
      </w:r>
      <w:r w:rsidR="00722150" w:rsidRPr="000564EB">
        <w:rPr>
          <w:rFonts w:cs="Arial"/>
          <w:szCs w:val="24"/>
        </w:rPr>
        <w:t xml:space="preserve"> transfers (SLA 5 &amp; 6) </w:t>
      </w:r>
      <w:r w:rsidR="00BF6BFB" w:rsidRPr="000564EB">
        <w:rPr>
          <w:rFonts w:cs="Arial"/>
          <w:szCs w:val="24"/>
        </w:rPr>
        <w:t xml:space="preserve">which is impacted as processing </w:t>
      </w:r>
      <w:r w:rsidR="00D575DF" w:rsidRPr="000564EB">
        <w:rPr>
          <w:rFonts w:cs="Arial"/>
          <w:szCs w:val="24"/>
        </w:rPr>
        <w:t xml:space="preserve">and completion </w:t>
      </w:r>
      <w:r w:rsidR="00BF6BFB" w:rsidRPr="000564EB">
        <w:rPr>
          <w:rFonts w:cs="Arial"/>
          <w:szCs w:val="24"/>
        </w:rPr>
        <w:t>of aged cases continues</w:t>
      </w:r>
      <w:r w:rsidR="000C146F">
        <w:rPr>
          <w:rFonts w:cs="Arial"/>
          <w:szCs w:val="24"/>
        </w:rPr>
        <w:t>;</w:t>
      </w:r>
      <w:r w:rsidR="00BF6BFB" w:rsidRPr="000564EB">
        <w:rPr>
          <w:rFonts w:cs="Arial"/>
          <w:szCs w:val="24"/>
        </w:rPr>
        <w:t xml:space="preserve"> </w:t>
      </w:r>
      <w:r w:rsidR="00D575DF" w:rsidRPr="000564EB">
        <w:rPr>
          <w:rFonts w:cs="Arial"/>
          <w:szCs w:val="24"/>
        </w:rPr>
        <w:t>Change of Entitlement (SLA 3)</w:t>
      </w:r>
      <w:r w:rsidR="000C146F">
        <w:rPr>
          <w:rFonts w:cs="Arial"/>
          <w:szCs w:val="24"/>
        </w:rPr>
        <w:t>;</w:t>
      </w:r>
      <w:r w:rsidR="00D575DF" w:rsidRPr="000564EB">
        <w:rPr>
          <w:rFonts w:cs="Arial"/>
          <w:szCs w:val="24"/>
        </w:rPr>
        <w:t xml:space="preserve"> and </w:t>
      </w:r>
      <w:r w:rsidR="00722150" w:rsidRPr="000564EB">
        <w:rPr>
          <w:rFonts w:cs="Arial"/>
          <w:szCs w:val="24"/>
        </w:rPr>
        <w:t>correspondence (KPI</w:t>
      </w:r>
      <w:r w:rsidR="00D575DF" w:rsidRPr="000564EB">
        <w:rPr>
          <w:rFonts w:cs="Arial"/>
          <w:szCs w:val="24"/>
        </w:rPr>
        <w:t xml:space="preserve"> </w:t>
      </w:r>
      <w:r w:rsidR="00722150" w:rsidRPr="000564EB">
        <w:rPr>
          <w:rFonts w:cs="Arial"/>
          <w:szCs w:val="24"/>
        </w:rPr>
        <w:t xml:space="preserve">2). </w:t>
      </w:r>
    </w:p>
    <w:p w14:paraId="7F5A5B66" w14:textId="77777777" w:rsidR="00D575DF" w:rsidRPr="000564EB" w:rsidRDefault="00D575DF" w:rsidP="00B176EB">
      <w:pPr>
        <w:ind w:left="426"/>
        <w:rPr>
          <w:rFonts w:cs="Arial"/>
          <w:szCs w:val="24"/>
        </w:rPr>
      </w:pPr>
    </w:p>
    <w:p w14:paraId="48714BF8" w14:textId="270C4903" w:rsidR="00D575DF" w:rsidRPr="001F55A6" w:rsidRDefault="00D575DF" w:rsidP="008474A5">
      <w:pPr>
        <w:pStyle w:val="ListParagraph"/>
        <w:numPr>
          <w:ilvl w:val="0"/>
          <w:numId w:val="6"/>
        </w:numPr>
        <w:ind w:left="284" w:hanging="284"/>
        <w:rPr>
          <w:rFonts w:cs="Arial"/>
          <w:szCs w:val="24"/>
        </w:rPr>
      </w:pPr>
      <w:r w:rsidRPr="001F55A6">
        <w:rPr>
          <w:rFonts w:cs="Arial"/>
          <w:szCs w:val="24"/>
        </w:rPr>
        <w:t>Aged case revisions within SLA 3 continue to be a priority. However, work has slowed on this due to the volume increase TP have seen throughout June and July. TP have prioritised in</w:t>
      </w:r>
      <w:r w:rsidR="000E3341" w:rsidRPr="001F55A6">
        <w:rPr>
          <w:rFonts w:cs="Arial"/>
          <w:szCs w:val="24"/>
        </w:rPr>
        <w:t>-</w:t>
      </w:r>
      <w:r w:rsidRPr="001F55A6">
        <w:rPr>
          <w:rFonts w:cs="Arial"/>
          <w:szCs w:val="24"/>
        </w:rPr>
        <w:t xml:space="preserve">target work over aged cases to mitigate a further increase in the outstanding workload. </w:t>
      </w:r>
      <w:r w:rsidR="007A0FE9" w:rsidRPr="001F55A6">
        <w:rPr>
          <w:rFonts w:cs="Arial"/>
          <w:szCs w:val="24"/>
        </w:rPr>
        <w:t>As at July, there</w:t>
      </w:r>
      <w:r w:rsidRPr="001F55A6">
        <w:rPr>
          <w:rFonts w:cs="Arial"/>
          <w:szCs w:val="24"/>
        </w:rPr>
        <w:t xml:space="preserve"> are 757 revisions outstanding for 2017 and 922 </w:t>
      </w:r>
      <w:r w:rsidR="007A0FE9" w:rsidRPr="001F55A6">
        <w:rPr>
          <w:rFonts w:cs="Arial"/>
          <w:szCs w:val="24"/>
        </w:rPr>
        <w:t>for</w:t>
      </w:r>
      <w:r w:rsidRPr="001F55A6">
        <w:rPr>
          <w:rFonts w:cs="Arial"/>
          <w:szCs w:val="24"/>
        </w:rPr>
        <w:t xml:space="preserve"> 2018.</w:t>
      </w:r>
    </w:p>
    <w:p w14:paraId="3D7C42EF" w14:textId="77777777" w:rsidR="00D575DF" w:rsidRPr="001F55A6" w:rsidRDefault="00722150" w:rsidP="008474A5">
      <w:pPr>
        <w:ind w:left="284" w:hanging="284"/>
        <w:rPr>
          <w:rFonts w:cs="Arial"/>
          <w:szCs w:val="24"/>
        </w:rPr>
      </w:pPr>
      <w:r w:rsidRPr="001F55A6">
        <w:rPr>
          <w:rFonts w:cs="Arial"/>
          <w:szCs w:val="24"/>
        </w:rPr>
        <w:t xml:space="preserve">   </w:t>
      </w:r>
      <w:r w:rsidR="002B7B64" w:rsidRPr="001F55A6">
        <w:rPr>
          <w:rFonts w:cs="Arial"/>
          <w:szCs w:val="24"/>
        </w:rPr>
        <w:t xml:space="preserve">  </w:t>
      </w:r>
    </w:p>
    <w:p w14:paraId="14E1121F" w14:textId="641ACA7E" w:rsidR="00896F4C" w:rsidRPr="001F55A6" w:rsidRDefault="001F55A6" w:rsidP="00D46D90">
      <w:pPr>
        <w:pStyle w:val="ListParagraph"/>
        <w:numPr>
          <w:ilvl w:val="0"/>
          <w:numId w:val="6"/>
        </w:numPr>
        <w:ind w:left="284"/>
        <w:rPr>
          <w:rFonts w:cs="Arial"/>
          <w:szCs w:val="24"/>
        </w:rPr>
      </w:pPr>
      <w:r w:rsidRPr="001F55A6">
        <w:rPr>
          <w:szCs w:val="24"/>
        </w:rPr>
        <w:t xml:space="preserve">TP have been tasked with providing more details of the type of cases included in KPI2 (correspondence) as the outstanding volume of cases continues to increase.  The early indications are that the cases will include transactions that do not impact benefits, like password re-set requests, which have actually been dealt with, but the subsequent IT action has not been taken to close the correspondence down.  TP have also been asked if cases can be identified for prioritisation.  </w:t>
      </w:r>
    </w:p>
    <w:p w14:paraId="0B768613" w14:textId="6F1E927B" w:rsidR="001F55A6" w:rsidRPr="001F55A6" w:rsidRDefault="001F55A6" w:rsidP="001F55A6">
      <w:pPr>
        <w:rPr>
          <w:rFonts w:cs="Arial"/>
          <w:szCs w:val="24"/>
        </w:rPr>
      </w:pPr>
    </w:p>
    <w:p w14:paraId="4B148200" w14:textId="3E2E5094" w:rsidR="00896F4C" w:rsidRPr="001F55A6" w:rsidRDefault="00896F4C" w:rsidP="008474A5">
      <w:pPr>
        <w:pStyle w:val="ListParagraph"/>
        <w:numPr>
          <w:ilvl w:val="0"/>
          <w:numId w:val="6"/>
        </w:numPr>
        <w:ind w:left="284" w:hanging="568"/>
        <w:rPr>
          <w:rFonts w:cs="Arial"/>
          <w:szCs w:val="24"/>
        </w:rPr>
      </w:pPr>
      <w:r w:rsidRPr="001F55A6">
        <w:rPr>
          <w:rFonts w:cs="Arial"/>
          <w:szCs w:val="24"/>
        </w:rPr>
        <w:t>Progress on these cases has been impacted by</w:t>
      </w:r>
      <w:r w:rsidR="00494CE6" w:rsidRPr="001F55A6">
        <w:rPr>
          <w:rFonts w:cs="Arial"/>
          <w:szCs w:val="24"/>
        </w:rPr>
        <w:t>:</w:t>
      </w:r>
      <w:r w:rsidRPr="001F55A6">
        <w:rPr>
          <w:rFonts w:cs="Arial"/>
          <w:szCs w:val="24"/>
        </w:rPr>
        <w:t xml:space="preserve"> work on bereavement cases</w:t>
      </w:r>
      <w:r w:rsidR="00494CE6" w:rsidRPr="001F55A6">
        <w:rPr>
          <w:rFonts w:cs="Arial"/>
          <w:szCs w:val="24"/>
        </w:rPr>
        <w:t>;</w:t>
      </w:r>
      <w:r w:rsidRPr="001F55A6">
        <w:rPr>
          <w:rFonts w:cs="Arial"/>
          <w:szCs w:val="24"/>
        </w:rPr>
        <w:t xml:space="preserve"> dealing with the September retirement cases</w:t>
      </w:r>
      <w:r w:rsidR="00494CE6" w:rsidRPr="001F55A6">
        <w:rPr>
          <w:rFonts w:cs="Arial"/>
          <w:szCs w:val="24"/>
        </w:rPr>
        <w:t>;</w:t>
      </w:r>
      <w:r w:rsidRPr="001F55A6">
        <w:rPr>
          <w:rFonts w:cs="Arial"/>
          <w:szCs w:val="24"/>
        </w:rPr>
        <w:t xml:space="preserve"> and increased activit</w:t>
      </w:r>
      <w:r w:rsidR="006B09CC">
        <w:rPr>
          <w:rFonts w:cs="Arial"/>
          <w:szCs w:val="24"/>
        </w:rPr>
        <w:t>ies associated with the rise in me</w:t>
      </w:r>
      <w:r w:rsidRPr="001F55A6">
        <w:rPr>
          <w:rFonts w:cs="Arial"/>
          <w:szCs w:val="24"/>
        </w:rPr>
        <w:t xml:space="preserve">mber numbers.  TP have been challenged to produce a recovery plan for these cases and to review the KPI and </w:t>
      </w:r>
      <w:r w:rsidR="00494CE6" w:rsidRPr="001F55A6">
        <w:rPr>
          <w:rFonts w:cs="Arial"/>
          <w:szCs w:val="24"/>
        </w:rPr>
        <w:t>outcome measures to ensure that these take appropriate account of all live cases.</w:t>
      </w:r>
    </w:p>
    <w:p w14:paraId="23F9C203" w14:textId="77777777" w:rsidR="00494CE6" w:rsidRPr="001F55A6" w:rsidRDefault="00494CE6" w:rsidP="00494CE6">
      <w:pPr>
        <w:pStyle w:val="ListParagraph"/>
        <w:rPr>
          <w:rFonts w:cs="Arial"/>
          <w:szCs w:val="24"/>
        </w:rPr>
      </w:pPr>
    </w:p>
    <w:p w14:paraId="7CE24244" w14:textId="6B994040" w:rsidR="004E3891" w:rsidRPr="000564EB" w:rsidRDefault="004E3891" w:rsidP="00436771">
      <w:pPr>
        <w:pStyle w:val="ListParagraph"/>
        <w:numPr>
          <w:ilvl w:val="0"/>
          <w:numId w:val="6"/>
        </w:numPr>
        <w:ind w:left="285" w:hanging="568"/>
        <w:rPr>
          <w:rFonts w:cs="Arial"/>
          <w:szCs w:val="24"/>
        </w:rPr>
      </w:pPr>
      <w:r w:rsidRPr="001F55A6">
        <w:rPr>
          <w:rFonts w:cs="Arial"/>
          <w:szCs w:val="24"/>
        </w:rPr>
        <w:t xml:space="preserve">DfE are </w:t>
      </w:r>
      <w:r w:rsidR="00494CE6" w:rsidRPr="001F55A6">
        <w:rPr>
          <w:rFonts w:cs="Arial"/>
          <w:szCs w:val="24"/>
        </w:rPr>
        <w:t xml:space="preserve">also </w:t>
      </w:r>
      <w:r w:rsidRPr="001F55A6">
        <w:rPr>
          <w:rFonts w:cs="Arial"/>
          <w:szCs w:val="24"/>
        </w:rPr>
        <w:t xml:space="preserve">monitoring the Transfers In and Out SLA performance </w:t>
      </w:r>
      <w:r w:rsidR="00494CE6" w:rsidRPr="001F55A6">
        <w:rPr>
          <w:rFonts w:cs="Arial"/>
          <w:szCs w:val="24"/>
        </w:rPr>
        <w:t>closely.  T</w:t>
      </w:r>
      <w:r w:rsidRPr="001F55A6">
        <w:rPr>
          <w:rFonts w:cs="Arial"/>
          <w:szCs w:val="24"/>
        </w:rPr>
        <w:t xml:space="preserve">P are maintaining a good general </w:t>
      </w:r>
      <w:r w:rsidRPr="000564EB">
        <w:rPr>
          <w:rFonts w:cs="Arial"/>
          <w:szCs w:val="24"/>
        </w:rPr>
        <w:t xml:space="preserve">performance level with SLA5a Transfers In – Member notification of Service Credit: Transfer-in calculation, achieving 100% performance.  </w:t>
      </w:r>
      <w:r w:rsidR="00494CE6">
        <w:rPr>
          <w:rFonts w:cs="Arial"/>
          <w:szCs w:val="24"/>
        </w:rPr>
        <w:t>However, t</w:t>
      </w:r>
      <w:r w:rsidRPr="000564EB">
        <w:rPr>
          <w:rFonts w:cs="Arial"/>
          <w:szCs w:val="24"/>
        </w:rPr>
        <w:t>here are some areas that require attention, particularly:</w:t>
      </w:r>
      <w:r w:rsidR="00494CE6">
        <w:rPr>
          <w:rFonts w:cs="Arial"/>
          <w:szCs w:val="24"/>
        </w:rPr>
        <w:t>-</w:t>
      </w:r>
      <w:r w:rsidRPr="000564EB">
        <w:rPr>
          <w:rFonts w:cs="Arial"/>
          <w:szCs w:val="24"/>
        </w:rPr>
        <w:t xml:space="preserve"> </w:t>
      </w:r>
    </w:p>
    <w:p w14:paraId="0F151CD2" w14:textId="4F07ADD2" w:rsidR="004E3891" w:rsidRPr="000564EB" w:rsidRDefault="004E3891" w:rsidP="00B176EB">
      <w:pPr>
        <w:pStyle w:val="ListParagraph"/>
        <w:widowControl/>
        <w:numPr>
          <w:ilvl w:val="0"/>
          <w:numId w:val="13"/>
        </w:numPr>
        <w:overflowPunct/>
        <w:autoSpaceDE/>
        <w:autoSpaceDN/>
        <w:adjustRightInd/>
        <w:ind w:left="993" w:hanging="426"/>
        <w:textAlignment w:val="auto"/>
        <w:rPr>
          <w:rFonts w:cs="Arial"/>
          <w:szCs w:val="24"/>
        </w:rPr>
      </w:pPr>
      <w:r w:rsidRPr="000564EB">
        <w:rPr>
          <w:rFonts w:cs="Arial"/>
          <w:szCs w:val="24"/>
        </w:rPr>
        <w:t>5b Transfers In – Payment Receipt</w:t>
      </w:r>
      <w:r w:rsidR="00494CE6">
        <w:rPr>
          <w:rFonts w:cs="Arial"/>
          <w:szCs w:val="24"/>
        </w:rPr>
        <w:t>:</w:t>
      </w:r>
      <w:r w:rsidRPr="000564EB">
        <w:rPr>
          <w:rFonts w:cs="Arial"/>
          <w:szCs w:val="24"/>
        </w:rPr>
        <w:t xml:space="preserve"> Member record updated</w:t>
      </w:r>
      <w:r w:rsidR="00494CE6">
        <w:rPr>
          <w:rFonts w:cs="Arial"/>
          <w:szCs w:val="24"/>
        </w:rPr>
        <w:t xml:space="preserve">. </w:t>
      </w:r>
      <w:r w:rsidRPr="000564EB">
        <w:rPr>
          <w:rFonts w:cs="Arial"/>
          <w:szCs w:val="24"/>
        </w:rPr>
        <w:t xml:space="preserve">   </w:t>
      </w:r>
    </w:p>
    <w:p w14:paraId="0DF9AEF4" w14:textId="77777777" w:rsidR="00494CE6" w:rsidRDefault="004E3891" w:rsidP="00B176EB">
      <w:pPr>
        <w:pStyle w:val="ListParagraph"/>
        <w:widowControl/>
        <w:numPr>
          <w:ilvl w:val="0"/>
          <w:numId w:val="13"/>
        </w:numPr>
        <w:overflowPunct/>
        <w:autoSpaceDE/>
        <w:autoSpaceDN/>
        <w:adjustRightInd/>
        <w:ind w:left="993" w:hanging="426"/>
        <w:textAlignment w:val="auto"/>
        <w:rPr>
          <w:rFonts w:cs="Arial"/>
          <w:szCs w:val="24"/>
        </w:rPr>
      </w:pPr>
      <w:r w:rsidRPr="000564EB">
        <w:rPr>
          <w:rFonts w:cs="Arial"/>
          <w:szCs w:val="24"/>
        </w:rPr>
        <w:t>6a Transfers Out – Receipt of Transfer Out request</w:t>
      </w:r>
      <w:r w:rsidR="00494CE6">
        <w:rPr>
          <w:rFonts w:cs="Arial"/>
          <w:szCs w:val="24"/>
        </w:rPr>
        <w:t>.</w:t>
      </w:r>
    </w:p>
    <w:p w14:paraId="584E7EA9" w14:textId="77777777" w:rsidR="00494CE6" w:rsidRDefault="00494CE6" w:rsidP="00494CE6">
      <w:pPr>
        <w:pStyle w:val="ListParagraph"/>
        <w:widowControl/>
        <w:overflowPunct/>
        <w:autoSpaceDE/>
        <w:autoSpaceDN/>
        <w:adjustRightInd/>
        <w:ind w:left="360"/>
        <w:textAlignment w:val="auto"/>
        <w:rPr>
          <w:rFonts w:cs="Arial"/>
          <w:szCs w:val="24"/>
        </w:rPr>
      </w:pPr>
    </w:p>
    <w:p w14:paraId="37FF7058" w14:textId="48E83AD5" w:rsidR="004E3891" w:rsidRPr="000564EB" w:rsidRDefault="00494CE6" w:rsidP="00B176EB">
      <w:pPr>
        <w:pStyle w:val="ListParagraph"/>
        <w:widowControl/>
        <w:overflowPunct/>
        <w:autoSpaceDE/>
        <w:autoSpaceDN/>
        <w:adjustRightInd/>
        <w:ind w:left="284"/>
        <w:textAlignment w:val="auto"/>
        <w:rPr>
          <w:rFonts w:cs="Arial"/>
          <w:szCs w:val="24"/>
        </w:rPr>
      </w:pPr>
      <w:r>
        <w:rPr>
          <w:rFonts w:cs="Arial"/>
          <w:szCs w:val="24"/>
        </w:rPr>
        <w:t xml:space="preserve">In both cases </w:t>
      </w:r>
      <w:r w:rsidR="00530158">
        <w:rPr>
          <w:rFonts w:cs="Arial"/>
          <w:szCs w:val="24"/>
        </w:rPr>
        <w:t>TP are working on aged cases</w:t>
      </w:r>
      <w:r w:rsidR="00FC7BE4">
        <w:rPr>
          <w:rFonts w:cs="Arial"/>
          <w:szCs w:val="24"/>
        </w:rPr>
        <w:t xml:space="preserve">. This </w:t>
      </w:r>
      <w:r w:rsidR="004E3891" w:rsidRPr="000564EB">
        <w:rPr>
          <w:rFonts w:cs="Arial"/>
          <w:szCs w:val="24"/>
        </w:rPr>
        <w:t xml:space="preserve">will </w:t>
      </w:r>
      <w:r w:rsidR="00FC7BE4">
        <w:rPr>
          <w:rFonts w:cs="Arial"/>
          <w:szCs w:val="24"/>
        </w:rPr>
        <w:t>c</w:t>
      </w:r>
      <w:r w:rsidR="004E3891" w:rsidRPr="000564EB">
        <w:rPr>
          <w:rFonts w:cs="Arial"/>
          <w:szCs w:val="24"/>
        </w:rPr>
        <w:t xml:space="preserve">ontinue </w:t>
      </w:r>
      <w:r w:rsidR="00FC7BE4">
        <w:rPr>
          <w:rFonts w:cs="Arial"/>
          <w:szCs w:val="24"/>
        </w:rPr>
        <w:t xml:space="preserve">to </w:t>
      </w:r>
      <w:r w:rsidR="004E3891" w:rsidRPr="000564EB">
        <w:rPr>
          <w:rFonts w:cs="Arial"/>
          <w:szCs w:val="24"/>
        </w:rPr>
        <w:t>impact</w:t>
      </w:r>
      <w:r w:rsidR="00FC7BE4">
        <w:rPr>
          <w:rFonts w:cs="Arial"/>
          <w:szCs w:val="24"/>
        </w:rPr>
        <w:t xml:space="preserve"> on SLA performance over the coming few months until the </w:t>
      </w:r>
      <w:r w:rsidR="006F1189">
        <w:rPr>
          <w:rFonts w:cs="Arial"/>
          <w:szCs w:val="24"/>
        </w:rPr>
        <w:t>build-up</w:t>
      </w:r>
      <w:r w:rsidR="00FC7BE4">
        <w:rPr>
          <w:rFonts w:cs="Arial"/>
          <w:szCs w:val="24"/>
        </w:rPr>
        <w:t xml:space="preserve"> is fully </w:t>
      </w:r>
      <w:r w:rsidR="006F1189">
        <w:rPr>
          <w:rFonts w:cs="Arial"/>
          <w:szCs w:val="24"/>
        </w:rPr>
        <w:t>addressed</w:t>
      </w:r>
      <w:r w:rsidR="004E3891" w:rsidRPr="000564EB">
        <w:rPr>
          <w:rFonts w:cs="Arial"/>
          <w:szCs w:val="24"/>
        </w:rPr>
        <w:t>.</w:t>
      </w:r>
    </w:p>
    <w:p w14:paraId="5D85A174" w14:textId="77777777" w:rsidR="00B114D2" w:rsidRPr="000564EB" w:rsidRDefault="00B114D2" w:rsidP="00B114D2">
      <w:pPr>
        <w:pStyle w:val="ListParagraph"/>
        <w:rPr>
          <w:rFonts w:cs="Arial"/>
          <w:szCs w:val="24"/>
        </w:rPr>
      </w:pPr>
    </w:p>
    <w:p w14:paraId="62F3417A" w14:textId="185BE3E1" w:rsidR="001D7169" w:rsidRPr="000564EB" w:rsidRDefault="001D7169" w:rsidP="00605675">
      <w:pPr>
        <w:ind w:left="360"/>
        <w:rPr>
          <w:rFonts w:cs="Arial"/>
          <w:b/>
          <w:szCs w:val="24"/>
        </w:rPr>
      </w:pPr>
      <w:r w:rsidRPr="000564EB">
        <w:rPr>
          <w:rFonts w:cs="Arial"/>
          <w:b/>
          <w:szCs w:val="24"/>
        </w:rPr>
        <w:t>Bereavement</w:t>
      </w:r>
      <w:r w:rsidR="00B5684F">
        <w:rPr>
          <w:rFonts w:cs="Arial"/>
          <w:b/>
          <w:szCs w:val="24"/>
        </w:rPr>
        <w:t xml:space="preserve"> cases</w:t>
      </w:r>
    </w:p>
    <w:p w14:paraId="2923DEA2" w14:textId="77777777" w:rsidR="001D7169" w:rsidRPr="000564EB" w:rsidRDefault="001D7169" w:rsidP="001D7169">
      <w:pPr>
        <w:rPr>
          <w:rFonts w:cs="Arial"/>
          <w:szCs w:val="24"/>
        </w:rPr>
      </w:pPr>
    </w:p>
    <w:p w14:paraId="594070DB" w14:textId="1EF6D9D8" w:rsidR="00B5684F" w:rsidRPr="000564EB" w:rsidRDefault="00D575DF" w:rsidP="00B176EB">
      <w:pPr>
        <w:pStyle w:val="ListParagraph"/>
        <w:numPr>
          <w:ilvl w:val="0"/>
          <w:numId w:val="6"/>
        </w:numPr>
        <w:ind w:left="284" w:hanging="426"/>
        <w:rPr>
          <w:rFonts w:cs="Arial"/>
          <w:szCs w:val="24"/>
        </w:rPr>
      </w:pPr>
      <w:r w:rsidRPr="000564EB">
        <w:rPr>
          <w:rFonts w:cs="Arial"/>
          <w:szCs w:val="24"/>
        </w:rPr>
        <w:t xml:space="preserve">We are pleased to confirm that the Bereavement Recovery Plan </w:t>
      </w:r>
      <w:r w:rsidR="00220846" w:rsidRPr="000564EB">
        <w:rPr>
          <w:rFonts w:cs="Arial"/>
          <w:szCs w:val="24"/>
        </w:rPr>
        <w:t>with respect to pre</w:t>
      </w:r>
      <w:r w:rsidR="000E3341">
        <w:rPr>
          <w:rFonts w:cs="Arial"/>
          <w:szCs w:val="24"/>
        </w:rPr>
        <w:t>-</w:t>
      </w:r>
      <w:r w:rsidR="00220846" w:rsidRPr="000564EB">
        <w:rPr>
          <w:rFonts w:cs="Arial"/>
          <w:szCs w:val="24"/>
        </w:rPr>
        <w:t xml:space="preserve">2017 death cases has been completed.  </w:t>
      </w:r>
      <w:r w:rsidR="00B5684F" w:rsidRPr="000564EB">
        <w:rPr>
          <w:rFonts w:cs="Arial"/>
          <w:szCs w:val="24"/>
        </w:rPr>
        <w:t xml:space="preserve">As these </w:t>
      </w:r>
      <w:r w:rsidR="00B5684F">
        <w:rPr>
          <w:rFonts w:cs="Arial"/>
          <w:szCs w:val="24"/>
        </w:rPr>
        <w:t>cases</w:t>
      </w:r>
      <w:r w:rsidR="00DB4A1B">
        <w:rPr>
          <w:rFonts w:cs="Arial"/>
          <w:szCs w:val="24"/>
        </w:rPr>
        <w:t xml:space="preserve"> have </w:t>
      </w:r>
      <w:r w:rsidR="00B5684F" w:rsidRPr="000564EB">
        <w:rPr>
          <w:rFonts w:cs="Arial"/>
          <w:szCs w:val="24"/>
        </w:rPr>
        <w:t xml:space="preserve">been </w:t>
      </w:r>
      <w:r w:rsidR="00B5684F">
        <w:rPr>
          <w:rFonts w:cs="Arial"/>
          <w:szCs w:val="24"/>
        </w:rPr>
        <w:t>actioned/</w:t>
      </w:r>
      <w:r w:rsidR="00B5684F" w:rsidRPr="000564EB">
        <w:rPr>
          <w:rFonts w:cs="Arial"/>
          <w:szCs w:val="24"/>
        </w:rPr>
        <w:t xml:space="preserve">closed in </w:t>
      </w:r>
      <w:r w:rsidR="00B5684F">
        <w:rPr>
          <w:rFonts w:cs="Arial"/>
          <w:szCs w:val="24"/>
        </w:rPr>
        <w:t xml:space="preserve">this </w:t>
      </w:r>
      <w:r w:rsidR="00B5684F" w:rsidRPr="000564EB">
        <w:rPr>
          <w:rFonts w:cs="Arial"/>
          <w:szCs w:val="24"/>
        </w:rPr>
        <w:t xml:space="preserve">period </w:t>
      </w:r>
      <w:r w:rsidR="00B5684F">
        <w:rPr>
          <w:rFonts w:cs="Arial"/>
          <w:szCs w:val="24"/>
        </w:rPr>
        <w:t xml:space="preserve">(and after the period in which they were </w:t>
      </w:r>
      <w:r w:rsidR="006F1189">
        <w:rPr>
          <w:rFonts w:cs="Arial"/>
          <w:szCs w:val="24"/>
        </w:rPr>
        <w:t>received),</w:t>
      </w:r>
      <w:r w:rsidR="00B5684F">
        <w:rPr>
          <w:rFonts w:cs="Arial"/>
          <w:szCs w:val="24"/>
        </w:rPr>
        <w:t xml:space="preserve"> </w:t>
      </w:r>
      <w:r w:rsidR="00B5684F" w:rsidRPr="000564EB">
        <w:rPr>
          <w:rFonts w:cs="Arial"/>
          <w:szCs w:val="24"/>
        </w:rPr>
        <w:t>the</w:t>
      </w:r>
      <w:r w:rsidR="00DB4A1B">
        <w:rPr>
          <w:rFonts w:cs="Arial"/>
          <w:szCs w:val="24"/>
        </w:rPr>
        <w:t xml:space="preserve">y </w:t>
      </w:r>
      <w:r w:rsidR="00B5684F" w:rsidRPr="000564EB">
        <w:rPr>
          <w:rFonts w:cs="Arial"/>
          <w:szCs w:val="24"/>
        </w:rPr>
        <w:t>adversely affect SLA perf</w:t>
      </w:r>
      <w:r w:rsidR="00DB4A1B">
        <w:rPr>
          <w:rFonts w:cs="Arial"/>
          <w:szCs w:val="24"/>
        </w:rPr>
        <w:t>o</w:t>
      </w:r>
      <w:r w:rsidR="00B5684F" w:rsidRPr="000564EB">
        <w:rPr>
          <w:rFonts w:cs="Arial"/>
          <w:szCs w:val="24"/>
        </w:rPr>
        <w:t>rmance</w:t>
      </w:r>
      <w:r w:rsidR="00DB4A1B">
        <w:rPr>
          <w:rFonts w:cs="Arial"/>
          <w:szCs w:val="24"/>
        </w:rPr>
        <w:t xml:space="preserve"> for this period</w:t>
      </w:r>
      <w:r w:rsidR="00B5684F" w:rsidRPr="000564EB">
        <w:rPr>
          <w:rFonts w:cs="Arial"/>
          <w:szCs w:val="24"/>
        </w:rPr>
        <w:t>. TP.1.038 issue refers.</w:t>
      </w:r>
    </w:p>
    <w:p w14:paraId="5F23A324" w14:textId="77777777" w:rsidR="00220846" w:rsidRPr="000564EB" w:rsidRDefault="00220846" w:rsidP="00220846">
      <w:pPr>
        <w:pStyle w:val="ListParagraph"/>
        <w:rPr>
          <w:rFonts w:cs="Arial"/>
          <w:szCs w:val="24"/>
        </w:rPr>
      </w:pPr>
    </w:p>
    <w:p w14:paraId="20CEB4E2" w14:textId="2ACA8AEE" w:rsidR="00B5684F" w:rsidRDefault="00B5684F" w:rsidP="00B176EB">
      <w:pPr>
        <w:pStyle w:val="ListParagraph"/>
        <w:numPr>
          <w:ilvl w:val="0"/>
          <w:numId w:val="6"/>
        </w:numPr>
        <w:ind w:left="284"/>
        <w:rPr>
          <w:rFonts w:cs="Arial"/>
          <w:szCs w:val="24"/>
        </w:rPr>
      </w:pPr>
      <w:r>
        <w:rPr>
          <w:rFonts w:cs="Arial"/>
          <w:szCs w:val="24"/>
        </w:rPr>
        <w:t>Only cases which require further information are now outstanding and</w:t>
      </w:r>
      <w:r w:rsidR="007B1116">
        <w:rPr>
          <w:rFonts w:cs="Arial"/>
          <w:szCs w:val="24"/>
        </w:rPr>
        <w:t>,</w:t>
      </w:r>
      <w:r>
        <w:rPr>
          <w:rFonts w:cs="Arial"/>
          <w:szCs w:val="24"/>
        </w:rPr>
        <w:t xml:space="preserve"> </w:t>
      </w:r>
      <w:r w:rsidR="004E3891" w:rsidRPr="000564EB">
        <w:rPr>
          <w:rFonts w:cs="Arial"/>
          <w:szCs w:val="24"/>
        </w:rPr>
        <w:t>f</w:t>
      </w:r>
      <w:r w:rsidR="00D575DF" w:rsidRPr="000564EB">
        <w:rPr>
          <w:rFonts w:cs="Arial"/>
          <w:szCs w:val="24"/>
        </w:rPr>
        <w:t xml:space="preserve">or </w:t>
      </w:r>
      <w:r w:rsidR="00220846" w:rsidRPr="000564EB">
        <w:rPr>
          <w:rFonts w:cs="Arial"/>
          <w:szCs w:val="24"/>
        </w:rPr>
        <w:t xml:space="preserve">all </w:t>
      </w:r>
      <w:r w:rsidR="00D575DF" w:rsidRPr="000564EB">
        <w:rPr>
          <w:rFonts w:cs="Arial"/>
          <w:szCs w:val="24"/>
        </w:rPr>
        <w:t>these cases</w:t>
      </w:r>
      <w:r w:rsidR="00220846" w:rsidRPr="000564EB">
        <w:rPr>
          <w:rFonts w:cs="Arial"/>
          <w:szCs w:val="24"/>
        </w:rPr>
        <w:t xml:space="preserve">, a full review has been </w:t>
      </w:r>
      <w:r w:rsidR="00D575DF" w:rsidRPr="000564EB">
        <w:rPr>
          <w:rFonts w:cs="Arial"/>
          <w:szCs w:val="24"/>
        </w:rPr>
        <w:t>conducted to understand the information required, the length of time the information has been outstanding and the reminder actions which have been taken.</w:t>
      </w:r>
      <w:r w:rsidR="00DB4A1B">
        <w:rPr>
          <w:rFonts w:cs="Arial"/>
          <w:szCs w:val="24"/>
        </w:rPr>
        <w:t xml:space="preserve">  This will prompt further action to seek out the information required.</w:t>
      </w:r>
      <w:r w:rsidR="00D575DF" w:rsidRPr="000564EB">
        <w:rPr>
          <w:rFonts w:cs="Arial"/>
          <w:szCs w:val="24"/>
        </w:rPr>
        <w:t xml:space="preserve"> </w:t>
      </w:r>
    </w:p>
    <w:p w14:paraId="002D4D2D" w14:textId="77777777" w:rsidR="00B5684F" w:rsidRPr="00B5684F" w:rsidRDefault="00B5684F" w:rsidP="00B176EB">
      <w:pPr>
        <w:pStyle w:val="ListParagraph"/>
        <w:ind w:left="284" w:hanging="360"/>
        <w:rPr>
          <w:rFonts w:cs="Arial"/>
          <w:szCs w:val="24"/>
        </w:rPr>
      </w:pPr>
    </w:p>
    <w:p w14:paraId="5279CEBE" w14:textId="0A45A779" w:rsidR="00480D09" w:rsidRPr="000564EB" w:rsidRDefault="00C36D43" w:rsidP="008474A5">
      <w:pPr>
        <w:pStyle w:val="ListParagraph"/>
        <w:numPr>
          <w:ilvl w:val="0"/>
          <w:numId w:val="6"/>
        </w:numPr>
        <w:ind w:left="284" w:hanging="426"/>
        <w:rPr>
          <w:rFonts w:cs="Arial"/>
          <w:szCs w:val="24"/>
        </w:rPr>
      </w:pPr>
      <w:r w:rsidRPr="000564EB">
        <w:rPr>
          <w:rFonts w:cs="Arial"/>
          <w:szCs w:val="24"/>
        </w:rPr>
        <w:t xml:space="preserve">The </w:t>
      </w:r>
      <w:r w:rsidR="00DB4A1B">
        <w:rPr>
          <w:rFonts w:cs="Arial"/>
          <w:szCs w:val="24"/>
        </w:rPr>
        <w:t xml:space="preserve">moves taken recently to measure definitive elements of performance within this </w:t>
      </w:r>
      <w:r w:rsidR="00DB4A1B" w:rsidRPr="000564EB">
        <w:rPr>
          <w:rFonts w:cs="Arial"/>
          <w:szCs w:val="24"/>
        </w:rPr>
        <w:t xml:space="preserve">SLA </w:t>
      </w:r>
      <w:r w:rsidR="00DB4A1B">
        <w:rPr>
          <w:rFonts w:cs="Arial"/>
          <w:szCs w:val="24"/>
        </w:rPr>
        <w:t>(S</w:t>
      </w:r>
      <w:r w:rsidRPr="000564EB">
        <w:rPr>
          <w:rFonts w:cs="Arial"/>
          <w:szCs w:val="24"/>
        </w:rPr>
        <w:t>LA 4)</w:t>
      </w:r>
      <w:r w:rsidR="00F5344B" w:rsidRPr="000564EB">
        <w:rPr>
          <w:rFonts w:cs="Arial"/>
          <w:szCs w:val="24"/>
        </w:rPr>
        <w:t xml:space="preserve"> </w:t>
      </w:r>
      <w:r w:rsidR="008735B7" w:rsidRPr="000564EB">
        <w:rPr>
          <w:rFonts w:cs="Arial"/>
          <w:szCs w:val="24"/>
        </w:rPr>
        <w:t xml:space="preserve">is </w:t>
      </w:r>
      <w:r w:rsidR="00DB4A1B">
        <w:rPr>
          <w:rFonts w:cs="Arial"/>
          <w:szCs w:val="24"/>
        </w:rPr>
        <w:t xml:space="preserve">aimed at ensuring there is a clear view of what is a </w:t>
      </w:r>
      <w:r w:rsidR="008735B7" w:rsidRPr="000564EB">
        <w:rPr>
          <w:rFonts w:cs="Arial"/>
          <w:szCs w:val="24"/>
        </w:rPr>
        <w:t>good standard of service</w:t>
      </w:r>
      <w:r w:rsidR="00DB4A1B">
        <w:rPr>
          <w:rFonts w:cs="Arial"/>
          <w:szCs w:val="24"/>
        </w:rPr>
        <w:t xml:space="preserve"> and we measure achievement against that.  The measures are:-</w:t>
      </w:r>
      <w:r w:rsidR="008735B7" w:rsidRPr="000564EB">
        <w:rPr>
          <w:rFonts w:cs="Arial"/>
          <w:szCs w:val="24"/>
        </w:rPr>
        <w:t xml:space="preserve"> </w:t>
      </w:r>
      <w:r w:rsidR="00093AF5" w:rsidRPr="000564EB">
        <w:rPr>
          <w:rFonts w:cs="Arial"/>
          <w:szCs w:val="24"/>
        </w:rPr>
        <w:t xml:space="preserve"> </w:t>
      </w:r>
    </w:p>
    <w:p w14:paraId="25FD23FE" w14:textId="77777777" w:rsidR="008735B7" w:rsidRPr="000564EB" w:rsidRDefault="008735B7" w:rsidP="00B176EB">
      <w:pPr>
        <w:pStyle w:val="ListParagraph"/>
        <w:numPr>
          <w:ilvl w:val="0"/>
          <w:numId w:val="7"/>
        </w:numPr>
        <w:ind w:left="1134" w:hanging="283"/>
        <w:rPr>
          <w:rFonts w:cs="Arial"/>
          <w:szCs w:val="24"/>
        </w:rPr>
      </w:pPr>
      <w:r w:rsidRPr="000564EB">
        <w:rPr>
          <w:rFonts w:cs="Arial"/>
          <w:szCs w:val="24"/>
        </w:rPr>
        <w:t xml:space="preserve">4a:  Death/Ill Health – initial contact/assessment of benefit:  100% within 3 Working Days of receipt of the application form.  </w:t>
      </w:r>
    </w:p>
    <w:p w14:paraId="7B5AA05C" w14:textId="77777777" w:rsidR="008735B7" w:rsidRPr="000564EB" w:rsidRDefault="008735B7" w:rsidP="00B176EB">
      <w:pPr>
        <w:pStyle w:val="ListParagraph"/>
        <w:numPr>
          <w:ilvl w:val="0"/>
          <w:numId w:val="7"/>
        </w:numPr>
        <w:ind w:left="1134" w:hanging="283"/>
        <w:rPr>
          <w:rFonts w:cs="Arial"/>
          <w:szCs w:val="24"/>
        </w:rPr>
      </w:pPr>
      <w:r w:rsidRPr="000564EB">
        <w:rPr>
          <w:rFonts w:cs="Arial"/>
          <w:szCs w:val="24"/>
        </w:rPr>
        <w:t>4b:  Death/Ill Health benefit payments (continuing entitlement):  Ill Health/Death cases with a continuing entitlement - 100% within 7 Working Days of receipt of the completed application form.</w:t>
      </w:r>
    </w:p>
    <w:p w14:paraId="5EC6E880" w14:textId="77777777" w:rsidR="00147131" w:rsidRPr="000564EB" w:rsidRDefault="008735B7" w:rsidP="00B176EB">
      <w:pPr>
        <w:pStyle w:val="ListParagraph"/>
        <w:numPr>
          <w:ilvl w:val="0"/>
          <w:numId w:val="7"/>
        </w:numPr>
        <w:ind w:left="1134" w:hanging="283"/>
        <w:rPr>
          <w:rFonts w:cs="Arial"/>
          <w:szCs w:val="24"/>
        </w:rPr>
      </w:pPr>
      <w:r w:rsidRPr="000564EB">
        <w:rPr>
          <w:rFonts w:cs="Arial"/>
          <w:szCs w:val="24"/>
        </w:rPr>
        <w:t xml:space="preserve">4c:  Death/Ill Health benefit payments (no continuing entitlement):  Member Death/Ill Health no continuing entitlement - 100% within 10 Working Days of receipt of the completed application form.  </w:t>
      </w:r>
    </w:p>
    <w:p w14:paraId="603F9F7D" w14:textId="77777777" w:rsidR="006B758F" w:rsidRDefault="006B758F" w:rsidP="00B176EB">
      <w:pPr>
        <w:ind w:left="1134" w:hanging="283"/>
        <w:rPr>
          <w:rFonts w:cs="Arial"/>
          <w:b/>
          <w:szCs w:val="24"/>
        </w:rPr>
      </w:pPr>
    </w:p>
    <w:p w14:paraId="3A6B747C" w14:textId="4893D636" w:rsidR="006B758F" w:rsidRDefault="006B758F" w:rsidP="006B758F">
      <w:pPr>
        <w:ind w:left="360"/>
        <w:rPr>
          <w:rFonts w:cs="Arial"/>
          <w:b/>
          <w:szCs w:val="24"/>
        </w:rPr>
      </w:pPr>
      <w:r w:rsidRPr="000564EB">
        <w:rPr>
          <w:rFonts w:cs="Arial"/>
          <w:b/>
          <w:szCs w:val="24"/>
        </w:rPr>
        <w:t xml:space="preserve">Impact of increase in </w:t>
      </w:r>
      <w:r>
        <w:rPr>
          <w:rFonts w:cs="Arial"/>
          <w:b/>
          <w:szCs w:val="24"/>
        </w:rPr>
        <w:t>members</w:t>
      </w:r>
    </w:p>
    <w:p w14:paraId="6A8DA929" w14:textId="77777777" w:rsidR="006B758F" w:rsidRPr="000564EB" w:rsidRDefault="006B758F" w:rsidP="006B758F">
      <w:pPr>
        <w:ind w:left="360"/>
        <w:rPr>
          <w:rFonts w:cs="Arial"/>
          <w:szCs w:val="24"/>
        </w:rPr>
      </w:pPr>
    </w:p>
    <w:p w14:paraId="0328FA72" w14:textId="4092DCA3" w:rsidR="00D5347A" w:rsidRPr="00D5347A" w:rsidRDefault="006B758F" w:rsidP="001F55A6">
      <w:pPr>
        <w:pStyle w:val="ListParagraph"/>
        <w:numPr>
          <w:ilvl w:val="0"/>
          <w:numId w:val="6"/>
        </w:numPr>
        <w:ind w:left="284" w:hanging="426"/>
        <w:rPr>
          <w:rFonts w:cs="Arial"/>
          <w:szCs w:val="24"/>
        </w:rPr>
      </w:pPr>
      <w:r w:rsidRPr="00D5347A">
        <w:rPr>
          <w:rFonts w:cs="Arial"/>
          <w:szCs w:val="24"/>
        </w:rPr>
        <w:t xml:space="preserve">There has been an increase in the number of members over the life of the contract, particularly in deferred and pensioner members, which has impacted on the amount of administration activity involved in delivering the service.  DfE has recognised that a contractual trigger has been reached in relation to the increase in member numbers and a commercial proposal is with DfE for consideration (Issue TP.I.0037 refers).  </w:t>
      </w:r>
      <w:r w:rsidR="00D5347A">
        <w:rPr>
          <w:rFonts w:cs="Arial"/>
          <w:szCs w:val="24"/>
        </w:rPr>
        <w:t>Annex 1 provides member data.</w:t>
      </w:r>
    </w:p>
    <w:p w14:paraId="5D0D0440" w14:textId="77777777" w:rsidR="006B758F" w:rsidRPr="000564EB" w:rsidRDefault="006B758F" w:rsidP="006B758F">
      <w:pPr>
        <w:ind w:left="360"/>
        <w:rPr>
          <w:rFonts w:cs="Arial"/>
          <w:szCs w:val="24"/>
        </w:rPr>
      </w:pPr>
    </w:p>
    <w:p w14:paraId="5768E1A4" w14:textId="5C68C00F" w:rsidR="006B758F" w:rsidRDefault="006B758F" w:rsidP="00B176EB">
      <w:pPr>
        <w:pStyle w:val="ListParagraph"/>
        <w:numPr>
          <w:ilvl w:val="0"/>
          <w:numId w:val="6"/>
        </w:numPr>
        <w:ind w:left="284" w:hanging="426"/>
        <w:rPr>
          <w:rFonts w:cs="Arial"/>
          <w:szCs w:val="24"/>
        </w:rPr>
      </w:pPr>
      <w:r>
        <w:rPr>
          <w:rFonts w:cs="Arial"/>
          <w:szCs w:val="24"/>
        </w:rPr>
        <w:t>We are working to address the issues that are holding up clearance of this proposal</w:t>
      </w:r>
      <w:r w:rsidR="009110CC">
        <w:rPr>
          <w:rFonts w:cs="Arial"/>
          <w:szCs w:val="24"/>
        </w:rPr>
        <w:t>.  I</w:t>
      </w:r>
      <w:r>
        <w:rPr>
          <w:rFonts w:cs="Arial"/>
          <w:szCs w:val="24"/>
        </w:rPr>
        <w:t>n the meantime</w:t>
      </w:r>
      <w:r w:rsidR="009110CC">
        <w:rPr>
          <w:rFonts w:cs="Arial"/>
          <w:szCs w:val="24"/>
        </w:rPr>
        <w:t xml:space="preserve">, </w:t>
      </w:r>
      <w:r>
        <w:rPr>
          <w:rFonts w:cs="Arial"/>
          <w:szCs w:val="24"/>
        </w:rPr>
        <w:t>DfE continue to work with TP to ensure issues are being addressed effectively and existing resources used to best effect.</w:t>
      </w:r>
      <w:r w:rsidRPr="000564EB">
        <w:rPr>
          <w:rFonts w:cs="Arial"/>
          <w:szCs w:val="24"/>
        </w:rPr>
        <w:t xml:space="preserve"> </w:t>
      </w:r>
    </w:p>
    <w:p w14:paraId="399CE953" w14:textId="20A76E1E" w:rsidR="009110CC" w:rsidRPr="009110CC" w:rsidRDefault="009110CC" w:rsidP="009110CC">
      <w:pPr>
        <w:rPr>
          <w:rFonts w:cs="Arial"/>
          <w:szCs w:val="24"/>
        </w:rPr>
      </w:pPr>
    </w:p>
    <w:tbl>
      <w:tblPr>
        <w:tblStyle w:val="TableGrid"/>
        <w:tblW w:w="0" w:type="auto"/>
        <w:tblInd w:w="108" w:type="dxa"/>
        <w:tblLook w:val="04A0" w:firstRow="1" w:lastRow="0" w:firstColumn="1" w:lastColumn="0" w:noHBand="0" w:noVBand="1"/>
      </w:tblPr>
      <w:tblGrid>
        <w:gridCol w:w="7230"/>
        <w:gridCol w:w="1134"/>
      </w:tblGrid>
      <w:tr w:rsidR="00EE1811" w:rsidRPr="000564EB" w14:paraId="5BD5D288" w14:textId="77777777" w:rsidTr="00EE5999">
        <w:tc>
          <w:tcPr>
            <w:tcW w:w="7230" w:type="dxa"/>
            <w:tcBorders>
              <w:top w:val="single" w:sz="4" w:space="0" w:color="auto"/>
              <w:left w:val="single" w:sz="4" w:space="0" w:color="auto"/>
              <w:bottom w:val="single" w:sz="4" w:space="0" w:color="auto"/>
              <w:right w:val="single" w:sz="4" w:space="0" w:color="auto"/>
            </w:tcBorders>
            <w:shd w:val="clear" w:color="auto" w:fill="auto"/>
          </w:tcPr>
          <w:p w14:paraId="12BCE724" w14:textId="77777777" w:rsidR="00EE1811" w:rsidRPr="000564EB" w:rsidRDefault="00F70C7F" w:rsidP="00EE1811">
            <w:pPr>
              <w:rPr>
                <w:rFonts w:cs="Arial"/>
                <w:b/>
                <w:szCs w:val="24"/>
              </w:rPr>
            </w:pPr>
            <w:r w:rsidRPr="000564EB">
              <w:rPr>
                <w:rFonts w:cs="Arial"/>
                <w:b/>
                <w:color w:val="000000"/>
                <w:szCs w:val="24"/>
                <w:lang w:eastAsia="en-GB"/>
              </w:rPr>
              <w:t>Outcome measures</w:t>
            </w:r>
            <w:r w:rsidR="008E2C4A" w:rsidRPr="000564EB">
              <w:rPr>
                <w:rFonts w:cs="Arial"/>
                <w:b/>
                <w:color w:val="000000"/>
                <w:szCs w:val="24"/>
                <w:lang w:eastAsia="en-GB"/>
              </w:rPr>
              <w:t xml:space="preserve"> </w:t>
            </w:r>
          </w:p>
          <w:p w14:paraId="73FC18AE" w14:textId="77777777" w:rsidR="00EE1811" w:rsidRPr="000564EB" w:rsidRDefault="00EE1811" w:rsidP="00EE1811">
            <w:pPr>
              <w:rPr>
                <w:rFonts w:cs="Arial"/>
                <w:b/>
                <w:szCs w:val="24"/>
              </w:rPr>
            </w:pPr>
          </w:p>
        </w:tc>
        <w:tc>
          <w:tcPr>
            <w:tcW w:w="1134" w:type="dxa"/>
            <w:tcBorders>
              <w:left w:val="single" w:sz="4" w:space="0" w:color="auto"/>
            </w:tcBorders>
            <w:shd w:val="clear" w:color="auto" w:fill="00B050"/>
          </w:tcPr>
          <w:p w14:paraId="294BCBCA" w14:textId="77777777" w:rsidR="00EE1811" w:rsidRPr="000564EB" w:rsidRDefault="00EE1811" w:rsidP="00EE1811">
            <w:pPr>
              <w:rPr>
                <w:rFonts w:cs="Arial"/>
                <w:color w:val="FFC000"/>
                <w:szCs w:val="24"/>
              </w:rPr>
            </w:pPr>
            <w:r w:rsidRPr="000564EB">
              <w:rPr>
                <w:rFonts w:cs="Arial"/>
                <w:noProof/>
                <w:color w:val="00B050"/>
                <w:szCs w:val="24"/>
                <w:lang w:eastAsia="en-GB"/>
              </w:rPr>
              <mc:AlternateContent>
                <mc:Choice Requires="wps">
                  <w:drawing>
                    <wp:anchor distT="0" distB="0" distL="114300" distR="114300" simplePos="0" relativeHeight="251627008" behindDoc="0" locked="0" layoutInCell="1" allowOverlap="1" wp14:anchorId="114EC220" wp14:editId="1579EE04">
                      <wp:simplePos x="0" y="0"/>
                      <wp:positionH relativeFrom="column">
                        <wp:posOffset>87630</wp:posOffset>
                      </wp:positionH>
                      <wp:positionV relativeFrom="paragraph">
                        <wp:posOffset>175895</wp:posOffset>
                      </wp:positionV>
                      <wp:extent cx="350520" cy="0"/>
                      <wp:effectExtent l="0" t="76200" r="30480" b="152400"/>
                      <wp:wrapNone/>
                      <wp:docPr id="5" name="Straight Arrow Connector 5"/>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E44EAAA" id="Straight Arrow Connector 5" o:spid="_x0000_s1026" type="#_x0000_t32" style="position:absolute;margin-left:6.9pt;margin-top:13.85pt;width:27.6pt;height:0;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" strokecolor="windowText" strokeweight="2pt">
                      <v:stroke endarrow="open"/>
                      <v:shadow on="t" color="black" opacity="24903f" origin=",.5" offset="0,.55556mm"/>
                    </v:shape>
                  </w:pict>
                </mc:Fallback>
              </mc:AlternateContent>
            </w:r>
          </w:p>
        </w:tc>
      </w:tr>
    </w:tbl>
    <w:p w14:paraId="34FA968E" w14:textId="77777777" w:rsidR="00EE1811" w:rsidRPr="000564EB" w:rsidRDefault="00EE1811" w:rsidP="00EE1811">
      <w:pPr>
        <w:rPr>
          <w:rFonts w:cs="Arial"/>
          <w:szCs w:val="24"/>
        </w:rPr>
      </w:pPr>
    </w:p>
    <w:p w14:paraId="0C6E95B0" w14:textId="77777777" w:rsidR="00484328" w:rsidRPr="000564EB" w:rsidRDefault="00EE1811" w:rsidP="00B176EB">
      <w:pPr>
        <w:pStyle w:val="ListParagraph"/>
        <w:numPr>
          <w:ilvl w:val="0"/>
          <w:numId w:val="6"/>
        </w:numPr>
        <w:ind w:left="284" w:hanging="426"/>
        <w:rPr>
          <w:rFonts w:cs="Arial"/>
          <w:b/>
          <w:szCs w:val="24"/>
        </w:rPr>
      </w:pPr>
      <w:r w:rsidRPr="000564EB">
        <w:rPr>
          <w:rFonts w:cs="Arial"/>
          <w:szCs w:val="24"/>
        </w:rPr>
        <w:t xml:space="preserve">In the period, </w:t>
      </w:r>
      <w:r w:rsidR="00487A46" w:rsidRPr="000564EB">
        <w:rPr>
          <w:rFonts w:cs="Arial"/>
          <w:szCs w:val="24"/>
        </w:rPr>
        <w:t>26,406</w:t>
      </w:r>
      <w:r w:rsidRPr="000564EB">
        <w:rPr>
          <w:rFonts w:cs="Arial"/>
          <w:szCs w:val="24"/>
        </w:rPr>
        <w:t xml:space="preserve"> items of feedback were received from members and </w:t>
      </w:r>
      <w:r w:rsidR="00487A46" w:rsidRPr="000564EB">
        <w:rPr>
          <w:rFonts w:cs="Arial"/>
          <w:szCs w:val="24"/>
        </w:rPr>
        <w:t xml:space="preserve">1,147 </w:t>
      </w:r>
      <w:r w:rsidRPr="000564EB">
        <w:rPr>
          <w:rFonts w:cs="Arial"/>
          <w:szCs w:val="24"/>
        </w:rPr>
        <w:t xml:space="preserve">items of feedback were received from employers.  </w:t>
      </w:r>
    </w:p>
    <w:p w14:paraId="09713B16" w14:textId="77777777" w:rsidR="00487A46" w:rsidRPr="000564EB" w:rsidRDefault="00487A46" w:rsidP="00487A46">
      <w:pPr>
        <w:pStyle w:val="ListParagraph"/>
        <w:rPr>
          <w:rFonts w:cs="Arial"/>
          <w:b/>
          <w:szCs w:val="24"/>
        </w:rPr>
      </w:pPr>
    </w:p>
    <w:p w14:paraId="57F46CAB" w14:textId="227509A7" w:rsidR="00653E52" w:rsidRDefault="006B758F" w:rsidP="009110CC">
      <w:pPr>
        <w:pStyle w:val="ListParagraph"/>
        <w:numPr>
          <w:ilvl w:val="0"/>
          <w:numId w:val="6"/>
        </w:numPr>
        <w:ind w:left="284" w:hanging="426"/>
        <w:rPr>
          <w:rFonts w:cs="Arial"/>
          <w:szCs w:val="24"/>
        </w:rPr>
      </w:pPr>
      <w:r>
        <w:rPr>
          <w:rFonts w:cs="Arial"/>
          <w:szCs w:val="24"/>
        </w:rPr>
        <w:t xml:space="preserve">Achievement against targets are set out in the table below and </w:t>
      </w:r>
      <w:r w:rsidR="00EB352A">
        <w:rPr>
          <w:rFonts w:cs="Arial"/>
          <w:szCs w:val="24"/>
        </w:rPr>
        <w:t>h</w:t>
      </w:r>
      <w:r>
        <w:rPr>
          <w:rFonts w:cs="Arial"/>
          <w:szCs w:val="24"/>
        </w:rPr>
        <w:t xml:space="preserve">as </w:t>
      </w:r>
      <w:r w:rsidR="00EB352A">
        <w:rPr>
          <w:rFonts w:cs="Arial"/>
          <w:szCs w:val="24"/>
        </w:rPr>
        <w:t xml:space="preserve">been </w:t>
      </w:r>
      <w:r>
        <w:rPr>
          <w:rFonts w:cs="Arial"/>
          <w:szCs w:val="24"/>
        </w:rPr>
        <w:t>good</w:t>
      </w:r>
      <w:r w:rsidR="00EB352A" w:rsidRPr="00EB352A">
        <w:rPr>
          <w:rFonts w:cs="Arial"/>
          <w:szCs w:val="24"/>
        </w:rPr>
        <w:t xml:space="preserve"> </w:t>
      </w:r>
      <w:r w:rsidR="00EB352A">
        <w:rPr>
          <w:rFonts w:cs="Arial"/>
          <w:szCs w:val="24"/>
        </w:rPr>
        <w:t>generally</w:t>
      </w:r>
      <w:r>
        <w:rPr>
          <w:rFonts w:cs="Arial"/>
          <w:szCs w:val="24"/>
        </w:rPr>
        <w:t xml:space="preserve">.  However, it is clear that </w:t>
      </w:r>
      <w:r w:rsidR="00284D04" w:rsidRPr="000564EB">
        <w:rPr>
          <w:rFonts w:cs="Arial"/>
          <w:szCs w:val="24"/>
        </w:rPr>
        <w:t>TP will not achieve</w:t>
      </w:r>
      <w:r w:rsidR="006A7991" w:rsidRPr="000564EB">
        <w:rPr>
          <w:rFonts w:cs="Arial"/>
          <w:szCs w:val="24"/>
        </w:rPr>
        <w:t xml:space="preserve"> OM6</w:t>
      </w:r>
      <w:r w:rsidR="0052341D" w:rsidRPr="000564EB">
        <w:rPr>
          <w:rFonts w:cs="Arial"/>
          <w:szCs w:val="24"/>
        </w:rPr>
        <w:t xml:space="preserve"> (</w:t>
      </w:r>
      <w:r w:rsidR="00284D04" w:rsidRPr="000564EB">
        <w:rPr>
          <w:rFonts w:cs="Arial"/>
          <w:szCs w:val="24"/>
        </w:rPr>
        <w:t>Members who contact the Teachers' Pension Scheme about their pension are satisfied with the timeliness and quality of the response</w:t>
      </w:r>
      <w:r w:rsidR="0052341D" w:rsidRPr="000564EB">
        <w:rPr>
          <w:rFonts w:cs="Arial"/>
          <w:szCs w:val="24"/>
        </w:rPr>
        <w:t>)</w:t>
      </w:r>
      <w:r>
        <w:rPr>
          <w:rFonts w:cs="Arial"/>
          <w:szCs w:val="24"/>
        </w:rPr>
        <w:t xml:space="preserve">. This is due largely to the </w:t>
      </w:r>
      <w:r w:rsidR="006F1189">
        <w:rPr>
          <w:rFonts w:cs="Arial"/>
          <w:szCs w:val="24"/>
        </w:rPr>
        <w:t>build-up</w:t>
      </w:r>
      <w:r>
        <w:rPr>
          <w:rFonts w:cs="Arial"/>
          <w:szCs w:val="24"/>
        </w:rPr>
        <w:t xml:space="preserve"> of cases in some areas</w:t>
      </w:r>
      <w:r w:rsidR="00EB352A">
        <w:rPr>
          <w:rFonts w:cs="Arial"/>
          <w:szCs w:val="24"/>
        </w:rPr>
        <w:t xml:space="preserve"> </w:t>
      </w:r>
      <w:r>
        <w:rPr>
          <w:rFonts w:cs="Arial"/>
          <w:szCs w:val="24"/>
        </w:rPr>
        <w:t xml:space="preserve">which has led </w:t>
      </w:r>
      <w:r w:rsidR="00EB352A">
        <w:rPr>
          <w:rFonts w:cs="Arial"/>
          <w:szCs w:val="24"/>
        </w:rPr>
        <w:t xml:space="preserve">to </w:t>
      </w:r>
      <w:r>
        <w:rPr>
          <w:rFonts w:cs="Arial"/>
          <w:szCs w:val="24"/>
        </w:rPr>
        <w:t xml:space="preserve">lower satisfaction rates.  These areas have/are </w:t>
      </w:r>
      <w:r w:rsidR="00EB352A">
        <w:rPr>
          <w:rFonts w:cs="Arial"/>
          <w:szCs w:val="24"/>
        </w:rPr>
        <w:t>being addressed, as covered above,</w:t>
      </w:r>
      <w:r w:rsidR="009110CC">
        <w:rPr>
          <w:rFonts w:cs="Arial"/>
          <w:szCs w:val="24"/>
        </w:rPr>
        <w:t xml:space="preserve"> but would benefit from </w:t>
      </w:r>
      <w:r w:rsidR="009110CC" w:rsidRPr="000564EB">
        <w:rPr>
          <w:rFonts w:cs="Arial"/>
          <w:szCs w:val="24"/>
        </w:rPr>
        <w:t xml:space="preserve">agreement </w:t>
      </w:r>
      <w:r w:rsidR="009110CC">
        <w:rPr>
          <w:rFonts w:cs="Arial"/>
          <w:szCs w:val="24"/>
        </w:rPr>
        <w:t xml:space="preserve">on the contractual change notice </w:t>
      </w:r>
      <w:r w:rsidR="009110CC" w:rsidRPr="000564EB">
        <w:rPr>
          <w:rFonts w:cs="Arial"/>
          <w:szCs w:val="24"/>
        </w:rPr>
        <w:t xml:space="preserve">on </w:t>
      </w:r>
      <w:r w:rsidR="009110CC">
        <w:rPr>
          <w:rFonts w:cs="Arial"/>
          <w:szCs w:val="24"/>
        </w:rPr>
        <w:t>increased member volume.</w:t>
      </w:r>
    </w:p>
    <w:p w14:paraId="25ACFA14" w14:textId="77777777" w:rsidR="00F31F78" w:rsidRPr="00F31F78" w:rsidRDefault="00F31F78" w:rsidP="00F31F78">
      <w:pPr>
        <w:pStyle w:val="ListParagraph"/>
        <w:rPr>
          <w:rFonts w:cs="Arial"/>
          <w:szCs w:val="24"/>
        </w:rPr>
      </w:pPr>
    </w:p>
    <w:p w14:paraId="7EED7857" w14:textId="6C2FD100" w:rsidR="00F31F78" w:rsidRPr="000564EB" w:rsidRDefault="00F31F78" w:rsidP="00E408FC">
      <w:pPr>
        <w:pStyle w:val="ListParagraph"/>
        <w:numPr>
          <w:ilvl w:val="0"/>
          <w:numId w:val="6"/>
        </w:numPr>
        <w:ind w:left="284" w:hanging="426"/>
        <w:rPr>
          <w:rFonts w:cs="Arial"/>
          <w:szCs w:val="24"/>
        </w:rPr>
      </w:pPr>
      <w:r>
        <w:rPr>
          <w:rFonts w:cs="Arial"/>
          <w:szCs w:val="24"/>
        </w:rPr>
        <w:t>DfE</w:t>
      </w:r>
      <w:r w:rsidRPr="00F31F78">
        <w:rPr>
          <w:rFonts w:cs="Arial"/>
          <w:szCs w:val="24"/>
        </w:rPr>
        <w:t xml:space="preserve"> </w:t>
      </w:r>
      <w:r w:rsidR="000E3341">
        <w:rPr>
          <w:rFonts w:cs="Arial"/>
          <w:szCs w:val="24"/>
        </w:rPr>
        <w:t>has</w:t>
      </w:r>
      <w:r w:rsidRPr="00EB352A">
        <w:rPr>
          <w:rFonts w:cs="Arial"/>
          <w:szCs w:val="24"/>
        </w:rPr>
        <w:t xml:space="preserve"> also taken steps to ensure increased vis</w:t>
      </w:r>
      <w:r w:rsidR="000E3341">
        <w:rPr>
          <w:rFonts w:cs="Arial"/>
          <w:szCs w:val="24"/>
        </w:rPr>
        <w:t>i</w:t>
      </w:r>
      <w:r w:rsidRPr="00EB352A">
        <w:rPr>
          <w:rFonts w:cs="Arial"/>
          <w:szCs w:val="24"/>
        </w:rPr>
        <w:t>bility over performance that impacts this this OM measure, with enhanced reporting of the areas in which build</w:t>
      </w:r>
      <w:r w:rsidR="000E3341">
        <w:rPr>
          <w:rFonts w:cs="Arial"/>
          <w:szCs w:val="24"/>
        </w:rPr>
        <w:t>-</w:t>
      </w:r>
      <w:r w:rsidRPr="00EB352A">
        <w:rPr>
          <w:rFonts w:cs="Arial"/>
          <w:szCs w:val="24"/>
        </w:rPr>
        <w:t xml:space="preserve">ups occurred to identify and manage risks early.  </w:t>
      </w:r>
    </w:p>
    <w:p w14:paraId="0FC01459" w14:textId="77777777" w:rsidR="00EE1811" w:rsidRPr="000564EB" w:rsidRDefault="00EE1811" w:rsidP="00EE1811">
      <w:pPr>
        <w:rPr>
          <w:rFonts w:cs="Arial"/>
          <w:szCs w:val="24"/>
        </w:rPr>
      </w:pPr>
    </w:p>
    <w:tbl>
      <w:tblPr>
        <w:tblStyle w:val="TableGrid"/>
        <w:tblW w:w="0" w:type="auto"/>
        <w:tblLook w:val="04A0" w:firstRow="1" w:lastRow="0" w:firstColumn="1" w:lastColumn="0" w:noHBand="0" w:noVBand="1"/>
      </w:tblPr>
      <w:tblGrid>
        <w:gridCol w:w="1257"/>
        <w:gridCol w:w="3437"/>
        <w:gridCol w:w="1710"/>
        <w:gridCol w:w="1710"/>
        <w:gridCol w:w="926"/>
      </w:tblGrid>
      <w:tr w:rsidR="00EE1811" w:rsidRPr="000564EB" w14:paraId="0E9118E5" w14:textId="77777777" w:rsidTr="00F70C7F">
        <w:tc>
          <w:tcPr>
            <w:tcW w:w="1257" w:type="dxa"/>
          </w:tcPr>
          <w:p w14:paraId="56D94E68" w14:textId="77777777" w:rsidR="00EE1811" w:rsidRPr="000564EB" w:rsidRDefault="00EE1811" w:rsidP="00EE1811">
            <w:pPr>
              <w:rPr>
                <w:rFonts w:cs="Arial"/>
                <w:b/>
                <w:szCs w:val="24"/>
              </w:rPr>
            </w:pPr>
            <w:r w:rsidRPr="000564EB">
              <w:rPr>
                <w:rFonts w:cs="Arial"/>
                <w:b/>
                <w:szCs w:val="24"/>
              </w:rPr>
              <w:t>Outcome Measure</w:t>
            </w:r>
          </w:p>
        </w:tc>
        <w:tc>
          <w:tcPr>
            <w:tcW w:w="3437" w:type="dxa"/>
          </w:tcPr>
          <w:p w14:paraId="69A1CED6" w14:textId="77777777" w:rsidR="00EE1811" w:rsidRPr="000564EB" w:rsidRDefault="00EE1811" w:rsidP="00EE1811">
            <w:pPr>
              <w:rPr>
                <w:rFonts w:cs="Arial"/>
                <w:b/>
                <w:szCs w:val="24"/>
              </w:rPr>
            </w:pPr>
            <w:r w:rsidRPr="000564EB">
              <w:rPr>
                <w:rFonts w:cs="Arial"/>
                <w:b/>
                <w:szCs w:val="24"/>
              </w:rPr>
              <w:t>Description</w:t>
            </w:r>
          </w:p>
        </w:tc>
        <w:tc>
          <w:tcPr>
            <w:tcW w:w="1710" w:type="dxa"/>
          </w:tcPr>
          <w:p w14:paraId="7F88C686" w14:textId="77777777" w:rsidR="00EE1811" w:rsidRPr="000564EB" w:rsidRDefault="00AE3502" w:rsidP="00EE1811">
            <w:pPr>
              <w:rPr>
                <w:rFonts w:cs="Arial"/>
                <w:b/>
                <w:szCs w:val="24"/>
              </w:rPr>
            </w:pPr>
            <w:r w:rsidRPr="000564EB">
              <w:rPr>
                <w:rFonts w:cs="Arial"/>
                <w:b/>
                <w:szCs w:val="24"/>
              </w:rPr>
              <w:t>Achievement in quarter (May to July</w:t>
            </w:r>
            <w:r w:rsidR="00EE1811" w:rsidRPr="000564EB">
              <w:rPr>
                <w:rFonts w:cs="Arial"/>
                <w:b/>
                <w:szCs w:val="24"/>
              </w:rPr>
              <w:t>)</w:t>
            </w:r>
          </w:p>
        </w:tc>
        <w:tc>
          <w:tcPr>
            <w:tcW w:w="1710" w:type="dxa"/>
          </w:tcPr>
          <w:p w14:paraId="3D34FA44" w14:textId="77777777" w:rsidR="00EE1811" w:rsidRPr="000564EB" w:rsidRDefault="00EE1811" w:rsidP="00EE1811">
            <w:pPr>
              <w:rPr>
                <w:rFonts w:cs="Arial"/>
                <w:b/>
                <w:szCs w:val="24"/>
                <w:highlight w:val="yellow"/>
              </w:rPr>
            </w:pPr>
            <w:r w:rsidRPr="000564EB">
              <w:rPr>
                <w:rFonts w:cs="Arial"/>
                <w:b/>
                <w:szCs w:val="24"/>
              </w:rPr>
              <w:t>Achievement Year 7 so far</w:t>
            </w:r>
          </w:p>
        </w:tc>
        <w:tc>
          <w:tcPr>
            <w:tcW w:w="926" w:type="dxa"/>
          </w:tcPr>
          <w:p w14:paraId="3471D8A6" w14:textId="77777777" w:rsidR="00EE1811" w:rsidRPr="000564EB" w:rsidRDefault="00EE1811" w:rsidP="00EE1811">
            <w:pPr>
              <w:rPr>
                <w:rFonts w:cs="Arial"/>
                <w:b/>
                <w:szCs w:val="24"/>
                <w:highlight w:val="yellow"/>
              </w:rPr>
            </w:pPr>
            <w:r w:rsidRPr="000564EB">
              <w:rPr>
                <w:rFonts w:cs="Arial"/>
                <w:b/>
                <w:szCs w:val="24"/>
              </w:rPr>
              <w:t>Year 7 target</w:t>
            </w:r>
          </w:p>
        </w:tc>
      </w:tr>
      <w:tr w:rsidR="00F70C7F" w:rsidRPr="000564EB" w14:paraId="0D7C6290" w14:textId="77777777" w:rsidTr="00F70C7F">
        <w:tc>
          <w:tcPr>
            <w:tcW w:w="1257" w:type="dxa"/>
          </w:tcPr>
          <w:p w14:paraId="6F74D2B2" w14:textId="77777777" w:rsidR="00F70C7F" w:rsidRPr="000564EB" w:rsidRDefault="00F70C7F" w:rsidP="00F70C7F">
            <w:pPr>
              <w:rPr>
                <w:rFonts w:cs="Arial"/>
                <w:szCs w:val="24"/>
              </w:rPr>
            </w:pPr>
            <w:r w:rsidRPr="000564EB">
              <w:rPr>
                <w:rFonts w:cs="Arial"/>
                <w:szCs w:val="24"/>
              </w:rPr>
              <w:t>2</w:t>
            </w:r>
          </w:p>
        </w:tc>
        <w:tc>
          <w:tcPr>
            <w:tcW w:w="3437" w:type="dxa"/>
          </w:tcPr>
          <w:p w14:paraId="6FC3D7C5" w14:textId="77777777" w:rsidR="00F70C7F" w:rsidRPr="000564EB" w:rsidRDefault="00F70C7F" w:rsidP="00F70C7F">
            <w:pPr>
              <w:rPr>
                <w:rFonts w:cs="Arial"/>
                <w:szCs w:val="24"/>
              </w:rPr>
            </w:pPr>
            <w:r w:rsidRPr="000564EB">
              <w:rPr>
                <w:rFonts w:cs="Arial"/>
                <w:szCs w:val="24"/>
              </w:rPr>
              <w:t>Members understand the value of their Teachers’ Pension</w:t>
            </w:r>
          </w:p>
          <w:p w14:paraId="473989FE" w14:textId="77777777" w:rsidR="003465F3" w:rsidRPr="000564EB" w:rsidRDefault="003465F3" w:rsidP="00F70C7F">
            <w:pPr>
              <w:rPr>
                <w:rFonts w:cs="Arial"/>
                <w:b/>
                <w:szCs w:val="24"/>
              </w:rPr>
            </w:pPr>
            <w:r w:rsidRPr="000564EB">
              <w:rPr>
                <w:rFonts w:cs="Arial"/>
                <w:b/>
                <w:szCs w:val="24"/>
              </w:rPr>
              <w:t>Engagement</w:t>
            </w:r>
          </w:p>
        </w:tc>
        <w:tc>
          <w:tcPr>
            <w:tcW w:w="1710" w:type="dxa"/>
          </w:tcPr>
          <w:p w14:paraId="056F9EA2" w14:textId="5C9CE14C" w:rsidR="00F70C7F" w:rsidRPr="000564EB" w:rsidRDefault="00E543DF" w:rsidP="00F70C7F">
            <w:pPr>
              <w:rPr>
                <w:rFonts w:cs="Arial"/>
                <w:szCs w:val="24"/>
              </w:rPr>
            </w:pPr>
            <w:r>
              <w:rPr>
                <w:rFonts w:cs="Arial"/>
                <w:szCs w:val="24"/>
              </w:rPr>
              <w:t>98.04</w:t>
            </w:r>
            <w:r w:rsidR="0024364F" w:rsidRPr="000564EB">
              <w:rPr>
                <w:rFonts w:cs="Arial"/>
                <w:szCs w:val="24"/>
              </w:rPr>
              <w:t>%</w:t>
            </w:r>
          </w:p>
        </w:tc>
        <w:tc>
          <w:tcPr>
            <w:tcW w:w="1710" w:type="dxa"/>
          </w:tcPr>
          <w:p w14:paraId="262559A9" w14:textId="77777777" w:rsidR="00F70C7F" w:rsidRPr="000564EB" w:rsidRDefault="0024364F" w:rsidP="0024364F">
            <w:pPr>
              <w:rPr>
                <w:rFonts w:cs="Arial"/>
                <w:szCs w:val="24"/>
              </w:rPr>
            </w:pPr>
            <w:r w:rsidRPr="000564EB">
              <w:rPr>
                <w:rFonts w:cs="Arial"/>
                <w:szCs w:val="24"/>
              </w:rPr>
              <w:t>98.12%</w:t>
            </w:r>
          </w:p>
        </w:tc>
        <w:tc>
          <w:tcPr>
            <w:tcW w:w="926" w:type="dxa"/>
          </w:tcPr>
          <w:p w14:paraId="01ED73B4" w14:textId="77777777" w:rsidR="00F70C7F" w:rsidRPr="000564EB" w:rsidRDefault="00F70C7F" w:rsidP="00F70C7F">
            <w:pPr>
              <w:rPr>
                <w:rFonts w:cs="Arial"/>
                <w:szCs w:val="24"/>
              </w:rPr>
            </w:pPr>
            <w:r w:rsidRPr="000564EB">
              <w:rPr>
                <w:rFonts w:cs="Arial"/>
                <w:szCs w:val="24"/>
              </w:rPr>
              <w:t>92%</w:t>
            </w:r>
          </w:p>
        </w:tc>
      </w:tr>
      <w:tr w:rsidR="00F70C7F" w:rsidRPr="000564EB" w14:paraId="78053B2C" w14:textId="77777777" w:rsidTr="00F70C7F">
        <w:tc>
          <w:tcPr>
            <w:tcW w:w="1257" w:type="dxa"/>
          </w:tcPr>
          <w:p w14:paraId="77DDDB32" w14:textId="77777777" w:rsidR="00F70C7F" w:rsidRPr="000564EB" w:rsidRDefault="00F70C7F" w:rsidP="00F70C7F">
            <w:pPr>
              <w:rPr>
                <w:rFonts w:cs="Arial"/>
                <w:szCs w:val="24"/>
              </w:rPr>
            </w:pPr>
            <w:r w:rsidRPr="000564EB">
              <w:rPr>
                <w:rFonts w:cs="Arial"/>
                <w:szCs w:val="24"/>
              </w:rPr>
              <w:t>3</w:t>
            </w:r>
          </w:p>
        </w:tc>
        <w:tc>
          <w:tcPr>
            <w:tcW w:w="3437" w:type="dxa"/>
          </w:tcPr>
          <w:p w14:paraId="152EF671" w14:textId="77777777" w:rsidR="00F70C7F" w:rsidRPr="000564EB" w:rsidRDefault="00F70C7F" w:rsidP="00F70C7F">
            <w:pPr>
              <w:rPr>
                <w:rFonts w:cs="Arial"/>
                <w:szCs w:val="24"/>
              </w:rPr>
            </w:pPr>
            <w:r w:rsidRPr="000564EB">
              <w:rPr>
                <w:rFonts w:cs="Arial"/>
                <w:szCs w:val="24"/>
              </w:rPr>
              <w:t>Members are actively planning for their retirement</w:t>
            </w:r>
          </w:p>
          <w:p w14:paraId="45B10878" w14:textId="77777777" w:rsidR="003465F3" w:rsidRPr="000564EB" w:rsidRDefault="003465F3" w:rsidP="00F70C7F">
            <w:pPr>
              <w:rPr>
                <w:rFonts w:cs="Arial"/>
                <w:b/>
                <w:szCs w:val="24"/>
              </w:rPr>
            </w:pPr>
            <w:r w:rsidRPr="000564EB">
              <w:rPr>
                <w:rFonts w:cs="Arial"/>
                <w:b/>
                <w:szCs w:val="24"/>
              </w:rPr>
              <w:t>Engagement</w:t>
            </w:r>
          </w:p>
        </w:tc>
        <w:tc>
          <w:tcPr>
            <w:tcW w:w="1710" w:type="dxa"/>
          </w:tcPr>
          <w:p w14:paraId="339EBF02" w14:textId="77777777" w:rsidR="00F70C7F" w:rsidRPr="000564EB" w:rsidRDefault="0024364F" w:rsidP="00F70C7F">
            <w:pPr>
              <w:rPr>
                <w:rFonts w:cs="Arial"/>
                <w:szCs w:val="24"/>
              </w:rPr>
            </w:pPr>
            <w:r w:rsidRPr="000564EB">
              <w:rPr>
                <w:rFonts w:cs="Arial"/>
                <w:szCs w:val="24"/>
              </w:rPr>
              <w:t>85.43%</w:t>
            </w:r>
          </w:p>
        </w:tc>
        <w:tc>
          <w:tcPr>
            <w:tcW w:w="1710" w:type="dxa"/>
          </w:tcPr>
          <w:p w14:paraId="6C127A47" w14:textId="77777777" w:rsidR="00F70C7F" w:rsidRPr="000564EB" w:rsidRDefault="0024364F" w:rsidP="00F70C7F">
            <w:pPr>
              <w:rPr>
                <w:rFonts w:cs="Arial"/>
                <w:szCs w:val="24"/>
              </w:rPr>
            </w:pPr>
            <w:r w:rsidRPr="000564EB">
              <w:rPr>
                <w:rFonts w:cs="Arial"/>
                <w:szCs w:val="24"/>
              </w:rPr>
              <w:t>86.65</w:t>
            </w:r>
            <w:r w:rsidR="00F70C7F" w:rsidRPr="000564EB">
              <w:rPr>
                <w:rFonts w:cs="Arial"/>
                <w:szCs w:val="24"/>
              </w:rPr>
              <w:t>%</w:t>
            </w:r>
          </w:p>
        </w:tc>
        <w:tc>
          <w:tcPr>
            <w:tcW w:w="926" w:type="dxa"/>
          </w:tcPr>
          <w:p w14:paraId="1BE9EBBC" w14:textId="77777777" w:rsidR="00F70C7F" w:rsidRPr="000564EB" w:rsidRDefault="00F70C7F" w:rsidP="00F70C7F">
            <w:pPr>
              <w:rPr>
                <w:rFonts w:cs="Arial"/>
                <w:szCs w:val="24"/>
              </w:rPr>
            </w:pPr>
            <w:r w:rsidRPr="000564EB">
              <w:rPr>
                <w:rFonts w:cs="Arial"/>
                <w:szCs w:val="24"/>
              </w:rPr>
              <w:t>86%</w:t>
            </w:r>
          </w:p>
        </w:tc>
      </w:tr>
      <w:tr w:rsidR="00F70C7F" w:rsidRPr="000564EB" w14:paraId="7186AEB9" w14:textId="77777777" w:rsidTr="00F70C7F">
        <w:tc>
          <w:tcPr>
            <w:tcW w:w="1257" w:type="dxa"/>
          </w:tcPr>
          <w:p w14:paraId="7BBC09CE" w14:textId="77777777" w:rsidR="00F70C7F" w:rsidRPr="000564EB" w:rsidRDefault="00F70C7F" w:rsidP="00F70C7F">
            <w:pPr>
              <w:rPr>
                <w:rFonts w:cs="Arial"/>
                <w:szCs w:val="24"/>
              </w:rPr>
            </w:pPr>
            <w:r w:rsidRPr="000564EB">
              <w:rPr>
                <w:rFonts w:cs="Arial"/>
                <w:szCs w:val="24"/>
              </w:rPr>
              <w:t>5</w:t>
            </w:r>
          </w:p>
        </w:tc>
        <w:tc>
          <w:tcPr>
            <w:tcW w:w="3437" w:type="dxa"/>
          </w:tcPr>
          <w:p w14:paraId="77D129BB" w14:textId="77777777" w:rsidR="00F70C7F" w:rsidRPr="000564EB" w:rsidRDefault="00F70C7F" w:rsidP="00F70C7F">
            <w:pPr>
              <w:rPr>
                <w:rFonts w:cs="Arial"/>
                <w:szCs w:val="24"/>
              </w:rPr>
            </w:pPr>
            <w:r w:rsidRPr="000564EB">
              <w:rPr>
                <w:rFonts w:cs="Arial"/>
                <w:szCs w:val="24"/>
              </w:rPr>
              <w:t>Members regularly receive information about their pension and are satisfied with its quality</w:t>
            </w:r>
          </w:p>
          <w:p w14:paraId="2E3ADB8D" w14:textId="77777777" w:rsidR="003465F3" w:rsidRPr="000564EB" w:rsidRDefault="003465F3" w:rsidP="00F70C7F">
            <w:pPr>
              <w:rPr>
                <w:rFonts w:cs="Arial"/>
                <w:b/>
                <w:szCs w:val="24"/>
              </w:rPr>
            </w:pPr>
            <w:r w:rsidRPr="000564EB">
              <w:rPr>
                <w:rFonts w:cs="Arial"/>
                <w:b/>
                <w:szCs w:val="24"/>
              </w:rPr>
              <w:t>Service Delivery</w:t>
            </w:r>
          </w:p>
        </w:tc>
        <w:tc>
          <w:tcPr>
            <w:tcW w:w="1710" w:type="dxa"/>
          </w:tcPr>
          <w:p w14:paraId="23058A5D" w14:textId="7112197A" w:rsidR="00F70C7F" w:rsidRPr="000564EB" w:rsidRDefault="00E543DF" w:rsidP="0024364F">
            <w:pPr>
              <w:rPr>
                <w:rFonts w:cs="Arial"/>
                <w:szCs w:val="24"/>
              </w:rPr>
            </w:pPr>
            <w:r>
              <w:rPr>
                <w:rFonts w:cs="Arial"/>
                <w:szCs w:val="24"/>
              </w:rPr>
              <w:t>67.42</w:t>
            </w:r>
            <w:r w:rsidR="0024364F" w:rsidRPr="000564EB">
              <w:rPr>
                <w:rFonts w:cs="Arial"/>
                <w:szCs w:val="24"/>
              </w:rPr>
              <w:t>%</w:t>
            </w:r>
          </w:p>
        </w:tc>
        <w:tc>
          <w:tcPr>
            <w:tcW w:w="1710" w:type="dxa"/>
          </w:tcPr>
          <w:p w14:paraId="2699D8F8" w14:textId="77777777" w:rsidR="00F70C7F" w:rsidRPr="000564EB" w:rsidRDefault="0024364F" w:rsidP="00F70C7F">
            <w:pPr>
              <w:rPr>
                <w:rFonts w:cs="Arial"/>
                <w:szCs w:val="24"/>
              </w:rPr>
            </w:pPr>
            <w:r w:rsidRPr="000564EB">
              <w:rPr>
                <w:rFonts w:cs="Arial"/>
                <w:szCs w:val="24"/>
              </w:rPr>
              <w:t>70.32</w:t>
            </w:r>
            <w:r w:rsidR="00F70C7F" w:rsidRPr="000564EB">
              <w:rPr>
                <w:rFonts w:cs="Arial"/>
                <w:szCs w:val="24"/>
              </w:rPr>
              <w:t>%</w:t>
            </w:r>
          </w:p>
        </w:tc>
        <w:tc>
          <w:tcPr>
            <w:tcW w:w="926" w:type="dxa"/>
          </w:tcPr>
          <w:p w14:paraId="77256AFF" w14:textId="77777777" w:rsidR="00F70C7F" w:rsidRPr="000564EB" w:rsidRDefault="00F70C7F" w:rsidP="00F70C7F">
            <w:pPr>
              <w:rPr>
                <w:rFonts w:cs="Arial"/>
                <w:szCs w:val="24"/>
              </w:rPr>
            </w:pPr>
            <w:r w:rsidRPr="000564EB">
              <w:rPr>
                <w:rFonts w:cs="Arial"/>
                <w:szCs w:val="24"/>
              </w:rPr>
              <w:t>78%</w:t>
            </w:r>
          </w:p>
        </w:tc>
      </w:tr>
      <w:tr w:rsidR="00F70C7F" w:rsidRPr="000564EB" w14:paraId="70DD4D49" w14:textId="77777777" w:rsidTr="00F70C7F">
        <w:tc>
          <w:tcPr>
            <w:tcW w:w="1257" w:type="dxa"/>
          </w:tcPr>
          <w:p w14:paraId="56E9D33C" w14:textId="77777777" w:rsidR="00F70C7F" w:rsidRPr="000564EB" w:rsidRDefault="00F70C7F" w:rsidP="00F70C7F">
            <w:pPr>
              <w:rPr>
                <w:rFonts w:cs="Arial"/>
                <w:szCs w:val="24"/>
              </w:rPr>
            </w:pPr>
            <w:r w:rsidRPr="000564EB">
              <w:rPr>
                <w:rFonts w:cs="Arial"/>
                <w:szCs w:val="24"/>
              </w:rPr>
              <w:t>6</w:t>
            </w:r>
          </w:p>
        </w:tc>
        <w:tc>
          <w:tcPr>
            <w:tcW w:w="3437" w:type="dxa"/>
          </w:tcPr>
          <w:p w14:paraId="63599184" w14:textId="77777777" w:rsidR="00F70C7F" w:rsidRPr="000564EB" w:rsidRDefault="00F70C7F" w:rsidP="00F70C7F">
            <w:pPr>
              <w:rPr>
                <w:rFonts w:cs="Arial"/>
                <w:szCs w:val="24"/>
              </w:rPr>
            </w:pPr>
            <w:r w:rsidRPr="000564EB">
              <w:rPr>
                <w:rFonts w:cs="Arial"/>
                <w:szCs w:val="24"/>
              </w:rPr>
              <w:t>Members who contact the TPS about their pension are satisfied with the timeliness and quality of the response</w:t>
            </w:r>
          </w:p>
          <w:p w14:paraId="7E30644B" w14:textId="77777777" w:rsidR="003465F3" w:rsidRPr="000564EB" w:rsidRDefault="003465F3" w:rsidP="00F70C7F">
            <w:pPr>
              <w:rPr>
                <w:rFonts w:cs="Arial"/>
                <w:b/>
                <w:szCs w:val="24"/>
              </w:rPr>
            </w:pPr>
            <w:r w:rsidRPr="000564EB">
              <w:rPr>
                <w:rFonts w:cs="Arial"/>
                <w:b/>
                <w:szCs w:val="24"/>
              </w:rPr>
              <w:t>Service Delivery</w:t>
            </w:r>
          </w:p>
        </w:tc>
        <w:tc>
          <w:tcPr>
            <w:tcW w:w="1710" w:type="dxa"/>
          </w:tcPr>
          <w:p w14:paraId="21848E4E" w14:textId="554ED374" w:rsidR="00F70C7F" w:rsidRPr="000564EB" w:rsidRDefault="00E543DF" w:rsidP="00F70C7F">
            <w:pPr>
              <w:rPr>
                <w:rFonts w:cs="Arial"/>
                <w:szCs w:val="24"/>
              </w:rPr>
            </w:pPr>
            <w:r>
              <w:rPr>
                <w:rFonts w:cs="Arial"/>
                <w:szCs w:val="24"/>
              </w:rPr>
              <w:t>69.97</w:t>
            </w:r>
            <w:r w:rsidR="00F70C7F" w:rsidRPr="000564EB">
              <w:rPr>
                <w:rFonts w:cs="Arial"/>
                <w:szCs w:val="24"/>
              </w:rPr>
              <w:t>%</w:t>
            </w:r>
          </w:p>
          <w:p w14:paraId="7553FFF4" w14:textId="77777777" w:rsidR="00F70C7F" w:rsidRPr="000564EB" w:rsidRDefault="00F70C7F" w:rsidP="00F70C7F">
            <w:pPr>
              <w:rPr>
                <w:rFonts w:cs="Arial"/>
                <w:szCs w:val="24"/>
              </w:rPr>
            </w:pPr>
          </w:p>
        </w:tc>
        <w:tc>
          <w:tcPr>
            <w:tcW w:w="1710" w:type="dxa"/>
          </w:tcPr>
          <w:p w14:paraId="328F27A1" w14:textId="77777777" w:rsidR="00F70C7F" w:rsidRPr="000564EB" w:rsidRDefault="0024364F" w:rsidP="00F70C7F">
            <w:pPr>
              <w:rPr>
                <w:rFonts w:cs="Arial"/>
                <w:szCs w:val="24"/>
              </w:rPr>
            </w:pPr>
            <w:r w:rsidRPr="000564EB">
              <w:rPr>
                <w:rFonts w:cs="Arial"/>
                <w:szCs w:val="24"/>
              </w:rPr>
              <w:t>68.68</w:t>
            </w:r>
            <w:r w:rsidR="00F70C7F" w:rsidRPr="000564EB">
              <w:rPr>
                <w:rFonts w:cs="Arial"/>
                <w:szCs w:val="24"/>
              </w:rPr>
              <w:t>%</w:t>
            </w:r>
          </w:p>
        </w:tc>
        <w:tc>
          <w:tcPr>
            <w:tcW w:w="926" w:type="dxa"/>
          </w:tcPr>
          <w:p w14:paraId="38F02C39" w14:textId="77777777" w:rsidR="00F70C7F" w:rsidRPr="000564EB" w:rsidRDefault="00F70C7F" w:rsidP="00F70C7F">
            <w:pPr>
              <w:rPr>
                <w:rFonts w:cs="Arial"/>
                <w:szCs w:val="24"/>
              </w:rPr>
            </w:pPr>
            <w:r w:rsidRPr="000564EB">
              <w:rPr>
                <w:rFonts w:cs="Arial"/>
                <w:szCs w:val="24"/>
              </w:rPr>
              <w:t>78%</w:t>
            </w:r>
          </w:p>
        </w:tc>
      </w:tr>
      <w:tr w:rsidR="00F70C7F" w:rsidRPr="000564EB" w14:paraId="167B1E22" w14:textId="77777777" w:rsidTr="00F70C7F">
        <w:tc>
          <w:tcPr>
            <w:tcW w:w="1257" w:type="dxa"/>
          </w:tcPr>
          <w:p w14:paraId="74EAEDC4" w14:textId="77777777" w:rsidR="00F70C7F" w:rsidRPr="000564EB" w:rsidRDefault="00F70C7F" w:rsidP="00F70C7F">
            <w:pPr>
              <w:rPr>
                <w:rFonts w:cs="Arial"/>
                <w:szCs w:val="24"/>
              </w:rPr>
            </w:pPr>
            <w:r w:rsidRPr="000564EB">
              <w:rPr>
                <w:rFonts w:cs="Arial"/>
                <w:szCs w:val="24"/>
              </w:rPr>
              <w:t>7</w:t>
            </w:r>
          </w:p>
        </w:tc>
        <w:tc>
          <w:tcPr>
            <w:tcW w:w="3437" w:type="dxa"/>
          </w:tcPr>
          <w:p w14:paraId="73B068F8" w14:textId="77777777" w:rsidR="00F70C7F" w:rsidRPr="000564EB" w:rsidRDefault="00F70C7F" w:rsidP="00F70C7F">
            <w:pPr>
              <w:rPr>
                <w:rFonts w:cs="Arial"/>
                <w:szCs w:val="24"/>
              </w:rPr>
            </w:pPr>
            <w:r w:rsidRPr="000564EB">
              <w:rPr>
                <w:rFonts w:cs="Arial"/>
                <w:szCs w:val="24"/>
              </w:rPr>
              <w:t>Recently retired members are satisfied with the support they receive from Teachers’ Pensions as they planned retirement.</w:t>
            </w:r>
          </w:p>
          <w:p w14:paraId="51B7DA2B" w14:textId="77777777" w:rsidR="003465F3" w:rsidRPr="000564EB" w:rsidRDefault="003465F3" w:rsidP="00F70C7F">
            <w:pPr>
              <w:rPr>
                <w:rFonts w:cs="Arial"/>
                <w:b/>
                <w:szCs w:val="24"/>
              </w:rPr>
            </w:pPr>
            <w:r w:rsidRPr="000564EB">
              <w:rPr>
                <w:rFonts w:cs="Arial"/>
                <w:b/>
                <w:szCs w:val="24"/>
              </w:rPr>
              <w:t>Service Delivery</w:t>
            </w:r>
          </w:p>
        </w:tc>
        <w:tc>
          <w:tcPr>
            <w:tcW w:w="1710" w:type="dxa"/>
          </w:tcPr>
          <w:p w14:paraId="15398901" w14:textId="1247B8F4" w:rsidR="00F70C7F" w:rsidRPr="000564EB" w:rsidRDefault="00E543DF" w:rsidP="00F70C7F">
            <w:pPr>
              <w:rPr>
                <w:rFonts w:cs="Arial"/>
                <w:szCs w:val="24"/>
              </w:rPr>
            </w:pPr>
            <w:r>
              <w:rPr>
                <w:rFonts w:cs="Arial"/>
                <w:szCs w:val="24"/>
              </w:rPr>
              <w:t>75.31</w:t>
            </w:r>
            <w:r w:rsidR="00F70C7F" w:rsidRPr="000564EB">
              <w:rPr>
                <w:rFonts w:cs="Arial"/>
                <w:szCs w:val="24"/>
              </w:rPr>
              <w:t>%</w:t>
            </w:r>
          </w:p>
        </w:tc>
        <w:tc>
          <w:tcPr>
            <w:tcW w:w="1710" w:type="dxa"/>
          </w:tcPr>
          <w:p w14:paraId="5B49959F" w14:textId="77777777" w:rsidR="00F70C7F" w:rsidRPr="000564EB" w:rsidRDefault="0024364F" w:rsidP="00F70C7F">
            <w:pPr>
              <w:rPr>
                <w:rFonts w:cs="Arial"/>
                <w:szCs w:val="24"/>
              </w:rPr>
            </w:pPr>
            <w:r w:rsidRPr="000564EB">
              <w:rPr>
                <w:rFonts w:cs="Arial"/>
                <w:szCs w:val="24"/>
              </w:rPr>
              <w:t>69.21</w:t>
            </w:r>
            <w:r w:rsidR="00F70C7F" w:rsidRPr="000564EB">
              <w:rPr>
                <w:rFonts w:cs="Arial"/>
                <w:szCs w:val="24"/>
              </w:rPr>
              <w:t>%</w:t>
            </w:r>
          </w:p>
        </w:tc>
        <w:tc>
          <w:tcPr>
            <w:tcW w:w="926" w:type="dxa"/>
          </w:tcPr>
          <w:p w14:paraId="30FDDFB0" w14:textId="77777777" w:rsidR="00F70C7F" w:rsidRPr="000564EB" w:rsidRDefault="00F70C7F" w:rsidP="00F70C7F">
            <w:pPr>
              <w:rPr>
                <w:rFonts w:cs="Arial"/>
                <w:szCs w:val="24"/>
              </w:rPr>
            </w:pPr>
            <w:r w:rsidRPr="000564EB">
              <w:rPr>
                <w:rFonts w:cs="Arial"/>
                <w:szCs w:val="24"/>
              </w:rPr>
              <w:t>80%</w:t>
            </w:r>
          </w:p>
        </w:tc>
      </w:tr>
      <w:tr w:rsidR="00F70C7F" w:rsidRPr="000564EB" w14:paraId="10424D2F" w14:textId="77777777" w:rsidTr="00F70C7F">
        <w:tc>
          <w:tcPr>
            <w:tcW w:w="1257" w:type="dxa"/>
          </w:tcPr>
          <w:p w14:paraId="0C3FC4DD" w14:textId="77777777" w:rsidR="00F70C7F" w:rsidRPr="000564EB" w:rsidRDefault="00F70C7F" w:rsidP="00F70C7F">
            <w:pPr>
              <w:rPr>
                <w:rFonts w:cs="Arial"/>
                <w:szCs w:val="24"/>
              </w:rPr>
            </w:pPr>
            <w:r w:rsidRPr="000564EB">
              <w:rPr>
                <w:rFonts w:cs="Arial"/>
                <w:szCs w:val="24"/>
              </w:rPr>
              <w:t>9</w:t>
            </w:r>
          </w:p>
        </w:tc>
        <w:tc>
          <w:tcPr>
            <w:tcW w:w="3437" w:type="dxa"/>
          </w:tcPr>
          <w:p w14:paraId="057002D8" w14:textId="77777777" w:rsidR="003465F3" w:rsidRPr="000564EB" w:rsidRDefault="00F70C7F" w:rsidP="00F70C7F">
            <w:pPr>
              <w:rPr>
                <w:rFonts w:cs="Arial"/>
                <w:szCs w:val="24"/>
              </w:rPr>
            </w:pPr>
            <w:r w:rsidRPr="000564EB">
              <w:rPr>
                <w:rFonts w:cs="Arial"/>
                <w:szCs w:val="24"/>
              </w:rPr>
              <w:t>Employers are satisfied with the service they receive from the Teachers' Pension Scheme</w:t>
            </w:r>
          </w:p>
          <w:p w14:paraId="3529C08E" w14:textId="77777777" w:rsidR="00F70C7F" w:rsidRPr="000564EB" w:rsidRDefault="003465F3" w:rsidP="00F70C7F">
            <w:pPr>
              <w:rPr>
                <w:rFonts w:cs="Arial"/>
                <w:szCs w:val="24"/>
              </w:rPr>
            </w:pPr>
            <w:r w:rsidRPr="000564EB">
              <w:rPr>
                <w:rFonts w:cs="Arial"/>
                <w:b/>
                <w:szCs w:val="24"/>
              </w:rPr>
              <w:t>Service Delivery</w:t>
            </w:r>
            <w:r w:rsidR="00F70C7F" w:rsidRPr="000564EB">
              <w:rPr>
                <w:rFonts w:cs="Arial"/>
                <w:szCs w:val="24"/>
              </w:rPr>
              <w:t>.</w:t>
            </w:r>
          </w:p>
        </w:tc>
        <w:tc>
          <w:tcPr>
            <w:tcW w:w="1710" w:type="dxa"/>
          </w:tcPr>
          <w:p w14:paraId="1DCCE83F" w14:textId="3DC6FAB4" w:rsidR="00F70C7F" w:rsidRPr="000564EB" w:rsidRDefault="00E543DF" w:rsidP="00F70C7F">
            <w:pPr>
              <w:rPr>
                <w:rFonts w:cs="Arial"/>
                <w:szCs w:val="24"/>
              </w:rPr>
            </w:pPr>
            <w:r>
              <w:rPr>
                <w:rFonts w:cs="Arial"/>
                <w:szCs w:val="24"/>
              </w:rPr>
              <w:t>87.09</w:t>
            </w:r>
            <w:r w:rsidR="00F70C7F" w:rsidRPr="000564EB">
              <w:rPr>
                <w:rFonts w:cs="Arial"/>
                <w:szCs w:val="24"/>
              </w:rPr>
              <w:t>%</w:t>
            </w:r>
          </w:p>
        </w:tc>
        <w:tc>
          <w:tcPr>
            <w:tcW w:w="1710" w:type="dxa"/>
          </w:tcPr>
          <w:p w14:paraId="58F67880" w14:textId="77777777" w:rsidR="00F70C7F" w:rsidRPr="000564EB" w:rsidRDefault="0024364F" w:rsidP="00F70C7F">
            <w:pPr>
              <w:rPr>
                <w:rFonts w:cs="Arial"/>
                <w:szCs w:val="24"/>
              </w:rPr>
            </w:pPr>
            <w:r w:rsidRPr="000564EB">
              <w:rPr>
                <w:rFonts w:cs="Arial"/>
                <w:szCs w:val="24"/>
              </w:rPr>
              <w:t>92.13</w:t>
            </w:r>
            <w:r w:rsidR="00F70C7F" w:rsidRPr="000564EB">
              <w:rPr>
                <w:rFonts w:cs="Arial"/>
                <w:szCs w:val="24"/>
              </w:rPr>
              <w:t>%</w:t>
            </w:r>
          </w:p>
        </w:tc>
        <w:tc>
          <w:tcPr>
            <w:tcW w:w="926" w:type="dxa"/>
          </w:tcPr>
          <w:p w14:paraId="0279A883" w14:textId="77777777" w:rsidR="00F70C7F" w:rsidRPr="000564EB" w:rsidRDefault="00F70C7F" w:rsidP="00F70C7F">
            <w:pPr>
              <w:rPr>
                <w:rFonts w:cs="Arial"/>
                <w:szCs w:val="24"/>
              </w:rPr>
            </w:pPr>
            <w:r w:rsidRPr="000564EB">
              <w:rPr>
                <w:rFonts w:cs="Arial"/>
                <w:szCs w:val="24"/>
              </w:rPr>
              <w:t>80%</w:t>
            </w:r>
          </w:p>
        </w:tc>
      </w:tr>
      <w:tr w:rsidR="00F70C7F" w:rsidRPr="000564EB" w14:paraId="15411762" w14:textId="77777777" w:rsidTr="00F70C7F">
        <w:tc>
          <w:tcPr>
            <w:tcW w:w="1257" w:type="dxa"/>
          </w:tcPr>
          <w:p w14:paraId="5A97C244" w14:textId="77777777" w:rsidR="00F70C7F" w:rsidRPr="000564EB" w:rsidRDefault="00F70C7F" w:rsidP="00F70C7F">
            <w:pPr>
              <w:rPr>
                <w:rFonts w:cs="Arial"/>
                <w:szCs w:val="24"/>
              </w:rPr>
            </w:pPr>
            <w:r w:rsidRPr="000564EB">
              <w:rPr>
                <w:rFonts w:cs="Arial"/>
                <w:szCs w:val="24"/>
              </w:rPr>
              <w:t>10</w:t>
            </w:r>
          </w:p>
        </w:tc>
        <w:tc>
          <w:tcPr>
            <w:tcW w:w="3437" w:type="dxa"/>
          </w:tcPr>
          <w:p w14:paraId="0B049268" w14:textId="77777777" w:rsidR="00F70C7F" w:rsidRPr="000564EB" w:rsidRDefault="00F70C7F" w:rsidP="00F70C7F">
            <w:pPr>
              <w:rPr>
                <w:rFonts w:cs="Arial"/>
                <w:szCs w:val="24"/>
              </w:rPr>
            </w:pPr>
            <w:r w:rsidRPr="000564EB">
              <w:rPr>
                <w:rFonts w:cs="Arial"/>
                <w:szCs w:val="24"/>
              </w:rPr>
              <w:t>Employers receive timely and accurate responses from the Teachers' Pension Scheme.</w:t>
            </w:r>
          </w:p>
          <w:p w14:paraId="4971623E" w14:textId="77777777" w:rsidR="003465F3" w:rsidRPr="000564EB" w:rsidRDefault="003465F3" w:rsidP="00F70C7F">
            <w:pPr>
              <w:rPr>
                <w:rFonts w:cs="Arial"/>
                <w:b/>
                <w:szCs w:val="24"/>
              </w:rPr>
            </w:pPr>
            <w:r w:rsidRPr="000564EB">
              <w:rPr>
                <w:rFonts w:cs="Arial"/>
                <w:b/>
                <w:szCs w:val="24"/>
              </w:rPr>
              <w:t>Service Delivery</w:t>
            </w:r>
          </w:p>
        </w:tc>
        <w:tc>
          <w:tcPr>
            <w:tcW w:w="1710" w:type="dxa"/>
          </w:tcPr>
          <w:p w14:paraId="1DD2C2C9" w14:textId="66C94F35" w:rsidR="00F70C7F" w:rsidRPr="000564EB" w:rsidRDefault="00E543DF" w:rsidP="00F70C7F">
            <w:pPr>
              <w:rPr>
                <w:rFonts w:cs="Arial"/>
                <w:szCs w:val="24"/>
              </w:rPr>
            </w:pPr>
            <w:r>
              <w:rPr>
                <w:rFonts w:cs="Arial"/>
                <w:szCs w:val="24"/>
              </w:rPr>
              <w:t>73.96</w:t>
            </w:r>
            <w:r w:rsidR="00F70C7F" w:rsidRPr="000564EB">
              <w:rPr>
                <w:rFonts w:cs="Arial"/>
                <w:szCs w:val="24"/>
              </w:rPr>
              <w:t>%</w:t>
            </w:r>
          </w:p>
        </w:tc>
        <w:tc>
          <w:tcPr>
            <w:tcW w:w="1710" w:type="dxa"/>
          </w:tcPr>
          <w:p w14:paraId="39875FD4" w14:textId="77777777" w:rsidR="00F70C7F" w:rsidRPr="000564EB" w:rsidRDefault="0024364F" w:rsidP="00F70C7F">
            <w:pPr>
              <w:rPr>
                <w:rFonts w:cs="Arial"/>
                <w:szCs w:val="24"/>
              </w:rPr>
            </w:pPr>
            <w:r w:rsidRPr="000564EB">
              <w:rPr>
                <w:rFonts w:cs="Arial"/>
                <w:szCs w:val="24"/>
              </w:rPr>
              <w:t>79.52</w:t>
            </w:r>
            <w:r w:rsidR="00F70C7F" w:rsidRPr="000564EB">
              <w:rPr>
                <w:rFonts w:cs="Arial"/>
                <w:szCs w:val="24"/>
              </w:rPr>
              <w:t>%</w:t>
            </w:r>
          </w:p>
        </w:tc>
        <w:tc>
          <w:tcPr>
            <w:tcW w:w="926" w:type="dxa"/>
          </w:tcPr>
          <w:p w14:paraId="19741472" w14:textId="77777777" w:rsidR="00F70C7F" w:rsidRPr="000564EB" w:rsidRDefault="00F70C7F" w:rsidP="00F70C7F">
            <w:pPr>
              <w:rPr>
                <w:rFonts w:cs="Arial"/>
                <w:szCs w:val="24"/>
              </w:rPr>
            </w:pPr>
            <w:r w:rsidRPr="000564EB">
              <w:rPr>
                <w:rFonts w:cs="Arial"/>
                <w:szCs w:val="24"/>
              </w:rPr>
              <w:t>80%</w:t>
            </w:r>
          </w:p>
        </w:tc>
      </w:tr>
    </w:tbl>
    <w:p w14:paraId="7D2AC664" w14:textId="311ED46B" w:rsidR="00EE1811" w:rsidRDefault="00EE1811" w:rsidP="00EE1811">
      <w:pPr>
        <w:rPr>
          <w:rFonts w:cs="Arial"/>
          <w:szCs w:val="24"/>
        </w:rPr>
      </w:pPr>
    </w:p>
    <w:p w14:paraId="06C7D2EF" w14:textId="77777777" w:rsidR="00B40952" w:rsidRPr="000564EB" w:rsidRDefault="00B40952" w:rsidP="00EE1811">
      <w:pPr>
        <w:rPr>
          <w:rFonts w:cs="Arial"/>
          <w:szCs w:val="24"/>
        </w:rPr>
      </w:pPr>
    </w:p>
    <w:p w14:paraId="6D09E894" w14:textId="77777777" w:rsidR="00877044" w:rsidRPr="000564EB" w:rsidRDefault="00F70C7F" w:rsidP="00B40952">
      <w:pPr>
        <w:pStyle w:val="ListParagraph"/>
        <w:numPr>
          <w:ilvl w:val="0"/>
          <w:numId w:val="6"/>
        </w:numPr>
        <w:ind w:left="142" w:hanging="568"/>
        <w:rPr>
          <w:rFonts w:cs="Arial"/>
          <w:szCs w:val="24"/>
        </w:rPr>
      </w:pPr>
      <w:r w:rsidRPr="000564EB">
        <w:rPr>
          <w:rFonts w:cs="Arial"/>
          <w:szCs w:val="24"/>
        </w:rPr>
        <w:t>Engagement contract Outcome 11 for contract year 7:  1 October 2017 to 30 September 2018</w:t>
      </w:r>
      <w:r w:rsidRPr="000564EB">
        <w:rPr>
          <w:rFonts w:cs="Arial"/>
          <w:color w:val="FF0000"/>
          <w:szCs w:val="24"/>
        </w:rPr>
        <w:t xml:space="preserve"> </w:t>
      </w:r>
      <w:r w:rsidR="00480D09" w:rsidRPr="000564EB">
        <w:rPr>
          <w:rFonts w:cs="Arial"/>
          <w:noProof/>
          <w:szCs w:val="24"/>
          <w:lang w:eastAsia="en-GB"/>
        </w:rPr>
        <w:drawing>
          <wp:inline distT="0" distB="0" distL="0" distR="0" wp14:anchorId="01ACBF43" wp14:editId="5B321C78">
            <wp:extent cx="6031230" cy="3934047"/>
            <wp:effectExtent l="0" t="0" r="7620" b="9525"/>
            <wp:docPr id="12" name="Picture 12" descr="cid:image001.png@01D44049.E49F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44049.E49FB89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61582" cy="3953845"/>
                    </a:xfrm>
                    <a:prstGeom prst="rect">
                      <a:avLst/>
                    </a:prstGeom>
                    <a:noFill/>
                    <a:ln>
                      <a:noFill/>
                    </a:ln>
                  </pic:spPr>
                </pic:pic>
              </a:graphicData>
            </a:graphic>
          </wp:inline>
        </w:drawing>
      </w:r>
    </w:p>
    <w:p w14:paraId="302C7884" w14:textId="77777777" w:rsidR="00480D09" w:rsidRPr="000564EB" w:rsidRDefault="00480D09" w:rsidP="007F2C09">
      <w:pPr>
        <w:pStyle w:val="ListParagraph"/>
        <w:numPr>
          <w:ilvl w:val="0"/>
          <w:numId w:val="6"/>
        </w:numPr>
        <w:ind w:left="284"/>
        <w:rPr>
          <w:rFonts w:cs="Arial"/>
          <w:szCs w:val="24"/>
        </w:rPr>
      </w:pPr>
      <w:r w:rsidRPr="000564EB">
        <w:rPr>
          <w:rFonts w:cs="Arial"/>
          <w:szCs w:val="24"/>
        </w:rPr>
        <w:t>OM14 results</w:t>
      </w:r>
      <w:r w:rsidR="00147131" w:rsidRPr="000564EB">
        <w:rPr>
          <w:rFonts w:cs="Arial"/>
          <w:szCs w:val="24"/>
        </w:rPr>
        <w:t xml:space="preserve"> contract year 7 to date</w:t>
      </w:r>
    </w:p>
    <w:p w14:paraId="35183872" w14:textId="77777777" w:rsidR="00480D09" w:rsidRPr="000564EB" w:rsidRDefault="00480D09" w:rsidP="00480D09">
      <w:pPr>
        <w:rPr>
          <w:rFonts w:cs="Arial"/>
          <w:szCs w:val="24"/>
        </w:rPr>
      </w:pPr>
    </w:p>
    <w:p w14:paraId="7D3A34BE" w14:textId="77777777" w:rsidR="00480D09" w:rsidRPr="000564EB" w:rsidRDefault="00480D09" w:rsidP="00480D09">
      <w:pPr>
        <w:rPr>
          <w:rFonts w:cs="Arial"/>
          <w:szCs w:val="24"/>
        </w:rPr>
      </w:pPr>
      <w:r w:rsidRPr="000564EB">
        <w:rPr>
          <w:rFonts w:cs="Arial"/>
          <w:noProof/>
          <w:szCs w:val="24"/>
          <w:lang w:eastAsia="en-GB"/>
        </w:rPr>
        <w:drawing>
          <wp:inline distT="0" distB="0" distL="0" distR="0" wp14:anchorId="2C7B0B1A" wp14:editId="0765B752">
            <wp:extent cx="6153150" cy="2711302"/>
            <wp:effectExtent l="0" t="0" r="0" b="1333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D065A3B" w14:textId="58AEA655" w:rsidR="0079559B" w:rsidRDefault="0079559B" w:rsidP="00D43677">
      <w:pPr>
        <w:rPr>
          <w:rFonts w:cs="Arial"/>
          <w:szCs w:val="24"/>
        </w:rPr>
      </w:pPr>
    </w:p>
    <w:p w14:paraId="3F30034A" w14:textId="379479DA" w:rsidR="00B40952" w:rsidRDefault="00B40952" w:rsidP="00D43677">
      <w:pPr>
        <w:rPr>
          <w:rFonts w:cs="Arial"/>
          <w:szCs w:val="24"/>
        </w:rPr>
      </w:pPr>
    </w:p>
    <w:p w14:paraId="56137B28" w14:textId="77777777" w:rsidR="00B40952" w:rsidRPr="000564EB" w:rsidRDefault="00B40952" w:rsidP="00D43677">
      <w:pPr>
        <w:rPr>
          <w:rFonts w:cs="Arial"/>
          <w:szCs w:val="24"/>
        </w:rPr>
      </w:pPr>
    </w:p>
    <w:tbl>
      <w:tblPr>
        <w:tblStyle w:val="TableGrid"/>
        <w:tblW w:w="0" w:type="auto"/>
        <w:tblInd w:w="113" w:type="dxa"/>
        <w:tblLook w:val="04A0" w:firstRow="1" w:lastRow="0" w:firstColumn="1" w:lastColumn="0" w:noHBand="0" w:noVBand="1"/>
      </w:tblPr>
      <w:tblGrid>
        <w:gridCol w:w="7230"/>
        <w:gridCol w:w="1134"/>
      </w:tblGrid>
      <w:tr w:rsidR="003465F3" w:rsidRPr="000564EB" w14:paraId="30736A7E" w14:textId="77777777" w:rsidTr="00C70B80">
        <w:tc>
          <w:tcPr>
            <w:tcW w:w="7230" w:type="dxa"/>
            <w:shd w:val="clear" w:color="auto" w:fill="auto"/>
          </w:tcPr>
          <w:p w14:paraId="37C050FE" w14:textId="77777777" w:rsidR="003465F3" w:rsidRPr="000564EB" w:rsidRDefault="00C70B80" w:rsidP="00733DA1">
            <w:pPr>
              <w:rPr>
                <w:rFonts w:cs="Arial"/>
                <w:b/>
                <w:szCs w:val="24"/>
              </w:rPr>
            </w:pPr>
            <w:r w:rsidRPr="000564EB">
              <w:rPr>
                <w:rFonts w:cs="Arial"/>
                <w:b/>
                <w:color w:val="000000"/>
                <w:szCs w:val="24"/>
                <w:lang w:eastAsia="en-GB"/>
              </w:rPr>
              <w:t>C</w:t>
            </w:r>
            <w:r w:rsidR="003465F3" w:rsidRPr="000564EB">
              <w:rPr>
                <w:rFonts w:cs="Arial"/>
                <w:b/>
                <w:color w:val="000000"/>
                <w:szCs w:val="24"/>
                <w:lang w:eastAsia="en-GB"/>
              </w:rPr>
              <w:t>ustomer satisfaction</w:t>
            </w:r>
          </w:p>
          <w:p w14:paraId="67EFE5A8" w14:textId="77777777" w:rsidR="003465F3" w:rsidRPr="000564EB" w:rsidRDefault="003465F3" w:rsidP="00733DA1">
            <w:pPr>
              <w:rPr>
                <w:rFonts w:cs="Arial"/>
                <w:b/>
                <w:szCs w:val="24"/>
              </w:rPr>
            </w:pPr>
          </w:p>
        </w:tc>
        <w:tc>
          <w:tcPr>
            <w:tcW w:w="1134" w:type="dxa"/>
            <w:shd w:val="clear" w:color="auto" w:fill="00B050"/>
          </w:tcPr>
          <w:p w14:paraId="794A3F83" w14:textId="77777777" w:rsidR="003465F3" w:rsidRPr="000564EB" w:rsidRDefault="003465F3" w:rsidP="00733DA1">
            <w:pPr>
              <w:rPr>
                <w:rFonts w:cs="Arial"/>
                <w:color w:val="FFC000"/>
                <w:szCs w:val="24"/>
              </w:rPr>
            </w:pPr>
            <w:r w:rsidRPr="000564EB">
              <w:rPr>
                <w:rFonts w:cs="Arial"/>
                <w:noProof/>
                <w:color w:val="00B050"/>
                <w:szCs w:val="24"/>
                <w:lang w:eastAsia="en-GB"/>
              </w:rPr>
              <mc:AlternateContent>
                <mc:Choice Requires="wps">
                  <w:drawing>
                    <wp:anchor distT="0" distB="0" distL="114300" distR="114300" simplePos="0" relativeHeight="251735552" behindDoc="0" locked="0" layoutInCell="1" allowOverlap="1" wp14:anchorId="64367437" wp14:editId="1815615C">
                      <wp:simplePos x="0" y="0"/>
                      <wp:positionH relativeFrom="column">
                        <wp:posOffset>87630</wp:posOffset>
                      </wp:positionH>
                      <wp:positionV relativeFrom="paragraph">
                        <wp:posOffset>175895</wp:posOffset>
                      </wp:positionV>
                      <wp:extent cx="350520" cy="0"/>
                      <wp:effectExtent l="0" t="76200" r="30480" b="152400"/>
                      <wp:wrapNone/>
                      <wp:docPr id="1" name="Straight Arrow Connector 1"/>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569FC99" id="Straight Arrow Connector 1" o:spid="_x0000_s1026" type="#_x0000_t32" style="position:absolute;margin-left:6.9pt;margin-top:13.85pt;width:27.6pt;height:0;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" strokecolor="windowText" strokeweight="2pt">
                      <v:stroke endarrow="open"/>
                      <v:shadow on="t" color="black" opacity="24903f" origin=",.5" offset="0,.55556mm"/>
                    </v:shape>
                  </w:pict>
                </mc:Fallback>
              </mc:AlternateContent>
            </w:r>
          </w:p>
        </w:tc>
      </w:tr>
    </w:tbl>
    <w:p w14:paraId="56C93ECF" w14:textId="77777777" w:rsidR="003465F3" w:rsidRPr="000564EB" w:rsidRDefault="003465F3" w:rsidP="003465F3">
      <w:pPr>
        <w:rPr>
          <w:rFonts w:cs="Arial"/>
          <w:szCs w:val="24"/>
        </w:rPr>
      </w:pPr>
    </w:p>
    <w:p w14:paraId="017B7FA4" w14:textId="6C819BC7" w:rsidR="00E51344" w:rsidRPr="000564EB" w:rsidRDefault="009110CC" w:rsidP="007F2C09">
      <w:pPr>
        <w:pStyle w:val="ListParagraph"/>
        <w:numPr>
          <w:ilvl w:val="0"/>
          <w:numId w:val="6"/>
        </w:numPr>
        <w:ind w:left="284" w:right="-166"/>
        <w:rPr>
          <w:rFonts w:cs="Arial"/>
          <w:szCs w:val="24"/>
        </w:rPr>
      </w:pPr>
      <w:r>
        <w:rPr>
          <w:rFonts w:cs="Arial"/>
          <w:szCs w:val="24"/>
        </w:rPr>
        <w:t>Negative</w:t>
      </w:r>
      <w:r w:rsidR="00E51344" w:rsidRPr="000564EB">
        <w:rPr>
          <w:rFonts w:cs="Arial"/>
          <w:szCs w:val="24"/>
        </w:rPr>
        <w:t xml:space="preserve"> feedback in the period centred around two areas: delays and website, including My Pension Online (MPO) registration.  Delays in correspondence, pensions on divorce and repayments were the most common areas for which members provided TP with commentary.   Website navigation and accessing MPO remain regular trends. </w:t>
      </w:r>
      <w:r w:rsidR="00F31F78">
        <w:rPr>
          <w:rFonts w:cs="Arial"/>
          <w:szCs w:val="24"/>
        </w:rPr>
        <w:t>T</w:t>
      </w:r>
      <w:r w:rsidR="00E51344" w:rsidRPr="000564EB">
        <w:rPr>
          <w:rFonts w:cs="Arial"/>
          <w:szCs w:val="24"/>
        </w:rPr>
        <w:t xml:space="preserve">he </w:t>
      </w:r>
      <w:r w:rsidR="00F31F78">
        <w:rPr>
          <w:rFonts w:cs="Arial"/>
          <w:szCs w:val="24"/>
        </w:rPr>
        <w:t xml:space="preserve">benefit from </w:t>
      </w:r>
      <w:r w:rsidR="00E51344" w:rsidRPr="000564EB">
        <w:rPr>
          <w:rFonts w:cs="Arial"/>
          <w:szCs w:val="24"/>
        </w:rPr>
        <w:t>the latest development in relation to logging into the website</w:t>
      </w:r>
      <w:r w:rsidR="00F31F78">
        <w:rPr>
          <w:rFonts w:cs="Arial"/>
          <w:szCs w:val="24"/>
        </w:rPr>
        <w:t xml:space="preserve"> has not yet led to improved </w:t>
      </w:r>
      <w:r w:rsidR="006F1189">
        <w:rPr>
          <w:rFonts w:cs="Arial"/>
          <w:szCs w:val="24"/>
        </w:rPr>
        <w:t>feedback</w:t>
      </w:r>
      <w:r w:rsidR="006F1189" w:rsidRPr="000564EB">
        <w:rPr>
          <w:rFonts w:cs="Arial"/>
          <w:szCs w:val="24"/>
        </w:rPr>
        <w:t>;</w:t>
      </w:r>
      <w:r w:rsidR="00E51344" w:rsidRPr="000564EB">
        <w:rPr>
          <w:rFonts w:cs="Arial"/>
          <w:szCs w:val="24"/>
        </w:rPr>
        <w:t xml:space="preserve"> however it is still early days since t</w:t>
      </w:r>
      <w:r w:rsidR="00F31F78">
        <w:rPr>
          <w:rFonts w:cs="Arial"/>
          <w:szCs w:val="24"/>
        </w:rPr>
        <w:t xml:space="preserve">he change </w:t>
      </w:r>
      <w:r w:rsidR="00E51344" w:rsidRPr="000564EB">
        <w:rPr>
          <w:rFonts w:cs="Arial"/>
          <w:szCs w:val="24"/>
        </w:rPr>
        <w:t xml:space="preserve">was introduced. Planning is still underway for improvements to the overall navigation of the website.   </w:t>
      </w:r>
    </w:p>
    <w:p w14:paraId="79DC7464" w14:textId="77777777" w:rsidR="00E51344" w:rsidRPr="000564EB" w:rsidRDefault="00E51344" w:rsidP="00E51344">
      <w:pPr>
        <w:rPr>
          <w:rFonts w:cs="Arial"/>
          <w:szCs w:val="24"/>
        </w:rPr>
      </w:pPr>
    </w:p>
    <w:p w14:paraId="196A1AEA" w14:textId="77777777" w:rsidR="00E51344" w:rsidRPr="000564EB" w:rsidRDefault="00E51344" w:rsidP="007F2C09">
      <w:pPr>
        <w:pStyle w:val="ListParagraph"/>
        <w:numPr>
          <w:ilvl w:val="0"/>
          <w:numId w:val="6"/>
        </w:numPr>
        <w:ind w:left="284" w:right="-166"/>
        <w:rPr>
          <w:rFonts w:cs="Arial"/>
          <w:szCs w:val="24"/>
        </w:rPr>
      </w:pPr>
      <w:r w:rsidRPr="000564EB">
        <w:rPr>
          <w:rFonts w:cs="Arial"/>
          <w:szCs w:val="24"/>
        </w:rPr>
        <w:t xml:space="preserve">There was plenty of positive commentary about the Contact Centre and comments include: “I was very impressed by the deference and courtesy I received”; and “I was very happy – the adviser was knowledgeable and professional”. </w:t>
      </w:r>
    </w:p>
    <w:p w14:paraId="16974852" w14:textId="77777777" w:rsidR="00AE3502" w:rsidRPr="000564EB" w:rsidRDefault="00AE3502" w:rsidP="00AE3502">
      <w:pPr>
        <w:ind w:left="360"/>
        <w:rPr>
          <w:rFonts w:cs="Arial"/>
          <w:szCs w:val="24"/>
        </w:rPr>
      </w:pPr>
    </w:p>
    <w:p w14:paraId="44BE25F0" w14:textId="15511458" w:rsidR="00D246CC" w:rsidRPr="000564EB" w:rsidRDefault="00244420" w:rsidP="007F2C09">
      <w:pPr>
        <w:pStyle w:val="ListParagraph"/>
        <w:numPr>
          <w:ilvl w:val="0"/>
          <w:numId w:val="6"/>
        </w:numPr>
        <w:ind w:left="284"/>
        <w:rPr>
          <w:rFonts w:cs="Arial"/>
          <w:szCs w:val="24"/>
        </w:rPr>
      </w:pPr>
      <w:r>
        <w:rPr>
          <w:rFonts w:cs="Arial"/>
          <w:szCs w:val="24"/>
        </w:rPr>
        <w:t xml:space="preserve">TP record all complaints and assess whether the complaint is about the administration of the Scheme or some other aspect (such as regulations). </w:t>
      </w:r>
      <w:r w:rsidR="00D246CC" w:rsidRPr="000564EB">
        <w:rPr>
          <w:rFonts w:cs="Arial"/>
          <w:szCs w:val="24"/>
        </w:rPr>
        <w:t xml:space="preserve">The 2018 trend is 56% </w:t>
      </w:r>
      <w:r w:rsidR="00F31F78">
        <w:rPr>
          <w:rFonts w:cs="Arial"/>
          <w:szCs w:val="24"/>
        </w:rPr>
        <w:t xml:space="preserve">of complaints are </w:t>
      </w:r>
      <w:r w:rsidR="00D246CC" w:rsidRPr="000564EB">
        <w:rPr>
          <w:rFonts w:cs="Arial"/>
          <w:szCs w:val="24"/>
        </w:rPr>
        <w:t xml:space="preserve">upheld and 44% not upheld. </w:t>
      </w:r>
    </w:p>
    <w:p w14:paraId="4DC25236" w14:textId="77777777" w:rsidR="00D246CC" w:rsidRPr="000564EB" w:rsidRDefault="00D246CC" w:rsidP="007F2C09">
      <w:pPr>
        <w:ind w:left="284" w:firstLine="76"/>
        <w:rPr>
          <w:rFonts w:cs="Arial"/>
          <w:szCs w:val="24"/>
        </w:rPr>
      </w:pPr>
    </w:p>
    <w:p w14:paraId="40BAAD47" w14:textId="6F85E36B" w:rsidR="00D246CC" w:rsidRPr="00F31F78" w:rsidRDefault="00D246CC" w:rsidP="00C91855">
      <w:pPr>
        <w:pStyle w:val="ListParagraph"/>
        <w:numPr>
          <w:ilvl w:val="0"/>
          <w:numId w:val="6"/>
        </w:numPr>
        <w:ind w:left="284" w:hanging="426"/>
        <w:rPr>
          <w:rFonts w:cs="Arial"/>
          <w:szCs w:val="24"/>
        </w:rPr>
      </w:pPr>
      <w:r w:rsidRPr="00F31F78">
        <w:rPr>
          <w:rFonts w:cs="Arial"/>
          <w:szCs w:val="24"/>
        </w:rPr>
        <w:t>In May, TP received 435 complaints</w:t>
      </w:r>
      <w:r w:rsidR="00F31F78" w:rsidRPr="00F31F78">
        <w:rPr>
          <w:rFonts w:cs="Arial"/>
          <w:szCs w:val="24"/>
        </w:rPr>
        <w:t>, in June 437 and in July 356</w:t>
      </w:r>
      <w:r w:rsidRPr="00F31F78">
        <w:rPr>
          <w:rFonts w:cs="Arial"/>
          <w:szCs w:val="24"/>
        </w:rPr>
        <w:t>.</w:t>
      </w:r>
      <w:r w:rsidR="00F31F78" w:rsidRPr="00F31F78">
        <w:rPr>
          <w:rFonts w:cs="Arial"/>
          <w:szCs w:val="24"/>
        </w:rPr>
        <w:t xml:space="preserve">  Over the period, the main subjects were delays, bereavements and correspondence.  In July, </w:t>
      </w:r>
      <w:r w:rsidRPr="00F31F78">
        <w:rPr>
          <w:rFonts w:cs="Arial"/>
          <w:szCs w:val="24"/>
        </w:rPr>
        <w:t xml:space="preserve">the highest categories for complaints were:  </w:t>
      </w:r>
    </w:p>
    <w:p w14:paraId="54964C4A" w14:textId="60D3D2E8" w:rsidR="00D246CC" w:rsidRPr="000564EB" w:rsidRDefault="00D246CC" w:rsidP="00A31934">
      <w:pPr>
        <w:pStyle w:val="ListParagraph"/>
        <w:widowControl/>
        <w:numPr>
          <w:ilvl w:val="0"/>
          <w:numId w:val="9"/>
        </w:numPr>
        <w:overflowPunct/>
        <w:autoSpaceDE/>
        <w:autoSpaceDN/>
        <w:adjustRightInd/>
        <w:ind w:left="1758" w:hanging="284"/>
        <w:jc w:val="both"/>
        <w:textAlignment w:val="auto"/>
        <w:rPr>
          <w:rFonts w:cs="Arial"/>
          <w:szCs w:val="24"/>
        </w:rPr>
      </w:pPr>
      <w:r w:rsidRPr="000564EB">
        <w:rPr>
          <w:rFonts w:cs="Arial"/>
          <w:szCs w:val="24"/>
        </w:rPr>
        <w:t xml:space="preserve">Employer – 19% (69) </w:t>
      </w:r>
      <w:r w:rsidR="00F31F78">
        <w:rPr>
          <w:rFonts w:cs="Arial"/>
          <w:szCs w:val="24"/>
        </w:rPr>
        <w:t>(</w:t>
      </w:r>
      <w:r w:rsidR="004E3891" w:rsidRPr="000564EB">
        <w:rPr>
          <w:rFonts w:cs="Arial"/>
          <w:szCs w:val="24"/>
        </w:rPr>
        <w:t>this is member complaints about employers</w:t>
      </w:r>
      <w:r w:rsidR="00F31F78">
        <w:rPr>
          <w:rFonts w:cs="Arial"/>
          <w:szCs w:val="24"/>
        </w:rPr>
        <w:t>);</w:t>
      </w:r>
    </w:p>
    <w:p w14:paraId="24F9A85F" w14:textId="3E864D86" w:rsidR="00D246CC" w:rsidRPr="000564EB" w:rsidRDefault="00A31934" w:rsidP="00C91855">
      <w:pPr>
        <w:pStyle w:val="ListParagraph"/>
        <w:widowControl/>
        <w:numPr>
          <w:ilvl w:val="0"/>
          <w:numId w:val="9"/>
        </w:numPr>
        <w:overflowPunct/>
        <w:autoSpaceDE/>
        <w:autoSpaceDN/>
        <w:adjustRightInd/>
        <w:ind w:left="1701" w:hanging="185"/>
        <w:jc w:val="both"/>
        <w:textAlignment w:val="auto"/>
        <w:rPr>
          <w:rFonts w:cs="Arial"/>
          <w:szCs w:val="24"/>
        </w:rPr>
      </w:pPr>
      <w:r>
        <w:rPr>
          <w:rFonts w:cs="Arial"/>
          <w:szCs w:val="24"/>
        </w:rPr>
        <w:t xml:space="preserve"> </w:t>
      </w:r>
      <w:r w:rsidR="00D246CC" w:rsidRPr="000564EB">
        <w:rPr>
          <w:rFonts w:cs="Arial"/>
          <w:szCs w:val="24"/>
        </w:rPr>
        <w:t>Correspondence – 17% (61)</w:t>
      </w:r>
      <w:r w:rsidR="00F31F78">
        <w:rPr>
          <w:rFonts w:cs="Arial"/>
          <w:szCs w:val="24"/>
        </w:rPr>
        <w:t>; and</w:t>
      </w:r>
      <w:r w:rsidR="00D246CC" w:rsidRPr="000564EB">
        <w:rPr>
          <w:rFonts w:cs="Arial"/>
          <w:szCs w:val="24"/>
        </w:rPr>
        <w:t xml:space="preserve"> </w:t>
      </w:r>
    </w:p>
    <w:p w14:paraId="18BD1729" w14:textId="5DA15B9C" w:rsidR="00D246CC" w:rsidRPr="000564EB" w:rsidRDefault="00A31934" w:rsidP="00C91855">
      <w:pPr>
        <w:pStyle w:val="ListParagraph"/>
        <w:widowControl/>
        <w:numPr>
          <w:ilvl w:val="0"/>
          <w:numId w:val="9"/>
        </w:numPr>
        <w:overflowPunct/>
        <w:autoSpaceDE/>
        <w:autoSpaceDN/>
        <w:adjustRightInd/>
        <w:ind w:left="1701" w:hanging="185"/>
        <w:jc w:val="both"/>
        <w:textAlignment w:val="auto"/>
        <w:rPr>
          <w:rFonts w:cs="Arial"/>
          <w:szCs w:val="24"/>
        </w:rPr>
      </w:pPr>
      <w:r>
        <w:rPr>
          <w:rFonts w:cs="Arial"/>
          <w:szCs w:val="24"/>
        </w:rPr>
        <w:t xml:space="preserve"> </w:t>
      </w:r>
      <w:r w:rsidR="00D246CC" w:rsidRPr="000564EB">
        <w:rPr>
          <w:rFonts w:cs="Arial"/>
          <w:szCs w:val="24"/>
        </w:rPr>
        <w:t>Repayments – 11.5% (41)</w:t>
      </w:r>
      <w:r w:rsidR="00F31F78">
        <w:rPr>
          <w:rFonts w:cs="Arial"/>
          <w:szCs w:val="24"/>
        </w:rPr>
        <w:t>.</w:t>
      </w:r>
      <w:r w:rsidR="00D246CC" w:rsidRPr="000564EB">
        <w:rPr>
          <w:rFonts w:cs="Arial"/>
          <w:szCs w:val="24"/>
        </w:rPr>
        <w:t xml:space="preserve"> </w:t>
      </w:r>
    </w:p>
    <w:p w14:paraId="292E40C9" w14:textId="77777777" w:rsidR="00D246CC" w:rsidRPr="000564EB" w:rsidRDefault="00D246CC" w:rsidP="00C91855">
      <w:pPr>
        <w:ind w:left="1701" w:hanging="185"/>
        <w:rPr>
          <w:rFonts w:cs="Arial"/>
          <w:szCs w:val="24"/>
        </w:rPr>
      </w:pPr>
      <w:r w:rsidRPr="000564EB">
        <w:rPr>
          <w:rFonts w:cs="Arial"/>
          <w:szCs w:val="24"/>
        </w:rPr>
        <w:t xml:space="preserve"> </w:t>
      </w:r>
    </w:p>
    <w:p w14:paraId="6E781E08" w14:textId="5E221EF3" w:rsidR="00D246CC" w:rsidRPr="000564EB" w:rsidRDefault="00D246CC" w:rsidP="00C91855">
      <w:pPr>
        <w:pStyle w:val="ListParagraph"/>
        <w:numPr>
          <w:ilvl w:val="0"/>
          <w:numId w:val="6"/>
        </w:numPr>
        <w:ind w:left="284" w:hanging="426"/>
        <w:rPr>
          <w:rFonts w:cs="Arial"/>
          <w:szCs w:val="24"/>
        </w:rPr>
      </w:pPr>
      <w:r w:rsidRPr="000564EB">
        <w:rPr>
          <w:rFonts w:cs="Arial"/>
          <w:szCs w:val="24"/>
        </w:rPr>
        <w:t>Of the 69 complaints that were employer related, the three main drivers were: opting-out; auto enrolment; and missing service. Correspondence and repayment complaints were due to delays in response or action. We continue to address the aged cases outstanding in both of these areas.</w:t>
      </w:r>
    </w:p>
    <w:p w14:paraId="11250FE5" w14:textId="77777777" w:rsidR="00AE3502" w:rsidRPr="000564EB" w:rsidRDefault="00AE3502" w:rsidP="00AE3502">
      <w:pPr>
        <w:pStyle w:val="ListParagraph"/>
        <w:rPr>
          <w:rFonts w:cs="Arial"/>
          <w:szCs w:val="24"/>
        </w:rPr>
      </w:pPr>
    </w:p>
    <w:p w14:paraId="55DF88C0" w14:textId="42E5216A" w:rsidR="00B517E8" w:rsidRPr="000564EB" w:rsidRDefault="00B517E8" w:rsidP="00C91855">
      <w:pPr>
        <w:pStyle w:val="DeptBullets"/>
        <w:numPr>
          <w:ilvl w:val="0"/>
          <w:numId w:val="6"/>
        </w:numPr>
        <w:spacing w:after="0"/>
        <w:ind w:left="284" w:right="-24" w:hanging="426"/>
        <w:rPr>
          <w:rFonts w:cs="Arial"/>
          <w:szCs w:val="24"/>
        </w:rPr>
      </w:pPr>
      <w:r w:rsidRPr="000564EB">
        <w:rPr>
          <w:rFonts w:cs="Arial"/>
          <w:szCs w:val="24"/>
        </w:rPr>
        <w:t>TP have conducted focus group research activity and telephone communications</w:t>
      </w:r>
      <w:r w:rsidR="000331CC">
        <w:rPr>
          <w:rFonts w:cs="Arial"/>
          <w:szCs w:val="24"/>
        </w:rPr>
        <w:t>, including</w:t>
      </w:r>
      <w:r w:rsidRPr="000564EB">
        <w:rPr>
          <w:rFonts w:cs="Arial"/>
          <w:szCs w:val="24"/>
        </w:rPr>
        <w:t xml:space="preserve"> holding a Comms Strategy Group Meeting on</w:t>
      </w:r>
      <w:r w:rsidR="004B06B2">
        <w:rPr>
          <w:rFonts w:cs="Arial"/>
          <w:szCs w:val="24"/>
        </w:rPr>
        <w:t xml:space="preserve"> </w:t>
      </w:r>
      <w:r w:rsidRPr="000564EB">
        <w:rPr>
          <w:rFonts w:cs="Arial"/>
          <w:szCs w:val="24"/>
        </w:rPr>
        <w:t>10 July</w:t>
      </w:r>
      <w:r w:rsidR="000331CC">
        <w:rPr>
          <w:rFonts w:cs="Arial"/>
          <w:szCs w:val="24"/>
        </w:rPr>
        <w:t>,</w:t>
      </w:r>
      <w:r w:rsidRPr="000564EB">
        <w:rPr>
          <w:rFonts w:cs="Arial"/>
          <w:szCs w:val="24"/>
        </w:rPr>
        <w:t xml:space="preserve"> with Unions and Employer Groups</w:t>
      </w:r>
      <w:r w:rsidR="000331CC">
        <w:rPr>
          <w:rFonts w:cs="Arial"/>
          <w:szCs w:val="24"/>
        </w:rPr>
        <w:t>,</w:t>
      </w:r>
      <w:r w:rsidR="000331CC" w:rsidRPr="000331CC">
        <w:rPr>
          <w:rFonts w:cs="Arial"/>
          <w:szCs w:val="24"/>
        </w:rPr>
        <w:t xml:space="preserve"> </w:t>
      </w:r>
      <w:r w:rsidR="000331CC" w:rsidRPr="000564EB">
        <w:rPr>
          <w:rFonts w:cs="Arial"/>
          <w:szCs w:val="24"/>
        </w:rPr>
        <w:t xml:space="preserve">and three employer workshops </w:t>
      </w:r>
      <w:r w:rsidR="000331CC">
        <w:rPr>
          <w:rFonts w:cs="Arial"/>
          <w:szCs w:val="24"/>
        </w:rPr>
        <w:t>re</w:t>
      </w:r>
      <w:r w:rsidR="000331CC" w:rsidRPr="000564EB">
        <w:rPr>
          <w:rFonts w:cs="Arial"/>
          <w:szCs w:val="24"/>
        </w:rPr>
        <w:t>garding employer portal research.</w:t>
      </w:r>
      <w:r w:rsidR="000331CC">
        <w:rPr>
          <w:rFonts w:cs="Arial"/>
          <w:szCs w:val="24"/>
        </w:rPr>
        <w:t xml:space="preserve">  T</w:t>
      </w:r>
      <w:r w:rsidRPr="000564EB">
        <w:rPr>
          <w:rFonts w:cs="Arial"/>
          <w:szCs w:val="24"/>
        </w:rPr>
        <w:t>he next Focus Group is taking place on 26 September in Leeds</w:t>
      </w:r>
      <w:r w:rsidR="000E3341">
        <w:rPr>
          <w:rFonts w:cs="Arial"/>
          <w:szCs w:val="24"/>
        </w:rPr>
        <w:t>,</w:t>
      </w:r>
      <w:r w:rsidRPr="000564EB">
        <w:rPr>
          <w:rFonts w:cs="Arial"/>
          <w:szCs w:val="24"/>
        </w:rPr>
        <w:t xml:space="preserve"> with both member and employer sessions taking place</w:t>
      </w:r>
      <w:r w:rsidR="000331CC">
        <w:rPr>
          <w:rFonts w:cs="Arial"/>
          <w:szCs w:val="24"/>
        </w:rPr>
        <w:t>.</w:t>
      </w:r>
      <w:r w:rsidRPr="000564EB">
        <w:rPr>
          <w:rFonts w:cs="Arial"/>
          <w:szCs w:val="24"/>
        </w:rPr>
        <w:t xml:space="preserve"> </w:t>
      </w:r>
    </w:p>
    <w:p w14:paraId="7B8E0F4E" w14:textId="77777777" w:rsidR="00AE3502" w:rsidRPr="000564EB" w:rsidRDefault="00AE3502" w:rsidP="00AE3502">
      <w:pPr>
        <w:rPr>
          <w:rFonts w:cs="Arial"/>
          <w:szCs w:val="24"/>
        </w:rPr>
      </w:pP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7230"/>
        <w:gridCol w:w="1134"/>
      </w:tblGrid>
      <w:tr w:rsidR="00605675" w:rsidRPr="000564EB" w14:paraId="23B352E0" w14:textId="77777777" w:rsidTr="00B40952">
        <w:tc>
          <w:tcPr>
            <w:tcW w:w="7230" w:type="dxa"/>
            <w:shd w:val="clear" w:color="auto" w:fill="auto"/>
          </w:tcPr>
          <w:p w14:paraId="13EE1036" w14:textId="77777777" w:rsidR="00605675" w:rsidRPr="000564EB" w:rsidRDefault="00605675" w:rsidP="00605675">
            <w:pPr>
              <w:rPr>
                <w:rFonts w:cs="Arial"/>
                <w:b/>
                <w:szCs w:val="24"/>
              </w:rPr>
            </w:pPr>
            <w:r w:rsidRPr="000564EB">
              <w:rPr>
                <w:rFonts w:cs="Arial"/>
                <w:b/>
                <w:szCs w:val="24"/>
              </w:rPr>
              <w:t>TPR Engagement</w:t>
            </w:r>
          </w:p>
          <w:p w14:paraId="2EF0983F" w14:textId="77777777" w:rsidR="00605675" w:rsidRPr="000564EB" w:rsidRDefault="00605675" w:rsidP="00733DA1">
            <w:pPr>
              <w:rPr>
                <w:rFonts w:cs="Arial"/>
                <w:b/>
                <w:szCs w:val="24"/>
              </w:rPr>
            </w:pPr>
          </w:p>
        </w:tc>
        <w:tc>
          <w:tcPr>
            <w:tcW w:w="1134" w:type="dxa"/>
            <w:shd w:val="clear" w:color="auto" w:fill="00B050"/>
          </w:tcPr>
          <w:p w14:paraId="5F0D7E4E" w14:textId="77777777" w:rsidR="00605675" w:rsidRPr="000564EB" w:rsidRDefault="00605675" w:rsidP="00733DA1">
            <w:pPr>
              <w:rPr>
                <w:rFonts w:cs="Arial"/>
                <w:color w:val="FFC000"/>
                <w:szCs w:val="24"/>
              </w:rPr>
            </w:pPr>
            <w:r w:rsidRPr="000564EB">
              <w:rPr>
                <w:rFonts w:cs="Arial"/>
                <w:noProof/>
                <w:color w:val="00B050"/>
                <w:szCs w:val="24"/>
                <w:lang w:eastAsia="en-GB"/>
              </w:rPr>
              <mc:AlternateContent>
                <mc:Choice Requires="wps">
                  <w:drawing>
                    <wp:anchor distT="0" distB="0" distL="114300" distR="114300" simplePos="0" relativeHeight="251737600" behindDoc="0" locked="0" layoutInCell="1" allowOverlap="1" wp14:anchorId="0744D82C" wp14:editId="7725C9FA">
                      <wp:simplePos x="0" y="0"/>
                      <wp:positionH relativeFrom="column">
                        <wp:posOffset>87630</wp:posOffset>
                      </wp:positionH>
                      <wp:positionV relativeFrom="paragraph">
                        <wp:posOffset>175895</wp:posOffset>
                      </wp:positionV>
                      <wp:extent cx="350520" cy="0"/>
                      <wp:effectExtent l="0" t="76200" r="30480" b="152400"/>
                      <wp:wrapNone/>
                      <wp:docPr id="3" name="Straight Arrow Connector 3"/>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EA55E56" id="Straight Arrow Connector 3" o:spid="_x0000_s1026" type="#_x0000_t32" style="position:absolute;margin-left:6.9pt;margin-top:13.85pt;width:27.6pt;height:0;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" strokecolor="windowText" strokeweight="2pt">
                      <v:stroke endarrow="open"/>
                      <v:shadow on="t" color="black" opacity="24903f" origin=",.5" offset="0,.55556mm"/>
                    </v:shape>
                  </w:pict>
                </mc:Fallback>
              </mc:AlternateContent>
            </w:r>
          </w:p>
        </w:tc>
      </w:tr>
    </w:tbl>
    <w:p w14:paraId="317F1B5D" w14:textId="77777777" w:rsidR="00605675" w:rsidRPr="000564EB" w:rsidRDefault="00605675" w:rsidP="00AE3502">
      <w:pPr>
        <w:rPr>
          <w:rFonts w:cs="Arial"/>
          <w:szCs w:val="24"/>
        </w:rPr>
      </w:pPr>
    </w:p>
    <w:p w14:paraId="2BC67234" w14:textId="7EBDCC06" w:rsidR="00B505D0" w:rsidRPr="000331CC" w:rsidRDefault="00F05FDE" w:rsidP="00C91855">
      <w:pPr>
        <w:pStyle w:val="ListParagraph"/>
        <w:numPr>
          <w:ilvl w:val="0"/>
          <w:numId w:val="6"/>
        </w:numPr>
        <w:ind w:left="284" w:hanging="426"/>
        <w:rPr>
          <w:rFonts w:cs="Arial"/>
          <w:szCs w:val="24"/>
        </w:rPr>
      </w:pPr>
      <w:r w:rsidRPr="000331CC">
        <w:rPr>
          <w:rFonts w:cs="Arial"/>
          <w:szCs w:val="24"/>
        </w:rPr>
        <w:t xml:space="preserve">TPR engagement </w:t>
      </w:r>
      <w:r w:rsidR="000331CC" w:rsidRPr="000331CC">
        <w:rPr>
          <w:rFonts w:cs="Arial"/>
          <w:szCs w:val="24"/>
        </w:rPr>
        <w:t>continued across the</w:t>
      </w:r>
      <w:r w:rsidRPr="000331CC">
        <w:rPr>
          <w:rFonts w:cs="Arial"/>
          <w:szCs w:val="24"/>
        </w:rPr>
        <w:t xml:space="preserve"> period</w:t>
      </w:r>
      <w:r w:rsidR="000331CC" w:rsidRPr="000331CC">
        <w:rPr>
          <w:rFonts w:cs="Arial"/>
          <w:szCs w:val="24"/>
        </w:rPr>
        <w:t>.  I</w:t>
      </w:r>
      <w:r w:rsidR="000331CC">
        <w:rPr>
          <w:rFonts w:cs="Arial"/>
          <w:szCs w:val="24"/>
        </w:rPr>
        <w:t xml:space="preserve">n </w:t>
      </w:r>
      <w:r w:rsidRPr="000331CC">
        <w:rPr>
          <w:rFonts w:cs="Arial"/>
          <w:szCs w:val="24"/>
        </w:rPr>
        <w:t>July</w:t>
      </w:r>
      <w:r w:rsidR="00C526FC">
        <w:rPr>
          <w:rFonts w:cs="Arial"/>
          <w:szCs w:val="24"/>
        </w:rPr>
        <w:t>,</w:t>
      </w:r>
      <w:r w:rsidRPr="000331CC">
        <w:rPr>
          <w:rFonts w:cs="Arial"/>
          <w:szCs w:val="24"/>
        </w:rPr>
        <w:t xml:space="preserve"> </w:t>
      </w:r>
      <w:r w:rsidR="000331CC">
        <w:rPr>
          <w:rFonts w:cs="Arial"/>
          <w:szCs w:val="24"/>
        </w:rPr>
        <w:t>s</w:t>
      </w:r>
      <w:r w:rsidRPr="000331CC">
        <w:rPr>
          <w:rFonts w:cs="Arial"/>
          <w:szCs w:val="24"/>
        </w:rPr>
        <w:t xml:space="preserve">even employers </w:t>
      </w:r>
      <w:r w:rsidR="000331CC">
        <w:rPr>
          <w:rFonts w:cs="Arial"/>
          <w:szCs w:val="24"/>
        </w:rPr>
        <w:t xml:space="preserve">were </w:t>
      </w:r>
      <w:r w:rsidRPr="000331CC">
        <w:rPr>
          <w:rFonts w:cs="Arial"/>
          <w:szCs w:val="24"/>
        </w:rPr>
        <w:t xml:space="preserve">reported for having contributions over 90 days old outstanding. Five employers have </w:t>
      </w:r>
      <w:r w:rsidR="000331CC">
        <w:rPr>
          <w:rFonts w:cs="Arial"/>
          <w:szCs w:val="24"/>
        </w:rPr>
        <w:t xml:space="preserve">issues with contributions from </w:t>
      </w:r>
      <w:r w:rsidRPr="000331CC">
        <w:rPr>
          <w:rFonts w:cs="Arial"/>
          <w:szCs w:val="24"/>
        </w:rPr>
        <w:t>multiple months</w:t>
      </w:r>
      <w:r w:rsidR="000331CC">
        <w:rPr>
          <w:rFonts w:cs="Arial"/>
          <w:szCs w:val="24"/>
        </w:rPr>
        <w:t xml:space="preserve"> and </w:t>
      </w:r>
      <w:r w:rsidRPr="000331CC">
        <w:rPr>
          <w:rFonts w:cs="Arial"/>
          <w:szCs w:val="24"/>
        </w:rPr>
        <w:t xml:space="preserve">the remaining two having one month outstanding over 90 days old.  The five establishments yet to submit their EOYC for 2015-16 were again reported to </w:t>
      </w:r>
      <w:r w:rsidR="004B06B2">
        <w:rPr>
          <w:rFonts w:cs="Arial"/>
          <w:szCs w:val="24"/>
        </w:rPr>
        <w:t>t</w:t>
      </w:r>
      <w:r w:rsidRPr="000331CC">
        <w:rPr>
          <w:rFonts w:cs="Arial"/>
          <w:szCs w:val="24"/>
        </w:rPr>
        <w:t>PR who is in the process of writing to them direct</w:t>
      </w:r>
      <w:r w:rsidR="00C526FC">
        <w:rPr>
          <w:rFonts w:cs="Arial"/>
          <w:szCs w:val="24"/>
        </w:rPr>
        <w:t>ly</w:t>
      </w:r>
      <w:r w:rsidRPr="000331CC">
        <w:rPr>
          <w:rFonts w:cs="Arial"/>
          <w:szCs w:val="24"/>
        </w:rPr>
        <w:t>. In addition, all 23 employers still to submit their 2016-17 audited return were reported</w:t>
      </w:r>
      <w:r w:rsidR="000331CC">
        <w:rPr>
          <w:rFonts w:cs="Arial"/>
          <w:szCs w:val="24"/>
        </w:rPr>
        <w:t xml:space="preserve"> (this is down from 78 employers at the start of the period)</w:t>
      </w:r>
      <w:r w:rsidRPr="000331CC">
        <w:rPr>
          <w:rFonts w:cs="Arial"/>
          <w:szCs w:val="24"/>
        </w:rPr>
        <w:t xml:space="preserve">. </w:t>
      </w:r>
    </w:p>
    <w:p w14:paraId="7717F553" w14:textId="77777777" w:rsidR="00B505D0" w:rsidRPr="000564EB" w:rsidRDefault="00B505D0" w:rsidP="00C91855">
      <w:pPr>
        <w:widowControl/>
        <w:overflowPunct/>
        <w:autoSpaceDE/>
        <w:autoSpaceDN/>
        <w:adjustRightInd/>
        <w:ind w:left="284" w:hanging="426"/>
        <w:textAlignment w:val="auto"/>
        <w:rPr>
          <w:rFonts w:cs="Arial"/>
          <w:szCs w:val="24"/>
        </w:rPr>
      </w:pPr>
    </w:p>
    <w:tbl>
      <w:tblPr>
        <w:tblStyle w:val="TableGrid"/>
        <w:tblW w:w="0" w:type="auto"/>
        <w:tblInd w:w="108" w:type="dxa"/>
        <w:tblLook w:val="04A0" w:firstRow="1" w:lastRow="0" w:firstColumn="1" w:lastColumn="0" w:noHBand="0" w:noVBand="1"/>
      </w:tblPr>
      <w:tblGrid>
        <w:gridCol w:w="7230"/>
        <w:gridCol w:w="1134"/>
      </w:tblGrid>
      <w:tr w:rsidR="0050779A" w:rsidRPr="000564EB" w14:paraId="59B50D16" w14:textId="77777777" w:rsidTr="00415282">
        <w:tc>
          <w:tcPr>
            <w:tcW w:w="7230" w:type="dxa"/>
          </w:tcPr>
          <w:p w14:paraId="6D2B7972" w14:textId="77777777" w:rsidR="0050779A" w:rsidRPr="000564EB" w:rsidRDefault="0050779A" w:rsidP="00415282">
            <w:pPr>
              <w:rPr>
                <w:rFonts w:cs="Arial"/>
                <w:b/>
                <w:color w:val="000000"/>
                <w:szCs w:val="24"/>
                <w:lang w:eastAsia="en-GB"/>
              </w:rPr>
            </w:pPr>
            <w:r w:rsidRPr="000564EB">
              <w:rPr>
                <w:rFonts w:cs="Arial"/>
                <w:b/>
                <w:color w:val="000000"/>
                <w:szCs w:val="24"/>
                <w:lang w:eastAsia="en-GB"/>
              </w:rPr>
              <w:t>Service Improvements</w:t>
            </w:r>
          </w:p>
          <w:p w14:paraId="37DEF3D7" w14:textId="77777777" w:rsidR="0050779A" w:rsidRPr="000564EB" w:rsidRDefault="0050779A" w:rsidP="00415282">
            <w:pPr>
              <w:rPr>
                <w:rFonts w:cs="Arial"/>
                <w:b/>
                <w:szCs w:val="24"/>
              </w:rPr>
            </w:pPr>
          </w:p>
        </w:tc>
        <w:tc>
          <w:tcPr>
            <w:tcW w:w="1134" w:type="dxa"/>
            <w:shd w:val="clear" w:color="auto" w:fill="FFC000"/>
          </w:tcPr>
          <w:p w14:paraId="7F3D4875" w14:textId="77777777" w:rsidR="0050779A" w:rsidRPr="000564EB" w:rsidRDefault="0050779A" w:rsidP="00415282">
            <w:pPr>
              <w:rPr>
                <w:rFonts w:cs="Arial"/>
                <w:color w:val="FF0000"/>
                <w:szCs w:val="24"/>
              </w:rPr>
            </w:pPr>
            <w:r w:rsidRPr="000564EB">
              <w:rPr>
                <w:rFonts w:cs="Arial"/>
                <w:noProof/>
                <w:color w:val="00B050"/>
                <w:szCs w:val="24"/>
                <w:lang w:eastAsia="en-GB"/>
              </w:rPr>
              <mc:AlternateContent>
                <mc:Choice Requires="wps">
                  <w:drawing>
                    <wp:anchor distT="0" distB="0" distL="114300" distR="114300" simplePos="0" relativeHeight="251733504" behindDoc="0" locked="0" layoutInCell="1" allowOverlap="1" wp14:anchorId="7FC26C49" wp14:editId="60C11F15">
                      <wp:simplePos x="0" y="0"/>
                      <wp:positionH relativeFrom="column">
                        <wp:posOffset>77143</wp:posOffset>
                      </wp:positionH>
                      <wp:positionV relativeFrom="paragraph">
                        <wp:posOffset>65191</wp:posOffset>
                      </wp:positionV>
                      <wp:extent cx="485757" cy="158567"/>
                      <wp:effectExtent l="38100" t="57150" r="0" b="89535"/>
                      <wp:wrapNone/>
                      <wp:docPr id="10" name="Straight Arrow Connector 10"/>
                      <wp:cNvGraphicFramePr/>
                      <a:graphic xmlns:a="http://schemas.openxmlformats.org/drawingml/2006/main">
                        <a:graphicData uri="http://schemas.microsoft.com/office/word/2010/wordprocessingShape">
                          <wps:wsp>
                            <wps:cNvCnPr/>
                            <wps:spPr>
                              <a:xfrm flipV="1">
                                <a:off x="0" y="0"/>
                                <a:ext cx="485757" cy="158567"/>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AA442D1" id="Straight Arrow Connector 10" o:spid="_x0000_s1026" type="#_x0000_t32" style="position:absolute;margin-left:6.05pt;margin-top:5.15pt;width:38.25pt;height:12.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" strokecolor="windowText" strokeweight="2pt">
                      <v:stroke endarrow="open"/>
                      <v:shadow on="t" color="black" opacity="24903f" origin=",.5" offset="0,.55556mm"/>
                    </v:shape>
                  </w:pict>
                </mc:Fallback>
              </mc:AlternateContent>
            </w:r>
          </w:p>
          <w:p w14:paraId="6D11AA09" w14:textId="77777777" w:rsidR="0050779A" w:rsidRPr="000564EB" w:rsidRDefault="0050779A" w:rsidP="00415282">
            <w:pPr>
              <w:rPr>
                <w:rFonts w:cs="Arial"/>
                <w:color w:val="00B050"/>
                <w:szCs w:val="24"/>
              </w:rPr>
            </w:pPr>
          </w:p>
        </w:tc>
      </w:tr>
    </w:tbl>
    <w:p w14:paraId="11C3DB8A" w14:textId="77777777" w:rsidR="0050779A" w:rsidRPr="000564EB" w:rsidRDefault="0050779A" w:rsidP="0034704B">
      <w:pPr>
        <w:rPr>
          <w:rFonts w:cs="Arial"/>
          <w:b/>
          <w:color w:val="7030A0"/>
          <w:szCs w:val="24"/>
        </w:rPr>
      </w:pPr>
    </w:p>
    <w:p w14:paraId="21C9E8BE" w14:textId="77777777" w:rsidR="0034704B" w:rsidRPr="000564EB" w:rsidRDefault="006E243D" w:rsidP="0034704B">
      <w:pPr>
        <w:rPr>
          <w:rFonts w:cs="Arial"/>
          <w:b/>
          <w:color w:val="FF0000"/>
          <w:szCs w:val="24"/>
        </w:rPr>
      </w:pPr>
      <w:r w:rsidRPr="000564EB">
        <w:rPr>
          <w:rFonts w:cs="Arial"/>
          <w:b/>
          <w:szCs w:val="24"/>
        </w:rPr>
        <w:t>RMH Replacement</w:t>
      </w:r>
    </w:p>
    <w:p w14:paraId="59F28FEC" w14:textId="77777777" w:rsidR="0034704B" w:rsidRPr="000564EB" w:rsidRDefault="0034704B" w:rsidP="0034704B">
      <w:pPr>
        <w:rPr>
          <w:rFonts w:cs="Arial"/>
          <w:szCs w:val="24"/>
        </w:rPr>
      </w:pPr>
    </w:p>
    <w:p w14:paraId="498834D7" w14:textId="77777777" w:rsidR="00CE6D2C" w:rsidRPr="000564EB" w:rsidRDefault="00CE6D2C" w:rsidP="00C91855">
      <w:pPr>
        <w:pStyle w:val="ListParagraph"/>
        <w:numPr>
          <w:ilvl w:val="0"/>
          <w:numId w:val="6"/>
        </w:numPr>
        <w:ind w:left="284" w:hanging="567"/>
        <w:rPr>
          <w:rFonts w:cs="Arial"/>
          <w:szCs w:val="24"/>
          <w:lang w:eastAsia="en-GB"/>
        </w:rPr>
      </w:pPr>
      <w:r w:rsidRPr="000564EB">
        <w:rPr>
          <w:rFonts w:cs="Arial"/>
          <w:szCs w:val="24"/>
        </w:rPr>
        <w:t xml:space="preserve">The project to move from the existing IT environment (RMH) in the Capita data centre to a secure cloud environment hosted by Microsoft Azure is progressing well. </w:t>
      </w:r>
    </w:p>
    <w:p w14:paraId="095FE95C" w14:textId="77777777" w:rsidR="00CE6D2C" w:rsidRPr="000564EB" w:rsidRDefault="00CE6D2C" w:rsidP="00C91855">
      <w:pPr>
        <w:pStyle w:val="ListParagraph"/>
        <w:ind w:left="284" w:hanging="567"/>
        <w:rPr>
          <w:rFonts w:cs="Arial"/>
          <w:szCs w:val="24"/>
        </w:rPr>
      </w:pPr>
    </w:p>
    <w:p w14:paraId="3F882C50" w14:textId="5899A4D5" w:rsidR="00605675" w:rsidRPr="000564EB" w:rsidRDefault="000331CC" w:rsidP="001E5A7C">
      <w:pPr>
        <w:pStyle w:val="ListParagraph"/>
        <w:numPr>
          <w:ilvl w:val="0"/>
          <w:numId w:val="6"/>
        </w:numPr>
        <w:ind w:left="284" w:hanging="567"/>
        <w:rPr>
          <w:rFonts w:cs="Arial"/>
          <w:szCs w:val="24"/>
        </w:rPr>
      </w:pPr>
      <w:r>
        <w:rPr>
          <w:rFonts w:cs="Arial"/>
          <w:szCs w:val="24"/>
        </w:rPr>
        <w:t>A decision was taken at the</w:t>
      </w:r>
      <w:r w:rsidR="00CE6D2C" w:rsidRPr="000564EB">
        <w:rPr>
          <w:rFonts w:cs="Arial"/>
          <w:szCs w:val="24"/>
        </w:rPr>
        <w:t xml:space="preserve"> Quarterly Strategy Board </w:t>
      </w:r>
      <w:r>
        <w:rPr>
          <w:rFonts w:cs="Arial"/>
          <w:szCs w:val="24"/>
        </w:rPr>
        <w:t xml:space="preserve">to </w:t>
      </w:r>
      <w:r w:rsidRPr="000564EB">
        <w:rPr>
          <w:rFonts w:cs="Arial"/>
          <w:szCs w:val="24"/>
        </w:rPr>
        <w:t xml:space="preserve">delay </w:t>
      </w:r>
      <w:r>
        <w:rPr>
          <w:rFonts w:cs="Arial"/>
          <w:szCs w:val="24"/>
        </w:rPr>
        <w:t xml:space="preserve">implementation </w:t>
      </w:r>
      <w:r w:rsidRPr="000564EB">
        <w:rPr>
          <w:rFonts w:cs="Arial"/>
          <w:szCs w:val="24"/>
        </w:rPr>
        <w:t xml:space="preserve">until </w:t>
      </w:r>
      <w:r w:rsidR="001E5A7C">
        <w:rPr>
          <w:rFonts w:cs="Arial"/>
          <w:szCs w:val="24"/>
        </w:rPr>
        <w:t>after</w:t>
      </w:r>
      <w:r w:rsidRPr="000564EB">
        <w:rPr>
          <w:rFonts w:cs="Arial"/>
          <w:szCs w:val="24"/>
        </w:rPr>
        <w:t xml:space="preserve"> the summer retirement exercise is complete.  </w:t>
      </w:r>
      <w:r>
        <w:rPr>
          <w:rFonts w:cs="Arial"/>
          <w:szCs w:val="24"/>
        </w:rPr>
        <w:t xml:space="preserve">This followed </w:t>
      </w:r>
      <w:r w:rsidR="00CE6D2C" w:rsidRPr="000564EB">
        <w:rPr>
          <w:rFonts w:cs="Arial"/>
          <w:szCs w:val="24"/>
        </w:rPr>
        <w:t>consider</w:t>
      </w:r>
      <w:r>
        <w:rPr>
          <w:rFonts w:cs="Arial"/>
          <w:szCs w:val="24"/>
        </w:rPr>
        <w:t>ation</w:t>
      </w:r>
      <w:r w:rsidR="001E0808">
        <w:rPr>
          <w:rFonts w:cs="Arial"/>
          <w:szCs w:val="24"/>
        </w:rPr>
        <w:t xml:space="preserve"> </w:t>
      </w:r>
      <w:r>
        <w:rPr>
          <w:rFonts w:cs="Arial"/>
          <w:szCs w:val="24"/>
        </w:rPr>
        <w:t xml:space="preserve">of all the issues and risks involved, including </w:t>
      </w:r>
      <w:r w:rsidR="00CE6D2C" w:rsidRPr="000564EB">
        <w:rPr>
          <w:rFonts w:cs="Arial"/>
          <w:szCs w:val="24"/>
        </w:rPr>
        <w:t xml:space="preserve">the </w:t>
      </w:r>
      <w:r w:rsidR="006E4582" w:rsidRPr="000564EB">
        <w:rPr>
          <w:rFonts w:cs="Arial"/>
          <w:szCs w:val="24"/>
        </w:rPr>
        <w:t>practicalities to resolve around network connection from RMH</w:t>
      </w:r>
      <w:r>
        <w:rPr>
          <w:rFonts w:cs="Arial"/>
          <w:szCs w:val="24"/>
        </w:rPr>
        <w:t xml:space="preserve">.  </w:t>
      </w:r>
      <w:r w:rsidR="001E5A7C" w:rsidRPr="00857D59">
        <w:rPr>
          <w:rFonts w:cs="Arial"/>
          <w:szCs w:val="24"/>
        </w:rPr>
        <w:t xml:space="preserve">TP </w:t>
      </w:r>
      <w:r w:rsidR="001E5A7C">
        <w:rPr>
          <w:rFonts w:cs="Arial"/>
          <w:szCs w:val="24"/>
        </w:rPr>
        <w:t>will</w:t>
      </w:r>
      <w:r w:rsidR="001E5A7C" w:rsidRPr="00857D59">
        <w:rPr>
          <w:rFonts w:cs="Arial"/>
          <w:szCs w:val="24"/>
        </w:rPr>
        <w:t xml:space="preserve"> not now </w:t>
      </w:r>
      <w:r w:rsidR="001E5A7C">
        <w:rPr>
          <w:rFonts w:cs="Arial"/>
          <w:szCs w:val="24"/>
        </w:rPr>
        <w:t xml:space="preserve">be </w:t>
      </w:r>
      <w:r w:rsidR="001E5A7C" w:rsidRPr="00857D59">
        <w:rPr>
          <w:rFonts w:cs="Arial"/>
          <w:szCs w:val="24"/>
        </w:rPr>
        <w:t>the first Capita entity to migrate</w:t>
      </w:r>
      <w:r w:rsidR="001E5A7C">
        <w:rPr>
          <w:rFonts w:cs="Arial"/>
          <w:szCs w:val="24"/>
        </w:rPr>
        <w:t>,</w:t>
      </w:r>
      <w:r w:rsidR="001E5A7C" w:rsidRPr="00857D59">
        <w:rPr>
          <w:rFonts w:cs="Arial"/>
          <w:szCs w:val="24"/>
        </w:rPr>
        <w:t xml:space="preserve"> </w:t>
      </w:r>
      <w:r w:rsidR="001E5A7C">
        <w:rPr>
          <w:rFonts w:cs="Arial"/>
          <w:szCs w:val="24"/>
        </w:rPr>
        <w:t>which means that issues that may arise will be resolved before TP’s migration, which is currently scheduled for the end of October.</w:t>
      </w:r>
    </w:p>
    <w:p w14:paraId="6618D440" w14:textId="77777777" w:rsidR="0034704B" w:rsidRPr="000564EB" w:rsidRDefault="0034704B" w:rsidP="0034704B">
      <w:pPr>
        <w:rPr>
          <w:rFonts w:cs="Arial"/>
          <w:szCs w:val="24"/>
        </w:rPr>
      </w:pPr>
    </w:p>
    <w:p w14:paraId="61937743" w14:textId="77777777" w:rsidR="0034704B" w:rsidRPr="000564EB" w:rsidRDefault="0034704B" w:rsidP="0034704B">
      <w:pPr>
        <w:rPr>
          <w:rFonts w:cs="Arial"/>
          <w:b/>
          <w:bCs/>
          <w:szCs w:val="24"/>
        </w:rPr>
      </w:pPr>
      <w:r w:rsidRPr="000564EB">
        <w:rPr>
          <w:rFonts w:cs="Arial"/>
          <w:b/>
          <w:bCs/>
          <w:szCs w:val="24"/>
        </w:rPr>
        <w:t>Monthly Contributions Reconciliation (MCR)</w:t>
      </w:r>
    </w:p>
    <w:p w14:paraId="71532146" w14:textId="77777777" w:rsidR="0034704B" w:rsidRPr="000564EB" w:rsidRDefault="0034704B" w:rsidP="0034704B">
      <w:pPr>
        <w:rPr>
          <w:rFonts w:cs="Arial"/>
          <w:szCs w:val="24"/>
        </w:rPr>
      </w:pPr>
    </w:p>
    <w:p w14:paraId="1D3075C4" w14:textId="578D23F3" w:rsidR="003F7C29" w:rsidRPr="000331CC" w:rsidRDefault="003F7C29" w:rsidP="00C91855">
      <w:pPr>
        <w:pStyle w:val="ListParagraph"/>
        <w:numPr>
          <w:ilvl w:val="0"/>
          <w:numId w:val="6"/>
        </w:numPr>
        <w:ind w:left="284" w:hanging="426"/>
        <w:rPr>
          <w:rFonts w:cs="Arial"/>
          <w:szCs w:val="24"/>
        </w:rPr>
      </w:pPr>
      <w:r w:rsidRPr="000564EB">
        <w:rPr>
          <w:rFonts w:eastAsiaTheme="minorEastAsia" w:cs="Arial"/>
          <w:szCs w:val="24"/>
        </w:rPr>
        <w:t xml:space="preserve">The objective of MCR is to allow TP to compare the contributions information provided within the MDC file against the service and salary details. This can subsequently be compared against the payment made to TP each month. </w:t>
      </w:r>
      <w:r w:rsidRPr="000564EB">
        <w:rPr>
          <w:rFonts w:cs="Arial"/>
          <w:szCs w:val="24"/>
        </w:rPr>
        <w:t xml:space="preserve"> </w:t>
      </w:r>
      <w:r w:rsidRPr="000564EB">
        <w:rPr>
          <w:rFonts w:eastAsiaTheme="minorEastAsia" w:cs="Arial"/>
          <w:szCs w:val="24"/>
        </w:rPr>
        <w:t>This replaces the requirement for employers to provide the Monthly Contributions Breakdown Form</w:t>
      </w:r>
      <w:r w:rsidR="00217FCC">
        <w:rPr>
          <w:rFonts w:eastAsiaTheme="minorEastAsia" w:cs="Arial"/>
          <w:szCs w:val="24"/>
        </w:rPr>
        <w:t xml:space="preserve"> and will improve data quality</w:t>
      </w:r>
      <w:r w:rsidRPr="000564EB">
        <w:rPr>
          <w:rFonts w:eastAsiaTheme="minorEastAsia" w:cs="Arial"/>
          <w:szCs w:val="24"/>
        </w:rPr>
        <w:t xml:space="preserve">. </w:t>
      </w:r>
    </w:p>
    <w:p w14:paraId="01DC4976" w14:textId="77777777" w:rsidR="000331CC" w:rsidRPr="000564EB" w:rsidRDefault="000331CC" w:rsidP="00C91855">
      <w:pPr>
        <w:pStyle w:val="ListParagraph"/>
        <w:ind w:left="284" w:hanging="426"/>
        <w:rPr>
          <w:rFonts w:cs="Arial"/>
          <w:szCs w:val="24"/>
        </w:rPr>
      </w:pPr>
    </w:p>
    <w:p w14:paraId="67229314" w14:textId="510FEF42" w:rsidR="003F7C29" w:rsidRPr="00217FCC" w:rsidRDefault="003F7C29" w:rsidP="00C91855">
      <w:pPr>
        <w:pStyle w:val="ListParagraph"/>
        <w:numPr>
          <w:ilvl w:val="0"/>
          <w:numId w:val="6"/>
        </w:numPr>
        <w:ind w:left="284" w:hanging="426"/>
        <w:rPr>
          <w:rFonts w:cs="Arial"/>
          <w:szCs w:val="24"/>
        </w:rPr>
      </w:pPr>
      <w:r w:rsidRPr="000564EB">
        <w:rPr>
          <w:rFonts w:eastAsiaTheme="minorEastAsia" w:cs="Arial"/>
          <w:szCs w:val="24"/>
        </w:rPr>
        <w:t xml:space="preserve">Teachers’ Pensions </w:t>
      </w:r>
      <w:r w:rsidR="00217FCC">
        <w:rPr>
          <w:rFonts w:eastAsiaTheme="minorEastAsia" w:cs="Arial"/>
          <w:szCs w:val="24"/>
        </w:rPr>
        <w:t xml:space="preserve">are using the lessons learnt from </w:t>
      </w:r>
      <w:r w:rsidRPr="000564EB">
        <w:rPr>
          <w:rFonts w:eastAsiaTheme="minorEastAsia" w:cs="Arial"/>
          <w:szCs w:val="24"/>
        </w:rPr>
        <w:t>the development and launch of MDC</w:t>
      </w:r>
      <w:r w:rsidR="00217FCC">
        <w:rPr>
          <w:rFonts w:eastAsiaTheme="minorEastAsia" w:cs="Arial"/>
          <w:szCs w:val="24"/>
        </w:rPr>
        <w:t xml:space="preserve">.  For example, </w:t>
      </w:r>
      <w:r w:rsidRPr="000564EB">
        <w:rPr>
          <w:rFonts w:eastAsiaTheme="minorEastAsia" w:cs="Arial"/>
          <w:szCs w:val="24"/>
        </w:rPr>
        <w:t xml:space="preserve">stakeholder engagement </w:t>
      </w:r>
      <w:r w:rsidR="00217FCC">
        <w:rPr>
          <w:rFonts w:eastAsiaTheme="minorEastAsia" w:cs="Arial"/>
          <w:szCs w:val="24"/>
        </w:rPr>
        <w:t xml:space="preserve">has taken place </w:t>
      </w:r>
      <w:r w:rsidRPr="000564EB">
        <w:rPr>
          <w:rFonts w:eastAsiaTheme="minorEastAsia" w:cs="Arial"/>
          <w:szCs w:val="24"/>
        </w:rPr>
        <w:t>at a much earlier stage so feedback from Employers, Payroll Providers and Software suppliers c</w:t>
      </w:r>
      <w:r w:rsidR="00217FCC">
        <w:rPr>
          <w:rFonts w:eastAsiaTheme="minorEastAsia" w:cs="Arial"/>
          <w:szCs w:val="24"/>
        </w:rPr>
        <w:t>an</w:t>
      </w:r>
      <w:r w:rsidRPr="000564EB">
        <w:rPr>
          <w:rFonts w:eastAsiaTheme="minorEastAsia" w:cs="Arial"/>
          <w:szCs w:val="24"/>
        </w:rPr>
        <w:t xml:space="preserve"> be used to help shape the MCR process and template.</w:t>
      </w:r>
    </w:p>
    <w:p w14:paraId="2B9EDB02" w14:textId="77777777" w:rsidR="00217FCC" w:rsidRPr="00217FCC" w:rsidRDefault="00217FCC" w:rsidP="00C91855">
      <w:pPr>
        <w:pStyle w:val="ListParagraph"/>
        <w:ind w:left="284" w:hanging="426"/>
        <w:rPr>
          <w:rFonts w:cs="Arial"/>
          <w:szCs w:val="24"/>
        </w:rPr>
      </w:pPr>
    </w:p>
    <w:p w14:paraId="79A0A75D" w14:textId="3BDDC86F" w:rsidR="003F7C29" w:rsidRPr="00217FCC" w:rsidRDefault="00217FCC" w:rsidP="00C91855">
      <w:pPr>
        <w:pStyle w:val="ListParagraph"/>
        <w:widowControl/>
        <w:numPr>
          <w:ilvl w:val="0"/>
          <w:numId w:val="6"/>
        </w:numPr>
        <w:overflowPunct/>
        <w:autoSpaceDE/>
        <w:autoSpaceDN/>
        <w:adjustRightInd/>
        <w:ind w:left="284" w:hanging="426"/>
        <w:jc w:val="both"/>
        <w:textAlignment w:val="auto"/>
        <w:rPr>
          <w:rFonts w:cs="Arial"/>
          <w:szCs w:val="24"/>
        </w:rPr>
      </w:pPr>
      <w:r w:rsidRPr="00217FCC">
        <w:rPr>
          <w:rFonts w:cs="Arial"/>
          <w:szCs w:val="24"/>
        </w:rPr>
        <w:t>I</w:t>
      </w:r>
      <w:r w:rsidR="003F7C29" w:rsidRPr="00217FCC">
        <w:rPr>
          <w:rFonts w:eastAsiaTheme="minorEastAsia" w:cs="Arial"/>
          <w:szCs w:val="24"/>
        </w:rPr>
        <w:t>n addition to existing engagement events, three more were planned for each sector</w:t>
      </w:r>
      <w:r w:rsidRPr="00217FCC">
        <w:rPr>
          <w:rFonts w:eastAsiaTheme="minorEastAsia" w:cs="Arial"/>
          <w:szCs w:val="24"/>
        </w:rPr>
        <w:t>, involving Payroll &amp; Software suppliers, LA Employers and Non-LA Employers</w:t>
      </w:r>
      <w:r>
        <w:rPr>
          <w:rFonts w:eastAsiaTheme="minorEastAsia" w:cs="Arial"/>
          <w:szCs w:val="24"/>
        </w:rPr>
        <w:t>:-</w:t>
      </w:r>
    </w:p>
    <w:p w14:paraId="7D4E1926" w14:textId="77777777" w:rsidR="00217FCC" w:rsidRPr="00217FCC" w:rsidRDefault="00217FCC" w:rsidP="00217FCC">
      <w:pPr>
        <w:pStyle w:val="ListParagraph"/>
        <w:rPr>
          <w:rFonts w:cs="Arial"/>
          <w:szCs w:val="24"/>
        </w:rPr>
      </w:pPr>
    </w:p>
    <w:p w14:paraId="23418C61" w14:textId="484CA6FC" w:rsidR="003F7C29" w:rsidRPr="000564EB" w:rsidRDefault="003F7C29" w:rsidP="000564EB">
      <w:pPr>
        <w:pStyle w:val="ListParagraph"/>
        <w:widowControl/>
        <w:numPr>
          <w:ilvl w:val="0"/>
          <w:numId w:val="8"/>
        </w:numPr>
        <w:overflowPunct/>
        <w:autoSpaceDE/>
        <w:autoSpaceDN/>
        <w:adjustRightInd/>
        <w:jc w:val="both"/>
        <w:textAlignment w:val="auto"/>
        <w:rPr>
          <w:rFonts w:cs="Arial"/>
          <w:szCs w:val="24"/>
        </w:rPr>
      </w:pPr>
      <w:r w:rsidRPr="000564EB">
        <w:rPr>
          <w:rFonts w:eastAsiaTheme="minorEastAsia" w:cs="Arial"/>
          <w:szCs w:val="24"/>
        </w:rPr>
        <w:t>May/June 2018 – Workshop to gather feedback on the proposed process and template</w:t>
      </w:r>
      <w:r w:rsidR="00217FCC">
        <w:rPr>
          <w:rFonts w:eastAsiaTheme="minorEastAsia" w:cs="Arial"/>
          <w:szCs w:val="24"/>
        </w:rPr>
        <w:t>.</w:t>
      </w:r>
      <w:r w:rsidRPr="000564EB">
        <w:rPr>
          <w:rFonts w:eastAsiaTheme="minorEastAsia" w:cs="Arial"/>
          <w:szCs w:val="24"/>
        </w:rPr>
        <w:t xml:space="preserve"> </w:t>
      </w:r>
    </w:p>
    <w:p w14:paraId="24B326CD" w14:textId="2F729735" w:rsidR="003F7C29" w:rsidRPr="000564EB" w:rsidRDefault="003F7C29" w:rsidP="000564EB">
      <w:pPr>
        <w:pStyle w:val="ListParagraph"/>
        <w:widowControl/>
        <w:numPr>
          <w:ilvl w:val="0"/>
          <w:numId w:val="8"/>
        </w:numPr>
        <w:overflowPunct/>
        <w:autoSpaceDE/>
        <w:autoSpaceDN/>
        <w:adjustRightInd/>
        <w:jc w:val="both"/>
        <w:textAlignment w:val="auto"/>
        <w:rPr>
          <w:rFonts w:cs="Arial"/>
          <w:szCs w:val="24"/>
        </w:rPr>
      </w:pPr>
      <w:r w:rsidRPr="000564EB">
        <w:rPr>
          <w:rFonts w:eastAsiaTheme="minorEastAsia" w:cs="Arial"/>
          <w:szCs w:val="24"/>
        </w:rPr>
        <w:t>September 2018 – Presentation of solution so far and review</w:t>
      </w:r>
      <w:r w:rsidR="00217FCC">
        <w:rPr>
          <w:rFonts w:eastAsiaTheme="minorEastAsia" w:cs="Arial"/>
          <w:szCs w:val="24"/>
        </w:rPr>
        <w:t>.</w:t>
      </w:r>
    </w:p>
    <w:p w14:paraId="07E45DD8" w14:textId="5B011783" w:rsidR="003F7C29" w:rsidRPr="000564EB" w:rsidRDefault="003F7C29" w:rsidP="001E0808">
      <w:pPr>
        <w:pStyle w:val="ListParagraph"/>
        <w:widowControl/>
        <w:numPr>
          <w:ilvl w:val="0"/>
          <w:numId w:val="8"/>
        </w:numPr>
        <w:overflowPunct/>
        <w:autoSpaceDE/>
        <w:autoSpaceDN/>
        <w:adjustRightInd/>
        <w:textAlignment w:val="auto"/>
        <w:rPr>
          <w:rFonts w:cs="Arial"/>
          <w:szCs w:val="24"/>
        </w:rPr>
      </w:pPr>
      <w:r w:rsidRPr="000564EB">
        <w:rPr>
          <w:rFonts w:eastAsiaTheme="minorEastAsia" w:cs="Arial"/>
          <w:szCs w:val="24"/>
        </w:rPr>
        <w:t>January 2019 – Presentation and review of “Developer specification” and “Guidance document” for MCR</w:t>
      </w:r>
      <w:r w:rsidR="00217FCC">
        <w:rPr>
          <w:rFonts w:eastAsiaTheme="minorEastAsia" w:cs="Arial"/>
          <w:szCs w:val="24"/>
        </w:rPr>
        <w:t>.</w:t>
      </w:r>
    </w:p>
    <w:p w14:paraId="6B44AAF5" w14:textId="77777777" w:rsidR="003F7C29" w:rsidRPr="000564EB" w:rsidRDefault="003F7C29" w:rsidP="001E0808">
      <w:pPr>
        <w:rPr>
          <w:rFonts w:cs="Arial"/>
          <w:szCs w:val="24"/>
        </w:rPr>
      </w:pPr>
    </w:p>
    <w:p w14:paraId="31EE5FEC" w14:textId="0D8C411B" w:rsidR="003F7C29" w:rsidRPr="000564EB" w:rsidRDefault="003F7C29" w:rsidP="00C91855">
      <w:pPr>
        <w:pStyle w:val="ListParagraph"/>
        <w:numPr>
          <w:ilvl w:val="0"/>
          <w:numId w:val="6"/>
        </w:numPr>
        <w:ind w:left="284"/>
        <w:rPr>
          <w:rFonts w:cs="Arial"/>
          <w:szCs w:val="24"/>
        </w:rPr>
      </w:pPr>
      <w:r w:rsidRPr="000564EB">
        <w:rPr>
          <w:rFonts w:eastAsiaTheme="minorEastAsia" w:cs="Arial"/>
          <w:szCs w:val="24"/>
        </w:rPr>
        <w:t>During the first set of workshops</w:t>
      </w:r>
      <w:r w:rsidR="001E0808">
        <w:rPr>
          <w:rFonts w:eastAsiaTheme="minorEastAsia" w:cs="Arial"/>
          <w:szCs w:val="24"/>
        </w:rPr>
        <w:t>,</w:t>
      </w:r>
      <w:r w:rsidRPr="000564EB">
        <w:rPr>
          <w:rFonts w:eastAsiaTheme="minorEastAsia" w:cs="Arial"/>
          <w:szCs w:val="24"/>
        </w:rPr>
        <w:t xml:space="preserve"> a suggestion was made that we make use of a small group of stakeholders to hold more regular focus group</w:t>
      </w:r>
      <w:r w:rsidR="001E0808">
        <w:rPr>
          <w:rFonts w:eastAsiaTheme="minorEastAsia" w:cs="Arial"/>
          <w:szCs w:val="24"/>
        </w:rPr>
        <w:t>s</w:t>
      </w:r>
      <w:r w:rsidRPr="000564EB">
        <w:rPr>
          <w:rFonts w:eastAsiaTheme="minorEastAsia" w:cs="Arial"/>
          <w:szCs w:val="24"/>
        </w:rPr>
        <w:t>. As the solution changed based on the feedback from those first sessions</w:t>
      </w:r>
      <w:r w:rsidR="001E0808">
        <w:rPr>
          <w:rFonts w:eastAsiaTheme="minorEastAsia" w:cs="Arial"/>
          <w:szCs w:val="24"/>
        </w:rPr>
        <w:t>,</w:t>
      </w:r>
      <w:r w:rsidRPr="000564EB">
        <w:rPr>
          <w:rFonts w:eastAsiaTheme="minorEastAsia" w:cs="Arial"/>
          <w:szCs w:val="24"/>
        </w:rPr>
        <w:t xml:space="preserve"> it became clear that such a group</w:t>
      </w:r>
      <w:r w:rsidRPr="000564EB">
        <w:rPr>
          <w:rFonts w:cs="Arial"/>
          <w:szCs w:val="24"/>
        </w:rPr>
        <w:t xml:space="preserve"> would be useful to the process.  </w:t>
      </w:r>
      <w:r w:rsidRPr="000564EB">
        <w:rPr>
          <w:rFonts w:eastAsiaTheme="minorEastAsia" w:cs="Arial"/>
          <w:szCs w:val="24"/>
        </w:rPr>
        <w:t>A small group was put together, a few from each sector and now meet on a monthly basis using video conferencing facilities at Darlington, Sheffield &amp; London. This allows the team to sense check any changes made as a result of the feedback.</w:t>
      </w:r>
    </w:p>
    <w:p w14:paraId="20E2AC57" w14:textId="77777777" w:rsidR="00B36247" w:rsidRPr="000564EB" w:rsidRDefault="00B36247" w:rsidP="001E0808">
      <w:pPr>
        <w:rPr>
          <w:rFonts w:cs="Arial"/>
          <w:b/>
          <w:szCs w:val="24"/>
        </w:rPr>
      </w:pPr>
    </w:p>
    <w:p w14:paraId="32FA43A6" w14:textId="77777777" w:rsidR="00B1399F" w:rsidRPr="000564EB" w:rsidRDefault="00B1399F" w:rsidP="00B1399F">
      <w:pPr>
        <w:rPr>
          <w:rFonts w:cs="Arial"/>
          <w:b/>
          <w:szCs w:val="24"/>
        </w:rPr>
      </w:pPr>
      <w:r w:rsidRPr="000564EB">
        <w:rPr>
          <w:rFonts w:cs="Arial"/>
          <w:b/>
          <w:szCs w:val="24"/>
        </w:rPr>
        <w:t>Guaranteed Minimum Pension Reconciliation</w:t>
      </w:r>
      <w:r w:rsidR="00605675" w:rsidRPr="000564EB">
        <w:rPr>
          <w:rFonts w:cs="Arial"/>
          <w:b/>
          <w:szCs w:val="24"/>
        </w:rPr>
        <w:t xml:space="preserve"> and Rect</w:t>
      </w:r>
      <w:r w:rsidR="00C96765" w:rsidRPr="000564EB">
        <w:rPr>
          <w:rFonts w:cs="Arial"/>
          <w:b/>
          <w:szCs w:val="24"/>
        </w:rPr>
        <w:t>i</w:t>
      </w:r>
      <w:r w:rsidR="00605675" w:rsidRPr="000564EB">
        <w:rPr>
          <w:rFonts w:cs="Arial"/>
          <w:b/>
          <w:szCs w:val="24"/>
        </w:rPr>
        <w:t>fication</w:t>
      </w:r>
    </w:p>
    <w:p w14:paraId="4601FA11" w14:textId="77777777" w:rsidR="00B1399F" w:rsidRPr="000564EB" w:rsidRDefault="00B1399F" w:rsidP="00B1399F">
      <w:pPr>
        <w:pStyle w:val="DeptBullets"/>
        <w:numPr>
          <w:ilvl w:val="0"/>
          <w:numId w:val="0"/>
        </w:numPr>
        <w:spacing w:after="0"/>
        <w:rPr>
          <w:rFonts w:cs="Arial"/>
          <w:szCs w:val="24"/>
        </w:rPr>
      </w:pPr>
    </w:p>
    <w:p w14:paraId="54E331F2" w14:textId="31091D79" w:rsidR="00D841FF" w:rsidRPr="000564EB" w:rsidRDefault="006E4582" w:rsidP="00C91855">
      <w:pPr>
        <w:pStyle w:val="ListParagraph"/>
        <w:numPr>
          <w:ilvl w:val="0"/>
          <w:numId w:val="6"/>
        </w:numPr>
        <w:spacing w:line="256" w:lineRule="auto"/>
        <w:ind w:left="284" w:hanging="426"/>
        <w:rPr>
          <w:rFonts w:cs="Arial"/>
          <w:szCs w:val="24"/>
        </w:rPr>
      </w:pPr>
      <w:r w:rsidRPr="000564EB">
        <w:rPr>
          <w:rFonts w:cs="Arial"/>
          <w:szCs w:val="24"/>
        </w:rPr>
        <w:t xml:space="preserve">The reconciliation project is progressing well, </w:t>
      </w:r>
      <w:r w:rsidR="00FE2DF7">
        <w:rPr>
          <w:rFonts w:cs="Arial"/>
          <w:szCs w:val="24"/>
        </w:rPr>
        <w:t>seco</w:t>
      </w:r>
      <w:r w:rsidR="00D841FF" w:rsidRPr="000564EB">
        <w:rPr>
          <w:rFonts w:cs="Arial"/>
          <w:szCs w:val="24"/>
        </w:rPr>
        <w:t xml:space="preserve">nd </w:t>
      </w:r>
      <w:r w:rsidR="00FE4BA3">
        <w:rPr>
          <w:rFonts w:cs="Arial"/>
          <w:szCs w:val="24"/>
        </w:rPr>
        <w:t>i</w:t>
      </w:r>
      <w:r w:rsidR="00D841FF" w:rsidRPr="000564EB">
        <w:rPr>
          <w:rFonts w:cs="Arial"/>
          <w:szCs w:val="24"/>
        </w:rPr>
        <w:t xml:space="preserve">nvestigations continue and around 60k cases have been identified as </w:t>
      </w:r>
      <w:r w:rsidR="00FE2DF7">
        <w:rPr>
          <w:rFonts w:cs="Arial"/>
          <w:szCs w:val="24"/>
        </w:rPr>
        <w:t xml:space="preserve">being suitable </w:t>
      </w:r>
      <w:r w:rsidR="00D841FF" w:rsidRPr="000564EB">
        <w:rPr>
          <w:rFonts w:cs="Arial"/>
          <w:szCs w:val="24"/>
        </w:rPr>
        <w:t xml:space="preserve">for HMRC's new automated solution </w:t>
      </w:r>
      <w:r w:rsidR="00FE2DF7">
        <w:rPr>
          <w:rFonts w:cs="Arial"/>
          <w:szCs w:val="24"/>
        </w:rPr>
        <w:t xml:space="preserve">which is </w:t>
      </w:r>
      <w:r w:rsidR="00D841FF" w:rsidRPr="000564EB">
        <w:rPr>
          <w:rFonts w:cs="Arial"/>
          <w:szCs w:val="24"/>
        </w:rPr>
        <w:t xml:space="preserve">expected </w:t>
      </w:r>
      <w:r w:rsidR="00FE2DF7">
        <w:rPr>
          <w:rFonts w:cs="Arial"/>
          <w:szCs w:val="24"/>
        </w:rPr>
        <w:t xml:space="preserve">to be run </w:t>
      </w:r>
      <w:r w:rsidR="00D841FF" w:rsidRPr="000564EB">
        <w:rPr>
          <w:rFonts w:cs="Arial"/>
          <w:szCs w:val="24"/>
        </w:rPr>
        <w:t>in mid-September. The remaining cases are be</w:t>
      </w:r>
      <w:r w:rsidR="00FE2DF7">
        <w:rPr>
          <w:rFonts w:cs="Arial"/>
          <w:szCs w:val="24"/>
        </w:rPr>
        <w:t xml:space="preserve">ing </w:t>
      </w:r>
      <w:r w:rsidR="00D841FF" w:rsidRPr="000564EB">
        <w:rPr>
          <w:rFonts w:cs="Arial"/>
          <w:szCs w:val="24"/>
        </w:rPr>
        <w:t xml:space="preserve"> investigated and </w:t>
      </w:r>
      <w:r w:rsidR="00FE2DF7">
        <w:rPr>
          <w:rFonts w:cs="Arial"/>
          <w:szCs w:val="24"/>
        </w:rPr>
        <w:t>second</w:t>
      </w:r>
      <w:r w:rsidR="00D841FF" w:rsidRPr="000564EB">
        <w:rPr>
          <w:rFonts w:cs="Arial"/>
          <w:szCs w:val="24"/>
        </w:rPr>
        <w:t xml:space="preserve"> queries raised by TP have been fed back to HMRC.</w:t>
      </w:r>
    </w:p>
    <w:p w14:paraId="2AFFED9A" w14:textId="77777777" w:rsidR="00D841FF" w:rsidRPr="000564EB" w:rsidRDefault="00D841FF" w:rsidP="00D841FF">
      <w:pPr>
        <w:rPr>
          <w:rFonts w:cs="Arial"/>
          <w:szCs w:val="24"/>
        </w:rPr>
      </w:pPr>
    </w:p>
    <w:p w14:paraId="374AFADF" w14:textId="7A3F0B92" w:rsidR="00D841FF" w:rsidRDefault="00D841FF" w:rsidP="00C91855">
      <w:pPr>
        <w:pStyle w:val="ListParagraph"/>
        <w:numPr>
          <w:ilvl w:val="0"/>
          <w:numId w:val="6"/>
        </w:numPr>
        <w:ind w:left="284"/>
        <w:rPr>
          <w:rFonts w:cs="Arial"/>
          <w:szCs w:val="24"/>
        </w:rPr>
      </w:pPr>
      <w:r w:rsidRPr="000564EB">
        <w:rPr>
          <w:rFonts w:cs="Arial"/>
          <w:szCs w:val="24"/>
        </w:rPr>
        <w:t xml:space="preserve">Further work is required around planning for the forthcoming GMP rectification exercise and this will continue into </w:t>
      </w:r>
      <w:r w:rsidR="001E5A7C">
        <w:rPr>
          <w:rFonts w:cs="Arial"/>
          <w:szCs w:val="24"/>
        </w:rPr>
        <w:t>October</w:t>
      </w:r>
      <w:r w:rsidRPr="000564EB">
        <w:rPr>
          <w:rFonts w:cs="Arial"/>
          <w:szCs w:val="24"/>
        </w:rPr>
        <w:t xml:space="preserve">. </w:t>
      </w:r>
      <w:r w:rsidR="00FE2DF7">
        <w:rPr>
          <w:rFonts w:cs="Arial"/>
          <w:szCs w:val="24"/>
        </w:rPr>
        <w:t xml:space="preserve">Planning discussions have taken place </w:t>
      </w:r>
      <w:r w:rsidRPr="000564EB">
        <w:rPr>
          <w:rFonts w:cs="Arial"/>
          <w:szCs w:val="24"/>
        </w:rPr>
        <w:t>around:</w:t>
      </w:r>
      <w:r w:rsidR="00FE2DF7">
        <w:rPr>
          <w:rFonts w:cs="Arial"/>
          <w:szCs w:val="24"/>
        </w:rPr>
        <w:t>-</w:t>
      </w:r>
      <w:r w:rsidRPr="000564EB">
        <w:rPr>
          <w:rFonts w:cs="Arial"/>
          <w:szCs w:val="24"/>
        </w:rPr>
        <w:t xml:space="preserve"> </w:t>
      </w:r>
    </w:p>
    <w:p w14:paraId="456DA526" w14:textId="77777777" w:rsidR="00FE2DF7" w:rsidRDefault="00FE2DF7" w:rsidP="00C91855">
      <w:pPr>
        <w:pStyle w:val="ListParagraph"/>
        <w:widowControl/>
        <w:overflowPunct/>
        <w:autoSpaceDE/>
        <w:autoSpaceDN/>
        <w:adjustRightInd/>
        <w:ind w:left="284"/>
        <w:jc w:val="both"/>
        <w:textAlignment w:val="auto"/>
        <w:rPr>
          <w:rFonts w:cs="Arial"/>
          <w:szCs w:val="24"/>
        </w:rPr>
      </w:pPr>
    </w:p>
    <w:p w14:paraId="7F369548" w14:textId="1DFB8323" w:rsidR="00D841FF" w:rsidRPr="000564EB" w:rsidRDefault="00FE2DF7" w:rsidP="00A31934">
      <w:pPr>
        <w:pStyle w:val="ListParagraph"/>
        <w:widowControl/>
        <w:numPr>
          <w:ilvl w:val="0"/>
          <w:numId w:val="11"/>
        </w:numPr>
        <w:overflowPunct/>
        <w:autoSpaceDE/>
        <w:autoSpaceDN/>
        <w:adjustRightInd/>
        <w:ind w:left="700"/>
        <w:jc w:val="both"/>
        <w:textAlignment w:val="auto"/>
        <w:rPr>
          <w:rFonts w:cs="Arial"/>
          <w:szCs w:val="24"/>
        </w:rPr>
      </w:pPr>
      <w:r>
        <w:rPr>
          <w:rFonts w:cs="Arial"/>
          <w:szCs w:val="24"/>
        </w:rPr>
        <w:t>Timing of rectification – i.e. when will we be in a position to begin and how do we optimise the handling of individual cases to minimise risks</w:t>
      </w:r>
      <w:r w:rsidR="00D841FF" w:rsidRPr="000564EB">
        <w:rPr>
          <w:rFonts w:cs="Arial"/>
          <w:szCs w:val="24"/>
        </w:rPr>
        <w:t>.</w:t>
      </w:r>
    </w:p>
    <w:p w14:paraId="6C09F41F" w14:textId="31A9EF5A" w:rsidR="00D841FF" w:rsidRPr="000564EB" w:rsidRDefault="00FE2DF7" w:rsidP="00A31934">
      <w:pPr>
        <w:pStyle w:val="ListParagraph"/>
        <w:widowControl/>
        <w:numPr>
          <w:ilvl w:val="0"/>
          <w:numId w:val="11"/>
        </w:numPr>
        <w:overflowPunct/>
        <w:autoSpaceDE/>
        <w:autoSpaceDN/>
        <w:adjustRightInd/>
        <w:ind w:left="700"/>
        <w:jc w:val="both"/>
        <w:textAlignment w:val="auto"/>
        <w:rPr>
          <w:rFonts w:cs="Arial"/>
          <w:szCs w:val="24"/>
        </w:rPr>
      </w:pPr>
      <w:r>
        <w:rPr>
          <w:rFonts w:cs="Arial"/>
          <w:szCs w:val="24"/>
        </w:rPr>
        <w:t xml:space="preserve">Potential to use automated calculation routines to minimise risk of mistakes and need for </w:t>
      </w:r>
      <w:r w:rsidR="00D841FF" w:rsidRPr="000564EB">
        <w:rPr>
          <w:rFonts w:cs="Arial"/>
          <w:szCs w:val="24"/>
        </w:rPr>
        <w:t>resource.</w:t>
      </w:r>
    </w:p>
    <w:p w14:paraId="54E74AF6" w14:textId="1AD9ED2C" w:rsidR="00D841FF" w:rsidRPr="000564EB" w:rsidRDefault="00D841FF" w:rsidP="00A31934">
      <w:pPr>
        <w:pStyle w:val="ListParagraph"/>
        <w:widowControl/>
        <w:numPr>
          <w:ilvl w:val="0"/>
          <w:numId w:val="11"/>
        </w:numPr>
        <w:overflowPunct/>
        <w:autoSpaceDE/>
        <w:autoSpaceDN/>
        <w:adjustRightInd/>
        <w:ind w:left="700"/>
        <w:jc w:val="both"/>
        <w:textAlignment w:val="auto"/>
        <w:rPr>
          <w:rFonts w:cs="Arial"/>
          <w:szCs w:val="24"/>
        </w:rPr>
      </w:pPr>
      <w:r w:rsidRPr="000564EB">
        <w:rPr>
          <w:rFonts w:cs="Arial"/>
          <w:szCs w:val="24"/>
        </w:rPr>
        <w:t>Likely number of members who will contact TP as a result of an adjustment to their pension</w:t>
      </w:r>
      <w:r w:rsidR="00FE2DF7">
        <w:rPr>
          <w:rFonts w:cs="Arial"/>
          <w:szCs w:val="24"/>
        </w:rPr>
        <w:t xml:space="preserve"> and how to best prepare for those contacts</w:t>
      </w:r>
      <w:r w:rsidRPr="000564EB">
        <w:rPr>
          <w:rFonts w:cs="Arial"/>
          <w:szCs w:val="24"/>
        </w:rPr>
        <w:t>.</w:t>
      </w:r>
    </w:p>
    <w:p w14:paraId="4833A964" w14:textId="5F32B8A4" w:rsidR="00D841FF" w:rsidRPr="000564EB" w:rsidRDefault="00D841FF" w:rsidP="00A31934">
      <w:pPr>
        <w:pStyle w:val="ListParagraph"/>
        <w:widowControl/>
        <w:numPr>
          <w:ilvl w:val="0"/>
          <w:numId w:val="11"/>
        </w:numPr>
        <w:overflowPunct/>
        <w:autoSpaceDE/>
        <w:autoSpaceDN/>
        <w:adjustRightInd/>
        <w:ind w:left="700"/>
        <w:jc w:val="both"/>
        <w:textAlignment w:val="auto"/>
        <w:rPr>
          <w:rFonts w:cs="Arial"/>
          <w:szCs w:val="24"/>
        </w:rPr>
      </w:pPr>
      <w:r w:rsidRPr="000564EB">
        <w:rPr>
          <w:rFonts w:cs="Arial"/>
          <w:szCs w:val="24"/>
        </w:rPr>
        <w:t xml:space="preserve">Additional resource required to </w:t>
      </w:r>
      <w:r w:rsidR="00FE2DF7">
        <w:rPr>
          <w:rFonts w:cs="Arial"/>
          <w:szCs w:val="24"/>
        </w:rPr>
        <w:t>deal with queries</w:t>
      </w:r>
      <w:r w:rsidRPr="000564EB">
        <w:rPr>
          <w:rFonts w:cs="Arial"/>
          <w:szCs w:val="24"/>
        </w:rPr>
        <w:t>.</w:t>
      </w:r>
    </w:p>
    <w:p w14:paraId="00F63BFF" w14:textId="77777777" w:rsidR="00D841FF" w:rsidRPr="000564EB" w:rsidRDefault="00D841FF" w:rsidP="00C91855">
      <w:pPr>
        <w:widowControl/>
        <w:overflowPunct/>
        <w:autoSpaceDE/>
        <w:autoSpaceDN/>
        <w:adjustRightInd/>
        <w:ind w:left="284"/>
        <w:jc w:val="both"/>
        <w:textAlignment w:val="auto"/>
        <w:rPr>
          <w:rFonts w:cs="Arial"/>
          <w:szCs w:val="24"/>
        </w:rPr>
      </w:pPr>
    </w:p>
    <w:p w14:paraId="016850E0" w14:textId="548F4F5C" w:rsidR="00845469" w:rsidRPr="000564EB" w:rsidRDefault="00D841FF" w:rsidP="00C91855">
      <w:pPr>
        <w:pStyle w:val="ListParagraph"/>
        <w:numPr>
          <w:ilvl w:val="0"/>
          <w:numId w:val="6"/>
        </w:numPr>
        <w:ind w:left="284"/>
        <w:rPr>
          <w:rFonts w:cs="Arial"/>
          <w:szCs w:val="24"/>
        </w:rPr>
      </w:pPr>
      <w:r w:rsidRPr="000564EB">
        <w:rPr>
          <w:rFonts w:cs="Arial"/>
          <w:szCs w:val="24"/>
        </w:rPr>
        <w:t xml:space="preserve">A communications letter is being drafted for members </w:t>
      </w:r>
      <w:r w:rsidR="00FE2DF7">
        <w:rPr>
          <w:rFonts w:cs="Arial"/>
          <w:szCs w:val="24"/>
        </w:rPr>
        <w:t>whos</w:t>
      </w:r>
      <w:r w:rsidR="001E0808">
        <w:rPr>
          <w:rFonts w:cs="Arial"/>
          <w:szCs w:val="24"/>
        </w:rPr>
        <w:t>e</w:t>
      </w:r>
      <w:r w:rsidR="00FE2DF7">
        <w:rPr>
          <w:rFonts w:cs="Arial"/>
          <w:szCs w:val="24"/>
        </w:rPr>
        <w:t xml:space="preserve"> pension will be amended, </w:t>
      </w:r>
      <w:r w:rsidRPr="000564EB">
        <w:rPr>
          <w:rFonts w:cs="Arial"/>
          <w:szCs w:val="24"/>
        </w:rPr>
        <w:t>to inform them of</w:t>
      </w:r>
      <w:r w:rsidR="00FE2DF7">
        <w:rPr>
          <w:rFonts w:cs="Arial"/>
          <w:szCs w:val="24"/>
        </w:rPr>
        <w:t xml:space="preserve"> t</w:t>
      </w:r>
      <w:r w:rsidRPr="000564EB">
        <w:rPr>
          <w:rFonts w:cs="Arial"/>
          <w:szCs w:val="24"/>
        </w:rPr>
        <w:t xml:space="preserve">he </w:t>
      </w:r>
      <w:r w:rsidR="00FE2DF7">
        <w:rPr>
          <w:rFonts w:cs="Arial"/>
          <w:szCs w:val="24"/>
        </w:rPr>
        <w:t xml:space="preserve">reasons and </w:t>
      </w:r>
      <w:r w:rsidRPr="000564EB">
        <w:rPr>
          <w:rFonts w:cs="Arial"/>
          <w:szCs w:val="24"/>
        </w:rPr>
        <w:t>impacts.  This i</w:t>
      </w:r>
      <w:r w:rsidR="00FE2DF7">
        <w:rPr>
          <w:rFonts w:cs="Arial"/>
          <w:szCs w:val="24"/>
        </w:rPr>
        <w:t>s</w:t>
      </w:r>
      <w:r w:rsidRPr="000564EB">
        <w:rPr>
          <w:rFonts w:cs="Arial"/>
          <w:szCs w:val="24"/>
        </w:rPr>
        <w:t xml:space="preserve"> be</w:t>
      </w:r>
      <w:r w:rsidR="00FE2DF7">
        <w:rPr>
          <w:rFonts w:cs="Arial"/>
          <w:szCs w:val="24"/>
        </w:rPr>
        <w:t xml:space="preserve">ing </w:t>
      </w:r>
      <w:r w:rsidRPr="000564EB">
        <w:rPr>
          <w:rFonts w:cs="Arial"/>
          <w:szCs w:val="24"/>
        </w:rPr>
        <w:t xml:space="preserve">shared with the </w:t>
      </w:r>
      <w:r w:rsidR="00BD21EB">
        <w:rPr>
          <w:rFonts w:cs="Arial"/>
          <w:szCs w:val="24"/>
        </w:rPr>
        <w:t>I</w:t>
      </w:r>
      <w:r w:rsidR="00FE2DF7">
        <w:rPr>
          <w:rFonts w:cs="Arial"/>
          <w:szCs w:val="24"/>
        </w:rPr>
        <w:t xml:space="preserve">nformation </w:t>
      </w:r>
      <w:r w:rsidR="00941740">
        <w:rPr>
          <w:rFonts w:cs="Arial"/>
          <w:szCs w:val="24"/>
        </w:rPr>
        <w:t xml:space="preserve">to </w:t>
      </w:r>
      <w:r w:rsidR="00BD21EB">
        <w:rPr>
          <w:rFonts w:cs="Arial"/>
          <w:szCs w:val="24"/>
        </w:rPr>
        <w:t>M</w:t>
      </w:r>
      <w:r w:rsidR="00941740">
        <w:rPr>
          <w:rFonts w:cs="Arial"/>
          <w:szCs w:val="24"/>
        </w:rPr>
        <w:t xml:space="preserve">embers and </w:t>
      </w:r>
      <w:r w:rsidR="00BD21EB">
        <w:rPr>
          <w:rFonts w:cs="Arial"/>
          <w:szCs w:val="24"/>
        </w:rPr>
        <w:t>C</w:t>
      </w:r>
      <w:r w:rsidR="00941740">
        <w:rPr>
          <w:rFonts w:cs="Arial"/>
          <w:szCs w:val="24"/>
        </w:rPr>
        <w:t xml:space="preserve">ommunications </w:t>
      </w:r>
      <w:r w:rsidRPr="000564EB">
        <w:rPr>
          <w:rFonts w:cs="Arial"/>
          <w:szCs w:val="24"/>
        </w:rPr>
        <w:t>sub</w:t>
      </w:r>
      <w:r w:rsidR="00941740">
        <w:rPr>
          <w:rFonts w:cs="Arial"/>
          <w:szCs w:val="24"/>
        </w:rPr>
        <w:t>-</w:t>
      </w:r>
      <w:r w:rsidRPr="000564EB">
        <w:rPr>
          <w:rFonts w:cs="Arial"/>
          <w:szCs w:val="24"/>
        </w:rPr>
        <w:t>committee.</w:t>
      </w:r>
    </w:p>
    <w:p w14:paraId="19F34D70" w14:textId="77777777" w:rsidR="00D841FF" w:rsidRPr="000564EB" w:rsidRDefault="00D841FF" w:rsidP="00C91855">
      <w:pPr>
        <w:pStyle w:val="ListParagraph"/>
        <w:ind w:left="284"/>
        <w:rPr>
          <w:rFonts w:cs="Arial"/>
          <w:b/>
          <w:szCs w:val="24"/>
        </w:rPr>
      </w:pPr>
    </w:p>
    <w:p w14:paraId="25EE792C" w14:textId="27110854" w:rsidR="00C36D43" w:rsidRPr="000564EB" w:rsidRDefault="00C36D43" w:rsidP="00C91855">
      <w:pPr>
        <w:pStyle w:val="ListParagraph"/>
        <w:ind w:left="284"/>
        <w:rPr>
          <w:rFonts w:cs="Arial"/>
          <w:b/>
          <w:szCs w:val="24"/>
        </w:rPr>
      </w:pPr>
      <w:r w:rsidRPr="000564EB">
        <w:rPr>
          <w:rFonts w:cs="Arial"/>
          <w:b/>
          <w:szCs w:val="24"/>
        </w:rPr>
        <w:t>WebChat</w:t>
      </w:r>
    </w:p>
    <w:p w14:paraId="48AB5002" w14:textId="77777777" w:rsidR="00C36D43" w:rsidRPr="000564EB" w:rsidRDefault="00C36D43" w:rsidP="00C91855">
      <w:pPr>
        <w:pStyle w:val="ListParagraph"/>
        <w:ind w:left="284"/>
        <w:rPr>
          <w:rFonts w:cs="Arial"/>
          <w:szCs w:val="24"/>
        </w:rPr>
      </w:pPr>
    </w:p>
    <w:p w14:paraId="6F2935B4" w14:textId="4CF9BD49" w:rsidR="00A25FBF" w:rsidRDefault="00941740" w:rsidP="00C91855">
      <w:pPr>
        <w:pStyle w:val="ListParagraph"/>
        <w:numPr>
          <w:ilvl w:val="0"/>
          <w:numId w:val="6"/>
        </w:numPr>
        <w:ind w:left="284"/>
        <w:rPr>
          <w:rFonts w:cs="Arial"/>
          <w:szCs w:val="24"/>
        </w:rPr>
      </w:pPr>
      <w:r>
        <w:rPr>
          <w:rFonts w:cs="Arial"/>
          <w:szCs w:val="24"/>
        </w:rPr>
        <w:t>Analysis is currently taking place of</w:t>
      </w:r>
      <w:r w:rsidR="009B63DB" w:rsidRPr="000564EB">
        <w:rPr>
          <w:rFonts w:cs="Arial"/>
          <w:szCs w:val="24"/>
        </w:rPr>
        <w:t xml:space="preserve"> contact centre </w:t>
      </w:r>
      <w:r>
        <w:rPr>
          <w:rFonts w:cs="Arial"/>
          <w:szCs w:val="24"/>
        </w:rPr>
        <w:t xml:space="preserve">activity </w:t>
      </w:r>
      <w:r w:rsidR="009B63DB" w:rsidRPr="000564EB">
        <w:rPr>
          <w:rFonts w:cs="Arial"/>
          <w:szCs w:val="24"/>
        </w:rPr>
        <w:t>to determine query types that can be migrated to webchat.  A webchat trial is due for launch from October 2018 in collaboration with Engagement and will run for 3-6 months</w:t>
      </w:r>
      <w:r w:rsidR="001E0808">
        <w:rPr>
          <w:rFonts w:cs="Arial"/>
          <w:szCs w:val="24"/>
        </w:rPr>
        <w:t>,</w:t>
      </w:r>
      <w:r w:rsidR="009B63DB" w:rsidRPr="000564EB">
        <w:rPr>
          <w:rFonts w:cs="Arial"/>
          <w:szCs w:val="24"/>
        </w:rPr>
        <w:t xml:space="preserve"> with an initial review period at 3 months to evaluate eff</w:t>
      </w:r>
      <w:r w:rsidR="001E0808">
        <w:rPr>
          <w:rFonts w:cs="Arial"/>
          <w:szCs w:val="24"/>
        </w:rPr>
        <w:t>ectiveness and</w:t>
      </w:r>
      <w:r w:rsidR="009B63DB" w:rsidRPr="000564EB">
        <w:rPr>
          <w:rFonts w:cs="Arial"/>
          <w:szCs w:val="24"/>
        </w:rPr>
        <w:t xml:space="preserve"> usage.  </w:t>
      </w:r>
    </w:p>
    <w:p w14:paraId="1AFE1BCD" w14:textId="584842D7" w:rsidR="008664C2" w:rsidRDefault="008664C2" w:rsidP="008664C2">
      <w:pPr>
        <w:pStyle w:val="ListParagraph"/>
        <w:ind w:left="360"/>
        <w:rPr>
          <w:rFonts w:cs="Arial"/>
          <w:szCs w:val="24"/>
        </w:rPr>
      </w:pPr>
    </w:p>
    <w:p w14:paraId="07A2CDA0" w14:textId="77777777" w:rsidR="000B522E" w:rsidRPr="000564EB" w:rsidRDefault="000B522E" w:rsidP="008664C2">
      <w:pPr>
        <w:pStyle w:val="ListParagraph"/>
        <w:ind w:left="360"/>
        <w:rPr>
          <w:rFonts w:cs="Arial"/>
          <w:szCs w:val="24"/>
        </w:rPr>
      </w:pPr>
    </w:p>
    <w:tbl>
      <w:tblPr>
        <w:tblStyle w:val="TableGrid"/>
        <w:tblW w:w="0" w:type="auto"/>
        <w:tblInd w:w="108" w:type="dxa"/>
        <w:tblLook w:val="04A0" w:firstRow="1" w:lastRow="0" w:firstColumn="1" w:lastColumn="0" w:noHBand="0" w:noVBand="1"/>
      </w:tblPr>
      <w:tblGrid>
        <w:gridCol w:w="7230"/>
        <w:gridCol w:w="1134"/>
      </w:tblGrid>
      <w:tr w:rsidR="0079559B" w:rsidRPr="000564EB" w14:paraId="3CE2692D" w14:textId="77777777" w:rsidTr="00733DA1">
        <w:tc>
          <w:tcPr>
            <w:tcW w:w="7230" w:type="dxa"/>
          </w:tcPr>
          <w:p w14:paraId="217D400C" w14:textId="77777777" w:rsidR="0079559B" w:rsidRPr="000564EB" w:rsidRDefault="0079559B" w:rsidP="00733DA1">
            <w:pPr>
              <w:rPr>
                <w:rFonts w:cs="Arial"/>
                <w:b/>
                <w:color w:val="000000"/>
                <w:szCs w:val="24"/>
                <w:lang w:eastAsia="en-GB"/>
              </w:rPr>
            </w:pPr>
            <w:r w:rsidRPr="000564EB">
              <w:rPr>
                <w:rFonts w:cs="Arial"/>
                <w:b/>
                <w:color w:val="000000"/>
                <w:szCs w:val="24"/>
                <w:lang w:eastAsia="en-GB"/>
              </w:rPr>
              <w:t>Data Strategy</w:t>
            </w:r>
          </w:p>
          <w:p w14:paraId="5D0EC527" w14:textId="77777777" w:rsidR="0079559B" w:rsidRPr="000564EB" w:rsidRDefault="0079559B" w:rsidP="00733DA1">
            <w:pPr>
              <w:rPr>
                <w:rFonts w:cs="Arial"/>
                <w:b/>
                <w:szCs w:val="24"/>
              </w:rPr>
            </w:pPr>
          </w:p>
        </w:tc>
        <w:tc>
          <w:tcPr>
            <w:tcW w:w="1134" w:type="dxa"/>
            <w:shd w:val="clear" w:color="auto" w:fill="FFC000"/>
          </w:tcPr>
          <w:p w14:paraId="1AAE5D3C" w14:textId="77777777" w:rsidR="0079559B" w:rsidRPr="000564EB" w:rsidRDefault="0079559B" w:rsidP="00733DA1">
            <w:pPr>
              <w:rPr>
                <w:rFonts w:cs="Arial"/>
                <w:color w:val="FF0000"/>
                <w:szCs w:val="24"/>
              </w:rPr>
            </w:pPr>
            <w:r w:rsidRPr="000564EB">
              <w:rPr>
                <w:rFonts w:cs="Arial"/>
                <w:noProof/>
                <w:color w:val="00B050"/>
                <w:szCs w:val="24"/>
                <w:lang w:eastAsia="en-GB"/>
              </w:rPr>
              <mc:AlternateContent>
                <mc:Choice Requires="wps">
                  <w:drawing>
                    <wp:anchor distT="0" distB="0" distL="114300" distR="114300" simplePos="0" relativeHeight="251739648" behindDoc="0" locked="0" layoutInCell="1" allowOverlap="1" wp14:anchorId="6BD25E7D" wp14:editId="007FD6E7">
                      <wp:simplePos x="0" y="0"/>
                      <wp:positionH relativeFrom="column">
                        <wp:posOffset>77143</wp:posOffset>
                      </wp:positionH>
                      <wp:positionV relativeFrom="paragraph">
                        <wp:posOffset>65191</wp:posOffset>
                      </wp:positionV>
                      <wp:extent cx="485757" cy="158567"/>
                      <wp:effectExtent l="38100" t="57150" r="0" b="89535"/>
                      <wp:wrapNone/>
                      <wp:docPr id="8" name="Straight Arrow Connector 8"/>
                      <wp:cNvGraphicFramePr/>
                      <a:graphic xmlns:a="http://schemas.openxmlformats.org/drawingml/2006/main">
                        <a:graphicData uri="http://schemas.microsoft.com/office/word/2010/wordprocessingShape">
                          <wps:wsp>
                            <wps:cNvCnPr/>
                            <wps:spPr>
                              <a:xfrm flipV="1">
                                <a:off x="0" y="0"/>
                                <a:ext cx="485757" cy="158567"/>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5DE6966" id="Straight Arrow Connector 8" o:spid="_x0000_s1026" type="#_x0000_t32" style="position:absolute;margin-left:6.05pt;margin-top:5.15pt;width:38.25pt;height:12.5pt;flip: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" strokecolor="windowText" strokeweight="2pt">
                      <v:stroke endarrow="open"/>
                      <v:shadow on="t" color="black" opacity="24903f" origin=",.5" offset="0,.55556mm"/>
                    </v:shape>
                  </w:pict>
                </mc:Fallback>
              </mc:AlternateContent>
            </w:r>
          </w:p>
          <w:p w14:paraId="2E3B8823" w14:textId="77777777" w:rsidR="0079559B" w:rsidRPr="000564EB" w:rsidRDefault="0079559B" w:rsidP="00733DA1">
            <w:pPr>
              <w:rPr>
                <w:rFonts w:cs="Arial"/>
                <w:color w:val="00B050"/>
                <w:szCs w:val="24"/>
              </w:rPr>
            </w:pPr>
          </w:p>
        </w:tc>
      </w:tr>
    </w:tbl>
    <w:p w14:paraId="54E9C19B" w14:textId="77777777" w:rsidR="00180DE7" w:rsidRPr="000564EB" w:rsidRDefault="00180DE7" w:rsidP="00180DE7">
      <w:pPr>
        <w:rPr>
          <w:rFonts w:cs="Arial"/>
          <w:szCs w:val="24"/>
        </w:rPr>
      </w:pPr>
    </w:p>
    <w:p w14:paraId="26B5447B" w14:textId="677B1078" w:rsidR="00592320" w:rsidRPr="006B09CC" w:rsidRDefault="00941740" w:rsidP="00E408FC">
      <w:pPr>
        <w:pStyle w:val="ListParagraph"/>
        <w:numPr>
          <w:ilvl w:val="0"/>
          <w:numId w:val="6"/>
        </w:numPr>
        <w:ind w:left="284" w:hanging="426"/>
        <w:rPr>
          <w:rFonts w:cs="Arial"/>
          <w:szCs w:val="24"/>
        </w:rPr>
      </w:pPr>
      <w:r>
        <w:rPr>
          <w:rFonts w:cs="Arial"/>
          <w:szCs w:val="24"/>
        </w:rPr>
        <w:t xml:space="preserve">This aims to ensure that </w:t>
      </w:r>
      <w:r w:rsidR="00592320" w:rsidRPr="000564EB">
        <w:rPr>
          <w:rFonts w:eastAsia="MS PGothic" w:cs="Arial"/>
          <w:szCs w:val="24"/>
        </w:rPr>
        <w:t>the TPS</w:t>
      </w:r>
      <w:r>
        <w:rPr>
          <w:rFonts w:eastAsia="MS PGothic" w:cs="Arial"/>
          <w:szCs w:val="24"/>
        </w:rPr>
        <w:t xml:space="preserve"> continues to have high quality data and remains </w:t>
      </w:r>
      <w:r w:rsidR="00592320" w:rsidRPr="000564EB">
        <w:rPr>
          <w:rFonts w:eastAsia="MS PGothic" w:cs="Arial"/>
          <w:szCs w:val="24"/>
        </w:rPr>
        <w:t>one of the most innovative and successful public sector schemes</w:t>
      </w:r>
      <w:r>
        <w:rPr>
          <w:rFonts w:eastAsia="MS PGothic" w:cs="Arial"/>
          <w:szCs w:val="24"/>
        </w:rPr>
        <w:t>.  T</w:t>
      </w:r>
      <w:r w:rsidR="006E4582" w:rsidRPr="000564EB">
        <w:rPr>
          <w:rFonts w:eastAsia="MS PGothic" w:cs="Arial"/>
          <w:szCs w:val="24"/>
        </w:rPr>
        <w:t xml:space="preserve">he </w:t>
      </w:r>
      <w:r w:rsidR="006E4582" w:rsidRPr="006B09CC">
        <w:rPr>
          <w:rFonts w:eastAsia="MS PGothic" w:cs="Arial"/>
          <w:szCs w:val="24"/>
        </w:rPr>
        <w:t xml:space="preserve">data strategy </w:t>
      </w:r>
      <w:r w:rsidRPr="006B09CC">
        <w:rPr>
          <w:rFonts w:eastAsia="MS PGothic" w:cs="Arial"/>
          <w:szCs w:val="24"/>
        </w:rPr>
        <w:t xml:space="preserve">encompasses a number of activities, aimed at ensuring we </w:t>
      </w:r>
      <w:r w:rsidR="00592320" w:rsidRPr="006B09CC">
        <w:rPr>
          <w:rFonts w:eastAsia="MS PGothic" w:cs="Arial"/>
          <w:szCs w:val="24"/>
        </w:rPr>
        <w:t xml:space="preserve"> adapt to the </w:t>
      </w:r>
      <w:r w:rsidR="00592320" w:rsidRPr="006B09CC">
        <w:rPr>
          <w:rFonts w:cs="Arial"/>
          <w:szCs w:val="24"/>
        </w:rPr>
        <w:t xml:space="preserve">changes </w:t>
      </w:r>
      <w:r w:rsidRPr="006B09CC">
        <w:rPr>
          <w:rFonts w:eastAsia="MS PGothic" w:cs="Arial"/>
          <w:szCs w:val="24"/>
        </w:rPr>
        <w:t xml:space="preserve">occurring </w:t>
      </w:r>
      <w:r w:rsidR="00592320" w:rsidRPr="006B09CC">
        <w:rPr>
          <w:rFonts w:eastAsia="MS PGothic" w:cs="Arial"/>
          <w:szCs w:val="24"/>
        </w:rPr>
        <w:t xml:space="preserve">both </w:t>
      </w:r>
      <w:r w:rsidRPr="006B09CC">
        <w:rPr>
          <w:rFonts w:eastAsia="MS PGothic" w:cs="Arial"/>
          <w:szCs w:val="24"/>
        </w:rPr>
        <w:t xml:space="preserve">within the scheme/pensions environment and </w:t>
      </w:r>
      <w:r w:rsidR="00592320" w:rsidRPr="006B09CC">
        <w:rPr>
          <w:rFonts w:eastAsia="MS PGothic" w:cs="Arial"/>
          <w:szCs w:val="24"/>
        </w:rPr>
        <w:t xml:space="preserve">externally. </w:t>
      </w:r>
    </w:p>
    <w:p w14:paraId="7733B34B" w14:textId="77777777" w:rsidR="006B09CC" w:rsidRPr="006B09CC" w:rsidRDefault="006B09CC" w:rsidP="006B09CC">
      <w:pPr>
        <w:pStyle w:val="ListParagraph"/>
        <w:ind w:left="426"/>
        <w:rPr>
          <w:rFonts w:cs="Arial"/>
          <w:szCs w:val="24"/>
        </w:rPr>
      </w:pPr>
    </w:p>
    <w:p w14:paraId="5DAB6E7D" w14:textId="505FBDA9" w:rsidR="006B09CC" w:rsidRDefault="006B09CC" w:rsidP="00E408FC">
      <w:pPr>
        <w:pStyle w:val="ListParagraph"/>
        <w:numPr>
          <w:ilvl w:val="0"/>
          <w:numId w:val="6"/>
        </w:numPr>
        <w:ind w:left="284" w:hanging="426"/>
        <w:rPr>
          <w:rFonts w:cs="Arial"/>
          <w:szCs w:val="24"/>
        </w:rPr>
      </w:pPr>
      <w:r w:rsidRPr="006B09CC">
        <w:rPr>
          <w:rFonts w:eastAsia="MS PGothic" w:cs="Arial"/>
          <w:szCs w:val="24"/>
        </w:rPr>
        <w:t xml:space="preserve">Following </w:t>
      </w:r>
      <w:r w:rsidR="00592320" w:rsidRPr="006B09CC">
        <w:rPr>
          <w:rFonts w:eastAsia="MS PGothic" w:cs="Arial"/>
          <w:szCs w:val="24"/>
        </w:rPr>
        <w:t>initiatives such as M</w:t>
      </w:r>
      <w:r w:rsidR="00592320" w:rsidRPr="006B09CC">
        <w:rPr>
          <w:rFonts w:cs="Arial"/>
          <w:szCs w:val="24"/>
        </w:rPr>
        <w:t xml:space="preserve">onthly </w:t>
      </w:r>
      <w:r w:rsidR="00592320" w:rsidRPr="006B09CC">
        <w:rPr>
          <w:rFonts w:eastAsia="MS PGothic" w:cs="Arial"/>
          <w:szCs w:val="24"/>
        </w:rPr>
        <w:t>D</w:t>
      </w:r>
      <w:r w:rsidR="00592320" w:rsidRPr="006B09CC">
        <w:rPr>
          <w:rFonts w:cs="Arial"/>
          <w:szCs w:val="24"/>
        </w:rPr>
        <w:t xml:space="preserve">ata </w:t>
      </w:r>
      <w:r w:rsidR="00592320" w:rsidRPr="006B09CC">
        <w:rPr>
          <w:rFonts w:eastAsia="MS PGothic" w:cs="Arial"/>
          <w:szCs w:val="24"/>
        </w:rPr>
        <w:t>C</w:t>
      </w:r>
      <w:r w:rsidR="004B06B2" w:rsidRPr="006B09CC">
        <w:rPr>
          <w:rFonts w:eastAsia="MS PGothic" w:cs="Arial"/>
          <w:szCs w:val="24"/>
        </w:rPr>
        <w:t>ollection</w:t>
      </w:r>
      <w:r w:rsidR="00592320" w:rsidRPr="006B09CC">
        <w:rPr>
          <w:rFonts w:cs="Arial"/>
          <w:szCs w:val="24"/>
        </w:rPr>
        <w:t xml:space="preserve"> (MDC)</w:t>
      </w:r>
      <w:r w:rsidR="00592320" w:rsidRPr="006B09CC">
        <w:rPr>
          <w:rFonts w:eastAsia="MS PGothic" w:cs="Arial"/>
          <w:szCs w:val="24"/>
        </w:rPr>
        <w:t xml:space="preserve">, it was identified that Payroll Providers </w:t>
      </w:r>
      <w:r w:rsidR="00941740" w:rsidRPr="006B09CC">
        <w:rPr>
          <w:rFonts w:eastAsia="MS PGothic" w:cs="Arial"/>
          <w:szCs w:val="24"/>
        </w:rPr>
        <w:t xml:space="preserve">are now a key component/stakeholder within the </w:t>
      </w:r>
      <w:r w:rsidR="00592320" w:rsidRPr="006B09CC">
        <w:rPr>
          <w:rFonts w:eastAsia="MS PGothic" w:cs="Arial"/>
          <w:szCs w:val="24"/>
        </w:rPr>
        <w:t xml:space="preserve"> employer landscape</w:t>
      </w:r>
      <w:r w:rsidRPr="006B09CC">
        <w:rPr>
          <w:rFonts w:cs="Arial"/>
          <w:szCs w:val="24"/>
        </w:rPr>
        <w:t xml:space="preserve"> (with the vast majority of employers using a third party provider). </w:t>
      </w:r>
    </w:p>
    <w:p w14:paraId="03FBCD9F" w14:textId="5BA20168" w:rsidR="006B09CC" w:rsidRPr="006B09CC" w:rsidRDefault="006B09CC" w:rsidP="006B09CC">
      <w:pPr>
        <w:rPr>
          <w:rFonts w:cs="Arial"/>
          <w:szCs w:val="24"/>
        </w:rPr>
      </w:pPr>
    </w:p>
    <w:p w14:paraId="37464814" w14:textId="15AEF353" w:rsidR="006B09CC" w:rsidRPr="006B09CC" w:rsidRDefault="006B09CC" w:rsidP="00E408FC">
      <w:pPr>
        <w:pStyle w:val="ListParagraph"/>
        <w:numPr>
          <w:ilvl w:val="0"/>
          <w:numId w:val="6"/>
        </w:numPr>
        <w:ind w:left="284" w:hanging="426"/>
        <w:rPr>
          <w:rFonts w:cs="Arial"/>
          <w:szCs w:val="24"/>
        </w:rPr>
      </w:pPr>
      <w:r w:rsidRPr="006B09CC">
        <w:rPr>
          <w:rFonts w:cs="Arial"/>
          <w:szCs w:val="24"/>
        </w:rPr>
        <w:t>D</w:t>
      </w:r>
      <w:r w:rsidR="00592320" w:rsidRPr="006B09CC">
        <w:rPr>
          <w:rFonts w:eastAsia="MS PGothic" w:cs="Arial"/>
          <w:szCs w:val="24"/>
        </w:rPr>
        <w:t>irect engagement now occurs with</w:t>
      </w:r>
      <w:r w:rsidR="00592320" w:rsidRPr="006B09CC">
        <w:rPr>
          <w:rFonts w:cs="Arial"/>
          <w:szCs w:val="24"/>
        </w:rPr>
        <w:t xml:space="preserve"> Payroll and Software Providers</w:t>
      </w:r>
      <w:r w:rsidR="00592320" w:rsidRPr="006B09CC">
        <w:rPr>
          <w:rFonts w:eastAsia="MS PGothic" w:cs="Arial"/>
          <w:szCs w:val="24"/>
        </w:rPr>
        <w:t xml:space="preserve"> to ensure that new initiatives are shared and Providers are aware of their obligations. </w:t>
      </w:r>
      <w:r w:rsidR="00592320" w:rsidRPr="006B09CC">
        <w:rPr>
          <w:rFonts w:cs="Arial"/>
          <w:szCs w:val="24"/>
        </w:rPr>
        <w:t xml:space="preserve"> </w:t>
      </w:r>
      <w:r w:rsidR="00592320" w:rsidRPr="006B09CC">
        <w:rPr>
          <w:rFonts w:eastAsia="MS PGothic" w:cs="Arial"/>
          <w:szCs w:val="24"/>
        </w:rPr>
        <w:t>Guidance is provided for MDC and M</w:t>
      </w:r>
      <w:r w:rsidR="00592320" w:rsidRPr="006B09CC">
        <w:rPr>
          <w:rFonts w:cs="Arial"/>
          <w:szCs w:val="24"/>
        </w:rPr>
        <w:t xml:space="preserve">onthly </w:t>
      </w:r>
      <w:r w:rsidR="00592320" w:rsidRPr="006B09CC">
        <w:rPr>
          <w:rFonts w:eastAsia="MS PGothic" w:cs="Arial"/>
          <w:szCs w:val="24"/>
        </w:rPr>
        <w:t>C</w:t>
      </w:r>
      <w:r w:rsidR="00592320" w:rsidRPr="006B09CC">
        <w:rPr>
          <w:rFonts w:cs="Arial"/>
          <w:szCs w:val="24"/>
        </w:rPr>
        <w:t xml:space="preserve">ontribution </w:t>
      </w:r>
      <w:r w:rsidR="00592320" w:rsidRPr="006B09CC">
        <w:rPr>
          <w:rFonts w:eastAsia="MS PGothic" w:cs="Arial"/>
          <w:szCs w:val="24"/>
        </w:rPr>
        <w:t>R</w:t>
      </w:r>
      <w:r w:rsidR="00592320" w:rsidRPr="006B09CC">
        <w:rPr>
          <w:rFonts w:cs="Arial"/>
          <w:szCs w:val="24"/>
        </w:rPr>
        <w:t>econciliation (MCR)</w:t>
      </w:r>
      <w:r w:rsidR="00592320" w:rsidRPr="006B09CC">
        <w:rPr>
          <w:rFonts w:eastAsia="MS PGothic" w:cs="Arial"/>
          <w:szCs w:val="24"/>
        </w:rPr>
        <w:t xml:space="preserve"> to ensure Providers are able to supply Teachers’ Pensions with the required information in the required formats.</w:t>
      </w:r>
      <w:r w:rsidR="00592320" w:rsidRPr="006B09CC">
        <w:rPr>
          <w:rFonts w:cs="Arial"/>
          <w:szCs w:val="24"/>
        </w:rPr>
        <w:t xml:space="preserve"> </w:t>
      </w:r>
      <w:r w:rsidRPr="006B09CC">
        <w:rPr>
          <w:rFonts w:cs="Arial"/>
          <w:szCs w:val="24"/>
        </w:rPr>
        <w:t>The result of this can often be better engagement and direct access to experts who understand the payroll data and any known issues or challenges.</w:t>
      </w:r>
    </w:p>
    <w:p w14:paraId="4815CB0C" w14:textId="61EC09F1" w:rsidR="00592320" w:rsidRPr="006B09CC" w:rsidRDefault="00592320" w:rsidP="006B09CC">
      <w:pPr>
        <w:pStyle w:val="ListParagraph"/>
        <w:ind w:left="426"/>
        <w:textAlignment w:val="auto"/>
        <w:rPr>
          <w:rFonts w:cs="Arial"/>
          <w:szCs w:val="24"/>
        </w:rPr>
      </w:pPr>
    </w:p>
    <w:p w14:paraId="071B5CCF" w14:textId="0A1B4F03" w:rsidR="00592320" w:rsidRPr="00E408FC" w:rsidRDefault="00941740" w:rsidP="00E408FC">
      <w:pPr>
        <w:pStyle w:val="ListParagraph"/>
        <w:numPr>
          <w:ilvl w:val="0"/>
          <w:numId w:val="6"/>
        </w:numPr>
        <w:ind w:left="284" w:hanging="426"/>
        <w:textAlignment w:val="auto"/>
        <w:rPr>
          <w:rFonts w:cs="Arial"/>
          <w:szCs w:val="24"/>
        </w:rPr>
      </w:pPr>
      <w:r w:rsidRPr="00E408FC">
        <w:rPr>
          <w:rFonts w:eastAsia="MS PGothic" w:cs="Arial"/>
          <w:szCs w:val="24"/>
        </w:rPr>
        <w:t>The MCR project is also a key component of the data stra</w:t>
      </w:r>
      <w:r w:rsidR="001E0808" w:rsidRPr="00E408FC">
        <w:rPr>
          <w:rFonts w:eastAsia="MS PGothic" w:cs="Arial"/>
          <w:szCs w:val="24"/>
        </w:rPr>
        <w:t>t</w:t>
      </w:r>
      <w:r w:rsidRPr="00E408FC">
        <w:rPr>
          <w:rFonts w:eastAsia="MS PGothic" w:cs="Arial"/>
          <w:szCs w:val="24"/>
        </w:rPr>
        <w:t xml:space="preserve">egy. </w:t>
      </w:r>
      <w:r w:rsidR="00592320" w:rsidRPr="00E408FC">
        <w:rPr>
          <w:rFonts w:eastAsia="MS PGothic" w:cs="Arial"/>
          <w:szCs w:val="24"/>
        </w:rPr>
        <w:t>The objective of MCR is to allow Teachers’ Pensions to compare the contributions information provided on the MCR file (previously the MDC file), against the contributions amount paid each month.</w:t>
      </w:r>
      <w:r w:rsidR="00592320" w:rsidRPr="00E408FC">
        <w:rPr>
          <w:rFonts w:cs="Arial"/>
          <w:szCs w:val="24"/>
        </w:rPr>
        <w:t xml:space="preserve">  It u</w:t>
      </w:r>
      <w:r w:rsidR="00592320" w:rsidRPr="00E408FC">
        <w:rPr>
          <w:rFonts w:eastAsia="MS PGothic" w:cs="Arial"/>
          <w:szCs w:val="24"/>
        </w:rPr>
        <w:t>tilises improved and intelligent validation routines</w:t>
      </w:r>
      <w:r w:rsidRPr="00E408FC">
        <w:rPr>
          <w:rFonts w:eastAsia="MS PGothic" w:cs="Arial"/>
          <w:szCs w:val="24"/>
        </w:rPr>
        <w:t xml:space="preserve"> t</w:t>
      </w:r>
      <w:r w:rsidR="00592320" w:rsidRPr="00E408FC">
        <w:rPr>
          <w:rFonts w:eastAsia="MS PGothic" w:cs="Arial"/>
          <w:szCs w:val="24"/>
        </w:rPr>
        <w:t>o ensure the data is correct first time.</w:t>
      </w:r>
      <w:r w:rsidR="00592320" w:rsidRPr="00E408FC">
        <w:rPr>
          <w:rFonts w:cs="Arial"/>
          <w:szCs w:val="24"/>
        </w:rPr>
        <w:t xml:space="preserve">  </w:t>
      </w:r>
      <w:r w:rsidR="00592320" w:rsidRPr="00E408FC">
        <w:rPr>
          <w:rFonts w:eastAsia="MS PGothic" w:cs="Arial"/>
          <w:szCs w:val="24"/>
        </w:rPr>
        <w:t>Where errors do occur, new validation routines will seek to correct or provide clear guidance on corrections.  Employers will be informed of any errors and provided with a simple correction process.</w:t>
      </w:r>
    </w:p>
    <w:p w14:paraId="071C32EB" w14:textId="77777777" w:rsidR="00A11E4D" w:rsidRPr="00A11E4D" w:rsidRDefault="00A11E4D" w:rsidP="00A11E4D">
      <w:pPr>
        <w:pStyle w:val="ListParagraph"/>
        <w:rPr>
          <w:rFonts w:cs="Arial"/>
          <w:szCs w:val="24"/>
        </w:rPr>
      </w:pPr>
    </w:p>
    <w:p w14:paraId="0520EC74" w14:textId="747D80E8" w:rsidR="00A11E4D" w:rsidRPr="00A11E4D" w:rsidRDefault="00A11E4D" w:rsidP="00E408FC">
      <w:pPr>
        <w:pStyle w:val="ListParagraph"/>
        <w:numPr>
          <w:ilvl w:val="0"/>
          <w:numId w:val="6"/>
        </w:numPr>
        <w:ind w:left="284" w:hanging="426"/>
        <w:textAlignment w:val="auto"/>
        <w:rPr>
          <w:rFonts w:cs="Arial"/>
          <w:szCs w:val="24"/>
        </w:rPr>
      </w:pPr>
      <w:r w:rsidRPr="00A11E4D">
        <w:rPr>
          <w:rFonts w:cs="Arial"/>
          <w:szCs w:val="24"/>
        </w:rPr>
        <w:t>A revised data strategy is in the process of being drafted to reflect the changes described above and will also reflect advances in technology that can assist TP in collecting and maintaining accurate data.  A Data Improvement Plan will follow that will:</w:t>
      </w:r>
    </w:p>
    <w:p w14:paraId="5B1BD403" w14:textId="77777777" w:rsidR="00A11E4D" w:rsidRPr="007C012F" w:rsidRDefault="00A11E4D" w:rsidP="00A11E4D">
      <w:pPr>
        <w:rPr>
          <w:rFonts w:cs="Arial"/>
          <w:szCs w:val="24"/>
        </w:rPr>
      </w:pPr>
    </w:p>
    <w:p w14:paraId="55A167EE" w14:textId="00BA6734" w:rsidR="00A11E4D" w:rsidRPr="007C012F" w:rsidRDefault="00A11E4D" w:rsidP="00A11E4D">
      <w:pPr>
        <w:ind w:left="737"/>
        <w:rPr>
          <w:rFonts w:cs="Arial"/>
          <w:szCs w:val="24"/>
        </w:rPr>
      </w:pPr>
      <w:r>
        <w:rPr>
          <w:rFonts w:cs="Arial"/>
          <w:szCs w:val="24"/>
        </w:rPr>
        <w:t>•     S</w:t>
      </w:r>
      <w:r w:rsidRPr="007C012F">
        <w:rPr>
          <w:rFonts w:cs="Arial"/>
          <w:szCs w:val="24"/>
        </w:rPr>
        <w:t>et out the steps to improve scheme data and the objectives.</w:t>
      </w:r>
    </w:p>
    <w:p w14:paraId="2C1D046E" w14:textId="3E4F1842" w:rsidR="00A11E4D" w:rsidRPr="007C012F" w:rsidRDefault="00A11E4D" w:rsidP="007A47BE">
      <w:pPr>
        <w:ind w:left="737"/>
        <w:rPr>
          <w:rFonts w:cs="Arial"/>
          <w:szCs w:val="24"/>
        </w:rPr>
      </w:pPr>
      <w:r w:rsidRPr="007C012F">
        <w:rPr>
          <w:rFonts w:cs="Arial"/>
          <w:szCs w:val="24"/>
        </w:rPr>
        <w:t xml:space="preserve">•     Define in greater detail, the future initiatives to maintain and enhance </w:t>
      </w:r>
      <w:r w:rsidR="007A47BE">
        <w:rPr>
          <w:rFonts w:cs="Arial"/>
          <w:szCs w:val="24"/>
        </w:rPr>
        <w:t xml:space="preserve">                                 </w:t>
      </w:r>
      <w:r w:rsidRPr="007C012F">
        <w:rPr>
          <w:rFonts w:cs="Arial"/>
          <w:szCs w:val="24"/>
        </w:rPr>
        <w:t>data.</w:t>
      </w:r>
    </w:p>
    <w:p w14:paraId="703FCA2C" w14:textId="1AECD03C" w:rsidR="00A11E4D" w:rsidRPr="007C012F" w:rsidRDefault="00A11E4D" w:rsidP="00A11E4D">
      <w:pPr>
        <w:ind w:left="737"/>
        <w:rPr>
          <w:rFonts w:cs="Arial"/>
          <w:szCs w:val="24"/>
        </w:rPr>
      </w:pPr>
      <w:r w:rsidRPr="007C012F">
        <w:rPr>
          <w:rFonts w:cs="Arial"/>
          <w:szCs w:val="24"/>
        </w:rPr>
        <w:t>•     Sets out the outcomes that will be achieved based on the objectives.</w:t>
      </w:r>
    </w:p>
    <w:p w14:paraId="5A3BEE7F" w14:textId="38E6ABFF" w:rsidR="00A11E4D" w:rsidRPr="007C012F" w:rsidRDefault="00A11E4D" w:rsidP="00A11E4D">
      <w:pPr>
        <w:ind w:left="737"/>
        <w:rPr>
          <w:rFonts w:cs="Arial"/>
          <w:szCs w:val="24"/>
        </w:rPr>
      </w:pPr>
      <w:r w:rsidRPr="007C012F">
        <w:rPr>
          <w:rFonts w:cs="Arial"/>
          <w:szCs w:val="24"/>
        </w:rPr>
        <w:t>•     Define Governance and Reporting.</w:t>
      </w:r>
    </w:p>
    <w:p w14:paraId="4839695C" w14:textId="77777777" w:rsidR="00A11E4D" w:rsidRPr="007C012F" w:rsidRDefault="00A11E4D" w:rsidP="00A11E4D">
      <w:pPr>
        <w:rPr>
          <w:rFonts w:cs="Arial"/>
          <w:szCs w:val="24"/>
        </w:rPr>
      </w:pPr>
    </w:p>
    <w:p w14:paraId="36BEE825" w14:textId="77777777" w:rsidR="00AC7D0B" w:rsidRPr="000564EB" w:rsidRDefault="00AC7D0B" w:rsidP="00C7117E">
      <w:pPr>
        <w:rPr>
          <w:rFonts w:cs="Arial"/>
          <w:color w:val="FF0000"/>
          <w:szCs w:val="24"/>
        </w:rPr>
      </w:pPr>
      <w:r w:rsidRPr="000564EB">
        <w:rPr>
          <w:rFonts w:cs="Arial"/>
          <w:b/>
          <w:szCs w:val="24"/>
        </w:rPr>
        <w:t xml:space="preserve">MPO </w:t>
      </w:r>
      <w:r w:rsidR="00605675" w:rsidRPr="000564EB">
        <w:rPr>
          <w:rFonts w:cs="Arial"/>
          <w:b/>
          <w:szCs w:val="24"/>
        </w:rPr>
        <w:t>adoption</w:t>
      </w:r>
      <w:r w:rsidR="000A18C1" w:rsidRPr="000564EB">
        <w:rPr>
          <w:rFonts w:cs="Arial"/>
          <w:szCs w:val="24"/>
        </w:rPr>
        <w:t xml:space="preserve"> </w:t>
      </w:r>
    </w:p>
    <w:p w14:paraId="54DC9155" w14:textId="77777777" w:rsidR="00285ABA" w:rsidRPr="000564EB" w:rsidRDefault="00285ABA" w:rsidP="00C7117E">
      <w:pPr>
        <w:rPr>
          <w:rFonts w:cs="Arial"/>
          <w:szCs w:val="24"/>
        </w:rPr>
      </w:pPr>
    </w:p>
    <w:p w14:paraId="2CC04511" w14:textId="77777777" w:rsidR="00A25FBF" w:rsidRPr="000564EB" w:rsidRDefault="00AC7D0B" w:rsidP="005A0B4A">
      <w:pPr>
        <w:pStyle w:val="ListParagraph"/>
        <w:numPr>
          <w:ilvl w:val="0"/>
          <w:numId w:val="6"/>
        </w:numPr>
        <w:ind w:left="426" w:hanging="426"/>
        <w:rPr>
          <w:rFonts w:cs="Arial"/>
          <w:szCs w:val="24"/>
        </w:rPr>
      </w:pPr>
      <w:r w:rsidRPr="000564EB">
        <w:rPr>
          <w:rFonts w:cs="Arial"/>
          <w:szCs w:val="24"/>
        </w:rPr>
        <w:t xml:space="preserve">The table below details member volumes and MPO make-up </w:t>
      </w:r>
      <w:r w:rsidR="00C11421" w:rsidRPr="000564EB">
        <w:rPr>
          <w:rFonts w:cs="Arial"/>
          <w:szCs w:val="24"/>
        </w:rPr>
        <w:t>based on the establishments from the report going live:</w:t>
      </w:r>
      <w:r w:rsidR="002E7E9A" w:rsidRPr="000564EB">
        <w:rPr>
          <w:rFonts w:cs="Arial"/>
          <w:szCs w:val="24"/>
        </w:rPr>
        <w:t xml:space="preserve"> </w:t>
      </w:r>
      <w:r w:rsidR="00A25FBF" w:rsidRPr="000564EB">
        <w:rPr>
          <w:rFonts w:cs="Arial"/>
          <w:szCs w:val="24"/>
        </w:rPr>
        <w:t xml:space="preserve"> </w:t>
      </w:r>
    </w:p>
    <w:p w14:paraId="67267930" w14:textId="77777777" w:rsidR="00A25FBF" w:rsidRPr="000564EB" w:rsidRDefault="00A25FBF" w:rsidP="00A25FBF">
      <w:pPr>
        <w:pStyle w:val="ListParagraph"/>
        <w:ind w:left="360"/>
        <w:rPr>
          <w:rFonts w:cs="Arial"/>
          <w:szCs w:val="24"/>
        </w:rPr>
      </w:pPr>
    </w:p>
    <w:p w14:paraId="4A040260" w14:textId="77777777" w:rsidR="00A25FBF" w:rsidRPr="000564EB" w:rsidRDefault="00A25FBF" w:rsidP="00A25FBF">
      <w:pPr>
        <w:rPr>
          <w:rFonts w:cs="Arial"/>
          <w:szCs w:val="24"/>
        </w:rPr>
      </w:pPr>
      <w:r w:rsidRPr="000564EB">
        <w:rPr>
          <w:rFonts w:cs="Arial"/>
          <w:noProof/>
          <w:szCs w:val="24"/>
          <w:lang w:eastAsia="en-GB"/>
        </w:rPr>
        <w:drawing>
          <wp:inline distT="0" distB="0" distL="0" distR="0" wp14:anchorId="43640833" wp14:editId="6F9B73C7">
            <wp:extent cx="6517466" cy="2876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0321" cy="2930773"/>
                    </a:xfrm>
                    <a:prstGeom prst="rect">
                      <a:avLst/>
                    </a:prstGeom>
                    <a:noFill/>
                    <a:ln>
                      <a:noFill/>
                    </a:ln>
                  </pic:spPr>
                </pic:pic>
              </a:graphicData>
            </a:graphic>
          </wp:inline>
        </w:drawing>
      </w:r>
    </w:p>
    <w:p w14:paraId="16DBF1D9" w14:textId="77777777" w:rsidR="0079559B" w:rsidRPr="000564EB" w:rsidRDefault="0079559B" w:rsidP="0079559B">
      <w:pPr>
        <w:rPr>
          <w:rFonts w:cs="Arial"/>
          <w:szCs w:val="24"/>
        </w:rPr>
      </w:pPr>
    </w:p>
    <w:p w14:paraId="0ED9C490" w14:textId="77777777" w:rsidR="00B505D0" w:rsidRPr="000564EB" w:rsidRDefault="00B505D0" w:rsidP="0079559B">
      <w:pPr>
        <w:rPr>
          <w:rFonts w:cs="Arial"/>
          <w:szCs w:val="24"/>
        </w:rPr>
      </w:pPr>
    </w:p>
    <w:tbl>
      <w:tblPr>
        <w:tblStyle w:val="TableGrid"/>
        <w:tblW w:w="0" w:type="auto"/>
        <w:tblInd w:w="108" w:type="dxa"/>
        <w:tblLook w:val="04A0" w:firstRow="1" w:lastRow="0" w:firstColumn="1" w:lastColumn="0" w:noHBand="0" w:noVBand="1"/>
      </w:tblPr>
      <w:tblGrid>
        <w:gridCol w:w="7230"/>
        <w:gridCol w:w="1134"/>
      </w:tblGrid>
      <w:tr w:rsidR="0079559B" w:rsidRPr="000564EB" w14:paraId="60910626" w14:textId="77777777" w:rsidTr="00733DA1">
        <w:tc>
          <w:tcPr>
            <w:tcW w:w="7230" w:type="dxa"/>
          </w:tcPr>
          <w:p w14:paraId="53567AAA" w14:textId="77777777" w:rsidR="0079559B" w:rsidRPr="000564EB" w:rsidRDefault="0079559B" w:rsidP="00733DA1">
            <w:pPr>
              <w:rPr>
                <w:rFonts w:cs="Arial"/>
                <w:b/>
                <w:color w:val="000000"/>
                <w:szCs w:val="24"/>
                <w:lang w:eastAsia="en-GB"/>
              </w:rPr>
            </w:pPr>
            <w:r w:rsidRPr="000564EB">
              <w:rPr>
                <w:rFonts w:cs="Arial"/>
                <w:b/>
                <w:color w:val="000000"/>
                <w:szCs w:val="24"/>
                <w:lang w:eastAsia="en-GB"/>
              </w:rPr>
              <w:t>Social Media</w:t>
            </w:r>
          </w:p>
          <w:p w14:paraId="37ACA7FF" w14:textId="77777777" w:rsidR="0079559B" w:rsidRPr="000564EB" w:rsidRDefault="0079559B" w:rsidP="00733DA1">
            <w:pPr>
              <w:rPr>
                <w:rFonts w:cs="Arial"/>
                <w:b/>
                <w:szCs w:val="24"/>
              </w:rPr>
            </w:pPr>
          </w:p>
        </w:tc>
        <w:tc>
          <w:tcPr>
            <w:tcW w:w="1134" w:type="dxa"/>
            <w:shd w:val="clear" w:color="auto" w:fill="FFC000"/>
          </w:tcPr>
          <w:p w14:paraId="75B5AC1D" w14:textId="77777777" w:rsidR="0079559B" w:rsidRPr="000564EB" w:rsidRDefault="0079559B" w:rsidP="00733DA1">
            <w:pPr>
              <w:rPr>
                <w:rFonts w:cs="Arial"/>
                <w:color w:val="FF0000"/>
                <w:szCs w:val="24"/>
              </w:rPr>
            </w:pPr>
            <w:r w:rsidRPr="000564EB">
              <w:rPr>
                <w:rFonts w:cs="Arial"/>
                <w:noProof/>
                <w:color w:val="00B050"/>
                <w:szCs w:val="24"/>
                <w:lang w:eastAsia="en-GB"/>
              </w:rPr>
              <mc:AlternateContent>
                <mc:Choice Requires="wps">
                  <w:drawing>
                    <wp:anchor distT="0" distB="0" distL="114300" distR="114300" simplePos="0" relativeHeight="251741696" behindDoc="0" locked="0" layoutInCell="1" allowOverlap="1" wp14:anchorId="39B58A23" wp14:editId="04812979">
                      <wp:simplePos x="0" y="0"/>
                      <wp:positionH relativeFrom="column">
                        <wp:posOffset>77143</wp:posOffset>
                      </wp:positionH>
                      <wp:positionV relativeFrom="paragraph">
                        <wp:posOffset>65191</wp:posOffset>
                      </wp:positionV>
                      <wp:extent cx="485757" cy="158567"/>
                      <wp:effectExtent l="38100" t="57150" r="0" b="89535"/>
                      <wp:wrapNone/>
                      <wp:docPr id="9" name="Straight Arrow Connector 9"/>
                      <wp:cNvGraphicFramePr/>
                      <a:graphic xmlns:a="http://schemas.openxmlformats.org/drawingml/2006/main">
                        <a:graphicData uri="http://schemas.microsoft.com/office/word/2010/wordprocessingShape">
                          <wps:wsp>
                            <wps:cNvCnPr/>
                            <wps:spPr>
                              <a:xfrm flipV="1">
                                <a:off x="0" y="0"/>
                                <a:ext cx="485757" cy="158567"/>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E9BB8D7" id="Straight Arrow Connector 9" o:spid="_x0000_s1026" type="#_x0000_t32" style="position:absolute;margin-left:6.05pt;margin-top:5.15pt;width:38.25pt;height:12.5pt;flip:y;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" strokecolor="windowText" strokeweight="2pt">
                      <v:stroke endarrow="open"/>
                      <v:shadow on="t" color="black" opacity="24903f" origin=",.5" offset="0,.55556mm"/>
                    </v:shape>
                  </w:pict>
                </mc:Fallback>
              </mc:AlternateContent>
            </w:r>
          </w:p>
          <w:p w14:paraId="5598C381" w14:textId="77777777" w:rsidR="0079559B" w:rsidRPr="000564EB" w:rsidRDefault="0079559B" w:rsidP="00733DA1">
            <w:pPr>
              <w:rPr>
                <w:rFonts w:cs="Arial"/>
                <w:color w:val="00B050"/>
                <w:szCs w:val="24"/>
              </w:rPr>
            </w:pPr>
          </w:p>
        </w:tc>
      </w:tr>
    </w:tbl>
    <w:p w14:paraId="36A5DB4A" w14:textId="77777777" w:rsidR="0079559B" w:rsidRPr="000564EB" w:rsidRDefault="0079559B" w:rsidP="0079559B">
      <w:pPr>
        <w:rPr>
          <w:rFonts w:cs="Arial"/>
          <w:szCs w:val="24"/>
        </w:rPr>
      </w:pPr>
    </w:p>
    <w:p w14:paraId="13DA668D" w14:textId="5C8D66C4" w:rsidR="00F71B98" w:rsidRPr="000564EB" w:rsidRDefault="00F71B98" w:rsidP="005A0B4A">
      <w:pPr>
        <w:pStyle w:val="Heading3"/>
        <w:numPr>
          <w:ilvl w:val="0"/>
          <w:numId w:val="6"/>
        </w:numPr>
        <w:ind w:left="142"/>
        <w:rPr>
          <w:rFonts w:cs="Arial"/>
          <w:szCs w:val="24"/>
        </w:rPr>
      </w:pPr>
      <w:r w:rsidRPr="000564EB">
        <w:rPr>
          <w:rFonts w:cs="Arial"/>
          <w:szCs w:val="24"/>
        </w:rPr>
        <w:t xml:space="preserve">The scheme has </w:t>
      </w:r>
      <w:r w:rsidR="00416748" w:rsidRPr="000564EB">
        <w:rPr>
          <w:rFonts w:cs="Arial"/>
          <w:szCs w:val="24"/>
        </w:rPr>
        <w:t xml:space="preserve">4,299 </w:t>
      </w:r>
      <w:r w:rsidRPr="000564EB">
        <w:rPr>
          <w:rFonts w:cs="Arial"/>
          <w:szCs w:val="24"/>
        </w:rPr>
        <w:t xml:space="preserve">Twitter followers and </w:t>
      </w:r>
      <w:r w:rsidR="00416748" w:rsidRPr="000564EB">
        <w:rPr>
          <w:rFonts w:cs="Arial"/>
          <w:szCs w:val="24"/>
        </w:rPr>
        <w:t>177,300</w:t>
      </w:r>
      <w:r w:rsidRPr="000564EB">
        <w:rPr>
          <w:rFonts w:cs="Arial"/>
          <w:szCs w:val="24"/>
        </w:rPr>
        <w:t xml:space="preserve"> impressions, </w:t>
      </w:r>
      <w:r w:rsidR="00416748" w:rsidRPr="000564EB">
        <w:rPr>
          <w:rFonts w:cs="Arial"/>
          <w:szCs w:val="24"/>
        </w:rPr>
        <w:t xml:space="preserve">7,776 </w:t>
      </w:r>
      <w:r w:rsidRPr="000564EB">
        <w:rPr>
          <w:rFonts w:cs="Arial"/>
          <w:szCs w:val="24"/>
        </w:rPr>
        <w:t xml:space="preserve">Facebook ‘friends’ and </w:t>
      </w:r>
      <w:r w:rsidR="00416748" w:rsidRPr="000564EB">
        <w:rPr>
          <w:rFonts w:cs="Arial"/>
          <w:szCs w:val="24"/>
        </w:rPr>
        <w:t>127,770</w:t>
      </w:r>
      <w:r w:rsidR="009F3307" w:rsidRPr="000564EB">
        <w:rPr>
          <w:rFonts w:cs="Arial"/>
          <w:szCs w:val="24"/>
        </w:rPr>
        <w:t xml:space="preserve"> </w:t>
      </w:r>
      <w:r w:rsidRPr="000564EB">
        <w:rPr>
          <w:rFonts w:cs="Arial"/>
          <w:szCs w:val="24"/>
        </w:rPr>
        <w:t xml:space="preserve">impressions, and </w:t>
      </w:r>
      <w:r w:rsidR="00416748" w:rsidRPr="000564EB">
        <w:rPr>
          <w:rFonts w:cs="Arial"/>
          <w:szCs w:val="24"/>
        </w:rPr>
        <w:t>563</w:t>
      </w:r>
      <w:r w:rsidR="009F3307" w:rsidRPr="000564EB">
        <w:rPr>
          <w:rFonts w:cs="Arial"/>
          <w:szCs w:val="24"/>
        </w:rPr>
        <w:t xml:space="preserve"> </w:t>
      </w:r>
      <w:r w:rsidRPr="000564EB">
        <w:rPr>
          <w:rFonts w:cs="Arial"/>
          <w:szCs w:val="24"/>
        </w:rPr>
        <w:t xml:space="preserve">LinkedIn followers </w:t>
      </w:r>
      <w:r w:rsidR="001E0808">
        <w:rPr>
          <w:rFonts w:cs="Arial"/>
          <w:szCs w:val="24"/>
        </w:rPr>
        <w:t xml:space="preserve">and </w:t>
      </w:r>
      <w:r w:rsidR="00416748" w:rsidRPr="000564EB">
        <w:rPr>
          <w:rFonts w:cs="Arial"/>
          <w:szCs w:val="24"/>
        </w:rPr>
        <w:t>3,239</w:t>
      </w:r>
      <w:r w:rsidRPr="000564EB">
        <w:rPr>
          <w:rFonts w:cs="Arial"/>
          <w:szCs w:val="24"/>
        </w:rPr>
        <w:t xml:space="preserve"> impressions. There has been an increase in social media engagement as members contact TP through Facebook and Twitter with their queries. </w:t>
      </w:r>
    </w:p>
    <w:p w14:paraId="3C9CD955" w14:textId="77777777" w:rsidR="00F71B98" w:rsidRPr="000564EB" w:rsidRDefault="00F71B98" w:rsidP="00F71B98">
      <w:pPr>
        <w:pStyle w:val="Heading3"/>
        <w:rPr>
          <w:rFonts w:cs="Arial"/>
          <w:szCs w:val="24"/>
        </w:rPr>
      </w:pPr>
    </w:p>
    <w:p w14:paraId="684A6EDD" w14:textId="0CC7D13D" w:rsidR="00F71B98" w:rsidRPr="000564EB" w:rsidRDefault="00F71B98" w:rsidP="005A0B4A">
      <w:pPr>
        <w:pStyle w:val="Heading3"/>
        <w:numPr>
          <w:ilvl w:val="0"/>
          <w:numId w:val="6"/>
        </w:numPr>
        <w:ind w:left="142"/>
        <w:rPr>
          <w:rFonts w:cs="Arial"/>
          <w:szCs w:val="24"/>
        </w:rPr>
      </w:pPr>
      <w:r w:rsidRPr="000564EB">
        <w:rPr>
          <w:rFonts w:cs="Arial"/>
          <w:szCs w:val="24"/>
        </w:rPr>
        <w:t xml:space="preserve">YouTube has generated </w:t>
      </w:r>
      <w:r w:rsidR="00416748" w:rsidRPr="000564EB">
        <w:rPr>
          <w:rFonts w:cs="Arial"/>
          <w:szCs w:val="24"/>
        </w:rPr>
        <w:t>278,888</w:t>
      </w:r>
      <w:r w:rsidRPr="000564EB">
        <w:rPr>
          <w:rFonts w:cs="Arial"/>
          <w:szCs w:val="24"/>
        </w:rPr>
        <w:t xml:space="preserve"> views to date and achieved </w:t>
      </w:r>
      <w:r w:rsidR="00416748" w:rsidRPr="000564EB">
        <w:rPr>
          <w:rFonts w:cs="Arial"/>
          <w:szCs w:val="24"/>
        </w:rPr>
        <w:t>232</w:t>
      </w:r>
      <w:r w:rsidRPr="000564EB">
        <w:rPr>
          <w:rFonts w:cs="Arial"/>
          <w:szCs w:val="24"/>
        </w:rPr>
        <w:t xml:space="preserve"> subscribers.</w:t>
      </w:r>
    </w:p>
    <w:p w14:paraId="0A8BFE16" w14:textId="42EC45D6" w:rsidR="00156A46" w:rsidRDefault="00156A46" w:rsidP="00156A46">
      <w:pPr>
        <w:rPr>
          <w:rFonts w:cs="Arial"/>
          <w:szCs w:val="24"/>
        </w:rPr>
      </w:pPr>
    </w:p>
    <w:p w14:paraId="7D3FF89B" w14:textId="77777777" w:rsidR="00D46D90" w:rsidRPr="000564EB" w:rsidRDefault="00D46D90" w:rsidP="00156A46">
      <w:pPr>
        <w:rPr>
          <w:rFonts w:cs="Arial"/>
          <w:szCs w:val="24"/>
        </w:rPr>
      </w:pPr>
    </w:p>
    <w:tbl>
      <w:tblPr>
        <w:tblStyle w:val="TableGrid"/>
        <w:tblW w:w="0" w:type="auto"/>
        <w:tblInd w:w="108" w:type="dxa"/>
        <w:tblLook w:val="04A0" w:firstRow="1" w:lastRow="0" w:firstColumn="1" w:lastColumn="0" w:noHBand="0" w:noVBand="1"/>
      </w:tblPr>
      <w:tblGrid>
        <w:gridCol w:w="7230"/>
        <w:gridCol w:w="1134"/>
      </w:tblGrid>
      <w:tr w:rsidR="00156A46" w:rsidRPr="000564EB" w14:paraId="1A9F7393" w14:textId="77777777" w:rsidTr="00733DA1">
        <w:tc>
          <w:tcPr>
            <w:tcW w:w="7230" w:type="dxa"/>
          </w:tcPr>
          <w:p w14:paraId="379F57C0" w14:textId="77777777" w:rsidR="00156A46" w:rsidRPr="000564EB" w:rsidRDefault="00156A46" w:rsidP="00733DA1">
            <w:pPr>
              <w:rPr>
                <w:rFonts w:cs="Arial"/>
                <w:b/>
                <w:color w:val="000000"/>
                <w:szCs w:val="24"/>
                <w:lang w:eastAsia="en-GB"/>
              </w:rPr>
            </w:pPr>
            <w:r w:rsidRPr="000564EB">
              <w:rPr>
                <w:rFonts w:cs="Arial"/>
                <w:b/>
                <w:color w:val="000000"/>
                <w:szCs w:val="24"/>
                <w:lang w:eastAsia="en-GB"/>
              </w:rPr>
              <w:t>Engagement preferences</w:t>
            </w:r>
            <w:r w:rsidR="006125FA" w:rsidRPr="000564EB">
              <w:rPr>
                <w:rFonts w:cs="Arial"/>
                <w:b/>
                <w:color w:val="000000"/>
                <w:szCs w:val="24"/>
                <w:lang w:eastAsia="en-GB"/>
              </w:rPr>
              <w:t xml:space="preserve"> </w:t>
            </w:r>
          </w:p>
          <w:p w14:paraId="76F63EB5" w14:textId="77777777" w:rsidR="00156A46" w:rsidRPr="000564EB" w:rsidRDefault="00156A46" w:rsidP="00733DA1">
            <w:pPr>
              <w:rPr>
                <w:rFonts w:cs="Arial"/>
                <w:b/>
                <w:szCs w:val="24"/>
              </w:rPr>
            </w:pPr>
          </w:p>
        </w:tc>
        <w:tc>
          <w:tcPr>
            <w:tcW w:w="1134" w:type="dxa"/>
            <w:shd w:val="clear" w:color="auto" w:fill="FFC000"/>
          </w:tcPr>
          <w:p w14:paraId="5FD09D6A" w14:textId="77777777" w:rsidR="00156A46" w:rsidRPr="000564EB" w:rsidRDefault="00156A46" w:rsidP="00733DA1">
            <w:pPr>
              <w:rPr>
                <w:rFonts w:cs="Arial"/>
                <w:color w:val="FF0000"/>
                <w:szCs w:val="24"/>
              </w:rPr>
            </w:pPr>
            <w:r w:rsidRPr="000564EB">
              <w:rPr>
                <w:rFonts w:cs="Arial"/>
                <w:noProof/>
                <w:color w:val="00B050"/>
                <w:szCs w:val="24"/>
                <w:lang w:eastAsia="en-GB"/>
              </w:rPr>
              <mc:AlternateContent>
                <mc:Choice Requires="wps">
                  <w:drawing>
                    <wp:anchor distT="0" distB="0" distL="114300" distR="114300" simplePos="0" relativeHeight="251743744" behindDoc="0" locked="0" layoutInCell="1" allowOverlap="1" wp14:anchorId="6A20C8BE" wp14:editId="06C20D4C">
                      <wp:simplePos x="0" y="0"/>
                      <wp:positionH relativeFrom="column">
                        <wp:posOffset>77143</wp:posOffset>
                      </wp:positionH>
                      <wp:positionV relativeFrom="paragraph">
                        <wp:posOffset>65191</wp:posOffset>
                      </wp:positionV>
                      <wp:extent cx="485757" cy="158567"/>
                      <wp:effectExtent l="38100" t="57150" r="0" b="89535"/>
                      <wp:wrapNone/>
                      <wp:docPr id="11" name="Straight Arrow Connector 11"/>
                      <wp:cNvGraphicFramePr/>
                      <a:graphic xmlns:a="http://schemas.openxmlformats.org/drawingml/2006/main">
                        <a:graphicData uri="http://schemas.microsoft.com/office/word/2010/wordprocessingShape">
                          <wps:wsp>
                            <wps:cNvCnPr/>
                            <wps:spPr>
                              <a:xfrm flipV="1">
                                <a:off x="0" y="0"/>
                                <a:ext cx="485757" cy="158567"/>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7EC1081" id="Straight Arrow Connector 11" o:spid="_x0000_s1026" type="#_x0000_t32" style="position:absolute;margin-left:6.05pt;margin-top:5.15pt;width:38.25pt;height:12.5pt;flip:y;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" strokecolor="windowText" strokeweight="2pt">
                      <v:stroke endarrow="open"/>
                      <v:shadow on="t" color="black" opacity="24903f" origin=",.5" offset="0,.55556mm"/>
                    </v:shape>
                  </w:pict>
                </mc:Fallback>
              </mc:AlternateContent>
            </w:r>
          </w:p>
          <w:p w14:paraId="6133C87E" w14:textId="77777777" w:rsidR="00156A46" w:rsidRPr="000564EB" w:rsidRDefault="00156A46" w:rsidP="00733DA1">
            <w:pPr>
              <w:rPr>
                <w:rFonts w:cs="Arial"/>
                <w:color w:val="00B050"/>
                <w:szCs w:val="24"/>
              </w:rPr>
            </w:pPr>
          </w:p>
        </w:tc>
      </w:tr>
    </w:tbl>
    <w:p w14:paraId="72219428" w14:textId="77777777" w:rsidR="00156A46" w:rsidRPr="000564EB" w:rsidRDefault="00156A46" w:rsidP="00156A46">
      <w:pPr>
        <w:rPr>
          <w:rFonts w:cs="Arial"/>
          <w:szCs w:val="24"/>
        </w:rPr>
      </w:pPr>
    </w:p>
    <w:p w14:paraId="0D3DC6DC" w14:textId="77777777" w:rsidR="00156A46" w:rsidRPr="000564EB" w:rsidRDefault="00B505D0" w:rsidP="005A0B4A">
      <w:pPr>
        <w:pStyle w:val="ListParagraph"/>
        <w:numPr>
          <w:ilvl w:val="0"/>
          <w:numId w:val="6"/>
        </w:numPr>
        <w:ind w:left="142" w:hanging="426"/>
        <w:rPr>
          <w:rFonts w:cs="Arial"/>
          <w:szCs w:val="24"/>
        </w:rPr>
      </w:pPr>
      <w:r w:rsidRPr="000564EB">
        <w:rPr>
          <w:rFonts w:cs="Arial"/>
          <w:szCs w:val="24"/>
        </w:rPr>
        <w:t xml:space="preserve">The following graph </w:t>
      </w:r>
      <w:r w:rsidR="00156A46" w:rsidRPr="000564EB">
        <w:rPr>
          <w:rFonts w:cs="Arial"/>
          <w:szCs w:val="24"/>
        </w:rPr>
        <w:t xml:space="preserve">(aggregated to 3 month period) </w:t>
      </w:r>
      <w:r w:rsidRPr="000564EB">
        <w:rPr>
          <w:rFonts w:cs="Arial"/>
          <w:szCs w:val="24"/>
        </w:rPr>
        <w:t>demonstrate</w:t>
      </w:r>
      <w:r w:rsidR="008A4704">
        <w:rPr>
          <w:rFonts w:cs="Arial"/>
          <w:szCs w:val="24"/>
        </w:rPr>
        <w:t>s</w:t>
      </w:r>
      <w:r w:rsidRPr="000564EB">
        <w:rPr>
          <w:rFonts w:cs="Arial"/>
          <w:szCs w:val="24"/>
        </w:rPr>
        <w:t xml:space="preserve"> the </w:t>
      </w:r>
      <w:r w:rsidR="00156A46" w:rsidRPr="000564EB">
        <w:rPr>
          <w:rFonts w:cs="Arial"/>
          <w:szCs w:val="24"/>
        </w:rPr>
        <w:t>contact</w:t>
      </w:r>
      <w:r w:rsidRPr="000564EB">
        <w:rPr>
          <w:rFonts w:cs="Arial"/>
          <w:szCs w:val="24"/>
        </w:rPr>
        <w:t xml:space="preserve"> centre vs webform transactions by subject.</w:t>
      </w:r>
    </w:p>
    <w:p w14:paraId="16029102" w14:textId="77777777" w:rsidR="00B80F20" w:rsidRPr="000564EB" w:rsidRDefault="006D3D19" w:rsidP="00985A2E">
      <w:pPr>
        <w:rPr>
          <w:rFonts w:cs="Arial"/>
          <w:szCs w:val="24"/>
        </w:rPr>
      </w:pPr>
      <w:r w:rsidRPr="000564EB">
        <w:rPr>
          <w:rFonts w:cs="Arial"/>
          <w:noProof/>
          <w:szCs w:val="24"/>
          <w:lang w:eastAsia="en-GB"/>
        </w:rPr>
        <w:drawing>
          <wp:inline distT="0" distB="0" distL="0" distR="0" wp14:anchorId="5D84E224" wp14:editId="4DE46E7F">
            <wp:extent cx="5743830" cy="2892056"/>
            <wp:effectExtent l="0" t="0" r="0" b="0"/>
            <wp:docPr id="16" name="Picture 16" descr="cid:image001.png@01D449E0.77A71E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1.png@01D449E0.77A71E9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757190" cy="2898783"/>
                    </a:xfrm>
                    <a:prstGeom prst="rect">
                      <a:avLst/>
                    </a:prstGeom>
                    <a:noFill/>
                    <a:ln>
                      <a:noFill/>
                    </a:ln>
                  </pic:spPr>
                </pic:pic>
              </a:graphicData>
            </a:graphic>
          </wp:inline>
        </w:drawing>
      </w:r>
    </w:p>
    <w:tbl>
      <w:tblPr>
        <w:tblStyle w:val="TableGrid"/>
        <w:tblW w:w="0" w:type="auto"/>
        <w:tblInd w:w="108" w:type="dxa"/>
        <w:tblLook w:val="04A0" w:firstRow="1" w:lastRow="0" w:firstColumn="1" w:lastColumn="0" w:noHBand="0" w:noVBand="1"/>
      </w:tblPr>
      <w:tblGrid>
        <w:gridCol w:w="7230"/>
        <w:gridCol w:w="1134"/>
      </w:tblGrid>
      <w:tr w:rsidR="00985A2E" w:rsidRPr="000564EB" w14:paraId="2D903B84" w14:textId="77777777" w:rsidTr="008D6E19">
        <w:tc>
          <w:tcPr>
            <w:tcW w:w="7230" w:type="dxa"/>
            <w:tcBorders>
              <w:top w:val="single" w:sz="4" w:space="0" w:color="auto"/>
              <w:left w:val="single" w:sz="4" w:space="0" w:color="auto"/>
              <w:bottom w:val="single" w:sz="4" w:space="0" w:color="auto"/>
              <w:right w:val="single" w:sz="4" w:space="0" w:color="auto"/>
            </w:tcBorders>
          </w:tcPr>
          <w:p w14:paraId="7B81BE35" w14:textId="77777777" w:rsidR="00985A2E" w:rsidRPr="000564EB" w:rsidRDefault="00985A2E" w:rsidP="008D6E19">
            <w:pPr>
              <w:rPr>
                <w:rFonts w:cs="Arial"/>
                <w:b/>
                <w:szCs w:val="24"/>
              </w:rPr>
            </w:pPr>
            <w:r w:rsidRPr="000564EB">
              <w:rPr>
                <w:rFonts w:cs="Arial"/>
                <w:b/>
                <w:szCs w:val="24"/>
              </w:rPr>
              <w:t>Cash Income an</w:t>
            </w:r>
            <w:r w:rsidR="006D3D19" w:rsidRPr="000564EB">
              <w:rPr>
                <w:rFonts w:cs="Arial"/>
                <w:b/>
                <w:szCs w:val="24"/>
              </w:rPr>
              <w:t>d</w:t>
            </w:r>
            <w:r w:rsidRPr="000564EB">
              <w:rPr>
                <w:rFonts w:cs="Arial"/>
                <w:b/>
                <w:szCs w:val="24"/>
              </w:rPr>
              <w:t xml:space="preserve"> Expenditure (net cash requirement)</w:t>
            </w:r>
          </w:p>
          <w:p w14:paraId="3B6AF835" w14:textId="77777777" w:rsidR="00985A2E" w:rsidRPr="000564EB" w:rsidRDefault="00985A2E" w:rsidP="008D6E19">
            <w:pPr>
              <w:rPr>
                <w:rFonts w:cs="Arial"/>
                <w:b/>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11C0D3F6" w14:textId="77777777" w:rsidR="00985A2E" w:rsidRPr="000564EB" w:rsidRDefault="00985A2E" w:rsidP="008D6E19">
            <w:pPr>
              <w:rPr>
                <w:rFonts w:cs="Arial"/>
                <w:szCs w:val="24"/>
              </w:rPr>
            </w:pPr>
            <w:r w:rsidRPr="000564EB">
              <w:rPr>
                <w:rFonts w:cs="Arial"/>
                <w:noProof/>
                <w:szCs w:val="24"/>
                <w:lang w:eastAsia="en-GB"/>
              </w:rPr>
              <mc:AlternateContent>
                <mc:Choice Requires="wps">
                  <w:drawing>
                    <wp:anchor distT="4294967293" distB="4294967293" distL="114300" distR="114300" simplePos="0" relativeHeight="251747840" behindDoc="0" locked="0" layoutInCell="1" allowOverlap="1" wp14:anchorId="4F6FDBCC" wp14:editId="114FFCE6">
                      <wp:simplePos x="0" y="0"/>
                      <wp:positionH relativeFrom="column">
                        <wp:posOffset>118110</wp:posOffset>
                      </wp:positionH>
                      <wp:positionV relativeFrom="paragraph">
                        <wp:posOffset>91440</wp:posOffset>
                      </wp:positionV>
                      <wp:extent cx="350520" cy="0"/>
                      <wp:effectExtent l="0" t="76200" r="30480" b="1524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D574198" id="Straight Arrow Connector 20" o:spid="_x0000_s1026" type="#_x0000_t32" style="position:absolute;margin-left:9.3pt;margin-top:7.2pt;width:27.6pt;height:0;z-index:251747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" strokecolor="windowText" strokeweight="2pt">
                      <v:stroke endarrow="open"/>
                      <v:shadow on="t" color="black" opacity="24903f" origin=",.5" offset="0,.55556mm"/>
                      <o:lock v:ext="edit" shapetype="f"/>
                    </v:shape>
                  </w:pict>
                </mc:Fallback>
              </mc:AlternateContent>
            </w:r>
          </w:p>
        </w:tc>
      </w:tr>
    </w:tbl>
    <w:p w14:paraId="114804CF" w14:textId="77777777" w:rsidR="00985A2E" w:rsidRPr="000564EB" w:rsidRDefault="00985A2E" w:rsidP="00985A2E">
      <w:pPr>
        <w:pStyle w:val="ListParagraph"/>
        <w:widowControl/>
        <w:tabs>
          <w:tab w:val="left" w:pos="8222"/>
        </w:tabs>
        <w:overflowPunct/>
        <w:autoSpaceDE/>
        <w:adjustRightInd/>
        <w:spacing w:line="276" w:lineRule="auto"/>
        <w:ind w:right="-58"/>
        <w:rPr>
          <w:rFonts w:cs="Arial"/>
          <w:szCs w:val="24"/>
        </w:rPr>
      </w:pPr>
    </w:p>
    <w:p w14:paraId="12ED221D" w14:textId="0F4F2142" w:rsidR="00985A2E" w:rsidRPr="000564EB" w:rsidRDefault="00985A2E" w:rsidP="005A0B4A">
      <w:pPr>
        <w:pStyle w:val="ListParagraph"/>
        <w:widowControl/>
        <w:numPr>
          <w:ilvl w:val="0"/>
          <w:numId w:val="6"/>
        </w:numPr>
        <w:tabs>
          <w:tab w:val="left" w:pos="8222"/>
        </w:tabs>
        <w:overflowPunct/>
        <w:autoSpaceDE/>
        <w:adjustRightInd/>
        <w:ind w:left="142" w:right="-57"/>
        <w:textAlignment w:val="auto"/>
        <w:rPr>
          <w:rFonts w:cs="Arial"/>
          <w:color w:val="000000" w:themeColor="text1"/>
          <w:szCs w:val="24"/>
        </w:rPr>
      </w:pPr>
      <w:r w:rsidRPr="000564EB">
        <w:rPr>
          <w:rFonts w:cs="Arial"/>
          <w:szCs w:val="24"/>
        </w:rPr>
        <w:t>At the end of the July quarter</w:t>
      </w:r>
      <w:r w:rsidR="001E0808">
        <w:rPr>
          <w:rFonts w:cs="Arial"/>
          <w:szCs w:val="24"/>
        </w:rPr>
        <w:t>,</w:t>
      </w:r>
      <w:r w:rsidRPr="000564EB">
        <w:rPr>
          <w:rFonts w:cs="Arial"/>
          <w:szCs w:val="24"/>
        </w:rPr>
        <w:t xml:space="preserve"> the cash position reported income as £15.4million (m) </w:t>
      </w:r>
      <w:r w:rsidRPr="000564EB">
        <w:rPr>
          <w:rFonts w:cs="Arial"/>
          <w:color w:val="000000" w:themeColor="text1"/>
          <w:szCs w:val="24"/>
        </w:rPr>
        <w:t xml:space="preserve">under forecast (0.7%), with £2,112m received against the £2,127m expected. </w:t>
      </w:r>
    </w:p>
    <w:p w14:paraId="2E426CC1" w14:textId="77777777" w:rsidR="00985A2E" w:rsidRPr="000564EB" w:rsidRDefault="00985A2E" w:rsidP="005A0B4A">
      <w:pPr>
        <w:widowControl/>
        <w:tabs>
          <w:tab w:val="left" w:pos="8222"/>
        </w:tabs>
        <w:overflowPunct/>
        <w:autoSpaceDE/>
        <w:adjustRightInd/>
        <w:ind w:left="142" w:right="-57"/>
        <w:rPr>
          <w:rFonts w:cs="Arial"/>
          <w:color w:val="000000" w:themeColor="text1"/>
          <w:szCs w:val="24"/>
        </w:rPr>
      </w:pPr>
      <w:r w:rsidRPr="000564EB">
        <w:rPr>
          <w:rFonts w:cs="Arial"/>
          <w:color w:val="000000" w:themeColor="text1"/>
          <w:szCs w:val="24"/>
        </w:rPr>
        <w:t xml:space="preserve"> </w:t>
      </w:r>
    </w:p>
    <w:p w14:paraId="4553071F" w14:textId="77777777" w:rsidR="00985A2E" w:rsidRPr="000564EB" w:rsidRDefault="00985A2E" w:rsidP="005A0B4A">
      <w:pPr>
        <w:pStyle w:val="ListParagraph"/>
        <w:widowControl/>
        <w:numPr>
          <w:ilvl w:val="0"/>
          <w:numId w:val="6"/>
        </w:numPr>
        <w:tabs>
          <w:tab w:val="left" w:pos="8222"/>
        </w:tabs>
        <w:overflowPunct/>
        <w:autoSpaceDE/>
        <w:adjustRightInd/>
        <w:ind w:left="142" w:right="-57"/>
        <w:textAlignment w:val="auto"/>
        <w:rPr>
          <w:rFonts w:cs="Arial"/>
          <w:color w:val="000000" w:themeColor="text1"/>
          <w:szCs w:val="24"/>
        </w:rPr>
      </w:pPr>
      <w:r w:rsidRPr="000564EB">
        <w:rPr>
          <w:rFonts w:cs="Arial"/>
          <w:color w:val="000000" w:themeColor="text1"/>
          <w:szCs w:val="24"/>
        </w:rPr>
        <w:t>Expenditure paid to date was £3,124m - a variance of 1.3% with £41.8m less paid out than expected - against a forecast for £3,166m to be spent.</w:t>
      </w:r>
    </w:p>
    <w:p w14:paraId="1D451664" w14:textId="77777777" w:rsidR="00985A2E" w:rsidRPr="000564EB" w:rsidRDefault="00985A2E" w:rsidP="005A0B4A">
      <w:pPr>
        <w:widowControl/>
        <w:tabs>
          <w:tab w:val="left" w:pos="8222"/>
        </w:tabs>
        <w:overflowPunct/>
        <w:autoSpaceDE/>
        <w:adjustRightInd/>
        <w:ind w:left="142" w:right="-57"/>
        <w:rPr>
          <w:rFonts w:cs="Arial"/>
          <w:color w:val="000000" w:themeColor="text1"/>
          <w:szCs w:val="24"/>
        </w:rPr>
      </w:pPr>
    </w:p>
    <w:p w14:paraId="7E78C3E7" w14:textId="77777777" w:rsidR="00985A2E" w:rsidRPr="000564EB" w:rsidRDefault="00985A2E" w:rsidP="005A0B4A">
      <w:pPr>
        <w:pStyle w:val="ListParagraph"/>
        <w:widowControl/>
        <w:numPr>
          <w:ilvl w:val="0"/>
          <w:numId w:val="6"/>
        </w:numPr>
        <w:tabs>
          <w:tab w:val="left" w:pos="8222"/>
        </w:tabs>
        <w:overflowPunct/>
        <w:autoSpaceDE/>
        <w:adjustRightInd/>
        <w:ind w:left="142" w:right="-57"/>
        <w:textAlignment w:val="auto"/>
        <w:rPr>
          <w:rFonts w:cs="Arial"/>
          <w:color w:val="000000" w:themeColor="text1"/>
          <w:szCs w:val="24"/>
        </w:rPr>
      </w:pPr>
      <w:r w:rsidRPr="000564EB">
        <w:rPr>
          <w:rFonts w:cs="Arial"/>
          <w:color w:val="000000" w:themeColor="text1"/>
          <w:szCs w:val="24"/>
        </w:rPr>
        <w:t>The net cash requirement position at July reported an underspend of £30m (main estimate versus actual) whilst the equivalent resource position showed an underspend of £17m.</w:t>
      </w:r>
    </w:p>
    <w:p w14:paraId="7A00835A" w14:textId="77777777" w:rsidR="00985A2E" w:rsidRPr="000564EB" w:rsidRDefault="00985A2E" w:rsidP="005A0B4A">
      <w:pPr>
        <w:pStyle w:val="ListParagraph"/>
        <w:ind w:left="142"/>
        <w:rPr>
          <w:rFonts w:cs="Arial"/>
          <w:szCs w:val="24"/>
        </w:rPr>
      </w:pPr>
    </w:p>
    <w:p w14:paraId="00BC1F71" w14:textId="77777777" w:rsidR="00985A2E" w:rsidRPr="000564EB" w:rsidRDefault="00985A2E" w:rsidP="005A0B4A">
      <w:pPr>
        <w:pStyle w:val="ListParagraph"/>
        <w:widowControl/>
        <w:numPr>
          <w:ilvl w:val="0"/>
          <w:numId w:val="6"/>
        </w:numPr>
        <w:tabs>
          <w:tab w:val="left" w:pos="8222"/>
        </w:tabs>
        <w:overflowPunct/>
        <w:autoSpaceDE/>
        <w:adjustRightInd/>
        <w:ind w:left="142" w:right="-57"/>
        <w:textAlignment w:val="auto"/>
        <w:rPr>
          <w:rFonts w:cs="Arial"/>
          <w:szCs w:val="24"/>
        </w:rPr>
      </w:pPr>
      <w:r w:rsidRPr="000564EB">
        <w:rPr>
          <w:rFonts w:cs="Arial"/>
          <w:szCs w:val="24"/>
        </w:rPr>
        <w:t xml:space="preserve">The Autumn OBR forecasting exercise is underway and on track for delivery by the September deadline.  </w:t>
      </w:r>
    </w:p>
    <w:p w14:paraId="4C0EDC63" w14:textId="77777777" w:rsidR="00985A2E" w:rsidRPr="000564EB" w:rsidRDefault="00985A2E" w:rsidP="00985A2E">
      <w:pPr>
        <w:pStyle w:val="DeptBullets"/>
        <w:numPr>
          <w:ilvl w:val="0"/>
          <w:numId w:val="0"/>
        </w:numPr>
        <w:tabs>
          <w:tab w:val="left" w:pos="8222"/>
        </w:tabs>
        <w:spacing w:after="0"/>
        <w:ind w:right="-58"/>
        <w:rPr>
          <w:rFonts w:cs="Arial"/>
          <w:b/>
          <w:color w:val="7030A0"/>
          <w:szCs w:val="24"/>
          <w:lang w:eastAsia="en-GB"/>
        </w:rPr>
      </w:pPr>
    </w:p>
    <w:tbl>
      <w:tblPr>
        <w:tblStyle w:val="TableGrid"/>
        <w:tblW w:w="0" w:type="auto"/>
        <w:tblInd w:w="108" w:type="dxa"/>
        <w:tblLook w:val="04A0" w:firstRow="1" w:lastRow="0" w:firstColumn="1" w:lastColumn="0" w:noHBand="0" w:noVBand="1"/>
      </w:tblPr>
      <w:tblGrid>
        <w:gridCol w:w="7230"/>
        <w:gridCol w:w="1134"/>
      </w:tblGrid>
      <w:tr w:rsidR="00985A2E" w:rsidRPr="000564EB" w14:paraId="7857A36B" w14:textId="77777777" w:rsidTr="008D6E19">
        <w:tc>
          <w:tcPr>
            <w:tcW w:w="7230" w:type="dxa"/>
            <w:tcBorders>
              <w:top w:val="single" w:sz="4" w:space="0" w:color="auto"/>
              <w:left w:val="single" w:sz="4" w:space="0" w:color="auto"/>
              <w:bottom w:val="single" w:sz="4" w:space="0" w:color="auto"/>
              <w:right w:val="single" w:sz="4" w:space="0" w:color="auto"/>
            </w:tcBorders>
          </w:tcPr>
          <w:p w14:paraId="71298D7E" w14:textId="77777777" w:rsidR="00985A2E" w:rsidRPr="000564EB" w:rsidRDefault="00985A2E" w:rsidP="008D6E19">
            <w:pPr>
              <w:rPr>
                <w:rFonts w:cs="Arial"/>
                <w:b/>
                <w:szCs w:val="24"/>
              </w:rPr>
            </w:pPr>
            <w:r w:rsidRPr="000564EB">
              <w:rPr>
                <w:rFonts w:cs="Arial"/>
                <w:b/>
                <w:szCs w:val="24"/>
              </w:rPr>
              <w:t>Contributions</w:t>
            </w:r>
          </w:p>
          <w:p w14:paraId="622603AC" w14:textId="77777777" w:rsidR="00985A2E" w:rsidRPr="000564EB" w:rsidRDefault="00985A2E" w:rsidP="008D6E19">
            <w:pPr>
              <w:rPr>
                <w:rFonts w:cs="Arial"/>
                <w:b/>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00B050"/>
            <w:hideMark/>
          </w:tcPr>
          <w:p w14:paraId="6767C2B6" w14:textId="77777777" w:rsidR="00985A2E" w:rsidRPr="000564EB" w:rsidRDefault="00985A2E" w:rsidP="008D6E19">
            <w:pPr>
              <w:rPr>
                <w:rFonts w:cs="Arial"/>
                <w:szCs w:val="24"/>
              </w:rPr>
            </w:pPr>
            <w:r w:rsidRPr="000564EB">
              <w:rPr>
                <w:rFonts w:cs="Arial"/>
                <w:szCs w:val="24"/>
              </w:rPr>
              <w:t xml:space="preserve">          </w:t>
            </w:r>
          </w:p>
          <w:p w14:paraId="12A5A92B" w14:textId="77777777" w:rsidR="00985A2E" w:rsidRPr="000564EB" w:rsidRDefault="00853B08" w:rsidP="008D6E19">
            <w:pPr>
              <w:rPr>
                <w:rFonts w:cs="Arial"/>
                <w:szCs w:val="24"/>
              </w:rPr>
            </w:pPr>
            <w:r w:rsidRPr="000564EB">
              <w:rPr>
                <w:rFonts w:cs="Arial"/>
                <w:noProof/>
                <w:szCs w:val="24"/>
                <w:lang w:eastAsia="en-GB"/>
              </w:rPr>
              <mc:AlternateContent>
                <mc:Choice Requires="wps">
                  <w:drawing>
                    <wp:anchor distT="4294967293" distB="4294967293" distL="114300" distR="114300" simplePos="0" relativeHeight="251745792" behindDoc="0" locked="0" layoutInCell="1" allowOverlap="1" wp14:anchorId="44A5CA96" wp14:editId="2759BDD3">
                      <wp:simplePos x="0" y="0"/>
                      <wp:positionH relativeFrom="column">
                        <wp:posOffset>135255</wp:posOffset>
                      </wp:positionH>
                      <wp:positionV relativeFrom="paragraph">
                        <wp:posOffset>67945</wp:posOffset>
                      </wp:positionV>
                      <wp:extent cx="350520" cy="0"/>
                      <wp:effectExtent l="0" t="76200" r="30480" b="15240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B695706" id="Straight Arrow Connector 17" o:spid="_x0000_s1026" type="#_x0000_t32" style="position:absolute;margin-left:10.65pt;margin-top:5.35pt;width:27.6pt;height:0;z-index:251745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" strokecolor="windowText" strokeweight="2pt">
                      <v:stroke endarrow="open"/>
                      <v:shadow on="t" color="black" opacity="24903f" origin=",.5" offset="0,.55556mm"/>
                      <o:lock v:ext="edit" shapetype="f"/>
                    </v:shape>
                  </w:pict>
                </mc:Fallback>
              </mc:AlternateContent>
            </w:r>
          </w:p>
        </w:tc>
      </w:tr>
    </w:tbl>
    <w:p w14:paraId="5525470A" w14:textId="77777777" w:rsidR="00985A2E" w:rsidRPr="000564EB" w:rsidRDefault="00985A2E" w:rsidP="00985A2E">
      <w:pPr>
        <w:pStyle w:val="DeptBullets"/>
        <w:numPr>
          <w:ilvl w:val="0"/>
          <w:numId w:val="0"/>
        </w:numPr>
        <w:tabs>
          <w:tab w:val="left" w:pos="720"/>
        </w:tabs>
        <w:spacing w:after="0"/>
        <w:ind w:right="-58"/>
        <w:textAlignment w:val="auto"/>
        <w:rPr>
          <w:rFonts w:cs="Arial"/>
          <w:szCs w:val="24"/>
        </w:rPr>
      </w:pPr>
    </w:p>
    <w:p w14:paraId="12233E8D" w14:textId="2F4F9B3B" w:rsidR="00985A2E" w:rsidRPr="000564EB" w:rsidRDefault="00985A2E" w:rsidP="005522C8">
      <w:pPr>
        <w:pStyle w:val="DeptBullets"/>
        <w:numPr>
          <w:ilvl w:val="0"/>
          <w:numId w:val="6"/>
        </w:numPr>
        <w:spacing w:after="0"/>
        <w:ind w:left="142" w:right="84" w:hanging="426"/>
        <w:textAlignment w:val="auto"/>
        <w:rPr>
          <w:rFonts w:cs="Arial"/>
          <w:szCs w:val="24"/>
        </w:rPr>
      </w:pPr>
      <w:r w:rsidRPr="000564EB">
        <w:rPr>
          <w:rFonts w:cs="Arial"/>
          <w:szCs w:val="24"/>
        </w:rPr>
        <w:t xml:space="preserve">The unallocated contributions balance at July was £59m compared to the £54m reported the previous quarter. Work </w:t>
      </w:r>
      <w:r w:rsidR="000D1781">
        <w:rPr>
          <w:rFonts w:cs="Arial"/>
          <w:szCs w:val="24"/>
        </w:rPr>
        <w:t>i</w:t>
      </w:r>
      <w:r w:rsidRPr="000564EB">
        <w:rPr>
          <w:rFonts w:cs="Arial"/>
          <w:szCs w:val="24"/>
        </w:rPr>
        <w:t xml:space="preserve">s ongoing to </w:t>
      </w:r>
      <w:r w:rsidR="006C3A6D">
        <w:rPr>
          <w:rFonts w:cs="Arial"/>
          <w:szCs w:val="24"/>
        </w:rPr>
        <w:t xml:space="preserve">firstly </w:t>
      </w:r>
      <w:r w:rsidRPr="000564EB">
        <w:rPr>
          <w:rFonts w:cs="Arial"/>
          <w:szCs w:val="24"/>
        </w:rPr>
        <w:t>maintain the position within the 1% tolerance target (against contributions received annually)</w:t>
      </w:r>
      <w:r w:rsidR="000D1781">
        <w:rPr>
          <w:rFonts w:cs="Arial"/>
          <w:szCs w:val="24"/>
        </w:rPr>
        <w:t>;</w:t>
      </w:r>
      <w:r w:rsidR="006C3A6D">
        <w:rPr>
          <w:rFonts w:cs="Arial"/>
          <w:szCs w:val="24"/>
        </w:rPr>
        <w:t xml:space="preserve"> and ultimately reduce the amount as far as is possible to do so</w:t>
      </w:r>
      <w:r w:rsidRPr="000564EB">
        <w:rPr>
          <w:rFonts w:cs="Arial"/>
          <w:szCs w:val="24"/>
        </w:rPr>
        <w:t xml:space="preserve">. </w:t>
      </w:r>
    </w:p>
    <w:p w14:paraId="6D235A9F" w14:textId="77777777" w:rsidR="00985A2E" w:rsidRPr="000564EB" w:rsidRDefault="00985A2E" w:rsidP="005A0B4A">
      <w:pPr>
        <w:pStyle w:val="DeptBullets"/>
        <w:numPr>
          <w:ilvl w:val="0"/>
          <w:numId w:val="0"/>
        </w:numPr>
        <w:tabs>
          <w:tab w:val="left" w:pos="426"/>
        </w:tabs>
        <w:spacing w:after="0"/>
        <w:ind w:left="142" w:right="84" w:hanging="284"/>
        <w:textAlignment w:val="auto"/>
        <w:rPr>
          <w:rFonts w:cs="Arial"/>
          <w:szCs w:val="24"/>
        </w:rPr>
      </w:pPr>
    </w:p>
    <w:p w14:paraId="005876D5" w14:textId="1488B0D8" w:rsidR="00985A2E" w:rsidRPr="000564EB" w:rsidRDefault="00985A2E" w:rsidP="005522C8">
      <w:pPr>
        <w:pStyle w:val="DeptBullets"/>
        <w:numPr>
          <w:ilvl w:val="0"/>
          <w:numId w:val="6"/>
        </w:numPr>
        <w:spacing w:after="0"/>
        <w:ind w:left="142" w:right="84" w:hanging="426"/>
        <w:textAlignment w:val="auto"/>
        <w:rPr>
          <w:rFonts w:cs="Arial"/>
          <w:szCs w:val="24"/>
        </w:rPr>
      </w:pPr>
      <w:r w:rsidRPr="000564EB">
        <w:rPr>
          <w:rFonts w:cs="Arial"/>
          <w:szCs w:val="24"/>
        </w:rPr>
        <w:t>The breakdown by sector shows the majority is attributable to the following areas - £27.8m to Local Authorities (down from the £28.8m last reported) and £15.4m to Academies (</w:t>
      </w:r>
      <w:r w:rsidR="006C3A6D">
        <w:rPr>
          <w:rFonts w:cs="Arial"/>
          <w:szCs w:val="24"/>
        </w:rPr>
        <w:t xml:space="preserve">slightly up </w:t>
      </w:r>
      <w:r w:rsidRPr="000564EB">
        <w:rPr>
          <w:rFonts w:cs="Arial"/>
          <w:szCs w:val="24"/>
        </w:rPr>
        <w:t xml:space="preserve">from </w:t>
      </w:r>
      <w:r w:rsidR="006C3A6D">
        <w:rPr>
          <w:rFonts w:cs="Arial"/>
          <w:szCs w:val="24"/>
        </w:rPr>
        <w:t xml:space="preserve">the </w:t>
      </w:r>
      <w:r w:rsidRPr="000564EB">
        <w:rPr>
          <w:rFonts w:cs="Arial"/>
          <w:szCs w:val="24"/>
        </w:rPr>
        <w:t>£14.2m</w:t>
      </w:r>
      <w:r w:rsidR="006C3A6D">
        <w:rPr>
          <w:rFonts w:cs="Arial"/>
          <w:szCs w:val="24"/>
        </w:rPr>
        <w:t xml:space="preserve"> last reported</w:t>
      </w:r>
      <w:r w:rsidRPr="000564EB">
        <w:rPr>
          <w:rFonts w:cs="Arial"/>
          <w:szCs w:val="24"/>
        </w:rPr>
        <w:t xml:space="preserve">).   </w:t>
      </w:r>
    </w:p>
    <w:p w14:paraId="5CD3809A" w14:textId="77777777" w:rsidR="00985A2E" w:rsidRPr="000564EB" w:rsidRDefault="00985A2E" w:rsidP="00985A2E">
      <w:pPr>
        <w:pStyle w:val="DeptBullets"/>
        <w:numPr>
          <w:ilvl w:val="0"/>
          <w:numId w:val="0"/>
        </w:numPr>
        <w:tabs>
          <w:tab w:val="left" w:pos="720"/>
        </w:tabs>
        <w:spacing w:after="0"/>
        <w:ind w:right="84"/>
        <w:rPr>
          <w:rFonts w:cs="Arial"/>
          <w:szCs w:val="24"/>
        </w:rPr>
      </w:pPr>
    </w:p>
    <w:p w14:paraId="38F968C4" w14:textId="633B6FEA" w:rsidR="00985A2E" w:rsidRPr="000564EB" w:rsidRDefault="00985A2E" w:rsidP="005522C8">
      <w:pPr>
        <w:pStyle w:val="DeptBullets"/>
        <w:numPr>
          <w:ilvl w:val="0"/>
          <w:numId w:val="6"/>
        </w:numPr>
        <w:spacing w:after="0"/>
        <w:ind w:left="142" w:hanging="426"/>
        <w:textAlignment w:val="auto"/>
        <w:rPr>
          <w:rFonts w:cs="Arial"/>
          <w:szCs w:val="24"/>
        </w:rPr>
      </w:pPr>
      <w:r w:rsidRPr="000564EB">
        <w:rPr>
          <w:rFonts w:cs="Arial"/>
          <w:szCs w:val="24"/>
        </w:rPr>
        <w:t>DfE continue to monitor, support and challenge TP on the ongoing position at the monthly finance meetings and senior management KITs.</w:t>
      </w:r>
    </w:p>
    <w:p w14:paraId="533500BE" w14:textId="21459A8C" w:rsidR="00985A2E" w:rsidRDefault="00985A2E" w:rsidP="00985A2E">
      <w:pPr>
        <w:pStyle w:val="DeptBullets"/>
        <w:numPr>
          <w:ilvl w:val="0"/>
          <w:numId w:val="0"/>
        </w:numPr>
        <w:tabs>
          <w:tab w:val="left" w:pos="720"/>
        </w:tabs>
        <w:spacing w:after="0"/>
        <w:rPr>
          <w:rFonts w:cs="Arial"/>
          <w:szCs w:val="24"/>
        </w:rPr>
      </w:pPr>
    </w:p>
    <w:p w14:paraId="0646AC07" w14:textId="3FAC7A99" w:rsidR="00D46D90" w:rsidRDefault="00D46D90" w:rsidP="00985A2E">
      <w:pPr>
        <w:pStyle w:val="DeptBullets"/>
        <w:numPr>
          <w:ilvl w:val="0"/>
          <w:numId w:val="0"/>
        </w:numPr>
        <w:tabs>
          <w:tab w:val="left" w:pos="720"/>
        </w:tabs>
        <w:spacing w:after="0"/>
        <w:rPr>
          <w:rFonts w:cs="Arial"/>
          <w:szCs w:val="24"/>
        </w:rPr>
      </w:pPr>
    </w:p>
    <w:p w14:paraId="56E8270F" w14:textId="77777777" w:rsidR="00D46D90" w:rsidRPr="000564EB" w:rsidRDefault="00D46D90" w:rsidP="00985A2E">
      <w:pPr>
        <w:pStyle w:val="DeptBullets"/>
        <w:numPr>
          <w:ilvl w:val="0"/>
          <w:numId w:val="0"/>
        </w:numPr>
        <w:tabs>
          <w:tab w:val="left" w:pos="720"/>
        </w:tabs>
        <w:spacing w:after="0"/>
        <w:rPr>
          <w:rFonts w:cs="Arial"/>
          <w:szCs w:val="24"/>
        </w:rPr>
      </w:pPr>
    </w:p>
    <w:tbl>
      <w:tblPr>
        <w:tblStyle w:val="TableGrid"/>
        <w:tblW w:w="0" w:type="auto"/>
        <w:tblInd w:w="108" w:type="dxa"/>
        <w:tblLook w:val="04A0" w:firstRow="1" w:lastRow="0" w:firstColumn="1" w:lastColumn="0" w:noHBand="0" w:noVBand="1"/>
      </w:tblPr>
      <w:tblGrid>
        <w:gridCol w:w="7230"/>
        <w:gridCol w:w="1134"/>
      </w:tblGrid>
      <w:tr w:rsidR="00985A2E" w:rsidRPr="000564EB" w14:paraId="3112F490" w14:textId="77777777" w:rsidTr="008D6E19">
        <w:trPr>
          <w:trHeight w:val="500"/>
        </w:trPr>
        <w:tc>
          <w:tcPr>
            <w:tcW w:w="7230" w:type="dxa"/>
            <w:tcBorders>
              <w:top w:val="single" w:sz="4" w:space="0" w:color="auto"/>
              <w:left w:val="single" w:sz="4" w:space="0" w:color="auto"/>
              <w:bottom w:val="single" w:sz="4" w:space="0" w:color="auto"/>
              <w:right w:val="single" w:sz="4" w:space="0" w:color="auto"/>
            </w:tcBorders>
          </w:tcPr>
          <w:p w14:paraId="336A5530" w14:textId="77777777" w:rsidR="00985A2E" w:rsidRPr="000564EB" w:rsidRDefault="00985A2E" w:rsidP="008D6E19">
            <w:pPr>
              <w:rPr>
                <w:rFonts w:cs="Arial"/>
                <w:b/>
                <w:szCs w:val="24"/>
              </w:rPr>
            </w:pPr>
            <w:r w:rsidRPr="000564EB">
              <w:rPr>
                <w:rFonts w:cs="Arial"/>
                <w:b/>
                <w:szCs w:val="24"/>
              </w:rPr>
              <w:t>Debt</w:t>
            </w:r>
          </w:p>
          <w:p w14:paraId="1152D5F3" w14:textId="77777777" w:rsidR="00985A2E" w:rsidRPr="000564EB" w:rsidRDefault="00985A2E" w:rsidP="008D6E19">
            <w:pPr>
              <w:rPr>
                <w:rFonts w:cs="Arial"/>
                <w:b/>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00B050"/>
            <w:hideMark/>
          </w:tcPr>
          <w:p w14:paraId="31E69801" w14:textId="77777777" w:rsidR="00985A2E" w:rsidRPr="000564EB" w:rsidRDefault="00985A2E" w:rsidP="008D6E19">
            <w:pPr>
              <w:rPr>
                <w:rFonts w:cs="Arial"/>
                <w:szCs w:val="24"/>
              </w:rPr>
            </w:pPr>
            <w:r w:rsidRPr="000564EB">
              <w:rPr>
                <w:rFonts w:cs="Arial"/>
                <w:szCs w:val="24"/>
              </w:rPr>
              <w:t xml:space="preserve">                        </w:t>
            </w:r>
          </w:p>
          <w:p w14:paraId="76623833" w14:textId="77777777" w:rsidR="00985A2E" w:rsidRPr="000564EB" w:rsidRDefault="00985A2E" w:rsidP="008D6E19">
            <w:pPr>
              <w:rPr>
                <w:rFonts w:cs="Arial"/>
                <w:szCs w:val="24"/>
              </w:rPr>
            </w:pPr>
            <w:r w:rsidRPr="000564EB">
              <w:rPr>
                <w:rFonts w:cs="Arial"/>
                <w:noProof/>
                <w:szCs w:val="24"/>
                <w:lang w:eastAsia="en-GB"/>
              </w:rPr>
              <mc:AlternateContent>
                <mc:Choice Requires="wps">
                  <w:drawing>
                    <wp:anchor distT="4294967293" distB="4294967293" distL="114300" distR="114300" simplePos="0" relativeHeight="251746816" behindDoc="0" locked="0" layoutInCell="1" allowOverlap="1" wp14:anchorId="38D41F9E" wp14:editId="3CCDD3AE">
                      <wp:simplePos x="0" y="0"/>
                      <wp:positionH relativeFrom="column">
                        <wp:posOffset>140970</wp:posOffset>
                      </wp:positionH>
                      <wp:positionV relativeFrom="paragraph">
                        <wp:posOffset>63500</wp:posOffset>
                      </wp:positionV>
                      <wp:extent cx="350520" cy="0"/>
                      <wp:effectExtent l="0" t="76200" r="30480" b="1524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6D5069C" id="Straight Arrow Connector 2" o:spid="_x0000_s1026" type="#_x0000_t32" style="position:absolute;margin-left:11.1pt;margin-top:5pt;width:27.6pt;height:0;z-index:251746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" strokecolor="windowText" strokeweight="2pt">
                      <v:stroke endarrow="open"/>
                      <v:shadow on="t" color="black" opacity="24903f" origin=",.5" offset="0,.55556mm"/>
                      <o:lock v:ext="edit" shapetype="f"/>
                    </v:shape>
                  </w:pict>
                </mc:Fallback>
              </mc:AlternateContent>
            </w:r>
          </w:p>
        </w:tc>
      </w:tr>
    </w:tbl>
    <w:p w14:paraId="3F3D11DA" w14:textId="77777777" w:rsidR="00985A2E" w:rsidRPr="000564EB" w:rsidRDefault="00985A2E" w:rsidP="00985A2E">
      <w:pPr>
        <w:pStyle w:val="DeptBullets"/>
        <w:numPr>
          <w:ilvl w:val="0"/>
          <w:numId w:val="0"/>
        </w:numPr>
        <w:tabs>
          <w:tab w:val="left" w:pos="8364"/>
        </w:tabs>
        <w:spacing w:after="0"/>
        <w:ind w:left="426" w:hanging="426"/>
        <w:rPr>
          <w:rFonts w:cs="Arial"/>
          <w:szCs w:val="24"/>
        </w:rPr>
      </w:pPr>
    </w:p>
    <w:p w14:paraId="24E2B45C" w14:textId="2B3B4FE7" w:rsidR="00985A2E" w:rsidRPr="000564EB" w:rsidRDefault="00985A2E" w:rsidP="005A0B4A">
      <w:pPr>
        <w:pStyle w:val="DeptBullets"/>
        <w:numPr>
          <w:ilvl w:val="0"/>
          <w:numId w:val="6"/>
        </w:numPr>
        <w:tabs>
          <w:tab w:val="left" w:pos="8364"/>
        </w:tabs>
        <w:spacing w:after="0"/>
        <w:ind w:left="284"/>
        <w:textAlignment w:val="auto"/>
        <w:rPr>
          <w:rFonts w:cs="Arial"/>
          <w:szCs w:val="24"/>
        </w:rPr>
      </w:pPr>
      <w:r w:rsidRPr="000564EB">
        <w:rPr>
          <w:rFonts w:cs="Arial"/>
          <w:b/>
          <w:szCs w:val="24"/>
        </w:rPr>
        <w:t>Member Overpayments</w:t>
      </w:r>
      <w:r w:rsidRPr="000564EB">
        <w:rPr>
          <w:rFonts w:cs="Arial"/>
          <w:szCs w:val="24"/>
        </w:rPr>
        <w:t xml:space="preserve"> – The outstanding balance increased during the period from the £12.9m reported at April to £13.6m at July. </w:t>
      </w:r>
      <w:r w:rsidRPr="000564EB">
        <w:rPr>
          <w:rFonts w:cs="Arial"/>
          <w:color w:val="000000" w:themeColor="text1"/>
          <w:szCs w:val="24"/>
        </w:rPr>
        <w:t>The balance consists of £5.2m from re-marriage (of which £3.1m is in recovery), £2m from re-employment, £2m from lump sums and £1.5m from death. Overall £6.6m of this balance is in recovery via repayment plans or future offsets. During the quarter</w:t>
      </w:r>
      <w:r w:rsidR="006F1189">
        <w:rPr>
          <w:rFonts w:cs="Arial"/>
          <w:color w:val="000000" w:themeColor="text1"/>
          <w:szCs w:val="24"/>
        </w:rPr>
        <w:t>,</w:t>
      </w:r>
      <w:r w:rsidRPr="000564EB">
        <w:rPr>
          <w:rFonts w:cs="Arial"/>
          <w:color w:val="000000" w:themeColor="text1"/>
          <w:szCs w:val="24"/>
        </w:rPr>
        <w:t xml:space="preserve"> 2,733 invoices were raised with a value of £3.5m. Over the same </w:t>
      </w:r>
      <w:r w:rsidR="006F1189" w:rsidRPr="000564EB">
        <w:rPr>
          <w:rFonts w:cs="Arial"/>
          <w:color w:val="000000" w:themeColor="text1"/>
          <w:szCs w:val="24"/>
        </w:rPr>
        <w:t>period,</w:t>
      </w:r>
      <w:r w:rsidRPr="000564EB">
        <w:rPr>
          <w:rFonts w:cs="Arial"/>
          <w:color w:val="000000" w:themeColor="text1"/>
          <w:szCs w:val="24"/>
        </w:rPr>
        <w:t xml:space="preserve"> 2,826 invoices were cleared and £2.9m was recovered.   </w:t>
      </w:r>
    </w:p>
    <w:p w14:paraId="282DF0EF" w14:textId="77777777" w:rsidR="00985A2E" w:rsidRPr="000564EB" w:rsidRDefault="00985A2E" w:rsidP="005A0B4A">
      <w:pPr>
        <w:pStyle w:val="DeptBullets"/>
        <w:numPr>
          <w:ilvl w:val="0"/>
          <w:numId w:val="0"/>
        </w:numPr>
        <w:tabs>
          <w:tab w:val="left" w:pos="8364"/>
        </w:tabs>
        <w:spacing w:after="0"/>
        <w:ind w:left="284" w:hanging="426"/>
        <w:rPr>
          <w:rFonts w:cs="Arial"/>
          <w:szCs w:val="24"/>
        </w:rPr>
      </w:pPr>
    </w:p>
    <w:p w14:paraId="0580CD8E" w14:textId="184C6239" w:rsidR="00985A2E" w:rsidRPr="000564EB" w:rsidRDefault="00985A2E" w:rsidP="00D46D90">
      <w:pPr>
        <w:pStyle w:val="DeptBullets"/>
        <w:numPr>
          <w:ilvl w:val="0"/>
          <w:numId w:val="6"/>
        </w:numPr>
        <w:tabs>
          <w:tab w:val="left" w:pos="720"/>
        </w:tabs>
        <w:spacing w:after="0"/>
        <w:ind w:left="284" w:right="-58"/>
        <w:textAlignment w:val="auto"/>
        <w:rPr>
          <w:rFonts w:cs="Arial"/>
          <w:szCs w:val="24"/>
        </w:rPr>
      </w:pPr>
      <w:r w:rsidRPr="000564EB">
        <w:rPr>
          <w:rFonts w:cs="Arial"/>
          <w:b/>
          <w:szCs w:val="24"/>
        </w:rPr>
        <w:t>Arrears of Contributions</w:t>
      </w:r>
      <w:r w:rsidRPr="000564EB">
        <w:rPr>
          <w:rFonts w:cs="Arial"/>
          <w:szCs w:val="24"/>
        </w:rPr>
        <w:t xml:space="preserve"> – The </w:t>
      </w:r>
      <w:r w:rsidRPr="000564EB">
        <w:rPr>
          <w:rFonts w:cs="Arial"/>
          <w:color w:val="000000" w:themeColor="text1"/>
          <w:szCs w:val="24"/>
        </w:rPr>
        <w:t xml:space="preserve">outstanding balance of member and employer arrears debt was £4.4m, up from £4.1m at January. The balance includes £446k in recovery via agreed repayment plans. Over the </w:t>
      </w:r>
      <w:r w:rsidR="006F1189" w:rsidRPr="000564EB">
        <w:rPr>
          <w:rFonts w:cs="Arial"/>
          <w:color w:val="000000" w:themeColor="text1"/>
          <w:szCs w:val="24"/>
        </w:rPr>
        <w:t>quarter,</w:t>
      </w:r>
      <w:r w:rsidRPr="000564EB">
        <w:rPr>
          <w:rFonts w:cs="Arial"/>
          <w:color w:val="000000" w:themeColor="text1"/>
          <w:szCs w:val="24"/>
        </w:rPr>
        <w:t xml:space="preserve"> 240 invoices were raised worth £2m with an average cost per case of £8.4k (previously £8.5k). During this </w:t>
      </w:r>
      <w:r w:rsidR="006F1189" w:rsidRPr="000564EB">
        <w:rPr>
          <w:rFonts w:cs="Arial"/>
          <w:color w:val="000000" w:themeColor="text1"/>
          <w:szCs w:val="24"/>
        </w:rPr>
        <w:t>time,</w:t>
      </w:r>
      <w:r w:rsidRPr="000564EB">
        <w:rPr>
          <w:rFonts w:cs="Arial"/>
          <w:color w:val="000000" w:themeColor="text1"/>
          <w:szCs w:val="24"/>
        </w:rPr>
        <w:t xml:space="preserve"> 260 invoices were cleared worth £1.7m.  </w:t>
      </w:r>
    </w:p>
    <w:p w14:paraId="395A7410" w14:textId="77777777" w:rsidR="00985A2E" w:rsidRPr="000564EB" w:rsidRDefault="00985A2E" w:rsidP="005A0B4A">
      <w:pPr>
        <w:pStyle w:val="DeptBullets"/>
        <w:numPr>
          <w:ilvl w:val="0"/>
          <w:numId w:val="0"/>
        </w:numPr>
        <w:tabs>
          <w:tab w:val="left" w:pos="720"/>
        </w:tabs>
        <w:spacing w:after="0"/>
        <w:ind w:left="284" w:right="-58"/>
        <w:textAlignment w:val="auto"/>
        <w:rPr>
          <w:rFonts w:cs="Arial"/>
          <w:szCs w:val="24"/>
        </w:rPr>
      </w:pPr>
    </w:p>
    <w:p w14:paraId="5E235B7C" w14:textId="77777777" w:rsidR="00591264" w:rsidRPr="000564EB" w:rsidRDefault="00985A2E" w:rsidP="005A0B4A">
      <w:pPr>
        <w:pStyle w:val="DeptBullets"/>
        <w:numPr>
          <w:ilvl w:val="0"/>
          <w:numId w:val="6"/>
        </w:numPr>
        <w:tabs>
          <w:tab w:val="left" w:pos="720"/>
        </w:tabs>
        <w:spacing w:after="0"/>
        <w:ind w:left="284" w:right="-58"/>
        <w:textAlignment w:val="auto"/>
        <w:rPr>
          <w:rFonts w:cs="Arial"/>
          <w:szCs w:val="24"/>
        </w:rPr>
      </w:pPr>
      <w:r w:rsidRPr="000564EB">
        <w:rPr>
          <w:rFonts w:cs="Arial"/>
          <w:szCs w:val="24"/>
        </w:rPr>
        <w:t xml:space="preserve">Although the amount of employer debt remains comparatively low, DfE continue to actively review and challenge TP’s management of the cases as part of the monthly debt review and finance meetings, and in line with the enhanced insolvency processes recently implemented. </w:t>
      </w:r>
    </w:p>
    <w:p w14:paraId="0D797D71" w14:textId="77777777" w:rsidR="00985A2E" w:rsidRPr="000564EB" w:rsidRDefault="00985A2E" w:rsidP="00606998">
      <w:pPr>
        <w:pStyle w:val="DeptBullets"/>
        <w:numPr>
          <w:ilvl w:val="0"/>
          <w:numId w:val="0"/>
        </w:numPr>
        <w:tabs>
          <w:tab w:val="left" w:pos="720"/>
        </w:tabs>
        <w:spacing w:after="0"/>
        <w:ind w:left="360" w:right="-58"/>
        <w:rPr>
          <w:rFonts w:cs="Arial"/>
          <w:szCs w:val="24"/>
        </w:rPr>
      </w:pPr>
    </w:p>
    <w:tbl>
      <w:tblPr>
        <w:tblStyle w:val="TableGrid"/>
        <w:tblW w:w="0" w:type="auto"/>
        <w:tblInd w:w="108" w:type="dxa"/>
        <w:tblLook w:val="04A0" w:firstRow="1" w:lastRow="0" w:firstColumn="1" w:lastColumn="0" w:noHBand="0" w:noVBand="1"/>
      </w:tblPr>
      <w:tblGrid>
        <w:gridCol w:w="7230"/>
        <w:gridCol w:w="1134"/>
      </w:tblGrid>
      <w:tr w:rsidR="00985A2E" w:rsidRPr="000564EB" w14:paraId="50455DCF" w14:textId="77777777" w:rsidTr="00D46D90">
        <w:tc>
          <w:tcPr>
            <w:tcW w:w="7230" w:type="dxa"/>
            <w:tcBorders>
              <w:top w:val="single" w:sz="4" w:space="0" w:color="auto"/>
              <w:left w:val="single" w:sz="4" w:space="0" w:color="auto"/>
              <w:bottom w:val="single" w:sz="4" w:space="0" w:color="auto"/>
              <w:right w:val="single" w:sz="4" w:space="0" w:color="auto"/>
            </w:tcBorders>
          </w:tcPr>
          <w:p w14:paraId="08CDFFEB" w14:textId="77777777" w:rsidR="00985A2E" w:rsidRPr="000564EB" w:rsidRDefault="00985A2E" w:rsidP="008D6E19">
            <w:pPr>
              <w:rPr>
                <w:rFonts w:cs="Arial"/>
                <w:b/>
                <w:szCs w:val="24"/>
              </w:rPr>
            </w:pPr>
            <w:r w:rsidRPr="000564EB">
              <w:rPr>
                <w:rFonts w:cs="Arial"/>
                <w:b/>
                <w:szCs w:val="24"/>
              </w:rPr>
              <w:t xml:space="preserve">Contractor &amp; DfE Costs </w:t>
            </w:r>
          </w:p>
          <w:p w14:paraId="61DF7FC2" w14:textId="77777777" w:rsidR="00985A2E" w:rsidRPr="000564EB" w:rsidRDefault="00985A2E" w:rsidP="008D6E19">
            <w:pPr>
              <w:rPr>
                <w:rFonts w:cs="Arial"/>
                <w:b/>
                <w:color w:val="FF000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00B050"/>
            <w:hideMark/>
          </w:tcPr>
          <w:p w14:paraId="563527D1" w14:textId="77777777" w:rsidR="00985A2E" w:rsidRPr="000564EB" w:rsidRDefault="00985A2E" w:rsidP="008D6E19">
            <w:pPr>
              <w:rPr>
                <w:rFonts w:cs="Arial"/>
                <w:szCs w:val="24"/>
              </w:rPr>
            </w:pPr>
            <w:r w:rsidRPr="000564EB">
              <w:rPr>
                <w:rFonts w:cs="Arial"/>
                <w:noProof/>
                <w:szCs w:val="24"/>
                <w:lang w:eastAsia="en-GB"/>
              </w:rPr>
              <mc:AlternateContent>
                <mc:Choice Requires="wps">
                  <w:drawing>
                    <wp:anchor distT="4294967293" distB="4294967293" distL="114300" distR="114300" simplePos="0" relativeHeight="251749888" behindDoc="0" locked="0" layoutInCell="1" allowOverlap="1" wp14:anchorId="3F3E878A" wp14:editId="5CE27DFE">
                      <wp:simplePos x="0" y="0"/>
                      <wp:positionH relativeFrom="column">
                        <wp:posOffset>148590</wp:posOffset>
                      </wp:positionH>
                      <wp:positionV relativeFrom="paragraph">
                        <wp:posOffset>161290</wp:posOffset>
                      </wp:positionV>
                      <wp:extent cx="350520" cy="0"/>
                      <wp:effectExtent l="0" t="76200" r="30480" b="1524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839104C" id="Straight Arrow Connector 15" o:spid="_x0000_s1026" type="#_x0000_t32" style="position:absolute;margin-left:11.7pt;margin-top:12.7pt;width:27.6pt;height:0;z-index:251749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" strokecolor="windowText" strokeweight="2pt">
                      <v:stroke endarrow="open"/>
                      <v:shadow on="t" color="black" opacity="24903f" origin=",.5" offset="0,.55556mm"/>
                      <o:lock v:ext="edit" shapetype="f"/>
                    </v:shape>
                  </w:pict>
                </mc:Fallback>
              </mc:AlternateContent>
            </w:r>
            <w:r w:rsidRPr="000564EB">
              <w:rPr>
                <w:rFonts w:cs="Arial"/>
                <w:szCs w:val="24"/>
              </w:rPr>
              <w:t xml:space="preserve"> </w:t>
            </w:r>
          </w:p>
        </w:tc>
      </w:tr>
    </w:tbl>
    <w:p w14:paraId="102CA2B9" w14:textId="77777777" w:rsidR="00985A2E" w:rsidRPr="000564EB" w:rsidRDefault="00985A2E" w:rsidP="00985A2E">
      <w:pPr>
        <w:rPr>
          <w:rFonts w:cs="Arial"/>
          <w:b/>
          <w:color w:val="0070C0"/>
          <w:szCs w:val="24"/>
          <w:u w:val="single"/>
          <w:lang w:eastAsia="en-GB"/>
        </w:rPr>
      </w:pPr>
    </w:p>
    <w:p w14:paraId="1B6B427D" w14:textId="77777777" w:rsidR="00985A2E" w:rsidRPr="000564EB" w:rsidRDefault="00985A2E" w:rsidP="005A0B4A">
      <w:pPr>
        <w:pStyle w:val="DeptBullets"/>
        <w:numPr>
          <w:ilvl w:val="0"/>
          <w:numId w:val="6"/>
        </w:numPr>
        <w:tabs>
          <w:tab w:val="left" w:pos="426"/>
        </w:tabs>
        <w:spacing w:after="0"/>
        <w:ind w:left="284" w:right="-58"/>
        <w:textAlignment w:val="auto"/>
        <w:rPr>
          <w:rFonts w:cs="Arial"/>
          <w:szCs w:val="24"/>
          <w:lang w:eastAsia="en-GB"/>
        </w:rPr>
      </w:pPr>
      <w:r w:rsidRPr="000564EB">
        <w:rPr>
          <w:rFonts w:cs="Arial"/>
          <w:szCs w:val="24"/>
          <w:lang w:eastAsia="en-GB"/>
        </w:rPr>
        <w:t>The administrative levy (0.08% of employer contributions) has been in place from September 2015.  For the period of this report July 2018 (four months), the amount collected from the levy totalled £6.3m.</w:t>
      </w:r>
    </w:p>
    <w:p w14:paraId="7CE2807C" w14:textId="77777777" w:rsidR="00985A2E" w:rsidRPr="000564EB" w:rsidRDefault="00985A2E" w:rsidP="005A0B4A">
      <w:pPr>
        <w:tabs>
          <w:tab w:val="left" w:pos="426"/>
        </w:tabs>
        <w:ind w:left="284" w:hanging="720"/>
        <w:rPr>
          <w:rFonts w:cs="Arial"/>
          <w:szCs w:val="24"/>
          <w:lang w:eastAsia="en-GB"/>
        </w:rPr>
      </w:pPr>
    </w:p>
    <w:p w14:paraId="18681567" w14:textId="77777777" w:rsidR="00985A2E" w:rsidRPr="000564EB" w:rsidRDefault="00985A2E" w:rsidP="005A0B4A">
      <w:pPr>
        <w:pStyle w:val="DeptBullets"/>
        <w:numPr>
          <w:ilvl w:val="0"/>
          <w:numId w:val="6"/>
        </w:numPr>
        <w:tabs>
          <w:tab w:val="left" w:pos="426"/>
        </w:tabs>
        <w:spacing w:after="0"/>
        <w:ind w:left="284" w:right="-58"/>
        <w:textAlignment w:val="auto"/>
        <w:rPr>
          <w:rFonts w:cs="Arial"/>
          <w:szCs w:val="24"/>
          <w:lang w:eastAsia="en-GB"/>
        </w:rPr>
      </w:pPr>
      <w:r w:rsidRPr="000564EB">
        <w:rPr>
          <w:rFonts w:cs="Arial"/>
          <w:szCs w:val="24"/>
          <w:lang w:eastAsia="en-GB"/>
        </w:rPr>
        <w:t>The figures below represent the spend to date in the current financial year (four months).</w:t>
      </w:r>
    </w:p>
    <w:p w14:paraId="6C09C9BC" w14:textId="77777777" w:rsidR="00985A2E" w:rsidRPr="000564EB" w:rsidRDefault="00985A2E" w:rsidP="00985A2E">
      <w:pPr>
        <w:pStyle w:val="DeptBullets"/>
        <w:numPr>
          <w:ilvl w:val="0"/>
          <w:numId w:val="0"/>
        </w:numPr>
        <w:tabs>
          <w:tab w:val="left" w:pos="720"/>
        </w:tabs>
        <w:spacing w:after="0"/>
        <w:ind w:left="360" w:right="-58"/>
        <w:textAlignment w:val="auto"/>
        <w:rPr>
          <w:rFonts w:cs="Arial"/>
          <w:szCs w:val="24"/>
          <w:lang w:eastAsia="en-GB"/>
        </w:rPr>
      </w:pPr>
    </w:p>
    <w:tbl>
      <w:tblPr>
        <w:tblStyle w:val="TableGrid"/>
        <w:tblW w:w="8959" w:type="dxa"/>
        <w:tblInd w:w="108" w:type="dxa"/>
        <w:tblLayout w:type="fixed"/>
        <w:tblLook w:val="04A0" w:firstRow="1" w:lastRow="0" w:firstColumn="1" w:lastColumn="0" w:noHBand="0" w:noVBand="1"/>
      </w:tblPr>
      <w:tblGrid>
        <w:gridCol w:w="1276"/>
        <w:gridCol w:w="1446"/>
        <w:gridCol w:w="1560"/>
        <w:gridCol w:w="1417"/>
        <w:gridCol w:w="3260"/>
      </w:tblGrid>
      <w:tr w:rsidR="00985A2E" w:rsidRPr="000564EB" w14:paraId="6A3CC5A7" w14:textId="77777777" w:rsidTr="008D6E19">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D2FC6" w14:textId="77777777" w:rsidR="00985A2E" w:rsidRPr="000564EB" w:rsidRDefault="00985A2E" w:rsidP="008D6E19">
            <w:pPr>
              <w:rPr>
                <w:rFonts w:cs="Arial"/>
                <w:b/>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96EB026" w14:textId="77777777" w:rsidR="00985A2E" w:rsidRPr="000564EB" w:rsidRDefault="00985A2E" w:rsidP="008D6E19">
            <w:pPr>
              <w:jc w:val="center"/>
              <w:rPr>
                <w:rFonts w:cs="Arial"/>
                <w:b/>
                <w:szCs w:val="24"/>
              </w:rPr>
            </w:pPr>
            <w:r w:rsidRPr="000564EB">
              <w:rPr>
                <w:rFonts w:cs="Arial"/>
                <w:b/>
                <w:szCs w:val="24"/>
              </w:rPr>
              <w:t>YTD Profile</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66866E3" w14:textId="77777777" w:rsidR="00985A2E" w:rsidRPr="000564EB" w:rsidRDefault="00985A2E" w:rsidP="008D6E19">
            <w:pPr>
              <w:jc w:val="center"/>
              <w:rPr>
                <w:rFonts w:cs="Arial"/>
                <w:b/>
                <w:szCs w:val="24"/>
              </w:rPr>
            </w:pPr>
            <w:r w:rsidRPr="000564EB">
              <w:rPr>
                <w:rFonts w:cs="Arial"/>
                <w:b/>
                <w:szCs w:val="24"/>
              </w:rPr>
              <w:t>YTD actual</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3FFE70" w14:textId="77777777" w:rsidR="00985A2E" w:rsidRPr="000564EB" w:rsidRDefault="00985A2E" w:rsidP="008D6E19">
            <w:pPr>
              <w:rPr>
                <w:rFonts w:cs="Arial"/>
                <w:b/>
                <w:szCs w:val="24"/>
              </w:rPr>
            </w:pPr>
            <w:r w:rsidRPr="000564EB">
              <w:rPr>
                <w:rFonts w:cs="Arial"/>
                <w:b/>
                <w:szCs w:val="24"/>
              </w:rPr>
              <w:t>Variance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10DEB5" w14:textId="77777777" w:rsidR="00985A2E" w:rsidRPr="000564EB" w:rsidRDefault="00985A2E" w:rsidP="008D6E19">
            <w:pPr>
              <w:rPr>
                <w:rFonts w:cs="Arial"/>
                <w:b/>
                <w:szCs w:val="24"/>
              </w:rPr>
            </w:pPr>
            <w:r w:rsidRPr="000564EB">
              <w:rPr>
                <w:rFonts w:cs="Arial"/>
                <w:b/>
                <w:szCs w:val="24"/>
              </w:rPr>
              <w:t>Narrative</w:t>
            </w:r>
          </w:p>
        </w:tc>
      </w:tr>
      <w:tr w:rsidR="00985A2E" w:rsidRPr="000564EB" w14:paraId="14924C6D" w14:textId="77777777" w:rsidTr="008D6E19">
        <w:tc>
          <w:tcPr>
            <w:tcW w:w="1276" w:type="dxa"/>
            <w:tcBorders>
              <w:top w:val="single" w:sz="4" w:space="0" w:color="auto"/>
              <w:left w:val="single" w:sz="4" w:space="0" w:color="auto"/>
              <w:bottom w:val="single" w:sz="4" w:space="0" w:color="auto"/>
              <w:right w:val="single" w:sz="4" w:space="0" w:color="auto"/>
            </w:tcBorders>
            <w:hideMark/>
          </w:tcPr>
          <w:p w14:paraId="38779A32" w14:textId="77777777" w:rsidR="00985A2E" w:rsidRPr="000564EB" w:rsidRDefault="00985A2E" w:rsidP="008D6E19">
            <w:pPr>
              <w:rPr>
                <w:rFonts w:cs="Arial"/>
                <w:szCs w:val="24"/>
              </w:rPr>
            </w:pPr>
            <w:r w:rsidRPr="000564EB">
              <w:rPr>
                <w:rFonts w:cs="Arial"/>
                <w:szCs w:val="24"/>
              </w:rPr>
              <w:t>Capita</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333AC" w14:textId="7F4F5E62" w:rsidR="00985A2E" w:rsidRPr="000564EB" w:rsidRDefault="00985A2E" w:rsidP="00755AAD">
            <w:pPr>
              <w:jc w:val="right"/>
              <w:rPr>
                <w:rFonts w:cs="Arial"/>
                <w:szCs w:val="24"/>
              </w:rPr>
            </w:pPr>
            <w:r w:rsidRPr="000564EB">
              <w:rPr>
                <w:rFonts w:cs="Arial"/>
                <w:szCs w:val="24"/>
              </w:rPr>
              <w:t>£</w:t>
            </w:r>
            <w:r w:rsidR="00755AAD" w:rsidRPr="00755AAD">
              <w:rPr>
                <w:rFonts w:cs="Arial"/>
                <w:szCs w:val="24"/>
                <w:highlight w:val="black"/>
              </w:rPr>
              <w:t>Redacted</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C24092" w14:textId="18896326" w:rsidR="00985A2E" w:rsidRPr="000564EB" w:rsidRDefault="00985A2E" w:rsidP="00755AAD">
            <w:pPr>
              <w:jc w:val="right"/>
              <w:rPr>
                <w:rFonts w:cs="Arial"/>
                <w:szCs w:val="24"/>
              </w:rPr>
            </w:pPr>
            <w:r w:rsidRPr="000564EB">
              <w:rPr>
                <w:rFonts w:cs="Arial"/>
                <w:szCs w:val="24"/>
              </w:rPr>
              <w:t>£</w:t>
            </w:r>
            <w:r w:rsidR="00755AAD" w:rsidRPr="00755AAD">
              <w:rPr>
                <w:rFonts w:cs="Arial"/>
                <w:szCs w:val="24"/>
                <w:highlight w:val="black"/>
              </w:rPr>
              <w:t>Redacted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34213D" w14:textId="548133A8" w:rsidR="00985A2E" w:rsidRPr="000564EB" w:rsidRDefault="00985A2E" w:rsidP="00755AAD">
            <w:pPr>
              <w:jc w:val="right"/>
              <w:rPr>
                <w:rFonts w:cs="Arial"/>
                <w:szCs w:val="24"/>
              </w:rPr>
            </w:pPr>
            <w:r w:rsidRPr="000564EB">
              <w:rPr>
                <w:rFonts w:cs="Arial"/>
                <w:szCs w:val="24"/>
              </w:rPr>
              <w:t>£</w:t>
            </w:r>
            <w:r w:rsidR="00755AAD" w:rsidRPr="00755AAD">
              <w:rPr>
                <w:rFonts w:cs="Arial"/>
                <w:szCs w:val="24"/>
                <w:highlight w:val="black"/>
              </w:rPr>
              <w:t>Redacted</w:t>
            </w:r>
          </w:p>
        </w:tc>
        <w:tc>
          <w:tcPr>
            <w:tcW w:w="3260" w:type="dxa"/>
            <w:tcBorders>
              <w:top w:val="single" w:sz="4" w:space="0" w:color="auto"/>
              <w:left w:val="single" w:sz="4" w:space="0" w:color="auto"/>
              <w:bottom w:val="single" w:sz="4" w:space="0" w:color="auto"/>
              <w:right w:val="single" w:sz="4" w:space="0" w:color="auto"/>
            </w:tcBorders>
            <w:hideMark/>
          </w:tcPr>
          <w:p w14:paraId="78EC1944" w14:textId="77777777" w:rsidR="00985A2E" w:rsidRPr="000564EB" w:rsidRDefault="00985A2E" w:rsidP="008D6E19">
            <w:pPr>
              <w:rPr>
                <w:rFonts w:cs="Arial"/>
                <w:szCs w:val="24"/>
              </w:rPr>
            </w:pPr>
            <w:r w:rsidRPr="000564EB">
              <w:rPr>
                <w:rFonts w:cs="Arial"/>
                <w:szCs w:val="24"/>
              </w:rPr>
              <w:t>Invoice due in July not received until August.  Some costs profiled have not been invoiced.</w:t>
            </w:r>
          </w:p>
        </w:tc>
      </w:tr>
      <w:tr w:rsidR="00985A2E" w:rsidRPr="000564EB" w14:paraId="1D4A2F3B" w14:textId="77777777" w:rsidTr="008D6E19">
        <w:tc>
          <w:tcPr>
            <w:tcW w:w="1276" w:type="dxa"/>
            <w:tcBorders>
              <w:top w:val="single" w:sz="4" w:space="0" w:color="auto"/>
              <w:left w:val="single" w:sz="4" w:space="0" w:color="auto"/>
              <w:bottom w:val="single" w:sz="4" w:space="0" w:color="auto"/>
              <w:right w:val="single" w:sz="4" w:space="0" w:color="auto"/>
            </w:tcBorders>
            <w:hideMark/>
          </w:tcPr>
          <w:p w14:paraId="4B8ABBDA" w14:textId="77777777" w:rsidR="00985A2E" w:rsidRPr="000564EB" w:rsidRDefault="00985A2E" w:rsidP="008D6E19">
            <w:pPr>
              <w:rPr>
                <w:rFonts w:cs="Arial"/>
                <w:szCs w:val="24"/>
              </w:rPr>
            </w:pPr>
            <w:r w:rsidRPr="000564EB">
              <w:rPr>
                <w:rFonts w:cs="Arial"/>
                <w:szCs w:val="24"/>
              </w:rPr>
              <w:t>TPSPB</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557443" w14:textId="0F08E432" w:rsidR="00985A2E" w:rsidRPr="000564EB" w:rsidRDefault="00985A2E" w:rsidP="00755AAD">
            <w:pPr>
              <w:jc w:val="right"/>
              <w:rPr>
                <w:rFonts w:cs="Arial"/>
                <w:szCs w:val="24"/>
              </w:rPr>
            </w:pPr>
            <w:r w:rsidRPr="000564EB">
              <w:rPr>
                <w:rFonts w:cs="Arial"/>
                <w:szCs w:val="24"/>
              </w:rPr>
              <w:t>£</w:t>
            </w:r>
            <w:r w:rsidR="00755AAD" w:rsidRPr="00755AAD">
              <w:rPr>
                <w:rFonts w:cs="Arial"/>
                <w:szCs w:val="24"/>
                <w:highlight w:val="black"/>
              </w:rPr>
              <w:t>redacted</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59EE8D" w14:textId="031C390A" w:rsidR="00985A2E" w:rsidRPr="000564EB" w:rsidRDefault="00985A2E" w:rsidP="00755AAD">
            <w:pPr>
              <w:jc w:val="center"/>
              <w:rPr>
                <w:rFonts w:cs="Arial"/>
                <w:szCs w:val="24"/>
              </w:rPr>
            </w:pPr>
            <w:r w:rsidRPr="000564EB">
              <w:rPr>
                <w:rFonts w:cs="Arial"/>
                <w:szCs w:val="24"/>
              </w:rPr>
              <w:t>£</w:t>
            </w:r>
            <w:r w:rsidR="00755AAD" w:rsidRPr="00755AAD">
              <w:rPr>
                <w:rFonts w:cs="Arial"/>
                <w:szCs w:val="24"/>
                <w:highlight w:val="black"/>
              </w:rPr>
              <w:t>redacted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218A9C" w14:textId="4D39A302" w:rsidR="00985A2E" w:rsidRPr="000564EB" w:rsidRDefault="00985A2E" w:rsidP="00755AAD">
            <w:pPr>
              <w:jc w:val="right"/>
              <w:rPr>
                <w:rFonts w:cs="Arial"/>
                <w:szCs w:val="24"/>
              </w:rPr>
            </w:pPr>
            <w:r w:rsidRPr="000564EB">
              <w:rPr>
                <w:rFonts w:cs="Arial"/>
                <w:szCs w:val="24"/>
              </w:rPr>
              <w:t>-£</w:t>
            </w:r>
            <w:r w:rsidR="00755AAD" w:rsidRPr="00755AAD">
              <w:rPr>
                <w:rFonts w:cs="Arial"/>
                <w:szCs w:val="24"/>
                <w:highlight w:val="black"/>
              </w:rPr>
              <w:t>redacted</w:t>
            </w:r>
          </w:p>
        </w:tc>
        <w:tc>
          <w:tcPr>
            <w:tcW w:w="3260" w:type="dxa"/>
            <w:tcBorders>
              <w:top w:val="single" w:sz="4" w:space="0" w:color="auto"/>
              <w:left w:val="single" w:sz="4" w:space="0" w:color="auto"/>
              <w:bottom w:val="single" w:sz="4" w:space="0" w:color="auto"/>
              <w:right w:val="single" w:sz="4" w:space="0" w:color="auto"/>
            </w:tcBorders>
            <w:hideMark/>
          </w:tcPr>
          <w:p w14:paraId="7080DFB9" w14:textId="77777777" w:rsidR="000B522E" w:rsidRDefault="00985A2E" w:rsidP="008D6E19">
            <w:pPr>
              <w:rPr>
                <w:rFonts w:cs="Arial"/>
                <w:szCs w:val="24"/>
              </w:rPr>
            </w:pPr>
            <w:r w:rsidRPr="000564EB">
              <w:rPr>
                <w:rFonts w:cs="Arial"/>
                <w:szCs w:val="24"/>
              </w:rPr>
              <w:t xml:space="preserve">Fees, travel and expenses and pension specialist. </w:t>
            </w:r>
          </w:p>
          <w:p w14:paraId="67CF7862" w14:textId="62BF538B" w:rsidR="00985A2E" w:rsidRPr="000564EB" w:rsidRDefault="00985A2E" w:rsidP="008D6E19">
            <w:pPr>
              <w:rPr>
                <w:rFonts w:cs="Arial"/>
                <w:szCs w:val="24"/>
              </w:rPr>
            </w:pPr>
            <w:r w:rsidRPr="000564EB">
              <w:rPr>
                <w:rFonts w:cs="Arial"/>
                <w:szCs w:val="24"/>
              </w:rPr>
              <w:t>Q1 invoice for pension specialist not received until August</w:t>
            </w:r>
          </w:p>
        </w:tc>
      </w:tr>
      <w:tr w:rsidR="00985A2E" w:rsidRPr="000564EB" w14:paraId="25DB38B4" w14:textId="77777777" w:rsidTr="008D6E19">
        <w:tc>
          <w:tcPr>
            <w:tcW w:w="1276" w:type="dxa"/>
            <w:tcBorders>
              <w:top w:val="single" w:sz="4" w:space="0" w:color="auto"/>
              <w:left w:val="single" w:sz="4" w:space="0" w:color="auto"/>
              <w:bottom w:val="single" w:sz="4" w:space="0" w:color="auto"/>
              <w:right w:val="single" w:sz="4" w:space="0" w:color="auto"/>
            </w:tcBorders>
            <w:hideMark/>
          </w:tcPr>
          <w:p w14:paraId="4202A5ED" w14:textId="77777777" w:rsidR="00985A2E" w:rsidRPr="000564EB" w:rsidRDefault="00985A2E" w:rsidP="008D6E19">
            <w:pPr>
              <w:rPr>
                <w:rFonts w:cs="Arial"/>
                <w:szCs w:val="24"/>
              </w:rPr>
            </w:pPr>
            <w:r w:rsidRPr="000564EB">
              <w:rPr>
                <w:rFonts w:cs="Arial"/>
                <w:szCs w:val="24"/>
              </w:rPr>
              <w:t>GAD</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A4577A" w14:textId="53B75222" w:rsidR="00985A2E" w:rsidRPr="000564EB" w:rsidRDefault="00985A2E" w:rsidP="00755AAD">
            <w:pPr>
              <w:jc w:val="right"/>
              <w:rPr>
                <w:rFonts w:cs="Arial"/>
                <w:szCs w:val="24"/>
              </w:rPr>
            </w:pPr>
            <w:r w:rsidRPr="000564EB">
              <w:rPr>
                <w:rFonts w:cs="Arial"/>
                <w:szCs w:val="24"/>
              </w:rPr>
              <w:t>£</w:t>
            </w:r>
            <w:r w:rsidR="00755AAD" w:rsidRPr="00755AAD">
              <w:rPr>
                <w:rFonts w:cs="Arial"/>
                <w:szCs w:val="24"/>
                <w:highlight w:val="black"/>
              </w:rPr>
              <w:t>redacted</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BCD01F" w14:textId="6D2FF2AB" w:rsidR="00985A2E" w:rsidRPr="000564EB" w:rsidRDefault="00985A2E" w:rsidP="00755AAD">
            <w:pPr>
              <w:jc w:val="right"/>
              <w:rPr>
                <w:rFonts w:cs="Arial"/>
                <w:szCs w:val="24"/>
              </w:rPr>
            </w:pPr>
            <w:r w:rsidRPr="000564EB">
              <w:rPr>
                <w:rFonts w:cs="Arial"/>
                <w:szCs w:val="24"/>
              </w:rPr>
              <w:t>£</w:t>
            </w:r>
            <w:r w:rsidR="00755AAD" w:rsidRPr="00755AAD">
              <w:rPr>
                <w:rFonts w:cs="Arial"/>
                <w:szCs w:val="24"/>
                <w:highlight w:val="black"/>
              </w:rPr>
              <w:t>redacted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88DED9" w14:textId="32809459" w:rsidR="00985A2E" w:rsidRPr="000564EB" w:rsidRDefault="00985A2E" w:rsidP="00755AAD">
            <w:pPr>
              <w:jc w:val="right"/>
              <w:rPr>
                <w:rFonts w:cs="Arial"/>
                <w:szCs w:val="24"/>
              </w:rPr>
            </w:pPr>
            <w:r w:rsidRPr="000564EB">
              <w:rPr>
                <w:rFonts w:cs="Arial"/>
                <w:szCs w:val="24"/>
              </w:rPr>
              <w:t>-£</w:t>
            </w:r>
            <w:r w:rsidR="00755AAD" w:rsidRPr="00755AAD">
              <w:rPr>
                <w:rFonts w:cs="Arial"/>
                <w:szCs w:val="24"/>
                <w:highlight w:val="black"/>
              </w:rPr>
              <w:t>redacted</w:t>
            </w:r>
          </w:p>
        </w:tc>
        <w:tc>
          <w:tcPr>
            <w:tcW w:w="3260" w:type="dxa"/>
            <w:tcBorders>
              <w:top w:val="single" w:sz="4" w:space="0" w:color="auto"/>
              <w:left w:val="single" w:sz="4" w:space="0" w:color="auto"/>
              <w:bottom w:val="single" w:sz="4" w:space="0" w:color="auto"/>
              <w:right w:val="single" w:sz="4" w:space="0" w:color="auto"/>
            </w:tcBorders>
            <w:hideMark/>
          </w:tcPr>
          <w:p w14:paraId="60D9FD67" w14:textId="38E99816" w:rsidR="00985A2E" w:rsidRPr="000564EB" w:rsidRDefault="006F1189" w:rsidP="008D6E19">
            <w:pPr>
              <w:rPr>
                <w:rFonts w:cs="Arial"/>
                <w:szCs w:val="24"/>
              </w:rPr>
            </w:pPr>
            <w:r w:rsidRPr="000564EB">
              <w:rPr>
                <w:rFonts w:cs="Arial"/>
                <w:szCs w:val="24"/>
              </w:rPr>
              <w:t>June</w:t>
            </w:r>
            <w:r w:rsidR="00985A2E" w:rsidRPr="000564EB">
              <w:rPr>
                <w:rFonts w:cs="Arial"/>
                <w:szCs w:val="24"/>
              </w:rPr>
              <w:t xml:space="preserve"> and July’s invoices not received until August.</w:t>
            </w:r>
          </w:p>
        </w:tc>
      </w:tr>
      <w:tr w:rsidR="00985A2E" w:rsidRPr="000564EB" w14:paraId="0455FDD9" w14:textId="77777777" w:rsidTr="008D6E19">
        <w:tc>
          <w:tcPr>
            <w:tcW w:w="1276" w:type="dxa"/>
            <w:tcBorders>
              <w:top w:val="single" w:sz="4" w:space="0" w:color="auto"/>
              <w:left w:val="single" w:sz="4" w:space="0" w:color="auto"/>
              <w:bottom w:val="single" w:sz="4" w:space="0" w:color="auto"/>
              <w:right w:val="single" w:sz="4" w:space="0" w:color="auto"/>
            </w:tcBorders>
            <w:hideMark/>
          </w:tcPr>
          <w:p w14:paraId="661B1486" w14:textId="77777777" w:rsidR="00985A2E" w:rsidRPr="000564EB" w:rsidRDefault="00985A2E" w:rsidP="008D6E19">
            <w:pPr>
              <w:rPr>
                <w:rFonts w:cs="Arial"/>
                <w:szCs w:val="24"/>
              </w:rPr>
            </w:pPr>
            <w:r w:rsidRPr="000564EB">
              <w:rPr>
                <w:rFonts w:cs="Arial"/>
                <w:szCs w:val="24"/>
              </w:rPr>
              <w:t>OH Assist</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EF4F4B" w14:textId="7F8433DD" w:rsidR="00985A2E" w:rsidRPr="000564EB" w:rsidRDefault="00985A2E" w:rsidP="00755AAD">
            <w:pPr>
              <w:jc w:val="right"/>
              <w:rPr>
                <w:rFonts w:cs="Arial"/>
                <w:szCs w:val="24"/>
              </w:rPr>
            </w:pPr>
            <w:r w:rsidRPr="000564EB">
              <w:rPr>
                <w:rFonts w:cs="Arial"/>
                <w:szCs w:val="24"/>
              </w:rPr>
              <w:t>£</w:t>
            </w:r>
            <w:r w:rsidR="00755AAD" w:rsidRPr="00755AAD">
              <w:rPr>
                <w:rFonts w:cs="Arial"/>
                <w:szCs w:val="24"/>
                <w:highlight w:val="black"/>
              </w:rPr>
              <w:t>redacted</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C1B853" w14:textId="17C6A0FF" w:rsidR="00985A2E" w:rsidRPr="000564EB" w:rsidRDefault="00985A2E" w:rsidP="00755AAD">
            <w:pPr>
              <w:jc w:val="right"/>
              <w:rPr>
                <w:rFonts w:cs="Arial"/>
                <w:szCs w:val="24"/>
              </w:rPr>
            </w:pPr>
            <w:r w:rsidRPr="000564EB">
              <w:rPr>
                <w:rFonts w:cs="Arial"/>
                <w:szCs w:val="24"/>
              </w:rPr>
              <w:t>£</w:t>
            </w:r>
            <w:r w:rsidR="00755AAD" w:rsidRPr="00755AAD">
              <w:rPr>
                <w:rFonts w:cs="Arial"/>
                <w:szCs w:val="24"/>
                <w:highlight w:val="black"/>
              </w:rPr>
              <w:t>redacted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93E51" w14:textId="56060F35" w:rsidR="00985A2E" w:rsidRPr="000564EB" w:rsidRDefault="00985A2E" w:rsidP="00755AAD">
            <w:pPr>
              <w:jc w:val="right"/>
              <w:rPr>
                <w:rFonts w:cs="Arial"/>
                <w:szCs w:val="24"/>
              </w:rPr>
            </w:pPr>
            <w:r w:rsidRPr="000564EB">
              <w:rPr>
                <w:rFonts w:cs="Arial"/>
                <w:szCs w:val="24"/>
              </w:rPr>
              <w:t>-£</w:t>
            </w:r>
            <w:r w:rsidR="00755AAD" w:rsidRPr="00755AAD">
              <w:rPr>
                <w:rFonts w:cs="Arial"/>
                <w:szCs w:val="24"/>
                <w:highlight w:val="black"/>
              </w:rPr>
              <w:t>redacted</w:t>
            </w:r>
          </w:p>
        </w:tc>
        <w:tc>
          <w:tcPr>
            <w:tcW w:w="3260" w:type="dxa"/>
            <w:tcBorders>
              <w:top w:val="single" w:sz="4" w:space="0" w:color="auto"/>
              <w:left w:val="single" w:sz="4" w:space="0" w:color="auto"/>
              <w:bottom w:val="single" w:sz="4" w:space="0" w:color="auto"/>
              <w:right w:val="single" w:sz="4" w:space="0" w:color="auto"/>
            </w:tcBorders>
            <w:hideMark/>
          </w:tcPr>
          <w:p w14:paraId="1F686E23" w14:textId="77777777" w:rsidR="00985A2E" w:rsidRPr="000564EB" w:rsidRDefault="00985A2E" w:rsidP="008D6E19">
            <w:pPr>
              <w:rPr>
                <w:rFonts w:cs="Arial"/>
                <w:szCs w:val="24"/>
              </w:rPr>
            </w:pPr>
            <w:r w:rsidRPr="000564EB">
              <w:rPr>
                <w:rFonts w:cs="Arial"/>
                <w:szCs w:val="24"/>
              </w:rPr>
              <w:t>July’s invoice not due until August.</w:t>
            </w:r>
          </w:p>
        </w:tc>
      </w:tr>
      <w:tr w:rsidR="00985A2E" w:rsidRPr="000564EB" w14:paraId="0B5ED1E5" w14:textId="77777777" w:rsidTr="008D6E19">
        <w:trPr>
          <w:trHeight w:val="261"/>
        </w:trPr>
        <w:tc>
          <w:tcPr>
            <w:tcW w:w="1276" w:type="dxa"/>
            <w:tcBorders>
              <w:top w:val="single" w:sz="4" w:space="0" w:color="auto"/>
              <w:left w:val="single" w:sz="4" w:space="0" w:color="auto"/>
              <w:bottom w:val="single" w:sz="4" w:space="0" w:color="auto"/>
              <w:right w:val="single" w:sz="4" w:space="0" w:color="auto"/>
            </w:tcBorders>
            <w:hideMark/>
          </w:tcPr>
          <w:p w14:paraId="71F82C18" w14:textId="77777777" w:rsidR="00985A2E" w:rsidRPr="000564EB" w:rsidRDefault="00985A2E" w:rsidP="008D6E19">
            <w:pPr>
              <w:rPr>
                <w:rFonts w:cs="Arial"/>
                <w:szCs w:val="24"/>
              </w:rPr>
            </w:pPr>
            <w:r w:rsidRPr="000564EB">
              <w:rPr>
                <w:rFonts w:cs="Arial"/>
                <w:szCs w:val="24"/>
              </w:rPr>
              <w:t>DfE</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C092BF" w14:textId="197D5813" w:rsidR="00985A2E" w:rsidRPr="000564EB" w:rsidRDefault="00985A2E" w:rsidP="00755AAD">
            <w:pPr>
              <w:jc w:val="right"/>
              <w:rPr>
                <w:rFonts w:cs="Arial"/>
                <w:szCs w:val="24"/>
              </w:rPr>
            </w:pPr>
            <w:r w:rsidRPr="000564EB">
              <w:rPr>
                <w:rFonts w:cs="Arial"/>
                <w:szCs w:val="24"/>
              </w:rPr>
              <w:t>£</w:t>
            </w:r>
            <w:r w:rsidR="00755AAD" w:rsidRPr="00755AAD">
              <w:rPr>
                <w:rFonts w:cs="Arial"/>
                <w:szCs w:val="24"/>
                <w:highlight w:val="black"/>
              </w:rPr>
              <w:t>redacted</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CA974E" w14:textId="37549B75" w:rsidR="00985A2E" w:rsidRPr="000564EB" w:rsidRDefault="00985A2E" w:rsidP="00755AAD">
            <w:pPr>
              <w:jc w:val="right"/>
              <w:rPr>
                <w:rFonts w:cs="Arial"/>
                <w:szCs w:val="24"/>
              </w:rPr>
            </w:pPr>
            <w:r w:rsidRPr="000564EB">
              <w:rPr>
                <w:rFonts w:cs="Arial"/>
                <w:szCs w:val="24"/>
              </w:rPr>
              <w:t>£</w:t>
            </w:r>
            <w:r w:rsidR="00755AAD" w:rsidRPr="00755AAD">
              <w:rPr>
                <w:rFonts w:cs="Arial"/>
                <w:szCs w:val="24"/>
                <w:highlight w:val="black"/>
              </w:rPr>
              <w:t>redacted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1B7715" w14:textId="78AABDBC" w:rsidR="00985A2E" w:rsidRPr="000564EB" w:rsidRDefault="00985A2E" w:rsidP="00755AAD">
            <w:pPr>
              <w:jc w:val="right"/>
              <w:rPr>
                <w:rFonts w:cs="Arial"/>
                <w:szCs w:val="24"/>
              </w:rPr>
            </w:pPr>
            <w:r w:rsidRPr="000564EB">
              <w:rPr>
                <w:rFonts w:cs="Arial"/>
                <w:szCs w:val="24"/>
              </w:rPr>
              <w:t>-£</w:t>
            </w:r>
            <w:r w:rsidR="00755AAD" w:rsidRPr="00755AAD">
              <w:rPr>
                <w:rFonts w:cs="Arial"/>
                <w:szCs w:val="24"/>
                <w:highlight w:val="black"/>
              </w:rPr>
              <w:t>redacted</w:t>
            </w:r>
          </w:p>
        </w:tc>
        <w:tc>
          <w:tcPr>
            <w:tcW w:w="3260" w:type="dxa"/>
            <w:tcBorders>
              <w:top w:val="single" w:sz="4" w:space="0" w:color="auto"/>
              <w:left w:val="single" w:sz="4" w:space="0" w:color="auto"/>
              <w:bottom w:val="single" w:sz="4" w:space="0" w:color="auto"/>
              <w:right w:val="single" w:sz="4" w:space="0" w:color="auto"/>
            </w:tcBorders>
            <w:hideMark/>
          </w:tcPr>
          <w:p w14:paraId="51B44242" w14:textId="77777777" w:rsidR="00985A2E" w:rsidRPr="000564EB" w:rsidRDefault="00985A2E" w:rsidP="008D6E19">
            <w:pPr>
              <w:rPr>
                <w:rFonts w:cs="Arial"/>
                <w:szCs w:val="24"/>
              </w:rPr>
            </w:pPr>
            <w:r w:rsidRPr="000564EB">
              <w:rPr>
                <w:rFonts w:cs="Arial"/>
                <w:szCs w:val="24"/>
              </w:rPr>
              <w:t>Pensions Team and Finance costs</w:t>
            </w:r>
          </w:p>
        </w:tc>
      </w:tr>
    </w:tbl>
    <w:p w14:paraId="4FA6F197" w14:textId="77777777" w:rsidR="00201125" w:rsidRPr="000564EB" w:rsidRDefault="00201125" w:rsidP="00606998">
      <w:pPr>
        <w:rPr>
          <w:rFonts w:cs="Arial"/>
          <w:b/>
          <w:szCs w:val="24"/>
        </w:rPr>
      </w:pPr>
    </w:p>
    <w:p w14:paraId="528F1EEC" w14:textId="77777777" w:rsidR="00606998" w:rsidRPr="000564EB" w:rsidRDefault="00E0674B" w:rsidP="00606998">
      <w:pPr>
        <w:rPr>
          <w:rFonts w:cs="Arial"/>
          <w:b/>
          <w:szCs w:val="24"/>
        </w:rPr>
      </w:pPr>
      <w:r>
        <w:rPr>
          <w:rFonts w:cs="Arial"/>
          <w:b/>
          <w:szCs w:val="24"/>
        </w:rPr>
        <w:t>Risk</w:t>
      </w:r>
    </w:p>
    <w:p w14:paraId="57A2213E" w14:textId="77777777" w:rsidR="00606998" w:rsidRPr="000564EB" w:rsidRDefault="00606998" w:rsidP="00606998">
      <w:pPr>
        <w:rPr>
          <w:rFonts w:cs="Arial"/>
          <w:b/>
          <w:szCs w:val="24"/>
        </w:rPr>
      </w:pPr>
    </w:p>
    <w:p w14:paraId="01E23BBE" w14:textId="1DDA26C7" w:rsidR="00C22FF8" w:rsidRPr="000564EB" w:rsidRDefault="00C22FF8" w:rsidP="005A0B4A">
      <w:pPr>
        <w:pStyle w:val="ListParagraph"/>
        <w:widowControl/>
        <w:numPr>
          <w:ilvl w:val="0"/>
          <w:numId w:val="6"/>
        </w:numPr>
        <w:overflowPunct/>
        <w:autoSpaceDE/>
        <w:autoSpaceDN/>
        <w:adjustRightInd/>
        <w:ind w:left="0"/>
        <w:textAlignment w:val="auto"/>
        <w:rPr>
          <w:rFonts w:cs="Arial"/>
          <w:szCs w:val="24"/>
        </w:rPr>
      </w:pPr>
      <w:r w:rsidRPr="000564EB">
        <w:rPr>
          <w:rFonts w:cs="Arial"/>
          <w:szCs w:val="24"/>
        </w:rPr>
        <w:t xml:space="preserve">Valuation: </w:t>
      </w:r>
      <w:r w:rsidR="001A2914">
        <w:rPr>
          <w:rFonts w:cs="Arial"/>
          <w:szCs w:val="24"/>
        </w:rPr>
        <w:t xml:space="preserve">[Members will receive an update on the latest developments and actions being taken to manage the risks and issues involved on 26 September before the sub-committee meetings commence.]  </w:t>
      </w:r>
      <w:r w:rsidRPr="000564EB">
        <w:rPr>
          <w:rFonts w:cs="Arial"/>
          <w:szCs w:val="24"/>
        </w:rPr>
        <w:t xml:space="preserve">HM Treasury draft directions </w:t>
      </w:r>
      <w:r w:rsidR="001A2914">
        <w:rPr>
          <w:rFonts w:cs="Arial"/>
          <w:szCs w:val="24"/>
        </w:rPr>
        <w:t>have been received.</w:t>
      </w:r>
      <w:r w:rsidRPr="000564EB">
        <w:rPr>
          <w:rFonts w:cs="Arial"/>
          <w:szCs w:val="24"/>
        </w:rPr>
        <w:t xml:space="preserve"> The planned implementation date of April 2019 is highly unlikely to be achieved. Discussions are taking place with HMT regarding an alternative implementation date, which will need to take account of the length of time that TP and employer payroll providers will need to amend their IT systems in time to reflect the new employer contribution rate</w:t>
      </w:r>
      <w:r w:rsidR="001E5A7C">
        <w:rPr>
          <w:rFonts w:cs="Arial"/>
          <w:szCs w:val="24"/>
        </w:rPr>
        <w:t xml:space="preserve"> and member </w:t>
      </w:r>
      <w:r w:rsidR="0076209D">
        <w:rPr>
          <w:rFonts w:cs="Arial"/>
          <w:szCs w:val="24"/>
        </w:rPr>
        <w:t>benefit</w:t>
      </w:r>
      <w:r w:rsidR="001E5A7C">
        <w:rPr>
          <w:rFonts w:cs="Arial"/>
          <w:szCs w:val="24"/>
        </w:rPr>
        <w:t xml:space="preserve"> changes</w:t>
      </w:r>
      <w:r w:rsidRPr="000564EB">
        <w:rPr>
          <w:rFonts w:cs="Arial"/>
          <w:szCs w:val="24"/>
        </w:rPr>
        <w:t>. If implementation is delayed, there could be some form of backdating required for member benefits to April 2019. Government Actuaries Department continue to work on calculations to determine contribution rate.</w:t>
      </w:r>
      <w:r w:rsidR="006C3A6D">
        <w:rPr>
          <w:rFonts w:cs="Arial"/>
          <w:szCs w:val="24"/>
        </w:rPr>
        <w:t xml:space="preserve"> </w:t>
      </w:r>
    </w:p>
    <w:p w14:paraId="5F1A90EF" w14:textId="77777777" w:rsidR="00C22FF8" w:rsidRPr="000564EB" w:rsidRDefault="00C22FF8" w:rsidP="005A0B4A">
      <w:pPr>
        <w:pStyle w:val="ListParagraph"/>
        <w:widowControl/>
        <w:overflowPunct/>
        <w:autoSpaceDE/>
        <w:autoSpaceDN/>
        <w:adjustRightInd/>
        <w:ind w:left="0"/>
        <w:textAlignment w:val="auto"/>
        <w:rPr>
          <w:rFonts w:cs="Arial"/>
          <w:szCs w:val="24"/>
        </w:rPr>
      </w:pPr>
    </w:p>
    <w:p w14:paraId="19370169" w14:textId="4EE3831B" w:rsidR="00C22FF8" w:rsidRPr="000564EB" w:rsidRDefault="00C22FF8" w:rsidP="005A0B4A">
      <w:pPr>
        <w:pStyle w:val="ListParagraph"/>
        <w:widowControl/>
        <w:numPr>
          <w:ilvl w:val="0"/>
          <w:numId w:val="6"/>
        </w:numPr>
        <w:overflowPunct/>
        <w:autoSpaceDE/>
        <w:autoSpaceDN/>
        <w:adjustRightInd/>
        <w:ind w:left="0"/>
        <w:textAlignment w:val="auto"/>
        <w:rPr>
          <w:rFonts w:cs="Arial"/>
          <w:szCs w:val="24"/>
        </w:rPr>
      </w:pPr>
      <w:r w:rsidRPr="000564EB">
        <w:rPr>
          <w:rFonts w:cs="Arial"/>
          <w:szCs w:val="24"/>
        </w:rPr>
        <w:t xml:space="preserve">The risk management process remains robust, with regular monthly meetings held between the DfE Senior Risk and Finance Manager, DfE contract Manager and TP Risk Manager, to assess the level and status of active risks, to discuss potential emerging risks and approaches to continuously improve risk management. </w:t>
      </w:r>
      <w:r w:rsidR="006C3A6D">
        <w:rPr>
          <w:rFonts w:cs="Arial"/>
          <w:szCs w:val="24"/>
        </w:rPr>
        <w:t xml:space="preserve">The latest steps being taken here is to firm up/refresh the position on </w:t>
      </w:r>
      <w:r w:rsidRPr="000564EB">
        <w:rPr>
          <w:rFonts w:cs="Arial"/>
          <w:szCs w:val="24"/>
        </w:rPr>
        <w:t xml:space="preserve">scheme risk appetite. This will be </w:t>
      </w:r>
      <w:r w:rsidR="006C3A6D">
        <w:rPr>
          <w:rFonts w:cs="Arial"/>
          <w:szCs w:val="24"/>
        </w:rPr>
        <w:t xml:space="preserve">undertaken </w:t>
      </w:r>
      <w:r w:rsidRPr="000564EB">
        <w:rPr>
          <w:rFonts w:cs="Arial"/>
          <w:szCs w:val="24"/>
        </w:rPr>
        <w:t>over the next quarter in discussion with TP Risk Committee and DfE’s central Risk Management Team</w:t>
      </w:r>
      <w:r w:rsidR="001A2914">
        <w:rPr>
          <w:rFonts w:cs="Arial"/>
          <w:szCs w:val="24"/>
        </w:rPr>
        <w:t>,</w:t>
      </w:r>
      <w:r w:rsidR="006C3A6D">
        <w:rPr>
          <w:rFonts w:cs="Arial"/>
          <w:szCs w:val="24"/>
        </w:rPr>
        <w:t xml:space="preserve"> as well as </w:t>
      </w:r>
      <w:r w:rsidR="001E5A7C">
        <w:rPr>
          <w:rFonts w:cs="Arial"/>
          <w:szCs w:val="24"/>
        </w:rPr>
        <w:t xml:space="preserve">the </w:t>
      </w:r>
      <w:r w:rsidRPr="000564EB">
        <w:rPr>
          <w:rFonts w:cs="Arial"/>
          <w:szCs w:val="24"/>
        </w:rPr>
        <w:t xml:space="preserve">Quarterly Strategy Board. </w:t>
      </w:r>
    </w:p>
    <w:p w14:paraId="6E3DE8CA" w14:textId="77777777" w:rsidR="00C22FF8" w:rsidRPr="000564EB" w:rsidRDefault="00C22FF8" w:rsidP="00C22FF8">
      <w:pPr>
        <w:pStyle w:val="DeptBullets"/>
        <w:numPr>
          <w:ilvl w:val="0"/>
          <w:numId w:val="0"/>
        </w:numPr>
        <w:spacing w:after="0"/>
        <w:ind w:left="360"/>
        <w:rPr>
          <w:rFonts w:cs="Arial"/>
          <w:szCs w:val="24"/>
        </w:rPr>
      </w:pPr>
    </w:p>
    <w:p w14:paraId="581890CE" w14:textId="414A7B11" w:rsidR="00C22FF8" w:rsidRPr="000564EB" w:rsidRDefault="00C22FF8" w:rsidP="005A0B4A">
      <w:pPr>
        <w:pStyle w:val="DeptBullets"/>
        <w:numPr>
          <w:ilvl w:val="0"/>
          <w:numId w:val="6"/>
        </w:numPr>
        <w:spacing w:after="0"/>
        <w:ind w:left="0" w:hanging="426"/>
        <w:rPr>
          <w:rFonts w:cs="Arial"/>
          <w:szCs w:val="24"/>
        </w:rPr>
      </w:pPr>
      <w:r w:rsidRPr="000564EB">
        <w:rPr>
          <w:rFonts w:cs="Arial"/>
          <w:szCs w:val="24"/>
        </w:rPr>
        <w:t xml:space="preserve">There are 27 strategic risks under management (29 at last reporting period). </w:t>
      </w:r>
      <w:r w:rsidR="006F1189" w:rsidRPr="000564EB">
        <w:rPr>
          <w:rFonts w:cs="Arial"/>
          <w:szCs w:val="24"/>
        </w:rPr>
        <w:t>Three</w:t>
      </w:r>
      <w:r w:rsidRPr="000564EB">
        <w:rPr>
          <w:rFonts w:cs="Arial"/>
          <w:szCs w:val="24"/>
        </w:rPr>
        <w:t xml:space="preserve"> of the risks have MEDIUM net risk scores and the remaining 24 are LOW. All have a number of existing controls in place and continue to be actively monitored and mitigated.</w:t>
      </w:r>
    </w:p>
    <w:p w14:paraId="41781FC1" w14:textId="77777777" w:rsidR="00C22FF8" w:rsidRPr="000564EB" w:rsidRDefault="00C22FF8" w:rsidP="005A0B4A">
      <w:pPr>
        <w:pStyle w:val="DeptBullets"/>
        <w:numPr>
          <w:ilvl w:val="0"/>
          <w:numId w:val="0"/>
        </w:numPr>
        <w:spacing w:after="0"/>
        <w:ind w:hanging="426"/>
        <w:rPr>
          <w:rFonts w:cs="Arial"/>
          <w:szCs w:val="24"/>
        </w:rPr>
      </w:pPr>
    </w:p>
    <w:p w14:paraId="3866FEB0" w14:textId="7FC07B26" w:rsidR="00C22FF8" w:rsidRPr="000564EB" w:rsidRDefault="00C22FF8" w:rsidP="005A0B4A">
      <w:pPr>
        <w:pStyle w:val="DeptBullets"/>
        <w:numPr>
          <w:ilvl w:val="0"/>
          <w:numId w:val="6"/>
        </w:numPr>
        <w:spacing w:after="0"/>
        <w:ind w:left="0" w:hanging="426"/>
        <w:rPr>
          <w:rFonts w:cs="Arial"/>
          <w:szCs w:val="24"/>
        </w:rPr>
      </w:pPr>
      <w:r w:rsidRPr="000564EB">
        <w:rPr>
          <w:rFonts w:cs="Arial"/>
          <w:szCs w:val="24"/>
        </w:rPr>
        <w:t xml:space="preserve">In addition, there are a further 21 operational (service delivery) risks under management (22 at last reporting period). </w:t>
      </w:r>
      <w:r w:rsidR="006F1189" w:rsidRPr="000564EB">
        <w:rPr>
          <w:rFonts w:cs="Arial"/>
          <w:szCs w:val="24"/>
        </w:rPr>
        <w:t>One</w:t>
      </w:r>
      <w:r w:rsidRPr="000564EB">
        <w:rPr>
          <w:rFonts w:cs="Arial"/>
          <w:szCs w:val="24"/>
        </w:rPr>
        <w:t xml:space="preserve"> risk is rated as HIGH. This risk relates to the significant increase in the volume of member engagements and transactions (including data amendments from employers). Ongoing monitoring of the IT service delivery continues. The remaining risks are rated MEDIUM (4) and LOW (16).</w:t>
      </w:r>
    </w:p>
    <w:p w14:paraId="62457C07" w14:textId="77777777" w:rsidR="00C22FF8" w:rsidRPr="000564EB" w:rsidRDefault="00C22FF8" w:rsidP="005A0B4A">
      <w:pPr>
        <w:pStyle w:val="DeptBullets"/>
        <w:numPr>
          <w:ilvl w:val="0"/>
          <w:numId w:val="0"/>
        </w:numPr>
        <w:spacing w:after="0"/>
        <w:ind w:hanging="426"/>
        <w:rPr>
          <w:rFonts w:cs="Arial"/>
          <w:szCs w:val="24"/>
        </w:rPr>
      </w:pPr>
    </w:p>
    <w:p w14:paraId="1EB40D6F" w14:textId="77777777" w:rsidR="00C22FF8" w:rsidRPr="000564EB" w:rsidRDefault="00C22FF8" w:rsidP="005A0B4A">
      <w:pPr>
        <w:pStyle w:val="DeptBullets"/>
        <w:numPr>
          <w:ilvl w:val="0"/>
          <w:numId w:val="6"/>
        </w:numPr>
        <w:spacing w:after="0"/>
        <w:ind w:left="0" w:hanging="426"/>
        <w:rPr>
          <w:rFonts w:cs="Arial"/>
          <w:szCs w:val="24"/>
        </w:rPr>
      </w:pPr>
      <w:r w:rsidRPr="000564EB">
        <w:rPr>
          <w:rFonts w:cs="Arial"/>
          <w:szCs w:val="24"/>
        </w:rPr>
        <w:t>Business Continuity and Disaster Recovery continues to be reviewed monthly by the Risk Committee. The net risk remains at MEDIUM with controls being reviewed as part of the transition from the restricted IT environment.</w:t>
      </w:r>
    </w:p>
    <w:p w14:paraId="7C741C95" w14:textId="77777777" w:rsidR="006125FA" w:rsidRPr="000564EB" w:rsidRDefault="006125FA" w:rsidP="006125FA">
      <w:pPr>
        <w:pStyle w:val="ListParagraph"/>
        <w:rPr>
          <w:rFonts w:cs="Arial"/>
          <w:szCs w:val="24"/>
        </w:rPr>
      </w:pPr>
    </w:p>
    <w:p w14:paraId="46E6B294" w14:textId="77777777" w:rsidR="00D46D90" w:rsidRDefault="00D46D90" w:rsidP="004B06B2">
      <w:pPr>
        <w:pStyle w:val="DeptBullets"/>
        <w:numPr>
          <w:ilvl w:val="0"/>
          <w:numId w:val="0"/>
        </w:numPr>
        <w:tabs>
          <w:tab w:val="left" w:pos="720"/>
        </w:tabs>
        <w:spacing w:after="0"/>
        <w:ind w:left="720" w:right="-58" w:hanging="1146"/>
        <w:textAlignment w:val="auto"/>
        <w:rPr>
          <w:rFonts w:cs="Arial"/>
          <w:b/>
          <w:szCs w:val="24"/>
        </w:rPr>
      </w:pPr>
    </w:p>
    <w:p w14:paraId="7226AB3C" w14:textId="77777777" w:rsidR="00D46D90" w:rsidRDefault="00D46D90" w:rsidP="004B06B2">
      <w:pPr>
        <w:pStyle w:val="DeptBullets"/>
        <w:numPr>
          <w:ilvl w:val="0"/>
          <w:numId w:val="0"/>
        </w:numPr>
        <w:tabs>
          <w:tab w:val="left" w:pos="720"/>
        </w:tabs>
        <w:spacing w:after="0"/>
        <w:ind w:left="720" w:right="-58" w:hanging="1146"/>
        <w:textAlignment w:val="auto"/>
        <w:rPr>
          <w:rFonts w:cs="Arial"/>
          <w:b/>
          <w:szCs w:val="24"/>
        </w:rPr>
      </w:pPr>
    </w:p>
    <w:p w14:paraId="70EA838F" w14:textId="77777777" w:rsidR="00D46D90" w:rsidRDefault="00D46D90" w:rsidP="004B06B2">
      <w:pPr>
        <w:pStyle w:val="DeptBullets"/>
        <w:numPr>
          <w:ilvl w:val="0"/>
          <w:numId w:val="0"/>
        </w:numPr>
        <w:tabs>
          <w:tab w:val="left" w:pos="720"/>
        </w:tabs>
        <w:spacing w:after="0"/>
        <w:ind w:left="720" w:right="-58" w:hanging="1146"/>
        <w:textAlignment w:val="auto"/>
        <w:rPr>
          <w:rFonts w:cs="Arial"/>
          <w:b/>
          <w:szCs w:val="24"/>
        </w:rPr>
      </w:pPr>
    </w:p>
    <w:p w14:paraId="1F203713" w14:textId="77777777" w:rsidR="00D46D90" w:rsidRDefault="00D46D90" w:rsidP="004B06B2">
      <w:pPr>
        <w:pStyle w:val="DeptBullets"/>
        <w:numPr>
          <w:ilvl w:val="0"/>
          <w:numId w:val="0"/>
        </w:numPr>
        <w:tabs>
          <w:tab w:val="left" w:pos="720"/>
        </w:tabs>
        <w:spacing w:after="0"/>
        <w:ind w:left="720" w:right="-58" w:hanging="1146"/>
        <w:textAlignment w:val="auto"/>
        <w:rPr>
          <w:rFonts w:cs="Arial"/>
          <w:b/>
          <w:szCs w:val="24"/>
        </w:rPr>
      </w:pPr>
    </w:p>
    <w:p w14:paraId="4CB515EB" w14:textId="77777777" w:rsidR="00D46D90" w:rsidRDefault="00D46D90" w:rsidP="004B06B2">
      <w:pPr>
        <w:pStyle w:val="DeptBullets"/>
        <w:numPr>
          <w:ilvl w:val="0"/>
          <w:numId w:val="0"/>
        </w:numPr>
        <w:tabs>
          <w:tab w:val="left" w:pos="720"/>
        </w:tabs>
        <w:spacing w:after="0"/>
        <w:ind w:left="720" w:right="-58" w:hanging="1146"/>
        <w:textAlignment w:val="auto"/>
        <w:rPr>
          <w:rFonts w:cs="Arial"/>
          <w:b/>
          <w:szCs w:val="24"/>
        </w:rPr>
      </w:pPr>
    </w:p>
    <w:p w14:paraId="190FFE94" w14:textId="77777777" w:rsidR="00D46D90" w:rsidRDefault="00D46D90" w:rsidP="004B06B2">
      <w:pPr>
        <w:pStyle w:val="DeptBullets"/>
        <w:numPr>
          <w:ilvl w:val="0"/>
          <w:numId w:val="0"/>
        </w:numPr>
        <w:tabs>
          <w:tab w:val="left" w:pos="720"/>
        </w:tabs>
        <w:spacing w:after="0"/>
        <w:ind w:left="720" w:right="-58" w:hanging="1146"/>
        <w:textAlignment w:val="auto"/>
        <w:rPr>
          <w:rFonts w:cs="Arial"/>
          <w:b/>
          <w:szCs w:val="24"/>
        </w:rPr>
      </w:pPr>
    </w:p>
    <w:p w14:paraId="05A7F316" w14:textId="77777777" w:rsidR="00D46D90" w:rsidRDefault="00D46D90" w:rsidP="004B06B2">
      <w:pPr>
        <w:pStyle w:val="DeptBullets"/>
        <w:numPr>
          <w:ilvl w:val="0"/>
          <w:numId w:val="0"/>
        </w:numPr>
        <w:tabs>
          <w:tab w:val="left" w:pos="720"/>
        </w:tabs>
        <w:spacing w:after="0"/>
        <w:ind w:left="720" w:right="-58" w:hanging="1146"/>
        <w:textAlignment w:val="auto"/>
        <w:rPr>
          <w:rFonts w:cs="Arial"/>
          <w:b/>
          <w:szCs w:val="24"/>
        </w:rPr>
      </w:pPr>
    </w:p>
    <w:p w14:paraId="63786EEC" w14:textId="77777777" w:rsidR="00D46D90" w:rsidRDefault="00D46D90" w:rsidP="004B06B2">
      <w:pPr>
        <w:pStyle w:val="DeptBullets"/>
        <w:numPr>
          <w:ilvl w:val="0"/>
          <w:numId w:val="0"/>
        </w:numPr>
        <w:tabs>
          <w:tab w:val="left" w:pos="720"/>
        </w:tabs>
        <w:spacing w:after="0"/>
        <w:ind w:left="720" w:right="-58" w:hanging="1146"/>
        <w:textAlignment w:val="auto"/>
        <w:rPr>
          <w:rFonts w:cs="Arial"/>
          <w:b/>
          <w:szCs w:val="24"/>
        </w:rPr>
      </w:pPr>
    </w:p>
    <w:p w14:paraId="38418D10" w14:textId="77777777" w:rsidR="00D46D90" w:rsidRDefault="00D46D90" w:rsidP="004B06B2">
      <w:pPr>
        <w:pStyle w:val="DeptBullets"/>
        <w:numPr>
          <w:ilvl w:val="0"/>
          <w:numId w:val="0"/>
        </w:numPr>
        <w:tabs>
          <w:tab w:val="left" w:pos="720"/>
        </w:tabs>
        <w:spacing w:after="0"/>
        <w:ind w:left="720" w:right="-58" w:hanging="1146"/>
        <w:textAlignment w:val="auto"/>
        <w:rPr>
          <w:rFonts w:cs="Arial"/>
          <w:b/>
          <w:szCs w:val="24"/>
        </w:rPr>
      </w:pPr>
    </w:p>
    <w:p w14:paraId="7177615E" w14:textId="77777777" w:rsidR="00D46D90" w:rsidRDefault="00D46D90" w:rsidP="004B06B2">
      <w:pPr>
        <w:pStyle w:val="DeptBullets"/>
        <w:numPr>
          <w:ilvl w:val="0"/>
          <w:numId w:val="0"/>
        </w:numPr>
        <w:tabs>
          <w:tab w:val="left" w:pos="720"/>
        </w:tabs>
        <w:spacing w:after="0"/>
        <w:ind w:left="720" w:right="-58" w:hanging="1146"/>
        <w:textAlignment w:val="auto"/>
        <w:rPr>
          <w:rFonts w:cs="Arial"/>
          <w:b/>
          <w:szCs w:val="24"/>
        </w:rPr>
      </w:pPr>
    </w:p>
    <w:p w14:paraId="729BF503" w14:textId="77777777" w:rsidR="00D46D90" w:rsidRDefault="00D46D90" w:rsidP="004B06B2">
      <w:pPr>
        <w:pStyle w:val="DeptBullets"/>
        <w:numPr>
          <w:ilvl w:val="0"/>
          <w:numId w:val="0"/>
        </w:numPr>
        <w:tabs>
          <w:tab w:val="left" w:pos="720"/>
        </w:tabs>
        <w:spacing w:after="0"/>
        <w:ind w:left="720" w:right="-58" w:hanging="1146"/>
        <w:textAlignment w:val="auto"/>
        <w:rPr>
          <w:rFonts w:cs="Arial"/>
          <w:b/>
          <w:szCs w:val="24"/>
        </w:rPr>
      </w:pPr>
    </w:p>
    <w:p w14:paraId="090A4B27" w14:textId="77777777" w:rsidR="00D46D90" w:rsidRDefault="00D46D90" w:rsidP="004B06B2">
      <w:pPr>
        <w:pStyle w:val="DeptBullets"/>
        <w:numPr>
          <w:ilvl w:val="0"/>
          <w:numId w:val="0"/>
        </w:numPr>
        <w:tabs>
          <w:tab w:val="left" w:pos="720"/>
        </w:tabs>
        <w:spacing w:after="0"/>
        <w:ind w:left="720" w:right="-58" w:hanging="1146"/>
        <w:textAlignment w:val="auto"/>
        <w:rPr>
          <w:rFonts w:cs="Arial"/>
          <w:b/>
          <w:szCs w:val="24"/>
        </w:rPr>
      </w:pPr>
    </w:p>
    <w:p w14:paraId="3B91EE4A" w14:textId="77777777" w:rsidR="00D46D90" w:rsidRDefault="00D46D90" w:rsidP="004B06B2">
      <w:pPr>
        <w:pStyle w:val="DeptBullets"/>
        <w:numPr>
          <w:ilvl w:val="0"/>
          <w:numId w:val="0"/>
        </w:numPr>
        <w:tabs>
          <w:tab w:val="left" w:pos="720"/>
        </w:tabs>
        <w:spacing w:after="0"/>
        <w:ind w:left="720" w:right="-58" w:hanging="1146"/>
        <w:textAlignment w:val="auto"/>
        <w:rPr>
          <w:rFonts w:cs="Arial"/>
          <w:b/>
          <w:szCs w:val="24"/>
        </w:rPr>
      </w:pPr>
    </w:p>
    <w:p w14:paraId="250AF944" w14:textId="77777777" w:rsidR="00D46D90" w:rsidRDefault="00D46D90" w:rsidP="004B06B2">
      <w:pPr>
        <w:pStyle w:val="DeptBullets"/>
        <w:numPr>
          <w:ilvl w:val="0"/>
          <w:numId w:val="0"/>
        </w:numPr>
        <w:tabs>
          <w:tab w:val="left" w:pos="720"/>
        </w:tabs>
        <w:spacing w:after="0"/>
        <w:ind w:left="720" w:right="-58" w:hanging="1146"/>
        <w:textAlignment w:val="auto"/>
        <w:rPr>
          <w:rFonts w:cs="Arial"/>
          <w:b/>
          <w:szCs w:val="24"/>
        </w:rPr>
      </w:pPr>
    </w:p>
    <w:p w14:paraId="0D79885A" w14:textId="14553CD2" w:rsidR="006125FA" w:rsidRPr="000564EB" w:rsidRDefault="00FC0E86" w:rsidP="004B06B2">
      <w:pPr>
        <w:pStyle w:val="DeptBullets"/>
        <w:numPr>
          <w:ilvl w:val="0"/>
          <w:numId w:val="0"/>
        </w:numPr>
        <w:tabs>
          <w:tab w:val="left" w:pos="720"/>
        </w:tabs>
        <w:spacing w:after="0"/>
        <w:ind w:left="720" w:right="-58" w:hanging="1146"/>
        <w:textAlignment w:val="auto"/>
        <w:rPr>
          <w:rFonts w:cs="Arial"/>
          <w:b/>
          <w:szCs w:val="24"/>
        </w:rPr>
      </w:pPr>
      <w:r w:rsidRPr="000564EB">
        <w:rPr>
          <w:rFonts w:cs="Arial"/>
          <w:b/>
          <w:szCs w:val="24"/>
        </w:rPr>
        <w:t>GIA</w:t>
      </w:r>
    </w:p>
    <w:p w14:paraId="0A70A0DE" w14:textId="77777777" w:rsidR="009879A0" w:rsidRPr="000564EB" w:rsidRDefault="009879A0" w:rsidP="009879A0">
      <w:pPr>
        <w:rPr>
          <w:rFonts w:cs="Arial"/>
          <w:b/>
          <w:szCs w:val="24"/>
          <w:lang w:eastAsia="en-GB"/>
        </w:rPr>
      </w:pPr>
    </w:p>
    <w:p w14:paraId="1DD812A8" w14:textId="69FCA78E" w:rsidR="000512C5" w:rsidRPr="000564EB" w:rsidRDefault="009879A0" w:rsidP="00D46D90">
      <w:pPr>
        <w:pStyle w:val="ListParagraph"/>
        <w:numPr>
          <w:ilvl w:val="0"/>
          <w:numId w:val="6"/>
        </w:numPr>
        <w:ind w:left="-142" w:hanging="425"/>
        <w:rPr>
          <w:rFonts w:cs="Arial"/>
          <w:szCs w:val="24"/>
        </w:rPr>
      </w:pPr>
      <w:r w:rsidRPr="000564EB">
        <w:rPr>
          <w:rFonts w:cs="Arial"/>
          <w:szCs w:val="24"/>
        </w:rPr>
        <w:t>The Capita Group Internal Audit (GIA) Plan continues to progress well</w:t>
      </w:r>
      <w:r w:rsidR="00FC0E86" w:rsidRPr="000564EB">
        <w:rPr>
          <w:rFonts w:cs="Arial"/>
          <w:szCs w:val="24"/>
        </w:rPr>
        <w:t xml:space="preserve"> with the table below confirming position against the plan.</w:t>
      </w:r>
    </w:p>
    <w:p w14:paraId="05507EBE" w14:textId="77777777" w:rsidR="009B4BE2" w:rsidRPr="000564EB" w:rsidRDefault="009B4BE2" w:rsidP="009B4BE2">
      <w:pPr>
        <w:widowControl/>
        <w:overflowPunct/>
        <w:autoSpaceDE/>
        <w:adjustRightInd/>
        <w:ind w:left="15"/>
        <w:jc w:val="center"/>
        <w:rPr>
          <w:rFonts w:cs="Arial"/>
          <w:b/>
          <w:szCs w:val="24"/>
          <w:lang w:eastAsia="en-GB"/>
        </w:rPr>
      </w:pPr>
    </w:p>
    <w:tbl>
      <w:tblPr>
        <w:tblW w:w="10250" w:type="dxa"/>
        <w:jc w:val="center"/>
        <w:tblLayout w:type="fixed"/>
        <w:tblLook w:val="04A0" w:firstRow="1" w:lastRow="0" w:firstColumn="1" w:lastColumn="0" w:noHBand="0" w:noVBand="1"/>
      </w:tblPr>
      <w:tblGrid>
        <w:gridCol w:w="1961"/>
        <w:gridCol w:w="489"/>
        <w:gridCol w:w="489"/>
        <w:gridCol w:w="531"/>
        <w:gridCol w:w="438"/>
        <w:gridCol w:w="433"/>
        <w:gridCol w:w="472"/>
        <w:gridCol w:w="452"/>
        <w:gridCol w:w="453"/>
        <w:gridCol w:w="393"/>
        <w:gridCol w:w="452"/>
        <w:gridCol w:w="413"/>
        <w:gridCol w:w="513"/>
        <w:gridCol w:w="452"/>
        <w:gridCol w:w="472"/>
        <w:gridCol w:w="452"/>
        <w:gridCol w:w="434"/>
        <w:gridCol w:w="943"/>
        <w:gridCol w:w="8"/>
      </w:tblGrid>
      <w:tr w:rsidR="009B4BE2" w:rsidRPr="000564EB" w14:paraId="2FDBD56D" w14:textId="77777777" w:rsidTr="00094D94">
        <w:trPr>
          <w:trHeight w:val="772"/>
          <w:jc w:val="center"/>
        </w:trPr>
        <w:tc>
          <w:tcPr>
            <w:tcW w:w="10250" w:type="dxa"/>
            <w:gridSpan w:val="19"/>
            <w:tcBorders>
              <w:top w:val="single" w:sz="8" w:space="0" w:color="auto"/>
              <w:left w:val="single" w:sz="8" w:space="0" w:color="auto"/>
              <w:bottom w:val="single" w:sz="8" w:space="0" w:color="auto"/>
              <w:right w:val="single" w:sz="8" w:space="0" w:color="000000"/>
            </w:tcBorders>
            <w:shd w:val="clear" w:color="auto" w:fill="969696"/>
            <w:vAlign w:val="bottom"/>
            <w:hideMark/>
          </w:tcPr>
          <w:p w14:paraId="7C1AEBFA" w14:textId="77777777" w:rsidR="009B4BE2" w:rsidRPr="000564EB" w:rsidRDefault="009B4BE2" w:rsidP="00094D94">
            <w:pPr>
              <w:rPr>
                <w:rFonts w:cs="Arial"/>
                <w:szCs w:val="24"/>
              </w:rPr>
            </w:pPr>
            <w:r w:rsidRPr="000564EB">
              <w:rPr>
                <w:rFonts w:cs="Arial"/>
                <w:szCs w:val="24"/>
              </w:rPr>
              <w:t>Overdue 1-30 days: Green; 31-60 days: Amber; 60 days plus: Red</w:t>
            </w:r>
          </w:p>
        </w:tc>
      </w:tr>
      <w:tr w:rsidR="009B4BE2" w:rsidRPr="000564EB" w14:paraId="399BEEAB" w14:textId="77777777" w:rsidTr="00094D94">
        <w:trPr>
          <w:trHeight w:val="736"/>
          <w:jc w:val="center"/>
        </w:trPr>
        <w:tc>
          <w:tcPr>
            <w:tcW w:w="1963" w:type="dxa"/>
            <w:vMerge w:val="restart"/>
            <w:tcBorders>
              <w:top w:val="nil"/>
              <w:left w:val="single" w:sz="8" w:space="0" w:color="auto"/>
              <w:bottom w:val="single" w:sz="8" w:space="0" w:color="000000"/>
              <w:right w:val="single" w:sz="8" w:space="0" w:color="auto"/>
            </w:tcBorders>
            <w:shd w:val="clear" w:color="auto" w:fill="C0C0C0"/>
            <w:vAlign w:val="bottom"/>
            <w:hideMark/>
          </w:tcPr>
          <w:p w14:paraId="1F9776F7" w14:textId="77777777" w:rsidR="009B4BE2" w:rsidRPr="000564EB" w:rsidRDefault="009B4BE2" w:rsidP="00094D94">
            <w:pPr>
              <w:rPr>
                <w:rFonts w:cs="Arial"/>
                <w:szCs w:val="24"/>
              </w:rPr>
            </w:pPr>
            <w:r w:rsidRPr="000564EB">
              <w:rPr>
                <w:rFonts w:cs="Arial"/>
                <w:szCs w:val="24"/>
              </w:rPr>
              <w:t>Source</w:t>
            </w:r>
          </w:p>
        </w:tc>
        <w:tc>
          <w:tcPr>
            <w:tcW w:w="1949" w:type="dxa"/>
            <w:gridSpan w:val="4"/>
            <w:tcBorders>
              <w:top w:val="single" w:sz="8" w:space="0" w:color="auto"/>
              <w:left w:val="nil"/>
              <w:bottom w:val="single" w:sz="8" w:space="0" w:color="auto"/>
              <w:right w:val="single" w:sz="8" w:space="0" w:color="000000"/>
            </w:tcBorders>
            <w:shd w:val="clear" w:color="auto" w:fill="C0C0C0"/>
            <w:vAlign w:val="bottom"/>
            <w:hideMark/>
          </w:tcPr>
          <w:p w14:paraId="10BB9655" w14:textId="77777777" w:rsidR="009B4BE2" w:rsidRPr="000564EB" w:rsidRDefault="009B4BE2" w:rsidP="00094D94">
            <w:pPr>
              <w:jc w:val="center"/>
              <w:rPr>
                <w:rFonts w:cs="Arial"/>
                <w:szCs w:val="24"/>
              </w:rPr>
            </w:pPr>
            <w:r w:rsidRPr="000564EB">
              <w:rPr>
                <w:rFonts w:cs="Arial"/>
                <w:szCs w:val="24"/>
              </w:rPr>
              <w:t>Total Open</w:t>
            </w:r>
          </w:p>
        </w:tc>
        <w:tc>
          <w:tcPr>
            <w:tcW w:w="1810" w:type="dxa"/>
            <w:gridSpan w:val="4"/>
            <w:tcBorders>
              <w:top w:val="single" w:sz="8" w:space="0" w:color="auto"/>
              <w:left w:val="nil"/>
              <w:bottom w:val="single" w:sz="8" w:space="0" w:color="auto"/>
              <w:right w:val="single" w:sz="8" w:space="0" w:color="000000"/>
            </w:tcBorders>
            <w:shd w:val="clear" w:color="auto" w:fill="C0C0C0"/>
            <w:vAlign w:val="bottom"/>
            <w:hideMark/>
          </w:tcPr>
          <w:p w14:paraId="078301FD" w14:textId="77777777" w:rsidR="009B4BE2" w:rsidRPr="000564EB" w:rsidRDefault="009B4BE2" w:rsidP="00094D94">
            <w:pPr>
              <w:jc w:val="center"/>
              <w:rPr>
                <w:rFonts w:cs="Arial"/>
                <w:szCs w:val="24"/>
              </w:rPr>
            </w:pPr>
            <w:r w:rsidRPr="000564EB">
              <w:rPr>
                <w:rFonts w:cs="Arial"/>
                <w:szCs w:val="24"/>
              </w:rPr>
              <w:t xml:space="preserve">0 to 30 days </w:t>
            </w:r>
          </w:p>
        </w:tc>
        <w:tc>
          <w:tcPr>
            <w:tcW w:w="1771" w:type="dxa"/>
            <w:gridSpan w:val="4"/>
            <w:tcBorders>
              <w:top w:val="single" w:sz="8" w:space="0" w:color="auto"/>
              <w:left w:val="nil"/>
              <w:bottom w:val="single" w:sz="8" w:space="0" w:color="auto"/>
              <w:right w:val="single" w:sz="8" w:space="0" w:color="000000"/>
            </w:tcBorders>
            <w:shd w:val="clear" w:color="auto" w:fill="C0C0C0"/>
            <w:vAlign w:val="bottom"/>
            <w:hideMark/>
          </w:tcPr>
          <w:p w14:paraId="47F008D9" w14:textId="77777777" w:rsidR="009B4BE2" w:rsidRPr="000564EB" w:rsidRDefault="009B4BE2" w:rsidP="00094D94">
            <w:pPr>
              <w:jc w:val="center"/>
              <w:rPr>
                <w:rFonts w:cs="Arial"/>
                <w:szCs w:val="24"/>
              </w:rPr>
            </w:pPr>
            <w:r w:rsidRPr="000564EB">
              <w:rPr>
                <w:rFonts w:cs="Arial"/>
                <w:szCs w:val="24"/>
              </w:rPr>
              <w:t>31 to 60 days</w:t>
            </w:r>
          </w:p>
        </w:tc>
        <w:tc>
          <w:tcPr>
            <w:tcW w:w="1810" w:type="dxa"/>
            <w:gridSpan w:val="4"/>
            <w:tcBorders>
              <w:top w:val="single" w:sz="8" w:space="0" w:color="auto"/>
              <w:left w:val="nil"/>
              <w:bottom w:val="single" w:sz="8" w:space="0" w:color="auto"/>
              <w:right w:val="single" w:sz="8" w:space="0" w:color="000000"/>
            </w:tcBorders>
            <w:shd w:val="clear" w:color="auto" w:fill="C0C0C0"/>
            <w:vAlign w:val="bottom"/>
            <w:hideMark/>
          </w:tcPr>
          <w:p w14:paraId="5E9040AD" w14:textId="77777777" w:rsidR="009B4BE2" w:rsidRPr="000564EB" w:rsidRDefault="009B4BE2" w:rsidP="00094D94">
            <w:pPr>
              <w:jc w:val="center"/>
              <w:rPr>
                <w:rFonts w:cs="Arial"/>
                <w:szCs w:val="24"/>
              </w:rPr>
            </w:pPr>
            <w:r w:rsidRPr="000564EB">
              <w:rPr>
                <w:rFonts w:cs="Arial"/>
                <w:szCs w:val="24"/>
              </w:rPr>
              <w:t>60 days +</w:t>
            </w:r>
          </w:p>
        </w:tc>
        <w:tc>
          <w:tcPr>
            <w:tcW w:w="944" w:type="dxa"/>
            <w:gridSpan w:val="2"/>
            <w:vMerge w:val="restart"/>
            <w:tcBorders>
              <w:top w:val="nil"/>
              <w:left w:val="single" w:sz="8" w:space="0" w:color="auto"/>
              <w:bottom w:val="single" w:sz="8" w:space="0" w:color="000000"/>
              <w:right w:val="single" w:sz="8" w:space="0" w:color="auto"/>
            </w:tcBorders>
            <w:shd w:val="clear" w:color="auto" w:fill="C0C0C0"/>
            <w:vAlign w:val="bottom"/>
            <w:hideMark/>
          </w:tcPr>
          <w:p w14:paraId="5F0E1080" w14:textId="77777777" w:rsidR="009B4BE2" w:rsidRPr="000564EB" w:rsidRDefault="009B4BE2" w:rsidP="00094D94">
            <w:pPr>
              <w:jc w:val="center"/>
              <w:rPr>
                <w:rFonts w:cs="Arial"/>
                <w:szCs w:val="24"/>
              </w:rPr>
            </w:pPr>
            <w:r w:rsidRPr="000564EB">
              <w:rPr>
                <w:rFonts w:cs="Arial"/>
                <w:szCs w:val="24"/>
              </w:rPr>
              <w:t>Trend</w:t>
            </w:r>
          </w:p>
        </w:tc>
      </w:tr>
      <w:tr w:rsidR="009B4BE2" w:rsidRPr="000564EB" w14:paraId="0697B4E4" w14:textId="77777777" w:rsidTr="00094D94">
        <w:trPr>
          <w:gridAfter w:val="1"/>
          <w:wAfter w:w="8" w:type="dxa"/>
          <w:trHeight w:val="736"/>
          <w:jc w:val="center"/>
        </w:trPr>
        <w:tc>
          <w:tcPr>
            <w:tcW w:w="1963" w:type="dxa"/>
            <w:vMerge/>
            <w:tcBorders>
              <w:top w:val="nil"/>
              <w:left w:val="single" w:sz="8" w:space="0" w:color="auto"/>
              <w:bottom w:val="single" w:sz="8" w:space="0" w:color="000000"/>
              <w:right w:val="single" w:sz="8" w:space="0" w:color="auto"/>
            </w:tcBorders>
            <w:vAlign w:val="center"/>
            <w:hideMark/>
          </w:tcPr>
          <w:p w14:paraId="2E1FECBD" w14:textId="77777777" w:rsidR="009B4BE2" w:rsidRPr="000564EB" w:rsidRDefault="009B4BE2" w:rsidP="00094D94">
            <w:pPr>
              <w:widowControl/>
              <w:overflowPunct/>
              <w:autoSpaceDE/>
              <w:autoSpaceDN/>
              <w:adjustRightInd/>
              <w:rPr>
                <w:rFonts w:cs="Arial"/>
                <w:szCs w:val="24"/>
              </w:rPr>
            </w:pPr>
          </w:p>
        </w:tc>
        <w:tc>
          <w:tcPr>
            <w:tcW w:w="490" w:type="dxa"/>
            <w:tcBorders>
              <w:top w:val="nil"/>
              <w:left w:val="nil"/>
              <w:bottom w:val="single" w:sz="8" w:space="0" w:color="auto"/>
              <w:right w:val="single" w:sz="8" w:space="0" w:color="auto"/>
            </w:tcBorders>
            <w:shd w:val="clear" w:color="auto" w:fill="C0C0C0"/>
            <w:vAlign w:val="bottom"/>
            <w:hideMark/>
          </w:tcPr>
          <w:p w14:paraId="19C9E79A" w14:textId="77777777" w:rsidR="009B4BE2" w:rsidRPr="000564EB" w:rsidRDefault="009B4BE2" w:rsidP="00094D94">
            <w:pPr>
              <w:jc w:val="center"/>
              <w:rPr>
                <w:rFonts w:cs="Arial"/>
                <w:szCs w:val="24"/>
              </w:rPr>
            </w:pPr>
            <w:r w:rsidRPr="000564EB">
              <w:rPr>
                <w:rFonts w:cs="Arial"/>
                <w:szCs w:val="24"/>
              </w:rPr>
              <w:t>C</w:t>
            </w:r>
          </w:p>
        </w:tc>
        <w:tc>
          <w:tcPr>
            <w:tcW w:w="490" w:type="dxa"/>
            <w:tcBorders>
              <w:top w:val="nil"/>
              <w:left w:val="nil"/>
              <w:bottom w:val="single" w:sz="8" w:space="0" w:color="auto"/>
              <w:right w:val="single" w:sz="8" w:space="0" w:color="auto"/>
            </w:tcBorders>
            <w:shd w:val="clear" w:color="auto" w:fill="C0C0C0"/>
            <w:vAlign w:val="bottom"/>
            <w:hideMark/>
          </w:tcPr>
          <w:p w14:paraId="71C6C9B9" w14:textId="77777777" w:rsidR="009B4BE2" w:rsidRPr="000564EB" w:rsidRDefault="009B4BE2" w:rsidP="00094D94">
            <w:pPr>
              <w:jc w:val="center"/>
              <w:rPr>
                <w:rFonts w:cs="Arial"/>
                <w:szCs w:val="24"/>
              </w:rPr>
            </w:pPr>
            <w:r w:rsidRPr="000564EB">
              <w:rPr>
                <w:rFonts w:cs="Arial"/>
                <w:szCs w:val="24"/>
              </w:rPr>
              <w:t>H</w:t>
            </w:r>
          </w:p>
        </w:tc>
        <w:tc>
          <w:tcPr>
            <w:tcW w:w="531" w:type="dxa"/>
            <w:tcBorders>
              <w:top w:val="nil"/>
              <w:left w:val="nil"/>
              <w:bottom w:val="single" w:sz="8" w:space="0" w:color="auto"/>
              <w:right w:val="single" w:sz="8" w:space="0" w:color="auto"/>
            </w:tcBorders>
            <w:shd w:val="clear" w:color="auto" w:fill="C0C0C0"/>
            <w:vAlign w:val="bottom"/>
            <w:hideMark/>
          </w:tcPr>
          <w:p w14:paraId="7235A2AF" w14:textId="77777777" w:rsidR="009B4BE2" w:rsidRPr="000564EB" w:rsidRDefault="009B4BE2" w:rsidP="00094D94">
            <w:pPr>
              <w:jc w:val="center"/>
              <w:rPr>
                <w:rFonts w:cs="Arial"/>
                <w:szCs w:val="24"/>
              </w:rPr>
            </w:pPr>
            <w:r w:rsidRPr="000564EB">
              <w:rPr>
                <w:rFonts w:cs="Arial"/>
                <w:szCs w:val="24"/>
              </w:rPr>
              <w:t>M</w:t>
            </w:r>
          </w:p>
        </w:tc>
        <w:tc>
          <w:tcPr>
            <w:tcW w:w="437" w:type="dxa"/>
            <w:tcBorders>
              <w:top w:val="nil"/>
              <w:left w:val="nil"/>
              <w:bottom w:val="single" w:sz="8" w:space="0" w:color="auto"/>
              <w:right w:val="single" w:sz="8" w:space="0" w:color="auto"/>
            </w:tcBorders>
            <w:shd w:val="clear" w:color="auto" w:fill="C0C0C0"/>
            <w:vAlign w:val="bottom"/>
            <w:hideMark/>
          </w:tcPr>
          <w:p w14:paraId="0EAF03BF" w14:textId="77777777" w:rsidR="009B4BE2" w:rsidRPr="000564EB" w:rsidRDefault="009B4BE2" w:rsidP="00094D94">
            <w:pPr>
              <w:jc w:val="center"/>
              <w:rPr>
                <w:rFonts w:cs="Arial"/>
                <w:szCs w:val="24"/>
              </w:rPr>
            </w:pPr>
            <w:r w:rsidRPr="000564EB">
              <w:rPr>
                <w:rFonts w:cs="Arial"/>
                <w:szCs w:val="24"/>
              </w:rPr>
              <w:t>L</w:t>
            </w:r>
          </w:p>
        </w:tc>
        <w:tc>
          <w:tcPr>
            <w:tcW w:w="433" w:type="dxa"/>
            <w:tcBorders>
              <w:top w:val="nil"/>
              <w:left w:val="nil"/>
              <w:bottom w:val="single" w:sz="8" w:space="0" w:color="auto"/>
              <w:right w:val="single" w:sz="8" w:space="0" w:color="auto"/>
            </w:tcBorders>
            <w:shd w:val="clear" w:color="auto" w:fill="C0C0C0"/>
            <w:vAlign w:val="bottom"/>
            <w:hideMark/>
          </w:tcPr>
          <w:p w14:paraId="6B2F66B7" w14:textId="77777777" w:rsidR="009B4BE2" w:rsidRPr="000564EB" w:rsidRDefault="009B4BE2" w:rsidP="00094D94">
            <w:pPr>
              <w:jc w:val="center"/>
              <w:rPr>
                <w:rFonts w:cs="Arial"/>
                <w:szCs w:val="24"/>
              </w:rPr>
            </w:pPr>
            <w:r w:rsidRPr="000564EB">
              <w:rPr>
                <w:rFonts w:cs="Arial"/>
                <w:szCs w:val="24"/>
              </w:rPr>
              <w:t>C</w:t>
            </w:r>
          </w:p>
        </w:tc>
        <w:tc>
          <w:tcPr>
            <w:tcW w:w="472" w:type="dxa"/>
            <w:tcBorders>
              <w:top w:val="nil"/>
              <w:left w:val="nil"/>
              <w:bottom w:val="single" w:sz="8" w:space="0" w:color="auto"/>
              <w:right w:val="single" w:sz="8" w:space="0" w:color="auto"/>
            </w:tcBorders>
            <w:shd w:val="clear" w:color="auto" w:fill="C0C0C0"/>
            <w:vAlign w:val="bottom"/>
            <w:hideMark/>
          </w:tcPr>
          <w:p w14:paraId="14845A64" w14:textId="77777777" w:rsidR="009B4BE2" w:rsidRPr="000564EB" w:rsidRDefault="009B4BE2" w:rsidP="00094D94">
            <w:pPr>
              <w:jc w:val="center"/>
              <w:rPr>
                <w:rFonts w:cs="Arial"/>
                <w:szCs w:val="24"/>
              </w:rPr>
            </w:pPr>
            <w:r w:rsidRPr="000564EB">
              <w:rPr>
                <w:rFonts w:cs="Arial"/>
                <w:szCs w:val="24"/>
              </w:rPr>
              <w:t>H</w:t>
            </w:r>
          </w:p>
        </w:tc>
        <w:tc>
          <w:tcPr>
            <w:tcW w:w="452" w:type="dxa"/>
            <w:tcBorders>
              <w:top w:val="nil"/>
              <w:left w:val="nil"/>
              <w:bottom w:val="single" w:sz="8" w:space="0" w:color="auto"/>
              <w:right w:val="single" w:sz="8" w:space="0" w:color="auto"/>
            </w:tcBorders>
            <w:shd w:val="clear" w:color="auto" w:fill="C0C0C0"/>
            <w:vAlign w:val="bottom"/>
            <w:hideMark/>
          </w:tcPr>
          <w:p w14:paraId="348C74FD" w14:textId="77777777" w:rsidR="009B4BE2" w:rsidRPr="000564EB" w:rsidRDefault="009B4BE2" w:rsidP="00094D94">
            <w:pPr>
              <w:jc w:val="center"/>
              <w:rPr>
                <w:rFonts w:cs="Arial"/>
                <w:szCs w:val="24"/>
              </w:rPr>
            </w:pPr>
            <w:r w:rsidRPr="000564EB">
              <w:rPr>
                <w:rFonts w:cs="Arial"/>
                <w:szCs w:val="24"/>
              </w:rPr>
              <w:t>M</w:t>
            </w:r>
          </w:p>
        </w:tc>
        <w:tc>
          <w:tcPr>
            <w:tcW w:w="452" w:type="dxa"/>
            <w:tcBorders>
              <w:top w:val="nil"/>
              <w:left w:val="nil"/>
              <w:bottom w:val="single" w:sz="8" w:space="0" w:color="auto"/>
              <w:right w:val="single" w:sz="8" w:space="0" w:color="auto"/>
            </w:tcBorders>
            <w:shd w:val="clear" w:color="auto" w:fill="C0C0C0"/>
            <w:vAlign w:val="bottom"/>
            <w:hideMark/>
          </w:tcPr>
          <w:p w14:paraId="0B70CC67" w14:textId="77777777" w:rsidR="009B4BE2" w:rsidRPr="000564EB" w:rsidRDefault="009B4BE2" w:rsidP="00094D94">
            <w:pPr>
              <w:jc w:val="center"/>
              <w:rPr>
                <w:rFonts w:cs="Arial"/>
                <w:szCs w:val="24"/>
              </w:rPr>
            </w:pPr>
            <w:r w:rsidRPr="000564EB">
              <w:rPr>
                <w:rFonts w:cs="Arial"/>
                <w:szCs w:val="24"/>
              </w:rPr>
              <w:t>L</w:t>
            </w:r>
          </w:p>
        </w:tc>
        <w:tc>
          <w:tcPr>
            <w:tcW w:w="393" w:type="dxa"/>
            <w:tcBorders>
              <w:top w:val="nil"/>
              <w:left w:val="nil"/>
              <w:bottom w:val="single" w:sz="8" w:space="0" w:color="auto"/>
              <w:right w:val="single" w:sz="8" w:space="0" w:color="auto"/>
            </w:tcBorders>
            <w:shd w:val="clear" w:color="auto" w:fill="C0C0C0"/>
            <w:vAlign w:val="bottom"/>
            <w:hideMark/>
          </w:tcPr>
          <w:p w14:paraId="015E51A1" w14:textId="77777777" w:rsidR="009B4BE2" w:rsidRPr="000564EB" w:rsidRDefault="009B4BE2" w:rsidP="00094D94">
            <w:pPr>
              <w:jc w:val="center"/>
              <w:rPr>
                <w:rFonts w:cs="Arial"/>
                <w:szCs w:val="24"/>
              </w:rPr>
            </w:pPr>
            <w:r w:rsidRPr="000564EB">
              <w:rPr>
                <w:rFonts w:cs="Arial"/>
                <w:szCs w:val="24"/>
              </w:rPr>
              <w:t>C</w:t>
            </w:r>
          </w:p>
        </w:tc>
        <w:tc>
          <w:tcPr>
            <w:tcW w:w="452" w:type="dxa"/>
            <w:tcBorders>
              <w:top w:val="nil"/>
              <w:left w:val="nil"/>
              <w:bottom w:val="single" w:sz="8" w:space="0" w:color="auto"/>
              <w:right w:val="single" w:sz="8" w:space="0" w:color="auto"/>
            </w:tcBorders>
            <w:shd w:val="clear" w:color="auto" w:fill="C0C0C0"/>
            <w:vAlign w:val="bottom"/>
            <w:hideMark/>
          </w:tcPr>
          <w:p w14:paraId="1A6E4889" w14:textId="77777777" w:rsidR="009B4BE2" w:rsidRPr="000564EB" w:rsidRDefault="009B4BE2" w:rsidP="00094D94">
            <w:pPr>
              <w:jc w:val="center"/>
              <w:rPr>
                <w:rFonts w:cs="Arial"/>
                <w:szCs w:val="24"/>
              </w:rPr>
            </w:pPr>
            <w:r w:rsidRPr="000564EB">
              <w:rPr>
                <w:rFonts w:cs="Arial"/>
                <w:szCs w:val="24"/>
              </w:rPr>
              <w:t>H</w:t>
            </w:r>
          </w:p>
        </w:tc>
        <w:tc>
          <w:tcPr>
            <w:tcW w:w="413" w:type="dxa"/>
            <w:tcBorders>
              <w:top w:val="nil"/>
              <w:left w:val="nil"/>
              <w:bottom w:val="single" w:sz="8" w:space="0" w:color="auto"/>
              <w:right w:val="single" w:sz="8" w:space="0" w:color="auto"/>
            </w:tcBorders>
            <w:shd w:val="clear" w:color="auto" w:fill="C0C0C0"/>
            <w:vAlign w:val="bottom"/>
            <w:hideMark/>
          </w:tcPr>
          <w:p w14:paraId="13E16858" w14:textId="77777777" w:rsidR="009B4BE2" w:rsidRPr="000564EB" w:rsidRDefault="009B4BE2" w:rsidP="00094D94">
            <w:pPr>
              <w:jc w:val="center"/>
              <w:rPr>
                <w:rFonts w:cs="Arial"/>
                <w:szCs w:val="24"/>
              </w:rPr>
            </w:pPr>
            <w:r w:rsidRPr="000564EB">
              <w:rPr>
                <w:rFonts w:cs="Arial"/>
                <w:szCs w:val="24"/>
              </w:rPr>
              <w:t>M</w:t>
            </w:r>
          </w:p>
        </w:tc>
        <w:tc>
          <w:tcPr>
            <w:tcW w:w="511" w:type="dxa"/>
            <w:tcBorders>
              <w:top w:val="nil"/>
              <w:left w:val="nil"/>
              <w:bottom w:val="single" w:sz="8" w:space="0" w:color="auto"/>
              <w:right w:val="single" w:sz="8" w:space="0" w:color="auto"/>
            </w:tcBorders>
            <w:shd w:val="clear" w:color="auto" w:fill="C0C0C0"/>
            <w:vAlign w:val="bottom"/>
            <w:hideMark/>
          </w:tcPr>
          <w:p w14:paraId="496CBC44" w14:textId="77777777" w:rsidR="009B4BE2" w:rsidRPr="000564EB" w:rsidRDefault="009B4BE2" w:rsidP="00094D94">
            <w:pPr>
              <w:jc w:val="center"/>
              <w:rPr>
                <w:rFonts w:cs="Arial"/>
                <w:szCs w:val="24"/>
              </w:rPr>
            </w:pPr>
            <w:r w:rsidRPr="000564EB">
              <w:rPr>
                <w:rFonts w:cs="Arial"/>
                <w:szCs w:val="24"/>
              </w:rPr>
              <w:t>L</w:t>
            </w:r>
          </w:p>
        </w:tc>
        <w:tc>
          <w:tcPr>
            <w:tcW w:w="452" w:type="dxa"/>
            <w:tcBorders>
              <w:top w:val="nil"/>
              <w:left w:val="nil"/>
              <w:bottom w:val="single" w:sz="8" w:space="0" w:color="auto"/>
              <w:right w:val="single" w:sz="8" w:space="0" w:color="auto"/>
            </w:tcBorders>
            <w:shd w:val="clear" w:color="auto" w:fill="C0C0C0"/>
            <w:vAlign w:val="bottom"/>
            <w:hideMark/>
          </w:tcPr>
          <w:p w14:paraId="6B7F590D" w14:textId="77777777" w:rsidR="009B4BE2" w:rsidRPr="000564EB" w:rsidRDefault="009B4BE2" w:rsidP="00094D94">
            <w:pPr>
              <w:jc w:val="center"/>
              <w:rPr>
                <w:rFonts w:cs="Arial"/>
                <w:szCs w:val="24"/>
              </w:rPr>
            </w:pPr>
            <w:r w:rsidRPr="000564EB">
              <w:rPr>
                <w:rFonts w:cs="Arial"/>
                <w:szCs w:val="24"/>
              </w:rPr>
              <w:t>C</w:t>
            </w:r>
          </w:p>
        </w:tc>
        <w:tc>
          <w:tcPr>
            <w:tcW w:w="472" w:type="dxa"/>
            <w:tcBorders>
              <w:top w:val="nil"/>
              <w:left w:val="nil"/>
              <w:bottom w:val="single" w:sz="8" w:space="0" w:color="auto"/>
              <w:right w:val="single" w:sz="8" w:space="0" w:color="auto"/>
            </w:tcBorders>
            <w:shd w:val="clear" w:color="auto" w:fill="C0C0C0"/>
            <w:vAlign w:val="bottom"/>
            <w:hideMark/>
          </w:tcPr>
          <w:p w14:paraId="0F882FE0" w14:textId="77777777" w:rsidR="009B4BE2" w:rsidRPr="000564EB" w:rsidRDefault="009B4BE2" w:rsidP="00094D94">
            <w:pPr>
              <w:jc w:val="center"/>
              <w:rPr>
                <w:rFonts w:cs="Arial"/>
                <w:szCs w:val="24"/>
              </w:rPr>
            </w:pPr>
            <w:r w:rsidRPr="000564EB">
              <w:rPr>
                <w:rFonts w:cs="Arial"/>
                <w:szCs w:val="24"/>
              </w:rPr>
              <w:t>H</w:t>
            </w:r>
          </w:p>
        </w:tc>
        <w:tc>
          <w:tcPr>
            <w:tcW w:w="452" w:type="dxa"/>
            <w:tcBorders>
              <w:top w:val="nil"/>
              <w:left w:val="nil"/>
              <w:bottom w:val="single" w:sz="8" w:space="0" w:color="auto"/>
              <w:right w:val="single" w:sz="8" w:space="0" w:color="auto"/>
            </w:tcBorders>
            <w:shd w:val="clear" w:color="auto" w:fill="C0C0C0"/>
            <w:vAlign w:val="bottom"/>
            <w:hideMark/>
          </w:tcPr>
          <w:p w14:paraId="76A16A6E" w14:textId="77777777" w:rsidR="009B4BE2" w:rsidRPr="000564EB" w:rsidRDefault="009B4BE2" w:rsidP="00094D94">
            <w:pPr>
              <w:jc w:val="center"/>
              <w:rPr>
                <w:rFonts w:cs="Arial"/>
                <w:szCs w:val="24"/>
              </w:rPr>
            </w:pPr>
            <w:r w:rsidRPr="000564EB">
              <w:rPr>
                <w:rFonts w:cs="Arial"/>
                <w:szCs w:val="24"/>
              </w:rPr>
              <w:t>M</w:t>
            </w:r>
          </w:p>
        </w:tc>
        <w:tc>
          <w:tcPr>
            <w:tcW w:w="433" w:type="dxa"/>
            <w:tcBorders>
              <w:top w:val="nil"/>
              <w:left w:val="nil"/>
              <w:bottom w:val="single" w:sz="8" w:space="0" w:color="auto"/>
              <w:right w:val="single" w:sz="8" w:space="0" w:color="auto"/>
            </w:tcBorders>
            <w:shd w:val="clear" w:color="auto" w:fill="C0C0C0"/>
            <w:vAlign w:val="bottom"/>
            <w:hideMark/>
          </w:tcPr>
          <w:p w14:paraId="297CF7CC" w14:textId="77777777" w:rsidR="009B4BE2" w:rsidRPr="000564EB" w:rsidRDefault="009B4BE2" w:rsidP="00094D94">
            <w:pPr>
              <w:jc w:val="center"/>
              <w:rPr>
                <w:rFonts w:cs="Arial"/>
                <w:szCs w:val="24"/>
              </w:rPr>
            </w:pPr>
            <w:r w:rsidRPr="000564EB">
              <w:rPr>
                <w:rFonts w:cs="Arial"/>
                <w:szCs w:val="24"/>
              </w:rPr>
              <w:t>L</w:t>
            </w:r>
          </w:p>
        </w:tc>
        <w:tc>
          <w:tcPr>
            <w:tcW w:w="944" w:type="dxa"/>
            <w:vMerge/>
            <w:tcBorders>
              <w:top w:val="nil"/>
              <w:left w:val="single" w:sz="8" w:space="0" w:color="auto"/>
              <w:bottom w:val="single" w:sz="8" w:space="0" w:color="000000"/>
              <w:right w:val="single" w:sz="8" w:space="0" w:color="auto"/>
            </w:tcBorders>
            <w:vAlign w:val="center"/>
            <w:hideMark/>
          </w:tcPr>
          <w:p w14:paraId="3A3B0E13" w14:textId="77777777" w:rsidR="009B4BE2" w:rsidRPr="000564EB" w:rsidRDefault="009B4BE2" w:rsidP="00094D94">
            <w:pPr>
              <w:widowControl/>
              <w:overflowPunct/>
              <w:autoSpaceDE/>
              <w:autoSpaceDN/>
              <w:adjustRightInd/>
              <w:rPr>
                <w:rFonts w:cs="Arial"/>
                <w:szCs w:val="24"/>
              </w:rPr>
            </w:pPr>
          </w:p>
        </w:tc>
      </w:tr>
      <w:tr w:rsidR="009B4BE2" w:rsidRPr="000564EB" w14:paraId="311E04D3" w14:textId="77777777" w:rsidTr="00094D94">
        <w:trPr>
          <w:gridAfter w:val="1"/>
          <w:wAfter w:w="8" w:type="dxa"/>
          <w:trHeight w:val="736"/>
          <w:jc w:val="center"/>
        </w:trPr>
        <w:tc>
          <w:tcPr>
            <w:tcW w:w="1963" w:type="dxa"/>
            <w:tcBorders>
              <w:top w:val="nil"/>
              <w:left w:val="single" w:sz="8" w:space="0" w:color="auto"/>
              <w:bottom w:val="single" w:sz="8" w:space="0" w:color="auto"/>
              <w:right w:val="single" w:sz="8" w:space="0" w:color="auto"/>
            </w:tcBorders>
            <w:noWrap/>
            <w:vAlign w:val="bottom"/>
            <w:hideMark/>
          </w:tcPr>
          <w:p w14:paraId="050334F8" w14:textId="77777777" w:rsidR="009B4BE2" w:rsidRPr="000564EB" w:rsidRDefault="009B4BE2" w:rsidP="00094D94">
            <w:pPr>
              <w:rPr>
                <w:rFonts w:cs="Arial"/>
                <w:szCs w:val="24"/>
              </w:rPr>
            </w:pPr>
            <w:r w:rsidRPr="000564EB">
              <w:rPr>
                <w:rFonts w:cs="Arial"/>
                <w:szCs w:val="24"/>
              </w:rPr>
              <w:t>TPS Operations</w:t>
            </w:r>
          </w:p>
        </w:tc>
        <w:tc>
          <w:tcPr>
            <w:tcW w:w="490" w:type="dxa"/>
            <w:tcBorders>
              <w:top w:val="nil"/>
              <w:left w:val="nil"/>
              <w:bottom w:val="single" w:sz="8" w:space="0" w:color="auto"/>
              <w:right w:val="single" w:sz="8" w:space="0" w:color="auto"/>
            </w:tcBorders>
            <w:noWrap/>
            <w:vAlign w:val="bottom"/>
            <w:hideMark/>
          </w:tcPr>
          <w:p w14:paraId="6713D307" w14:textId="77777777" w:rsidR="009B4BE2" w:rsidRPr="000564EB" w:rsidRDefault="009B4BE2" w:rsidP="00094D94">
            <w:pPr>
              <w:jc w:val="center"/>
              <w:rPr>
                <w:rFonts w:cs="Arial"/>
                <w:szCs w:val="24"/>
              </w:rPr>
            </w:pPr>
            <w:r w:rsidRPr="000564EB">
              <w:rPr>
                <w:rFonts w:cs="Arial"/>
                <w:szCs w:val="24"/>
              </w:rPr>
              <w:t>0</w:t>
            </w:r>
          </w:p>
        </w:tc>
        <w:tc>
          <w:tcPr>
            <w:tcW w:w="490" w:type="dxa"/>
            <w:tcBorders>
              <w:top w:val="nil"/>
              <w:left w:val="nil"/>
              <w:bottom w:val="single" w:sz="8" w:space="0" w:color="auto"/>
              <w:right w:val="single" w:sz="8" w:space="0" w:color="auto"/>
            </w:tcBorders>
            <w:noWrap/>
            <w:vAlign w:val="bottom"/>
            <w:hideMark/>
          </w:tcPr>
          <w:p w14:paraId="7E939193" w14:textId="77777777" w:rsidR="009B4BE2" w:rsidRPr="000564EB" w:rsidRDefault="009B4BE2" w:rsidP="00094D94">
            <w:pPr>
              <w:jc w:val="center"/>
              <w:rPr>
                <w:rFonts w:cs="Arial"/>
                <w:szCs w:val="24"/>
              </w:rPr>
            </w:pPr>
            <w:r w:rsidRPr="000564EB">
              <w:rPr>
                <w:rFonts w:cs="Arial"/>
                <w:szCs w:val="24"/>
              </w:rPr>
              <w:t>0</w:t>
            </w:r>
          </w:p>
        </w:tc>
        <w:tc>
          <w:tcPr>
            <w:tcW w:w="531" w:type="dxa"/>
            <w:tcBorders>
              <w:top w:val="nil"/>
              <w:left w:val="nil"/>
              <w:bottom w:val="single" w:sz="8" w:space="0" w:color="auto"/>
              <w:right w:val="single" w:sz="8" w:space="0" w:color="auto"/>
            </w:tcBorders>
            <w:noWrap/>
            <w:vAlign w:val="bottom"/>
            <w:hideMark/>
          </w:tcPr>
          <w:p w14:paraId="7E44B307" w14:textId="77777777" w:rsidR="009B4BE2" w:rsidRPr="000564EB" w:rsidRDefault="009B4BE2" w:rsidP="00094D94">
            <w:pPr>
              <w:jc w:val="center"/>
              <w:rPr>
                <w:rFonts w:cs="Arial"/>
                <w:szCs w:val="24"/>
              </w:rPr>
            </w:pPr>
            <w:r w:rsidRPr="000564EB">
              <w:rPr>
                <w:rFonts w:cs="Arial"/>
                <w:szCs w:val="24"/>
              </w:rPr>
              <w:t>0</w:t>
            </w:r>
          </w:p>
        </w:tc>
        <w:tc>
          <w:tcPr>
            <w:tcW w:w="437" w:type="dxa"/>
            <w:tcBorders>
              <w:top w:val="nil"/>
              <w:left w:val="nil"/>
              <w:bottom w:val="single" w:sz="8" w:space="0" w:color="auto"/>
              <w:right w:val="single" w:sz="8" w:space="0" w:color="auto"/>
            </w:tcBorders>
            <w:noWrap/>
            <w:vAlign w:val="bottom"/>
            <w:hideMark/>
          </w:tcPr>
          <w:p w14:paraId="2C9512D9" w14:textId="77777777" w:rsidR="009B4BE2" w:rsidRPr="000564EB" w:rsidRDefault="009B4BE2" w:rsidP="00094D94">
            <w:pPr>
              <w:jc w:val="center"/>
              <w:rPr>
                <w:rFonts w:cs="Arial"/>
                <w:szCs w:val="24"/>
              </w:rPr>
            </w:pPr>
            <w:r w:rsidRPr="000564EB">
              <w:rPr>
                <w:rFonts w:cs="Arial"/>
                <w:szCs w:val="24"/>
              </w:rPr>
              <w:t>0</w:t>
            </w:r>
          </w:p>
        </w:tc>
        <w:tc>
          <w:tcPr>
            <w:tcW w:w="433" w:type="dxa"/>
            <w:tcBorders>
              <w:top w:val="nil"/>
              <w:left w:val="nil"/>
              <w:bottom w:val="single" w:sz="8" w:space="0" w:color="auto"/>
              <w:right w:val="single" w:sz="8" w:space="0" w:color="auto"/>
            </w:tcBorders>
            <w:shd w:val="clear" w:color="auto" w:fill="00FF00"/>
            <w:noWrap/>
            <w:vAlign w:val="bottom"/>
            <w:hideMark/>
          </w:tcPr>
          <w:p w14:paraId="6E00D9AF" w14:textId="77777777" w:rsidR="009B4BE2" w:rsidRPr="000564EB" w:rsidRDefault="009B4BE2" w:rsidP="00094D94">
            <w:pPr>
              <w:jc w:val="center"/>
              <w:rPr>
                <w:rFonts w:cs="Arial"/>
                <w:szCs w:val="24"/>
              </w:rPr>
            </w:pPr>
            <w:r w:rsidRPr="000564EB">
              <w:rPr>
                <w:rFonts w:cs="Arial"/>
                <w:szCs w:val="24"/>
              </w:rPr>
              <w:t>0</w:t>
            </w:r>
          </w:p>
        </w:tc>
        <w:tc>
          <w:tcPr>
            <w:tcW w:w="472" w:type="dxa"/>
            <w:tcBorders>
              <w:top w:val="nil"/>
              <w:left w:val="nil"/>
              <w:bottom w:val="single" w:sz="8" w:space="0" w:color="auto"/>
              <w:right w:val="single" w:sz="8" w:space="0" w:color="auto"/>
            </w:tcBorders>
            <w:shd w:val="clear" w:color="auto" w:fill="00FF00"/>
            <w:noWrap/>
            <w:vAlign w:val="bottom"/>
            <w:hideMark/>
          </w:tcPr>
          <w:p w14:paraId="31ABFA06" w14:textId="77777777" w:rsidR="009B4BE2" w:rsidRPr="000564EB" w:rsidRDefault="009B4BE2" w:rsidP="00094D94">
            <w:pPr>
              <w:jc w:val="center"/>
              <w:rPr>
                <w:rFonts w:cs="Arial"/>
                <w:szCs w:val="24"/>
              </w:rPr>
            </w:pPr>
            <w:r w:rsidRPr="000564EB">
              <w:rPr>
                <w:rFonts w:cs="Arial"/>
                <w:szCs w:val="24"/>
              </w:rPr>
              <w:t>0</w:t>
            </w:r>
          </w:p>
        </w:tc>
        <w:tc>
          <w:tcPr>
            <w:tcW w:w="452" w:type="dxa"/>
            <w:tcBorders>
              <w:top w:val="nil"/>
              <w:left w:val="nil"/>
              <w:bottom w:val="single" w:sz="8" w:space="0" w:color="auto"/>
              <w:right w:val="single" w:sz="8" w:space="0" w:color="auto"/>
            </w:tcBorders>
            <w:shd w:val="clear" w:color="auto" w:fill="00FF00"/>
            <w:noWrap/>
            <w:vAlign w:val="bottom"/>
            <w:hideMark/>
          </w:tcPr>
          <w:p w14:paraId="2DA37DF0" w14:textId="77777777" w:rsidR="009B4BE2" w:rsidRPr="000564EB" w:rsidRDefault="009B4BE2" w:rsidP="00094D94">
            <w:pPr>
              <w:jc w:val="center"/>
              <w:rPr>
                <w:rFonts w:cs="Arial"/>
                <w:szCs w:val="24"/>
              </w:rPr>
            </w:pPr>
            <w:r w:rsidRPr="000564EB">
              <w:rPr>
                <w:rFonts w:cs="Arial"/>
                <w:szCs w:val="24"/>
              </w:rPr>
              <w:t>0</w:t>
            </w:r>
          </w:p>
        </w:tc>
        <w:tc>
          <w:tcPr>
            <w:tcW w:w="452" w:type="dxa"/>
            <w:tcBorders>
              <w:top w:val="nil"/>
              <w:left w:val="nil"/>
              <w:bottom w:val="single" w:sz="8" w:space="0" w:color="auto"/>
              <w:right w:val="single" w:sz="8" w:space="0" w:color="auto"/>
            </w:tcBorders>
            <w:shd w:val="clear" w:color="auto" w:fill="00FF00"/>
            <w:noWrap/>
            <w:vAlign w:val="bottom"/>
            <w:hideMark/>
          </w:tcPr>
          <w:p w14:paraId="74233E25" w14:textId="77777777" w:rsidR="009B4BE2" w:rsidRPr="000564EB" w:rsidRDefault="009B4BE2" w:rsidP="00094D94">
            <w:pPr>
              <w:jc w:val="center"/>
              <w:rPr>
                <w:rFonts w:cs="Arial"/>
                <w:szCs w:val="24"/>
              </w:rPr>
            </w:pPr>
            <w:r w:rsidRPr="000564EB">
              <w:rPr>
                <w:rFonts w:cs="Arial"/>
                <w:szCs w:val="24"/>
              </w:rPr>
              <w:t>0</w:t>
            </w:r>
          </w:p>
        </w:tc>
        <w:tc>
          <w:tcPr>
            <w:tcW w:w="393" w:type="dxa"/>
            <w:tcBorders>
              <w:top w:val="nil"/>
              <w:left w:val="nil"/>
              <w:bottom w:val="single" w:sz="8" w:space="0" w:color="auto"/>
              <w:right w:val="single" w:sz="8" w:space="0" w:color="auto"/>
            </w:tcBorders>
            <w:shd w:val="clear" w:color="auto" w:fill="FFCC00"/>
            <w:vAlign w:val="bottom"/>
            <w:hideMark/>
          </w:tcPr>
          <w:p w14:paraId="0714091B" w14:textId="77777777" w:rsidR="009B4BE2" w:rsidRPr="000564EB" w:rsidRDefault="009B4BE2" w:rsidP="00094D94">
            <w:pPr>
              <w:jc w:val="center"/>
              <w:rPr>
                <w:rFonts w:cs="Arial"/>
                <w:szCs w:val="24"/>
              </w:rPr>
            </w:pPr>
            <w:r w:rsidRPr="000564EB">
              <w:rPr>
                <w:rFonts w:cs="Arial"/>
                <w:szCs w:val="24"/>
              </w:rPr>
              <w:t>0</w:t>
            </w:r>
          </w:p>
        </w:tc>
        <w:tc>
          <w:tcPr>
            <w:tcW w:w="452" w:type="dxa"/>
            <w:tcBorders>
              <w:top w:val="nil"/>
              <w:left w:val="nil"/>
              <w:bottom w:val="single" w:sz="8" w:space="0" w:color="auto"/>
              <w:right w:val="single" w:sz="8" w:space="0" w:color="auto"/>
            </w:tcBorders>
            <w:shd w:val="clear" w:color="auto" w:fill="FFCC00"/>
            <w:vAlign w:val="bottom"/>
            <w:hideMark/>
          </w:tcPr>
          <w:p w14:paraId="26AE076F" w14:textId="77777777" w:rsidR="009B4BE2" w:rsidRPr="000564EB" w:rsidRDefault="009B4BE2" w:rsidP="00094D94">
            <w:pPr>
              <w:jc w:val="center"/>
              <w:rPr>
                <w:rFonts w:cs="Arial"/>
                <w:szCs w:val="24"/>
              </w:rPr>
            </w:pPr>
            <w:r w:rsidRPr="000564EB">
              <w:rPr>
                <w:rFonts w:cs="Arial"/>
                <w:szCs w:val="24"/>
              </w:rPr>
              <w:t>0</w:t>
            </w:r>
          </w:p>
        </w:tc>
        <w:tc>
          <w:tcPr>
            <w:tcW w:w="413" w:type="dxa"/>
            <w:tcBorders>
              <w:top w:val="nil"/>
              <w:left w:val="nil"/>
              <w:bottom w:val="single" w:sz="8" w:space="0" w:color="auto"/>
              <w:right w:val="single" w:sz="8" w:space="0" w:color="auto"/>
            </w:tcBorders>
            <w:shd w:val="clear" w:color="auto" w:fill="FFCC00"/>
            <w:vAlign w:val="bottom"/>
            <w:hideMark/>
          </w:tcPr>
          <w:p w14:paraId="7D5FF0C2" w14:textId="77777777" w:rsidR="009B4BE2" w:rsidRPr="000564EB" w:rsidRDefault="009B4BE2" w:rsidP="00094D94">
            <w:pPr>
              <w:jc w:val="center"/>
              <w:rPr>
                <w:rFonts w:cs="Arial"/>
                <w:szCs w:val="24"/>
              </w:rPr>
            </w:pPr>
            <w:r w:rsidRPr="000564EB">
              <w:rPr>
                <w:rFonts w:cs="Arial"/>
                <w:szCs w:val="24"/>
              </w:rPr>
              <w:t>0</w:t>
            </w:r>
          </w:p>
        </w:tc>
        <w:tc>
          <w:tcPr>
            <w:tcW w:w="511" w:type="dxa"/>
            <w:tcBorders>
              <w:top w:val="nil"/>
              <w:left w:val="nil"/>
              <w:bottom w:val="single" w:sz="8" w:space="0" w:color="auto"/>
              <w:right w:val="single" w:sz="8" w:space="0" w:color="auto"/>
            </w:tcBorders>
            <w:shd w:val="clear" w:color="auto" w:fill="FFCC00"/>
            <w:vAlign w:val="bottom"/>
            <w:hideMark/>
          </w:tcPr>
          <w:p w14:paraId="64A42E99" w14:textId="77777777" w:rsidR="009B4BE2" w:rsidRPr="000564EB" w:rsidRDefault="009B4BE2" w:rsidP="00094D94">
            <w:pPr>
              <w:jc w:val="center"/>
              <w:rPr>
                <w:rFonts w:cs="Arial"/>
                <w:szCs w:val="24"/>
              </w:rPr>
            </w:pPr>
            <w:r w:rsidRPr="000564EB">
              <w:rPr>
                <w:rFonts w:cs="Arial"/>
                <w:szCs w:val="24"/>
              </w:rPr>
              <w:t>0</w:t>
            </w:r>
          </w:p>
        </w:tc>
        <w:tc>
          <w:tcPr>
            <w:tcW w:w="452" w:type="dxa"/>
            <w:tcBorders>
              <w:top w:val="nil"/>
              <w:left w:val="nil"/>
              <w:bottom w:val="single" w:sz="8" w:space="0" w:color="auto"/>
              <w:right w:val="single" w:sz="8" w:space="0" w:color="auto"/>
            </w:tcBorders>
            <w:shd w:val="clear" w:color="auto" w:fill="FF0000"/>
            <w:vAlign w:val="bottom"/>
            <w:hideMark/>
          </w:tcPr>
          <w:p w14:paraId="099C819F" w14:textId="77777777" w:rsidR="009B4BE2" w:rsidRPr="000564EB" w:rsidRDefault="009B4BE2" w:rsidP="00094D94">
            <w:pPr>
              <w:jc w:val="center"/>
              <w:rPr>
                <w:rFonts w:cs="Arial"/>
                <w:szCs w:val="24"/>
              </w:rPr>
            </w:pPr>
            <w:r w:rsidRPr="000564EB">
              <w:rPr>
                <w:rFonts w:cs="Arial"/>
                <w:szCs w:val="24"/>
              </w:rPr>
              <w:t>0</w:t>
            </w:r>
          </w:p>
        </w:tc>
        <w:tc>
          <w:tcPr>
            <w:tcW w:w="472" w:type="dxa"/>
            <w:tcBorders>
              <w:top w:val="nil"/>
              <w:left w:val="nil"/>
              <w:bottom w:val="single" w:sz="8" w:space="0" w:color="auto"/>
              <w:right w:val="single" w:sz="8" w:space="0" w:color="auto"/>
            </w:tcBorders>
            <w:shd w:val="clear" w:color="auto" w:fill="FF0000"/>
            <w:vAlign w:val="bottom"/>
            <w:hideMark/>
          </w:tcPr>
          <w:p w14:paraId="542562AA" w14:textId="77777777" w:rsidR="009B4BE2" w:rsidRPr="000564EB" w:rsidRDefault="009B4BE2" w:rsidP="00094D94">
            <w:pPr>
              <w:jc w:val="center"/>
              <w:rPr>
                <w:rFonts w:cs="Arial"/>
                <w:szCs w:val="24"/>
              </w:rPr>
            </w:pPr>
            <w:r w:rsidRPr="000564EB">
              <w:rPr>
                <w:rFonts w:cs="Arial"/>
                <w:szCs w:val="24"/>
              </w:rPr>
              <w:t>0</w:t>
            </w:r>
          </w:p>
        </w:tc>
        <w:tc>
          <w:tcPr>
            <w:tcW w:w="452" w:type="dxa"/>
            <w:tcBorders>
              <w:top w:val="nil"/>
              <w:left w:val="nil"/>
              <w:bottom w:val="single" w:sz="8" w:space="0" w:color="auto"/>
              <w:right w:val="single" w:sz="8" w:space="0" w:color="auto"/>
            </w:tcBorders>
            <w:shd w:val="clear" w:color="auto" w:fill="FF0000"/>
            <w:vAlign w:val="bottom"/>
            <w:hideMark/>
          </w:tcPr>
          <w:p w14:paraId="3946EC8C" w14:textId="77777777" w:rsidR="009B4BE2" w:rsidRPr="000564EB" w:rsidRDefault="009B4BE2" w:rsidP="00094D94">
            <w:pPr>
              <w:jc w:val="center"/>
              <w:rPr>
                <w:rFonts w:cs="Arial"/>
                <w:szCs w:val="24"/>
              </w:rPr>
            </w:pPr>
            <w:r w:rsidRPr="000564EB">
              <w:rPr>
                <w:rFonts w:cs="Arial"/>
                <w:szCs w:val="24"/>
              </w:rPr>
              <w:t>0</w:t>
            </w:r>
          </w:p>
        </w:tc>
        <w:tc>
          <w:tcPr>
            <w:tcW w:w="433" w:type="dxa"/>
            <w:tcBorders>
              <w:top w:val="nil"/>
              <w:left w:val="nil"/>
              <w:bottom w:val="single" w:sz="8" w:space="0" w:color="auto"/>
              <w:right w:val="single" w:sz="8" w:space="0" w:color="auto"/>
            </w:tcBorders>
            <w:shd w:val="clear" w:color="auto" w:fill="FF0000"/>
            <w:vAlign w:val="bottom"/>
            <w:hideMark/>
          </w:tcPr>
          <w:p w14:paraId="70ED9A10" w14:textId="77777777" w:rsidR="009B4BE2" w:rsidRPr="000564EB" w:rsidRDefault="009B4BE2" w:rsidP="00094D94">
            <w:pPr>
              <w:jc w:val="center"/>
              <w:rPr>
                <w:rFonts w:cs="Arial"/>
                <w:szCs w:val="24"/>
              </w:rPr>
            </w:pPr>
            <w:r w:rsidRPr="000564EB">
              <w:rPr>
                <w:rFonts w:cs="Arial"/>
                <w:szCs w:val="24"/>
              </w:rPr>
              <w:t>0</w:t>
            </w:r>
          </w:p>
        </w:tc>
        <w:tc>
          <w:tcPr>
            <w:tcW w:w="944" w:type="dxa"/>
            <w:tcBorders>
              <w:top w:val="nil"/>
              <w:left w:val="nil"/>
              <w:bottom w:val="single" w:sz="8" w:space="0" w:color="auto"/>
              <w:right w:val="single" w:sz="8" w:space="0" w:color="auto"/>
            </w:tcBorders>
            <w:vAlign w:val="bottom"/>
            <w:hideMark/>
          </w:tcPr>
          <w:p w14:paraId="663C4488" w14:textId="77777777" w:rsidR="009B4BE2" w:rsidRPr="000564EB" w:rsidRDefault="009B4BE2" w:rsidP="00094D94">
            <w:pPr>
              <w:jc w:val="center"/>
              <w:rPr>
                <w:rFonts w:cs="Arial"/>
                <w:szCs w:val="24"/>
              </w:rPr>
            </w:pPr>
            <w:r w:rsidRPr="000564EB">
              <w:rPr>
                <w:rFonts w:cs="Arial"/>
                <w:szCs w:val="24"/>
              </w:rPr>
              <w:t>↓</w:t>
            </w:r>
          </w:p>
        </w:tc>
      </w:tr>
    </w:tbl>
    <w:p w14:paraId="67ABF050" w14:textId="77777777" w:rsidR="009B4BE2" w:rsidRPr="000564EB" w:rsidRDefault="009B4BE2" w:rsidP="009B4BE2">
      <w:pPr>
        <w:rPr>
          <w:rFonts w:cs="Arial"/>
          <w:szCs w:val="24"/>
        </w:rPr>
      </w:pPr>
    </w:p>
    <w:p w14:paraId="4A2F08D9" w14:textId="77777777" w:rsidR="009B4BE2" w:rsidRPr="000564EB" w:rsidRDefault="009B4BE2" w:rsidP="009B4BE2">
      <w:pPr>
        <w:rPr>
          <w:rFonts w:cs="Arial"/>
          <w:szCs w:val="24"/>
        </w:rPr>
      </w:pPr>
    </w:p>
    <w:p w14:paraId="09735A3B" w14:textId="77777777" w:rsidR="000512C5" w:rsidRPr="000564EB" w:rsidRDefault="000512C5" w:rsidP="00C7117E">
      <w:pPr>
        <w:rPr>
          <w:rFonts w:cs="Arial"/>
          <w:szCs w:val="24"/>
        </w:rPr>
      </w:pPr>
    </w:p>
    <w:p w14:paraId="29594467" w14:textId="77777777" w:rsidR="00302455" w:rsidRPr="000564EB" w:rsidRDefault="00302455" w:rsidP="00C7117E">
      <w:pPr>
        <w:rPr>
          <w:rFonts w:cs="Arial"/>
          <w:szCs w:val="24"/>
        </w:rPr>
      </w:pPr>
    </w:p>
    <w:p w14:paraId="60A1FB62" w14:textId="77777777" w:rsidR="00302455" w:rsidRPr="000564EB" w:rsidRDefault="00302455" w:rsidP="00C7117E">
      <w:pPr>
        <w:rPr>
          <w:rFonts w:cs="Arial"/>
          <w:szCs w:val="24"/>
        </w:rPr>
      </w:pPr>
    </w:p>
    <w:p w14:paraId="4135C1E2" w14:textId="77777777" w:rsidR="00415282" w:rsidRPr="000564EB" w:rsidRDefault="00415282" w:rsidP="00C7117E">
      <w:pPr>
        <w:rPr>
          <w:rFonts w:cs="Arial"/>
          <w:szCs w:val="24"/>
        </w:rPr>
        <w:sectPr w:rsidR="00415282" w:rsidRPr="000564EB" w:rsidSect="000B522E">
          <w:pgSz w:w="11906" w:h="16838"/>
          <w:pgMar w:top="1440" w:right="1416" w:bottom="1134" w:left="1440" w:header="709" w:footer="709" w:gutter="0"/>
          <w:cols w:space="708"/>
          <w:docGrid w:linePitch="360"/>
        </w:sectPr>
      </w:pPr>
    </w:p>
    <w:p w14:paraId="465BC86D" w14:textId="77777777" w:rsidR="00415282" w:rsidRPr="000564EB" w:rsidRDefault="00415282" w:rsidP="00415282">
      <w:pPr>
        <w:rPr>
          <w:rFonts w:cs="Arial"/>
          <w:b/>
          <w:szCs w:val="24"/>
          <w:lang w:eastAsia="en-GB"/>
        </w:rPr>
      </w:pPr>
      <w:r w:rsidRPr="000564EB">
        <w:rPr>
          <w:rFonts w:cs="Arial"/>
          <w:b/>
          <w:szCs w:val="24"/>
        </w:rPr>
        <w:t>Progress against 2017/18 Assurance Pl</w:t>
      </w:r>
    </w:p>
    <w:p w14:paraId="4A24E8D2" w14:textId="77777777" w:rsidR="00302455" w:rsidRPr="000564EB" w:rsidRDefault="00302455" w:rsidP="00C7117E">
      <w:pPr>
        <w:rPr>
          <w:rFonts w:cs="Arial"/>
          <w:szCs w:val="24"/>
        </w:rPr>
      </w:pPr>
    </w:p>
    <w:p w14:paraId="0504975C" w14:textId="77777777" w:rsidR="00415282" w:rsidRPr="000564EB" w:rsidRDefault="00415282" w:rsidP="00415282">
      <w:pPr>
        <w:pStyle w:val="Heading2"/>
        <w:spacing w:before="0"/>
        <w:rPr>
          <w:rFonts w:cs="Arial"/>
          <w:szCs w:val="24"/>
        </w:rPr>
      </w:pPr>
      <w:r w:rsidRPr="000564EB">
        <w:rPr>
          <w:rFonts w:cs="Arial"/>
          <w:color w:val="000000"/>
          <w:szCs w:val="24"/>
          <w:u w:val="single"/>
        </w:rPr>
        <w:t xml:space="preserve">KEY:  </w:t>
      </w:r>
      <w:r w:rsidRPr="000564EB">
        <w:rPr>
          <w:rFonts w:cs="Arial"/>
          <w:szCs w:val="24"/>
          <w:vertAlign w:val="superscript"/>
        </w:rPr>
        <w:t>1</w:t>
      </w:r>
      <w:r w:rsidRPr="000564EB">
        <w:rPr>
          <w:rFonts w:cs="Arial"/>
          <w:szCs w:val="24"/>
        </w:rPr>
        <w:t>GIA Report Rating: E=Effective; IR=Improvement Required; SIR=Significant Improvement Required; Business Assurance Rating (Aligned to Group Risk Framework): WT = Within Tolerance; AT = At Tolerance; U = Uncomfortable; C = Critical)</w:t>
      </w:r>
    </w:p>
    <w:tbl>
      <w:tblPr>
        <w:tblpPr w:leftFromText="180" w:rightFromText="180" w:vertAnchor="text" w:horzAnchor="margin" w:tblpXSpec="center" w:tblpY="291"/>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52"/>
        <w:gridCol w:w="442"/>
        <w:gridCol w:w="511"/>
        <w:gridCol w:w="511"/>
        <w:gridCol w:w="511"/>
        <w:gridCol w:w="1127"/>
        <w:gridCol w:w="20"/>
        <w:gridCol w:w="1109"/>
        <w:gridCol w:w="1025"/>
        <w:gridCol w:w="923"/>
        <w:gridCol w:w="1025"/>
        <w:gridCol w:w="1025"/>
        <w:gridCol w:w="989"/>
        <w:gridCol w:w="993"/>
        <w:gridCol w:w="511"/>
        <w:gridCol w:w="511"/>
        <w:gridCol w:w="511"/>
        <w:gridCol w:w="511"/>
        <w:gridCol w:w="30"/>
      </w:tblGrid>
      <w:tr w:rsidR="009B4BE2" w:rsidRPr="000564EB" w14:paraId="3965EA3E" w14:textId="77777777" w:rsidTr="00094D94">
        <w:trPr>
          <w:gridAfter w:val="1"/>
          <w:wAfter w:w="30" w:type="dxa"/>
          <w:trHeight w:val="814"/>
          <w:tblHeader/>
        </w:trPr>
        <w:tc>
          <w:tcPr>
            <w:tcW w:w="2452" w:type="dxa"/>
            <w:tcBorders>
              <w:top w:val="single" w:sz="4" w:space="0" w:color="auto"/>
              <w:left w:val="single" w:sz="4" w:space="0" w:color="auto"/>
              <w:bottom w:val="single" w:sz="4" w:space="0" w:color="auto"/>
              <w:right w:val="single" w:sz="4" w:space="0" w:color="auto"/>
            </w:tcBorders>
            <w:shd w:val="clear" w:color="auto" w:fill="004E73"/>
            <w:hideMark/>
          </w:tcPr>
          <w:p w14:paraId="1C2F5A73" w14:textId="77777777" w:rsidR="009B4BE2" w:rsidRPr="000564EB" w:rsidRDefault="009B4BE2" w:rsidP="00094D94">
            <w:pPr>
              <w:pStyle w:val="TableHeading"/>
              <w:spacing w:line="276" w:lineRule="auto"/>
              <w:jc w:val="center"/>
              <w:rPr>
                <w:rFonts w:cs="Arial"/>
                <w:lang w:eastAsia="en-US"/>
              </w:rPr>
            </w:pPr>
            <w:r w:rsidRPr="000564EB">
              <w:rPr>
                <w:rFonts w:cs="Arial"/>
                <w:lang w:eastAsia="en-US"/>
              </w:rPr>
              <w:t>Review Title</w:t>
            </w:r>
          </w:p>
        </w:tc>
        <w:tc>
          <w:tcPr>
            <w:tcW w:w="442" w:type="dxa"/>
            <w:tcBorders>
              <w:top w:val="single" w:sz="4" w:space="0" w:color="auto"/>
              <w:left w:val="single" w:sz="4" w:space="0" w:color="auto"/>
              <w:bottom w:val="single" w:sz="4" w:space="0" w:color="auto"/>
              <w:right w:val="single" w:sz="4" w:space="0" w:color="auto"/>
            </w:tcBorders>
            <w:shd w:val="clear" w:color="auto" w:fill="004E73"/>
            <w:hideMark/>
          </w:tcPr>
          <w:p w14:paraId="5FAD9FD4" w14:textId="77777777" w:rsidR="009B4BE2" w:rsidRPr="000564EB" w:rsidRDefault="009B4BE2" w:rsidP="00094D94">
            <w:pPr>
              <w:pStyle w:val="TableHeading"/>
              <w:spacing w:line="276" w:lineRule="auto"/>
              <w:jc w:val="center"/>
              <w:rPr>
                <w:rFonts w:cs="Arial"/>
                <w:lang w:eastAsia="en-US"/>
              </w:rPr>
            </w:pPr>
            <w:r w:rsidRPr="000564EB">
              <w:rPr>
                <w:rFonts w:cs="Arial"/>
                <w:lang w:eastAsia="en-US"/>
              </w:rPr>
              <w:t>Q1</w:t>
            </w:r>
          </w:p>
        </w:tc>
        <w:tc>
          <w:tcPr>
            <w:tcW w:w="511" w:type="dxa"/>
            <w:tcBorders>
              <w:top w:val="single" w:sz="4" w:space="0" w:color="auto"/>
              <w:left w:val="single" w:sz="4" w:space="0" w:color="auto"/>
              <w:bottom w:val="single" w:sz="4" w:space="0" w:color="auto"/>
              <w:right w:val="single" w:sz="4" w:space="0" w:color="auto"/>
            </w:tcBorders>
            <w:shd w:val="clear" w:color="auto" w:fill="004E73"/>
            <w:hideMark/>
          </w:tcPr>
          <w:p w14:paraId="22D96EBF" w14:textId="77777777" w:rsidR="009B4BE2" w:rsidRPr="000564EB" w:rsidRDefault="009B4BE2" w:rsidP="00094D94">
            <w:pPr>
              <w:pStyle w:val="TableHeading"/>
              <w:spacing w:line="276" w:lineRule="auto"/>
              <w:jc w:val="center"/>
              <w:rPr>
                <w:rFonts w:cs="Arial"/>
                <w:lang w:eastAsia="en-US"/>
              </w:rPr>
            </w:pPr>
            <w:r w:rsidRPr="000564EB">
              <w:rPr>
                <w:rFonts w:cs="Arial"/>
                <w:lang w:eastAsia="en-US"/>
              </w:rPr>
              <w:t>Q2</w:t>
            </w:r>
          </w:p>
        </w:tc>
        <w:tc>
          <w:tcPr>
            <w:tcW w:w="511" w:type="dxa"/>
            <w:tcBorders>
              <w:top w:val="single" w:sz="4" w:space="0" w:color="auto"/>
              <w:left w:val="single" w:sz="4" w:space="0" w:color="auto"/>
              <w:bottom w:val="single" w:sz="4" w:space="0" w:color="auto"/>
              <w:right w:val="single" w:sz="4" w:space="0" w:color="auto"/>
            </w:tcBorders>
            <w:shd w:val="clear" w:color="auto" w:fill="004E73"/>
            <w:hideMark/>
          </w:tcPr>
          <w:p w14:paraId="0A7A49FD" w14:textId="77777777" w:rsidR="009B4BE2" w:rsidRPr="000564EB" w:rsidRDefault="009B4BE2" w:rsidP="00094D94">
            <w:pPr>
              <w:pStyle w:val="TableHeading"/>
              <w:spacing w:line="276" w:lineRule="auto"/>
              <w:jc w:val="center"/>
              <w:rPr>
                <w:rFonts w:cs="Arial"/>
                <w:lang w:eastAsia="en-US"/>
              </w:rPr>
            </w:pPr>
            <w:r w:rsidRPr="000564EB">
              <w:rPr>
                <w:rFonts w:cs="Arial"/>
                <w:lang w:eastAsia="en-US"/>
              </w:rPr>
              <w:t>Q3</w:t>
            </w:r>
          </w:p>
        </w:tc>
        <w:tc>
          <w:tcPr>
            <w:tcW w:w="511" w:type="dxa"/>
            <w:tcBorders>
              <w:top w:val="single" w:sz="4" w:space="0" w:color="auto"/>
              <w:left w:val="single" w:sz="4" w:space="0" w:color="auto"/>
              <w:bottom w:val="single" w:sz="4" w:space="0" w:color="auto"/>
              <w:right w:val="single" w:sz="4" w:space="0" w:color="auto"/>
            </w:tcBorders>
            <w:shd w:val="clear" w:color="auto" w:fill="004E73"/>
            <w:hideMark/>
          </w:tcPr>
          <w:p w14:paraId="10753605" w14:textId="77777777" w:rsidR="009B4BE2" w:rsidRPr="000564EB" w:rsidRDefault="009B4BE2" w:rsidP="00094D94">
            <w:pPr>
              <w:pStyle w:val="TableHeading"/>
              <w:spacing w:line="276" w:lineRule="auto"/>
              <w:jc w:val="center"/>
              <w:rPr>
                <w:rFonts w:cs="Arial"/>
                <w:lang w:eastAsia="en-US"/>
              </w:rPr>
            </w:pPr>
            <w:r w:rsidRPr="000564EB">
              <w:rPr>
                <w:rFonts w:cs="Arial"/>
                <w:lang w:eastAsia="en-US"/>
              </w:rPr>
              <w:t>Q4</w:t>
            </w:r>
          </w:p>
        </w:tc>
        <w:tc>
          <w:tcPr>
            <w:tcW w:w="1127" w:type="dxa"/>
            <w:tcBorders>
              <w:top w:val="single" w:sz="4" w:space="0" w:color="auto"/>
              <w:left w:val="single" w:sz="4" w:space="0" w:color="auto"/>
              <w:bottom w:val="single" w:sz="4" w:space="0" w:color="auto"/>
              <w:right w:val="single" w:sz="4" w:space="0" w:color="auto"/>
            </w:tcBorders>
            <w:shd w:val="clear" w:color="auto" w:fill="004E73"/>
            <w:tcMar>
              <w:top w:w="0" w:type="dxa"/>
              <w:left w:w="113" w:type="dxa"/>
              <w:bottom w:w="0" w:type="dxa"/>
              <w:right w:w="85" w:type="dxa"/>
            </w:tcMar>
            <w:hideMark/>
          </w:tcPr>
          <w:p w14:paraId="7BA61FC0" w14:textId="77777777" w:rsidR="009B4BE2" w:rsidRPr="000564EB" w:rsidRDefault="009B4BE2" w:rsidP="00094D94">
            <w:pPr>
              <w:pStyle w:val="TableHeading"/>
              <w:spacing w:line="276" w:lineRule="auto"/>
              <w:jc w:val="center"/>
              <w:rPr>
                <w:rFonts w:cs="Arial"/>
                <w:lang w:eastAsia="en-US"/>
              </w:rPr>
            </w:pPr>
            <w:r w:rsidRPr="000564EB">
              <w:rPr>
                <w:rFonts w:cs="Arial"/>
                <w:lang w:eastAsia="en-US"/>
              </w:rPr>
              <w:t>Current Status</w:t>
            </w:r>
          </w:p>
        </w:tc>
        <w:tc>
          <w:tcPr>
            <w:tcW w:w="1129" w:type="dxa"/>
            <w:gridSpan w:val="2"/>
            <w:tcBorders>
              <w:top w:val="single" w:sz="4" w:space="0" w:color="auto"/>
              <w:left w:val="single" w:sz="4" w:space="0" w:color="auto"/>
              <w:bottom w:val="single" w:sz="4" w:space="0" w:color="auto"/>
              <w:right w:val="single" w:sz="4" w:space="0" w:color="auto"/>
            </w:tcBorders>
            <w:shd w:val="clear" w:color="auto" w:fill="004E73"/>
            <w:hideMark/>
          </w:tcPr>
          <w:p w14:paraId="2F1D02F6" w14:textId="77777777" w:rsidR="009B4BE2" w:rsidRPr="000564EB" w:rsidRDefault="009B4BE2" w:rsidP="00094D94">
            <w:pPr>
              <w:pStyle w:val="TableHeading"/>
              <w:spacing w:line="276" w:lineRule="auto"/>
              <w:jc w:val="center"/>
              <w:rPr>
                <w:rFonts w:cs="Arial"/>
                <w:lang w:eastAsia="en-US"/>
              </w:rPr>
            </w:pPr>
            <w:r w:rsidRPr="000564EB">
              <w:rPr>
                <w:rFonts w:cs="Arial"/>
                <w:lang w:eastAsia="en-US"/>
              </w:rPr>
              <w:t>Target Final Draft ToR</w:t>
            </w:r>
          </w:p>
        </w:tc>
        <w:tc>
          <w:tcPr>
            <w:tcW w:w="1025" w:type="dxa"/>
            <w:tcBorders>
              <w:top w:val="single" w:sz="4" w:space="0" w:color="auto"/>
              <w:left w:val="single" w:sz="4" w:space="0" w:color="auto"/>
              <w:bottom w:val="single" w:sz="4" w:space="0" w:color="auto"/>
              <w:right w:val="single" w:sz="4" w:space="0" w:color="auto"/>
            </w:tcBorders>
            <w:shd w:val="clear" w:color="auto" w:fill="004E73"/>
            <w:hideMark/>
          </w:tcPr>
          <w:p w14:paraId="070754BD" w14:textId="77777777" w:rsidR="009B4BE2" w:rsidRPr="000564EB" w:rsidRDefault="009B4BE2" w:rsidP="00094D94">
            <w:pPr>
              <w:pStyle w:val="TableHeading"/>
              <w:spacing w:line="276" w:lineRule="auto"/>
              <w:jc w:val="center"/>
              <w:rPr>
                <w:rFonts w:cs="Arial"/>
                <w:lang w:eastAsia="en-US"/>
              </w:rPr>
            </w:pPr>
            <w:r w:rsidRPr="000564EB">
              <w:rPr>
                <w:rFonts w:cs="Arial"/>
                <w:lang w:eastAsia="en-US"/>
              </w:rPr>
              <w:t>Actual Final Draft ToR</w:t>
            </w:r>
          </w:p>
        </w:tc>
        <w:tc>
          <w:tcPr>
            <w:tcW w:w="923" w:type="dxa"/>
            <w:tcBorders>
              <w:top w:val="single" w:sz="4" w:space="0" w:color="auto"/>
              <w:left w:val="single" w:sz="4" w:space="0" w:color="auto"/>
              <w:bottom w:val="single" w:sz="4" w:space="0" w:color="auto"/>
              <w:right w:val="single" w:sz="4" w:space="0" w:color="auto"/>
            </w:tcBorders>
            <w:shd w:val="clear" w:color="auto" w:fill="004E73"/>
            <w:hideMark/>
          </w:tcPr>
          <w:p w14:paraId="3F4A8112" w14:textId="77777777" w:rsidR="009B4BE2" w:rsidRPr="000564EB" w:rsidRDefault="009B4BE2" w:rsidP="00094D94">
            <w:pPr>
              <w:pStyle w:val="TableHeading"/>
              <w:spacing w:line="276" w:lineRule="auto"/>
              <w:jc w:val="center"/>
              <w:rPr>
                <w:rFonts w:cs="Arial"/>
                <w:lang w:eastAsia="en-US"/>
              </w:rPr>
            </w:pPr>
            <w:r w:rsidRPr="000564EB">
              <w:rPr>
                <w:rFonts w:cs="Arial"/>
                <w:lang w:eastAsia="en-US"/>
              </w:rPr>
              <w:t>Final ToR</w:t>
            </w:r>
          </w:p>
        </w:tc>
        <w:tc>
          <w:tcPr>
            <w:tcW w:w="1025" w:type="dxa"/>
            <w:tcBorders>
              <w:top w:val="single" w:sz="4" w:space="0" w:color="auto"/>
              <w:left w:val="single" w:sz="4" w:space="0" w:color="auto"/>
              <w:bottom w:val="single" w:sz="4" w:space="0" w:color="auto"/>
              <w:right w:val="single" w:sz="4" w:space="0" w:color="auto"/>
            </w:tcBorders>
            <w:shd w:val="clear" w:color="auto" w:fill="004E73"/>
            <w:hideMark/>
          </w:tcPr>
          <w:p w14:paraId="28466209" w14:textId="77777777" w:rsidR="009B4BE2" w:rsidRPr="000564EB" w:rsidRDefault="009B4BE2" w:rsidP="00094D94">
            <w:pPr>
              <w:pStyle w:val="TableHeading"/>
              <w:spacing w:line="276" w:lineRule="auto"/>
              <w:jc w:val="center"/>
              <w:rPr>
                <w:rFonts w:cs="Arial"/>
                <w:lang w:eastAsia="en-US"/>
              </w:rPr>
            </w:pPr>
            <w:r w:rsidRPr="000564EB">
              <w:rPr>
                <w:rFonts w:cs="Arial"/>
                <w:lang w:eastAsia="en-US"/>
              </w:rPr>
              <w:t>Target Final Draft Report</w:t>
            </w:r>
          </w:p>
        </w:tc>
        <w:tc>
          <w:tcPr>
            <w:tcW w:w="1025" w:type="dxa"/>
            <w:tcBorders>
              <w:top w:val="single" w:sz="4" w:space="0" w:color="auto"/>
              <w:left w:val="single" w:sz="4" w:space="0" w:color="auto"/>
              <w:bottom w:val="single" w:sz="4" w:space="0" w:color="auto"/>
              <w:right w:val="single" w:sz="4" w:space="0" w:color="auto"/>
            </w:tcBorders>
            <w:shd w:val="clear" w:color="auto" w:fill="004E73"/>
            <w:hideMark/>
          </w:tcPr>
          <w:p w14:paraId="2F2BCC96" w14:textId="77777777" w:rsidR="009B4BE2" w:rsidRPr="000564EB" w:rsidRDefault="009B4BE2" w:rsidP="00094D94">
            <w:pPr>
              <w:pStyle w:val="TableHeading"/>
              <w:spacing w:line="276" w:lineRule="auto"/>
              <w:jc w:val="center"/>
              <w:rPr>
                <w:rFonts w:cs="Arial"/>
                <w:lang w:eastAsia="en-US"/>
              </w:rPr>
            </w:pPr>
            <w:r w:rsidRPr="000564EB">
              <w:rPr>
                <w:rFonts w:cs="Arial"/>
                <w:lang w:eastAsia="en-US"/>
              </w:rPr>
              <w:t>Actual Final Draft Report</w:t>
            </w:r>
          </w:p>
        </w:tc>
        <w:tc>
          <w:tcPr>
            <w:tcW w:w="989" w:type="dxa"/>
            <w:tcBorders>
              <w:top w:val="single" w:sz="4" w:space="0" w:color="auto"/>
              <w:left w:val="single" w:sz="4" w:space="0" w:color="auto"/>
              <w:bottom w:val="single" w:sz="4" w:space="0" w:color="auto"/>
              <w:right w:val="single" w:sz="4" w:space="0" w:color="auto"/>
            </w:tcBorders>
            <w:shd w:val="clear" w:color="auto" w:fill="004E73"/>
            <w:hideMark/>
          </w:tcPr>
          <w:p w14:paraId="3E545DC0" w14:textId="77777777" w:rsidR="009B4BE2" w:rsidRPr="000564EB" w:rsidRDefault="009B4BE2" w:rsidP="00094D94">
            <w:pPr>
              <w:pStyle w:val="TableHeading"/>
              <w:spacing w:line="276" w:lineRule="auto"/>
              <w:jc w:val="center"/>
              <w:rPr>
                <w:rFonts w:cs="Arial"/>
                <w:lang w:eastAsia="en-US"/>
              </w:rPr>
            </w:pPr>
            <w:r w:rsidRPr="000564EB">
              <w:rPr>
                <w:rFonts w:cs="Arial"/>
                <w:lang w:eastAsia="en-US"/>
              </w:rPr>
              <w:t>Final Report</w:t>
            </w:r>
          </w:p>
        </w:tc>
        <w:tc>
          <w:tcPr>
            <w:tcW w:w="993" w:type="dxa"/>
            <w:tcBorders>
              <w:top w:val="single" w:sz="4" w:space="0" w:color="auto"/>
              <w:left w:val="single" w:sz="4" w:space="0" w:color="auto"/>
              <w:bottom w:val="single" w:sz="4" w:space="0" w:color="auto"/>
              <w:right w:val="single" w:sz="4" w:space="0" w:color="auto"/>
            </w:tcBorders>
            <w:shd w:val="clear" w:color="auto" w:fill="004E73"/>
            <w:hideMark/>
          </w:tcPr>
          <w:p w14:paraId="459D5EA0" w14:textId="77777777" w:rsidR="009B4BE2" w:rsidRPr="000564EB" w:rsidRDefault="009B4BE2" w:rsidP="00094D94">
            <w:pPr>
              <w:pStyle w:val="TableHeading"/>
              <w:spacing w:line="276" w:lineRule="auto"/>
              <w:jc w:val="center"/>
              <w:rPr>
                <w:rFonts w:cs="Arial"/>
                <w:vertAlign w:val="superscript"/>
                <w:lang w:eastAsia="en-US"/>
              </w:rPr>
            </w:pPr>
            <w:r w:rsidRPr="000564EB">
              <w:rPr>
                <w:rFonts w:cs="Arial"/>
                <w:lang w:eastAsia="en-US"/>
              </w:rPr>
              <w:t>E/IR/ SIR/I2</w:t>
            </w:r>
          </w:p>
        </w:tc>
        <w:tc>
          <w:tcPr>
            <w:tcW w:w="511" w:type="dxa"/>
            <w:tcBorders>
              <w:top w:val="single" w:sz="4" w:space="0" w:color="auto"/>
              <w:left w:val="single" w:sz="4" w:space="0" w:color="auto"/>
              <w:bottom w:val="single" w:sz="4" w:space="0" w:color="auto"/>
              <w:right w:val="single" w:sz="4" w:space="0" w:color="auto"/>
            </w:tcBorders>
            <w:shd w:val="clear" w:color="auto" w:fill="004E73"/>
            <w:hideMark/>
          </w:tcPr>
          <w:p w14:paraId="4143EBBA" w14:textId="77777777" w:rsidR="009B4BE2" w:rsidRPr="000564EB" w:rsidRDefault="009B4BE2" w:rsidP="00094D94">
            <w:pPr>
              <w:pStyle w:val="TableHeading"/>
              <w:spacing w:line="276" w:lineRule="auto"/>
              <w:jc w:val="center"/>
              <w:rPr>
                <w:rFonts w:cs="Arial"/>
                <w:lang w:eastAsia="en-US"/>
              </w:rPr>
            </w:pPr>
            <w:r w:rsidRPr="000564EB">
              <w:rPr>
                <w:rFonts w:cs="Arial"/>
                <w:lang w:eastAsia="en-US"/>
              </w:rPr>
              <w:t>C</w:t>
            </w:r>
          </w:p>
        </w:tc>
        <w:tc>
          <w:tcPr>
            <w:tcW w:w="511" w:type="dxa"/>
            <w:tcBorders>
              <w:top w:val="single" w:sz="4" w:space="0" w:color="auto"/>
              <w:left w:val="single" w:sz="4" w:space="0" w:color="auto"/>
              <w:bottom w:val="single" w:sz="4" w:space="0" w:color="auto"/>
              <w:right w:val="single" w:sz="4" w:space="0" w:color="auto"/>
            </w:tcBorders>
            <w:shd w:val="clear" w:color="auto" w:fill="004E73"/>
            <w:hideMark/>
          </w:tcPr>
          <w:p w14:paraId="65B722F9" w14:textId="77777777" w:rsidR="009B4BE2" w:rsidRPr="000564EB" w:rsidRDefault="009B4BE2" w:rsidP="00094D94">
            <w:pPr>
              <w:pStyle w:val="TableHeading"/>
              <w:spacing w:line="276" w:lineRule="auto"/>
              <w:jc w:val="center"/>
              <w:rPr>
                <w:rFonts w:cs="Arial"/>
                <w:lang w:eastAsia="en-US"/>
              </w:rPr>
            </w:pPr>
            <w:r w:rsidRPr="000564EB">
              <w:rPr>
                <w:rFonts w:cs="Arial"/>
                <w:lang w:eastAsia="en-US"/>
              </w:rPr>
              <w:t>H</w:t>
            </w:r>
          </w:p>
        </w:tc>
        <w:tc>
          <w:tcPr>
            <w:tcW w:w="511" w:type="dxa"/>
            <w:tcBorders>
              <w:top w:val="single" w:sz="4" w:space="0" w:color="auto"/>
              <w:left w:val="single" w:sz="4" w:space="0" w:color="auto"/>
              <w:bottom w:val="single" w:sz="4" w:space="0" w:color="auto"/>
              <w:right w:val="single" w:sz="4" w:space="0" w:color="auto"/>
            </w:tcBorders>
            <w:shd w:val="clear" w:color="auto" w:fill="004E73"/>
            <w:hideMark/>
          </w:tcPr>
          <w:p w14:paraId="3DC59395" w14:textId="77777777" w:rsidR="009B4BE2" w:rsidRPr="000564EB" w:rsidRDefault="009B4BE2" w:rsidP="00094D94">
            <w:pPr>
              <w:pStyle w:val="TableHeading"/>
              <w:spacing w:line="276" w:lineRule="auto"/>
              <w:jc w:val="center"/>
              <w:rPr>
                <w:rFonts w:cs="Arial"/>
                <w:lang w:eastAsia="en-US"/>
              </w:rPr>
            </w:pPr>
            <w:r w:rsidRPr="000564EB">
              <w:rPr>
                <w:rFonts w:cs="Arial"/>
                <w:lang w:eastAsia="en-US"/>
              </w:rPr>
              <w:t>M</w:t>
            </w:r>
          </w:p>
        </w:tc>
        <w:tc>
          <w:tcPr>
            <w:tcW w:w="511" w:type="dxa"/>
            <w:tcBorders>
              <w:top w:val="single" w:sz="4" w:space="0" w:color="auto"/>
              <w:left w:val="single" w:sz="4" w:space="0" w:color="auto"/>
              <w:bottom w:val="single" w:sz="4" w:space="0" w:color="auto"/>
              <w:right w:val="single" w:sz="4" w:space="0" w:color="auto"/>
            </w:tcBorders>
            <w:shd w:val="clear" w:color="auto" w:fill="004E73"/>
            <w:hideMark/>
          </w:tcPr>
          <w:p w14:paraId="5FBB8EE6" w14:textId="77777777" w:rsidR="009B4BE2" w:rsidRPr="000564EB" w:rsidRDefault="009B4BE2" w:rsidP="00094D94">
            <w:pPr>
              <w:pStyle w:val="TableHeading"/>
              <w:spacing w:line="276" w:lineRule="auto"/>
              <w:jc w:val="center"/>
              <w:rPr>
                <w:rFonts w:cs="Arial"/>
                <w:lang w:eastAsia="en-US"/>
              </w:rPr>
            </w:pPr>
            <w:r w:rsidRPr="000564EB">
              <w:rPr>
                <w:rFonts w:cs="Arial"/>
                <w:lang w:eastAsia="en-US"/>
              </w:rPr>
              <w:t>L</w:t>
            </w:r>
          </w:p>
        </w:tc>
      </w:tr>
      <w:tr w:rsidR="009B4BE2" w:rsidRPr="000564EB" w14:paraId="1E7B8406" w14:textId="77777777" w:rsidTr="00094D94">
        <w:trPr>
          <w:trHeight w:val="280"/>
        </w:trPr>
        <w:tc>
          <w:tcPr>
            <w:tcW w:w="14737" w:type="dxa"/>
            <w:gridSpan w:val="19"/>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5D81A74" w14:textId="77777777" w:rsidR="009B4BE2" w:rsidRPr="000564EB" w:rsidRDefault="009B4BE2" w:rsidP="00094D94">
            <w:pPr>
              <w:spacing w:line="276" w:lineRule="auto"/>
              <w:rPr>
                <w:rFonts w:cs="Arial"/>
                <w:b/>
                <w:szCs w:val="24"/>
                <w:lang w:eastAsia="en-GB"/>
              </w:rPr>
            </w:pPr>
            <w:r w:rsidRPr="000564EB">
              <w:rPr>
                <w:rFonts w:cs="Arial"/>
                <w:b/>
                <w:szCs w:val="24"/>
              </w:rPr>
              <w:t>Capita Group Internal Audit (GIA)</w:t>
            </w:r>
          </w:p>
        </w:tc>
      </w:tr>
      <w:tr w:rsidR="009B4BE2" w:rsidRPr="000564EB" w14:paraId="202FCF1A" w14:textId="77777777" w:rsidTr="00094D94">
        <w:trPr>
          <w:gridAfter w:val="1"/>
          <w:wAfter w:w="30" w:type="dxa"/>
          <w:trHeight w:val="335"/>
        </w:trPr>
        <w:tc>
          <w:tcPr>
            <w:tcW w:w="245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3849048" w14:textId="77777777" w:rsidR="009B4BE2" w:rsidRPr="000564EB" w:rsidRDefault="009B4BE2" w:rsidP="00094D94">
            <w:pPr>
              <w:spacing w:line="276" w:lineRule="auto"/>
              <w:rPr>
                <w:rFonts w:cs="Arial"/>
                <w:szCs w:val="24"/>
              </w:rPr>
            </w:pPr>
            <w:r w:rsidRPr="000564EB">
              <w:rPr>
                <w:rFonts w:cs="Arial"/>
                <w:szCs w:val="24"/>
              </w:rPr>
              <w:t>Payment Out Controls</w:t>
            </w:r>
          </w:p>
        </w:tc>
        <w:tc>
          <w:tcPr>
            <w:tcW w:w="442" w:type="dxa"/>
            <w:tcBorders>
              <w:top w:val="single" w:sz="4" w:space="0" w:color="auto"/>
              <w:left w:val="single" w:sz="4" w:space="0" w:color="auto"/>
              <w:bottom w:val="single" w:sz="4" w:space="0" w:color="auto"/>
              <w:right w:val="single" w:sz="4" w:space="0" w:color="auto"/>
            </w:tcBorders>
            <w:vAlign w:val="center"/>
            <w:hideMark/>
          </w:tcPr>
          <w:p w14:paraId="0F9FD32E" w14:textId="77777777" w:rsidR="009B4BE2" w:rsidRPr="000564EB" w:rsidRDefault="009B4BE2" w:rsidP="00094D94">
            <w:pPr>
              <w:spacing w:line="276" w:lineRule="auto"/>
              <w:jc w:val="center"/>
              <w:rPr>
                <w:rFonts w:cs="Arial"/>
                <w:szCs w:val="24"/>
                <w:lang w:eastAsia="en-GB"/>
              </w:rPr>
            </w:pPr>
            <w:r w:rsidRPr="000564EB">
              <w:rPr>
                <w:rFonts w:cs="Arial"/>
                <w:szCs w:val="24"/>
                <w:lang w:eastAsia="en-GB"/>
              </w:rPr>
              <w:sym w:font="Wingdings" w:char="F0FC"/>
            </w:r>
          </w:p>
        </w:tc>
        <w:tc>
          <w:tcPr>
            <w:tcW w:w="511" w:type="dxa"/>
            <w:tcBorders>
              <w:top w:val="single" w:sz="4" w:space="0" w:color="auto"/>
              <w:left w:val="single" w:sz="4" w:space="0" w:color="auto"/>
              <w:bottom w:val="single" w:sz="4" w:space="0" w:color="auto"/>
              <w:right w:val="single" w:sz="4" w:space="0" w:color="auto"/>
            </w:tcBorders>
            <w:vAlign w:val="center"/>
          </w:tcPr>
          <w:p w14:paraId="017547F5"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vAlign w:val="center"/>
          </w:tcPr>
          <w:p w14:paraId="0B5636FB"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vAlign w:val="center"/>
          </w:tcPr>
          <w:p w14:paraId="0587FEC6" w14:textId="77777777" w:rsidR="009B4BE2" w:rsidRPr="000564EB" w:rsidRDefault="009B4BE2" w:rsidP="00094D94">
            <w:pPr>
              <w:spacing w:line="276" w:lineRule="auto"/>
              <w:jc w:val="center"/>
              <w:rPr>
                <w:rFonts w:cs="Arial"/>
                <w:szCs w:val="24"/>
                <w:lang w:eastAsia="en-GB"/>
              </w:rPr>
            </w:pPr>
          </w:p>
        </w:tc>
        <w:tc>
          <w:tcPr>
            <w:tcW w:w="1147"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85" w:type="dxa"/>
            </w:tcMar>
            <w:hideMark/>
          </w:tcPr>
          <w:p w14:paraId="4D45AAC3" w14:textId="77777777" w:rsidR="009B4BE2" w:rsidRPr="000564EB" w:rsidRDefault="009B4BE2" w:rsidP="00094D94">
            <w:pPr>
              <w:spacing w:line="276" w:lineRule="auto"/>
              <w:ind w:left="-113" w:right="-85"/>
              <w:jc w:val="center"/>
              <w:rPr>
                <w:rFonts w:cs="Arial"/>
                <w:szCs w:val="24"/>
              </w:rPr>
            </w:pPr>
            <w:r w:rsidRPr="000564EB">
              <w:rPr>
                <w:rFonts w:cs="Arial"/>
                <w:szCs w:val="24"/>
              </w:rPr>
              <w:t>Final Report</w:t>
            </w:r>
          </w:p>
        </w:tc>
        <w:tc>
          <w:tcPr>
            <w:tcW w:w="1109" w:type="dxa"/>
            <w:tcBorders>
              <w:top w:val="single" w:sz="4" w:space="0" w:color="auto"/>
              <w:left w:val="single" w:sz="4" w:space="0" w:color="auto"/>
              <w:bottom w:val="single" w:sz="4" w:space="0" w:color="auto"/>
              <w:right w:val="single" w:sz="4" w:space="0" w:color="auto"/>
            </w:tcBorders>
            <w:hideMark/>
          </w:tcPr>
          <w:p w14:paraId="04B4DF36" w14:textId="77777777" w:rsidR="009B4BE2" w:rsidRPr="000564EB" w:rsidRDefault="009B4BE2" w:rsidP="00094D94">
            <w:pPr>
              <w:spacing w:line="276" w:lineRule="auto"/>
              <w:jc w:val="center"/>
              <w:rPr>
                <w:rFonts w:cs="Arial"/>
                <w:szCs w:val="24"/>
              </w:rPr>
            </w:pPr>
            <w:r w:rsidRPr="000564EB">
              <w:rPr>
                <w:rFonts w:cs="Arial"/>
                <w:szCs w:val="24"/>
              </w:rPr>
              <w:t>Jan 2018</w:t>
            </w:r>
          </w:p>
        </w:tc>
        <w:tc>
          <w:tcPr>
            <w:tcW w:w="1025" w:type="dxa"/>
            <w:tcBorders>
              <w:top w:val="single" w:sz="4" w:space="0" w:color="auto"/>
              <w:left w:val="single" w:sz="4" w:space="0" w:color="auto"/>
              <w:bottom w:val="single" w:sz="4" w:space="0" w:color="auto"/>
              <w:right w:val="single" w:sz="4" w:space="0" w:color="auto"/>
            </w:tcBorders>
            <w:shd w:val="clear" w:color="auto" w:fill="00B050"/>
            <w:hideMark/>
          </w:tcPr>
          <w:p w14:paraId="29E3C6AD" w14:textId="77777777" w:rsidR="009B4BE2" w:rsidRPr="000B522E" w:rsidRDefault="009B4BE2" w:rsidP="00094D94">
            <w:pPr>
              <w:spacing w:line="276" w:lineRule="auto"/>
              <w:jc w:val="center"/>
              <w:rPr>
                <w:rFonts w:cs="Arial"/>
                <w:sz w:val="22"/>
                <w:szCs w:val="22"/>
              </w:rPr>
            </w:pPr>
            <w:r w:rsidRPr="000B522E">
              <w:rPr>
                <w:rFonts w:cs="Arial"/>
                <w:sz w:val="22"/>
                <w:szCs w:val="22"/>
              </w:rPr>
              <w:t>24/01/18</w:t>
            </w:r>
          </w:p>
        </w:tc>
        <w:tc>
          <w:tcPr>
            <w:tcW w:w="923" w:type="dxa"/>
            <w:tcBorders>
              <w:top w:val="single" w:sz="4" w:space="0" w:color="auto"/>
              <w:left w:val="single" w:sz="4" w:space="0" w:color="auto"/>
              <w:bottom w:val="single" w:sz="4" w:space="0" w:color="auto"/>
              <w:right w:val="single" w:sz="4" w:space="0" w:color="auto"/>
            </w:tcBorders>
            <w:hideMark/>
          </w:tcPr>
          <w:p w14:paraId="2249AD32" w14:textId="77777777" w:rsidR="009B4BE2" w:rsidRPr="000B522E" w:rsidRDefault="009B4BE2" w:rsidP="00094D94">
            <w:pPr>
              <w:spacing w:line="276" w:lineRule="auto"/>
              <w:jc w:val="center"/>
              <w:rPr>
                <w:rFonts w:cs="Arial"/>
                <w:sz w:val="20"/>
              </w:rPr>
            </w:pPr>
            <w:r w:rsidRPr="000B522E">
              <w:rPr>
                <w:rFonts w:cs="Arial"/>
                <w:sz w:val="20"/>
              </w:rPr>
              <w:t>31/01/18</w:t>
            </w:r>
          </w:p>
        </w:tc>
        <w:tc>
          <w:tcPr>
            <w:tcW w:w="1025" w:type="dxa"/>
            <w:tcBorders>
              <w:top w:val="single" w:sz="4" w:space="0" w:color="auto"/>
              <w:left w:val="single" w:sz="4" w:space="0" w:color="auto"/>
              <w:bottom w:val="single" w:sz="4" w:space="0" w:color="auto"/>
              <w:right w:val="single" w:sz="4" w:space="0" w:color="auto"/>
            </w:tcBorders>
            <w:hideMark/>
          </w:tcPr>
          <w:p w14:paraId="7F86228A" w14:textId="77777777" w:rsidR="009B4BE2" w:rsidRPr="000564EB" w:rsidRDefault="009B4BE2" w:rsidP="00094D94">
            <w:pPr>
              <w:spacing w:line="276" w:lineRule="auto"/>
              <w:jc w:val="center"/>
              <w:rPr>
                <w:rFonts w:cs="Arial"/>
                <w:szCs w:val="24"/>
              </w:rPr>
            </w:pPr>
            <w:r w:rsidRPr="000564EB">
              <w:rPr>
                <w:rFonts w:cs="Arial"/>
                <w:szCs w:val="24"/>
              </w:rPr>
              <w:t>Mar 18</w:t>
            </w:r>
          </w:p>
        </w:tc>
        <w:tc>
          <w:tcPr>
            <w:tcW w:w="1025" w:type="dxa"/>
            <w:tcBorders>
              <w:top w:val="single" w:sz="4" w:space="0" w:color="auto"/>
              <w:left w:val="single" w:sz="4" w:space="0" w:color="auto"/>
              <w:bottom w:val="single" w:sz="4" w:space="0" w:color="auto"/>
              <w:right w:val="single" w:sz="4" w:space="0" w:color="auto"/>
            </w:tcBorders>
            <w:shd w:val="clear" w:color="auto" w:fill="00B050"/>
            <w:hideMark/>
          </w:tcPr>
          <w:p w14:paraId="57E7FDFE" w14:textId="77777777" w:rsidR="009B4BE2" w:rsidRPr="000B522E" w:rsidRDefault="009B4BE2" w:rsidP="00094D94">
            <w:pPr>
              <w:spacing w:line="276" w:lineRule="auto"/>
              <w:jc w:val="center"/>
              <w:rPr>
                <w:rFonts w:cs="Arial"/>
                <w:sz w:val="22"/>
                <w:szCs w:val="22"/>
              </w:rPr>
            </w:pPr>
            <w:r w:rsidRPr="000B522E">
              <w:rPr>
                <w:rFonts w:cs="Arial"/>
                <w:sz w:val="22"/>
                <w:szCs w:val="22"/>
              </w:rPr>
              <w:t>12/03/18</w:t>
            </w:r>
          </w:p>
        </w:tc>
        <w:tc>
          <w:tcPr>
            <w:tcW w:w="989" w:type="dxa"/>
            <w:tcBorders>
              <w:top w:val="single" w:sz="4" w:space="0" w:color="auto"/>
              <w:left w:val="single" w:sz="4" w:space="0" w:color="auto"/>
              <w:bottom w:val="single" w:sz="4" w:space="0" w:color="auto"/>
              <w:right w:val="single" w:sz="4" w:space="0" w:color="auto"/>
            </w:tcBorders>
            <w:hideMark/>
          </w:tcPr>
          <w:p w14:paraId="7A07EED5" w14:textId="77777777" w:rsidR="009B4BE2" w:rsidRPr="000B522E" w:rsidRDefault="009B4BE2" w:rsidP="00094D94">
            <w:pPr>
              <w:spacing w:line="276" w:lineRule="auto"/>
              <w:jc w:val="center"/>
              <w:rPr>
                <w:rFonts w:cs="Arial"/>
                <w:sz w:val="22"/>
                <w:szCs w:val="22"/>
              </w:rPr>
            </w:pPr>
            <w:r w:rsidRPr="000B522E">
              <w:rPr>
                <w:rFonts w:cs="Arial"/>
                <w:sz w:val="22"/>
                <w:szCs w:val="22"/>
              </w:rPr>
              <w:t>28/03/18</w:t>
            </w:r>
          </w:p>
        </w:tc>
        <w:tc>
          <w:tcPr>
            <w:tcW w:w="993" w:type="dxa"/>
            <w:tcBorders>
              <w:top w:val="single" w:sz="4" w:space="0" w:color="auto"/>
              <w:left w:val="single" w:sz="4" w:space="0" w:color="auto"/>
              <w:bottom w:val="single" w:sz="4" w:space="0" w:color="auto"/>
              <w:right w:val="single" w:sz="4" w:space="0" w:color="auto"/>
            </w:tcBorders>
            <w:hideMark/>
          </w:tcPr>
          <w:p w14:paraId="1D62615C" w14:textId="77777777" w:rsidR="009B4BE2" w:rsidRPr="000564EB" w:rsidRDefault="009B4BE2" w:rsidP="00094D94">
            <w:pPr>
              <w:spacing w:line="276" w:lineRule="auto"/>
              <w:jc w:val="center"/>
              <w:rPr>
                <w:rFonts w:cs="Arial"/>
                <w:szCs w:val="24"/>
              </w:rPr>
            </w:pPr>
            <w:r w:rsidRPr="000564EB">
              <w:rPr>
                <w:rFonts w:cs="Arial"/>
                <w:szCs w:val="24"/>
              </w:rPr>
              <w:t>E</w:t>
            </w:r>
          </w:p>
        </w:tc>
        <w:tc>
          <w:tcPr>
            <w:tcW w:w="511" w:type="dxa"/>
            <w:tcBorders>
              <w:top w:val="single" w:sz="4" w:space="0" w:color="auto"/>
              <w:left w:val="single" w:sz="4" w:space="0" w:color="auto"/>
              <w:bottom w:val="single" w:sz="4" w:space="0" w:color="auto"/>
              <w:right w:val="single" w:sz="4" w:space="0" w:color="auto"/>
            </w:tcBorders>
            <w:hideMark/>
          </w:tcPr>
          <w:p w14:paraId="623DC330" w14:textId="77777777" w:rsidR="009B4BE2" w:rsidRPr="000564EB" w:rsidRDefault="009B4BE2" w:rsidP="00094D94">
            <w:pPr>
              <w:spacing w:line="276" w:lineRule="auto"/>
              <w:jc w:val="center"/>
              <w:rPr>
                <w:rFonts w:cs="Arial"/>
                <w:szCs w:val="24"/>
              </w:rPr>
            </w:pPr>
            <w:r w:rsidRPr="000564EB">
              <w:rPr>
                <w:rFonts w:cs="Arial"/>
                <w:szCs w:val="24"/>
              </w:rPr>
              <w:t>-</w:t>
            </w:r>
          </w:p>
        </w:tc>
        <w:tc>
          <w:tcPr>
            <w:tcW w:w="511" w:type="dxa"/>
            <w:tcBorders>
              <w:top w:val="single" w:sz="4" w:space="0" w:color="auto"/>
              <w:left w:val="single" w:sz="4" w:space="0" w:color="auto"/>
              <w:bottom w:val="single" w:sz="4" w:space="0" w:color="auto"/>
              <w:right w:val="single" w:sz="4" w:space="0" w:color="auto"/>
            </w:tcBorders>
            <w:hideMark/>
          </w:tcPr>
          <w:p w14:paraId="7675EE30" w14:textId="77777777" w:rsidR="009B4BE2" w:rsidRPr="000564EB" w:rsidRDefault="009B4BE2" w:rsidP="00094D94">
            <w:pPr>
              <w:spacing w:line="276" w:lineRule="auto"/>
              <w:jc w:val="center"/>
              <w:rPr>
                <w:rFonts w:cs="Arial"/>
                <w:szCs w:val="24"/>
              </w:rPr>
            </w:pPr>
            <w:r w:rsidRPr="000564EB">
              <w:rPr>
                <w:rFonts w:cs="Arial"/>
                <w:szCs w:val="24"/>
              </w:rPr>
              <w:t>-</w:t>
            </w:r>
          </w:p>
        </w:tc>
        <w:tc>
          <w:tcPr>
            <w:tcW w:w="511" w:type="dxa"/>
            <w:tcBorders>
              <w:top w:val="single" w:sz="4" w:space="0" w:color="auto"/>
              <w:left w:val="single" w:sz="4" w:space="0" w:color="auto"/>
              <w:bottom w:val="single" w:sz="4" w:space="0" w:color="auto"/>
              <w:right w:val="single" w:sz="4" w:space="0" w:color="auto"/>
            </w:tcBorders>
            <w:hideMark/>
          </w:tcPr>
          <w:p w14:paraId="253F9AE7" w14:textId="77777777" w:rsidR="009B4BE2" w:rsidRPr="000564EB" w:rsidRDefault="009B4BE2" w:rsidP="00094D94">
            <w:pPr>
              <w:spacing w:line="276" w:lineRule="auto"/>
              <w:jc w:val="center"/>
              <w:rPr>
                <w:rFonts w:cs="Arial"/>
                <w:szCs w:val="24"/>
              </w:rPr>
            </w:pPr>
            <w:r w:rsidRPr="000564EB">
              <w:rPr>
                <w:rFonts w:cs="Arial"/>
                <w:szCs w:val="24"/>
              </w:rPr>
              <w:t>1</w:t>
            </w:r>
          </w:p>
        </w:tc>
        <w:tc>
          <w:tcPr>
            <w:tcW w:w="511" w:type="dxa"/>
            <w:tcBorders>
              <w:top w:val="single" w:sz="4" w:space="0" w:color="auto"/>
              <w:left w:val="single" w:sz="4" w:space="0" w:color="auto"/>
              <w:bottom w:val="single" w:sz="4" w:space="0" w:color="auto"/>
              <w:right w:val="single" w:sz="4" w:space="0" w:color="auto"/>
            </w:tcBorders>
            <w:hideMark/>
          </w:tcPr>
          <w:p w14:paraId="14266650" w14:textId="77777777" w:rsidR="009B4BE2" w:rsidRPr="000564EB" w:rsidRDefault="009B4BE2" w:rsidP="00094D94">
            <w:pPr>
              <w:spacing w:line="276" w:lineRule="auto"/>
              <w:jc w:val="center"/>
              <w:rPr>
                <w:rFonts w:cs="Arial"/>
                <w:szCs w:val="24"/>
              </w:rPr>
            </w:pPr>
            <w:r w:rsidRPr="000564EB">
              <w:rPr>
                <w:rFonts w:cs="Arial"/>
                <w:szCs w:val="24"/>
              </w:rPr>
              <w:t>4</w:t>
            </w:r>
          </w:p>
        </w:tc>
      </w:tr>
      <w:tr w:rsidR="009B4BE2" w:rsidRPr="000564EB" w14:paraId="034641BF" w14:textId="77777777" w:rsidTr="00094D94">
        <w:trPr>
          <w:gridAfter w:val="1"/>
          <w:wAfter w:w="30" w:type="dxa"/>
          <w:trHeight w:val="525"/>
        </w:trPr>
        <w:tc>
          <w:tcPr>
            <w:tcW w:w="245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6528C939" w14:textId="77777777" w:rsidR="009B4BE2" w:rsidRPr="000564EB" w:rsidRDefault="009B4BE2" w:rsidP="00094D94">
            <w:pPr>
              <w:spacing w:line="276" w:lineRule="auto"/>
              <w:rPr>
                <w:rFonts w:cs="Arial"/>
                <w:szCs w:val="24"/>
              </w:rPr>
            </w:pPr>
            <w:r w:rsidRPr="000564EB">
              <w:rPr>
                <w:rFonts w:cs="Arial"/>
                <w:szCs w:val="24"/>
              </w:rPr>
              <w:t>Business Continuity / Disaster Recovery</w:t>
            </w:r>
          </w:p>
        </w:tc>
        <w:tc>
          <w:tcPr>
            <w:tcW w:w="442" w:type="dxa"/>
            <w:tcBorders>
              <w:top w:val="single" w:sz="4" w:space="0" w:color="auto"/>
              <w:left w:val="single" w:sz="4" w:space="0" w:color="auto"/>
              <w:bottom w:val="single" w:sz="4" w:space="0" w:color="auto"/>
              <w:right w:val="single" w:sz="4" w:space="0" w:color="auto"/>
            </w:tcBorders>
            <w:vAlign w:val="center"/>
          </w:tcPr>
          <w:p w14:paraId="68BC730F"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vAlign w:val="center"/>
          </w:tcPr>
          <w:p w14:paraId="2097011C" w14:textId="77777777" w:rsidR="009B4BE2" w:rsidRPr="000564EB" w:rsidRDefault="009B4BE2" w:rsidP="00094D94">
            <w:pPr>
              <w:spacing w:line="276" w:lineRule="auto"/>
              <w:jc w:val="center"/>
              <w:rPr>
                <w:rFonts w:cs="Arial"/>
                <w:szCs w:val="24"/>
                <w:lang w:eastAsia="en-GB"/>
              </w:rPr>
            </w:pPr>
            <w:r w:rsidRPr="000564EB">
              <w:rPr>
                <w:rFonts w:cs="Arial"/>
                <w:szCs w:val="24"/>
                <w:lang w:eastAsia="en-GB"/>
              </w:rPr>
              <w:sym w:font="Wingdings" w:char="F0FC"/>
            </w:r>
          </w:p>
        </w:tc>
        <w:tc>
          <w:tcPr>
            <w:tcW w:w="511" w:type="dxa"/>
            <w:tcBorders>
              <w:top w:val="single" w:sz="4" w:space="0" w:color="auto"/>
              <w:left w:val="single" w:sz="4" w:space="0" w:color="auto"/>
              <w:bottom w:val="single" w:sz="4" w:space="0" w:color="auto"/>
              <w:right w:val="single" w:sz="4" w:space="0" w:color="auto"/>
            </w:tcBorders>
            <w:vAlign w:val="center"/>
          </w:tcPr>
          <w:p w14:paraId="5C124FE9"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vAlign w:val="center"/>
          </w:tcPr>
          <w:p w14:paraId="45907516" w14:textId="77777777" w:rsidR="009B4BE2" w:rsidRPr="000564EB" w:rsidRDefault="009B4BE2" w:rsidP="00094D94">
            <w:pPr>
              <w:spacing w:line="276" w:lineRule="auto"/>
              <w:jc w:val="center"/>
              <w:rPr>
                <w:rFonts w:cs="Arial"/>
                <w:szCs w:val="24"/>
                <w:lang w:eastAsia="en-GB"/>
              </w:rPr>
            </w:pPr>
          </w:p>
        </w:tc>
        <w:tc>
          <w:tcPr>
            <w:tcW w:w="1147"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85" w:type="dxa"/>
            </w:tcMar>
          </w:tcPr>
          <w:p w14:paraId="51E8A5DB" w14:textId="77777777" w:rsidR="009B4BE2" w:rsidRPr="000564EB" w:rsidRDefault="009B4BE2" w:rsidP="00094D94">
            <w:pPr>
              <w:spacing w:line="276" w:lineRule="auto"/>
              <w:ind w:left="-113" w:right="-85"/>
              <w:jc w:val="center"/>
              <w:rPr>
                <w:rFonts w:cs="Arial"/>
                <w:szCs w:val="24"/>
              </w:rPr>
            </w:pPr>
            <w:r w:rsidRPr="000564EB">
              <w:rPr>
                <w:rFonts w:cs="Arial"/>
                <w:szCs w:val="24"/>
              </w:rPr>
              <w:t>Final Draft Report</w:t>
            </w:r>
          </w:p>
        </w:tc>
        <w:tc>
          <w:tcPr>
            <w:tcW w:w="1109" w:type="dxa"/>
            <w:tcBorders>
              <w:top w:val="single" w:sz="4" w:space="0" w:color="auto"/>
              <w:left w:val="single" w:sz="4" w:space="0" w:color="auto"/>
              <w:bottom w:val="single" w:sz="4" w:space="0" w:color="auto"/>
              <w:right w:val="single" w:sz="4" w:space="0" w:color="auto"/>
            </w:tcBorders>
          </w:tcPr>
          <w:p w14:paraId="652FACBB" w14:textId="77777777" w:rsidR="009B4BE2" w:rsidRPr="000564EB" w:rsidRDefault="009B4BE2" w:rsidP="00094D94">
            <w:pPr>
              <w:spacing w:line="276" w:lineRule="auto"/>
              <w:jc w:val="center"/>
              <w:rPr>
                <w:rFonts w:cs="Arial"/>
                <w:szCs w:val="24"/>
              </w:rPr>
            </w:pPr>
            <w:r w:rsidRPr="000564EB">
              <w:rPr>
                <w:rFonts w:cs="Arial"/>
                <w:szCs w:val="24"/>
              </w:rPr>
              <w:t>Mar 2018</w:t>
            </w:r>
          </w:p>
        </w:tc>
        <w:tc>
          <w:tcPr>
            <w:tcW w:w="1025" w:type="dxa"/>
            <w:tcBorders>
              <w:top w:val="single" w:sz="4" w:space="0" w:color="auto"/>
              <w:left w:val="single" w:sz="4" w:space="0" w:color="auto"/>
              <w:bottom w:val="single" w:sz="4" w:space="0" w:color="auto"/>
              <w:right w:val="single" w:sz="4" w:space="0" w:color="auto"/>
            </w:tcBorders>
            <w:shd w:val="clear" w:color="auto" w:fill="00B050"/>
          </w:tcPr>
          <w:p w14:paraId="71026A88" w14:textId="77777777" w:rsidR="009B4BE2" w:rsidRPr="000B522E" w:rsidRDefault="009B4BE2" w:rsidP="00094D94">
            <w:pPr>
              <w:spacing w:line="276" w:lineRule="auto"/>
              <w:jc w:val="center"/>
              <w:rPr>
                <w:rFonts w:cs="Arial"/>
                <w:sz w:val="22"/>
                <w:szCs w:val="22"/>
              </w:rPr>
            </w:pPr>
            <w:r w:rsidRPr="000B522E">
              <w:rPr>
                <w:rFonts w:cs="Arial"/>
                <w:sz w:val="22"/>
                <w:szCs w:val="22"/>
              </w:rPr>
              <w:t>20/03/18</w:t>
            </w:r>
          </w:p>
        </w:tc>
        <w:tc>
          <w:tcPr>
            <w:tcW w:w="923" w:type="dxa"/>
            <w:tcBorders>
              <w:top w:val="single" w:sz="4" w:space="0" w:color="auto"/>
              <w:left w:val="single" w:sz="4" w:space="0" w:color="auto"/>
              <w:bottom w:val="single" w:sz="4" w:space="0" w:color="auto"/>
              <w:right w:val="single" w:sz="4" w:space="0" w:color="auto"/>
            </w:tcBorders>
          </w:tcPr>
          <w:p w14:paraId="04BDD321" w14:textId="77777777" w:rsidR="009B4BE2" w:rsidRPr="000B522E" w:rsidRDefault="009B4BE2" w:rsidP="00094D94">
            <w:pPr>
              <w:spacing w:line="276" w:lineRule="auto"/>
              <w:jc w:val="center"/>
              <w:rPr>
                <w:rFonts w:cs="Arial"/>
                <w:sz w:val="20"/>
              </w:rPr>
            </w:pPr>
            <w:r w:rsidRPr="000B522E">
              <w:rPr>
                <w:rFonts w:cs="Arial"/>
                <w:sz w:val="20"/>
              </w:rPr>
              <w:t>28/03/18</w:t>
            </w:r>
          </w:p>
        </w:tc>
        <w:tc>
          <w:tcPr>
            <w:tcW w:w="1025" w:type="dxa"/>
            <w:tcBorders>
              <w:top w:val="single" w:sz="4" w:space="0" w:color="auto"/>
              <w:left w:val="single" w:sz="4" w:space="0" w:color="auto"/>
              <w:bottom w:val="single" w:sz="4" w:space="0" w:color="auto"/>
              <w:right w:val="single" w:sz="4" w:space="0" w:color="auto"/>
            </w:tcBorders>
          </w:tcPr>
          <w:p w14:paraId="015945E0" w14:textId="77777777" w:rsidR="009B4BE2" w:rsidRPr="000564EB" w:rsidRDefault="009B4BE2" w:rsidP="00094D94">
            <w:pPr>
              <w:spacing w:line="276" w:lineRule="auto"/>
              <w:jc w:val="center"/>
              <w:rPr>
                <w:rFonts w:cs="Arial"/>
                <w:szCs w:val="24"/>
              </w:rPr>
            </w:pPr>
            <w:r w:rsidRPr="000564EB">
              <w:rPr>
                <w:rFonts w:cs="Arial"/>
                <w:szCs w:val="24"/>
              </w:rPr>
              <w:t>Jun 18</w:t>
            </w:r>
          </w:p>
        </w:tc>
        <w:tc>
          <w:tcPr>
            <w:tcW w:w="1025" w:type="dxa"/>
            <w:tcBorders>
              <w:top w:val="single" w:sz="4" w:space="0" w:color="auto"/>
              <w:left w:val="single" w:sz="4" w:space="0" w:color="auto"/>
              <w:bottom w:val="single" w:sz="4" w:space="0" w:color="auto"/>
              <w:right w:val="single" w:sz="4" w:space="0" w:color="auto"/>
            </w:tcBorders>
            <w:shd w:val="clear" w:color="auto" w:fill="FFC000"/>
          </w:tcPr>
          <w:p w14:paraId="58DA4E48" w14:textId="77777777" w:rsidR="009B4BE2" w:rsidRPr="000B522E" w:rsidRDefault="009B4BE2" w:rsidP="00094D94">
            <w:pPr>
              <w:spacing w:line="276" w:lineRule="auto"/>
              <w:jc w:val="center"/>
              <w:rPr>
                <w:rFonts w:cs="Arial"/>
                <w:sz w:val="22"/>
                <w:szCs w:val="22"/>
              </w:rPr>
            </w:pPr>
            <w:r w:rsidRPr="000B522E">
              <w:rPr>
                <w:rFonts w:cs="Arial"/>
                <w:sz w:val="22"/>
                <w:szCs w:val="22"/>
              </w:rPr>
              <w:t>30/07/18</w:t>
            </w:r>
          </w:p>
        </w:tc>
        <w:tc>
          <w:tcPr>
            <w:tcW w:w="989" w:type="dxa"/>
            <w:tcBorders>
              <w:top w:val="single" w:sz="4" w:space="0" w:color="auto"/>
              <w:left w:val="single" w:sz="4" w:space="0" w:color="auto"/>
              <w:bottom w:val="single" w:sz="4" w:space="0" w:color="auto"/>
              <w:right w:val="single" w:sz="4" w:space="0" w:color="auto"/>
            </w:tcBorders>
          </w:tcPr>
          <w:p w14:paraId="49FA0AEE" w14:textId="77777777" w:rsidR="009B4BE2" w:rsidRPr="000564EB" w:rsidRDefault="009B4BE2" w:rsidP="00094D94">
            <w:pPr>
              <w:spacing w:line="276" w:lineRule="auto"/>
              <w:jc w:val="center"/>
              <w:rPr>
                <w:rFonts w:cs="Arial"/>
                <w:szCs w:val="24"/>
              </w:rPr>
            </w:pPr>
          </w:p>
        </w:tc>
        <w:tc>
          <w:tcPr>
            <w:tcW w:w="993" w:type="dxa"/>
            <w:tcBorders>
              <w:top w:val="single" w:sz="4" w:space="0" w:color="auto"/>
              <w:left w:val="single" w:sz="4" w:space="0" w:color="auto"/>
              <w:bottom w:val="single" w:sz="4" w:space="0" w:color="auto"/>
              <w:right w:val="single" w:sz="4" w:space="0" w:color="auto"/>
            </w:tcBorders>
          </w:tcPr>
          <w:p w14:paraId="18822B8C" w14:textId="77777777" w:rsidR="009B4BE2" w:rsidRPr="000564EB" w:rsidRDefault="009B4BE2" w:rsidP="00094D94">
            <w:pPr>
              <w:spacing w:line="276" w:lineRule="auto"/>
              <w:jc w:val="center"/>
              <w:rPr>
                <w:rFonts w:cs="Arial"/>
                <w:i/>
                <w:szCs w:val="24"/>
              </w:rPr>
            </w:pPr>
            <w:r w:rsidRPr="000564EB">
              <w:rPr>
                <w:rFonts w:cs="Arial"/>
                <w:i/>
                <w:szCs w:val="24"/>
              </w:rPr>
              <w:t>IR</w:t>
            </w:r>
          </w:p>
        </w:tc>
        <w:tc>
          <w:tcPr>
            <w:tcW w:w="511" w:type="dxa"/>
            <w:tcBorders>
              <w:top w:val="single" w:sz="4" w:space="0" w:color="auto"/>
              <w:left w:val="single" w:sz="4" w:space="0" w:color="auto"/>
              <w:bottom w:val="single" w:sz="4" w:space="0" w:color="auto"/>
              <w:right w:val="single" w:sz="4" w:space="0" w:color="auto"/>
            </w:tcBorders>
          </w:tcPr>
          <w:p w14:paraId="54CD6097" w14:textId="77777777" w:rsidR="009B4BE2" w:rsidRPr="000564EB" w:rsidRDefault="009B4BE2" w:rsidP="00094D94">
            <w:pPr>
              <w:spacing w:line="276" w:lineRule="auto"/>
              <w:jc w:val="center"/>
              <w:rPr>
                <w:rFonts w:cs="Arial"/>
                <w:i/>
                <w:szCs w:val="24"/>
              </w:rPr>
            </w:pPr>
            <w:r w:rsidRPr="000564EB">
              <w:rPr>
                <w:rFonts w:cs="Arial"/>
                <w:i/>
                <w:szCs w:val="24"/>
              </w:rPr>
              <w:t>-</w:t>
            </w:r>
          </w:p>
        </w:tc>
        <w:tc>
          <w:tcPr>
            <w:tcW w:w="511" w:type="dxa"/>
            <w:tcBorders>
              <w:top w:val="single" w:sz="4" w:space="0" w:color="auto"/>
              <w:left w:val="single" w:sz="4" w:space="0" w:color="auto"/>
              <w:bottom w:val="single" w:sz="4" w:space="0" w:color="auto"/>
              <w:right w:val="single" w:sz="4" w:space="0" w:color="auto"/>
            </w:tcBorders>
          </w:tcPr>
          <w:p w14:paraId="65FF6CAD" w14:textId="77777777" w:rsidR="009B4BE2" w:rsidRPr="000564EB" w:rsidRDefault="009B4BE2" w:rsidP="00094D94">
            <w:pPr>
              <w:spacing w:line="276" w:lineRule="auto"/>
              <w:jc w:val="center"/>
              <w:rPr>
                <w:rFonts w:cs="Arial"/>
                <w:i/>
                <w:szCs w:val="24"/>
              </w:rPr>
            </w:pPr>
            <w:r w:rsidRPr="000564EB">
              <w:rPr>
                <w:rFonts w:cs="Arial"/>
                <w:i/>
                <w:szCs w:val="24"/>
              </w:rPr>
              <w:t>-</w:t>
            </w:r>
          </w:p>
        </w:tc>
        <w:tc>
          <w:tcPr>
            <w:tcW w:w="511" w:type="dxa"/>
            <w:tcBorders>
              <w:top w:val="single" w:sz="4" w:space="0" w:color="auto"/>
              <w:left w:val="single" w:sz="4" w:space="0" w:color="auto"/>
              <w:bottom w:val="single" w:sz="4" w:space="0" w:color="auto"/>
              <w:right w:val="single" w:sz="4" w:space="0" w:color="auto"/>
            </w:tcBorders>
          </w:tcPr>
          <w:p w14:paraId="12F9114D" w14:textId="77777777" w:rsidR="009B4BE2" w:rsidRPr="000564EB" w:rsidRDefault="009B4BE2" w:rsidP="00094D94">
            <w:pPr>
              <w:spacing w:line="276" w:lineRule="auto"/>
              <w:jc w:val="center"/>
              <w:rPr>
                <w:rFonts w:cs="Arial"/>
                <w:i/>
                <w:szCs w:val="24"/>
              </w:rPr>
            </w:pPr>
            <w:r w:rsidRPr="000564EB">
              <w:rPr>
                <w:rFonts w:cs="Arial"/>
                <w:i/>
                <w:szCs w:val="24"/>
              </w:rPr>
              <w:t>4</w:t>
            </w:r>
          </w:p>
        </w:tc>
        <w:tc>
          <w:tcPr>
            <w:tcW w:w="511" w:type="dxa"/>
            <w:tcBorders>
              <w:top w:val="single" w:sz="4" w:space="0" w:color="auto"/>
              <w:left w:val="single" w:sz="4" w:space="0" w:color="auto"/>
              <w:bottom w:val="single" w:sz="4" w:space="0" w:color="auto"/>
              <w:right w:val="single" w:sz="4" w:space="0" w:color="auto"/>
            </w:tcBorders>
          </w:tcPr>
          <w:p w14:paraId="78197263" w14:textId="77777777" w:rsidR="009B4BE2" w:rsidRPr="000564EB" w:rsidRDefault="009B4BE2" w:rsidP="00094D94">
            <w:pPr>
              <w:spacing w:line="276" w:lineRule="auto"/>
              <w:jc w:val="center"/>
              <w:rPr>
                <w:rFonts w:cs="Arial"/>
                <w:i/>
                <w:szCs w:val="24"/>
              </w:rPr>
            </w:pPr>
            <w:r w:rsidRPr="000564EB">
              <w:rPr>
                <w:rFonts w:cs="Arial"/>
                <w:i/>
                <w:szCs w:val="24"/>
              </w:rPr>
              <w:t>-</w:t>
            </w:r>
          </w:p>
        </w:tc>
      </w:tr>
      <w:tr w:rsidR="009B4BE2" w:rsidRPr="000564EB" w14:paraId="1CDDCDB4" w14:textId="77777777" w:rsidTr="00094D94">
        <w:trPr>
          <w:gridAfter w:val="1"/>
          <w:wAfter w:w="30" w:type="dxa"/>
          <w:trHeight w:val="525"/>
        </w:trPr>
        <w:tc>
          <w:tcPr>
            <w:tcW w:w="245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3954E094" w14:textId="77777777" w:rsidR="009B4BE2" w:rsidRPr="000564EB" w:rsidRDefault="009B4BE2" w:rsidP="00094D94">
            <w:pPr>
              <w:spacing w:line="276" w:lineRule="auto"/>
              <w:rPr>
                <w:rFonts w:cs="Arial"/>
                <w:szCs w:val="24"/>
              </w:rPr>
            </w:pPr>
            <w:r w:rsidRPr="000564EB">
              <w:rPr>
                <w:rFonts w:cs="Arial"/>
                <w:szCs w:val="24"/>
              </w:rPr>
              <w:t xml:space="preserve">RMH Environment </w:t>
            </w:r>
          </w:p>
        </w:tc>
        <w:tc>
          <w:tcPr>
            <w:tcW w:w="442" w:type="dxa"/>
            <w:tcBorders>
              <w:top w:val="single" w:sz="4" w:space="0" w:color="auto"/>
              <w:left w:val="single" w:sz="4" w:space="0" w:color="auto"/>
              <w:bottom w:val="single" w:sz="4" w:space="0" w:color="auto"/>
              <w:right w:val="single" w:sz="4" w:space="0" w:color="auto"/>
            </w:tcBorders>
            <w:vAlign w:val="center"/>
          </w:tcPr>
          <w:p w14:paraId="08385D58"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vAlign w:val="center"/>
          </w:tcPr>
          <w:p w14:paraId="7561BFB3"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vAlign w:val="center"/>
          </w:tcPr>
          <w:p w14:paraId="420421D9"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vAlign w:val="center"/>
          </w:tcPr>
          <w:p w14:paraId="33936A5C" w14:textId="77777777" w:rsidR="009B4BE2" w:rsidRPr="000564EB" w:rsidRDefault="009B4BE2" w:rsidP="00094D94">
            <w:pPr>
              <w:spacing w:line="276" w:lineRule="auto"/>
              <w:jc w:val="center"/>
              <w:rPr>
                <w:rFonts w:cs="Arial"/>
                <w:szCs w:val="24"/>
                <w:lang w:eastAsia="en-GB"/>
              </w:rPr>
            </w:pPr>
          </w:p>
        </w:tc>
        <w:tc>
          <w:tcPr>
            <w:tcW w:w="1147"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85" w:type="dxa"/>
            </w:tcMar>
          </w:tcPr>
          <w:p w14:paraId="39640DCF" w14:textId="77777777" w:rsidR="009B4BE2" w:rsidRPr="000564EB" w:rsidRDefault="009B4BE2" w:rsidP="00094D94">
            <w:pPr>
              <w:spacing w:line="276" w:lineRule="auto"/>
              <w:ind w:left="-113" w:right="-85"/>
              <w:jc w:val="center"/>
              <w:rPr>
                <w:rFonts w:cs="Arial"/>
                <w:szCs w:val="24"/>
              </w:rPr>
            </w:pPr>
            <w:r w:rsidRPr="000564EB">
              <w:rPr>
                <w:rFonts w:cs="Arial"/>
                <w:szCs w:val="24"/>
              </w:rPr>
              <w:t xml:space="preserve">Deferred </w:t>
            </w:r>
          </w:p>
        </w:tc>
        <w:tc>
          <w:tcPr>
            <w:tcW w:w="9133" w:type="dxa"/>
            <w:gridSpan w:val="11"/>
            <w:tcBorders>
              <w:top w:val="single" w:sz="4" w:space="0" w:color="auto"/>
              <w:left w:val="single" w:sz="4" w:space="0" w:color="auto"/>
              <w:bottom w:val="single" w:sz="4" w:space="0" w:color="auto"/>
              <w:right w:val="single" w:sz="4" w:space="0" w:color="auto"/>
            </w:tcBorders>
          </w:tcPr>
          <w:p w14:paraId="4E72957D" w14:textId="77777777" w:rsidR="009B4BE2" w:rsidRPr="000564EB" w:rsidRDefault="009B4BE2" w:rsidP="00094D94">
            <w:pPr>
              <w:spacing w:line="276" w:lineRule="auto"/>
              <w:jc w:val="center"/>
              <w:rPr>
                <w:rFonts w:cs="Arial"/>
                <w:szCs w:val="24"/>
              </w:rPr>
            </w:pPr>
            <w:r w:rsidRPr="000564EB">
              <w:rPr>
                <w:rFonts w:cs="Arial"/>
                <w:szCs w:val="24"/>
              </w:rPr>
              <w:t>Review ‘Deferred’ into 2019 Plan to review encompass new environment and replaced with DfE requested review of Exit Transition Plan scheduled for Q4</w:t>
            </w:r>
          </w:p>
        </w:tc>
      </w:tr>
      <w:tr w:rsidR="009B4BE2" w:rsidRPr="000564EB" w14:paraId="478AABB0" w14:textId="77777777" w:rsidTr="00094D94">
        <w:trPr>
          <w:gridAfter w:val="1"/>
          <w:wAfter w:w="30" w:type="dxa"/>
          <w:trHeight w:val="525"/>
        </w:trPr>
        <w:tc>
          <w:tcPr>
            <w:tcW w:w="245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04293E72" w14:textId="77777777" w:rsidR="009B4BE2" w:rsidRPr="000564EB" w:rsidRDefault="009B4BE2" w:rsidP="00094D94">
            <w:pPr>
              <w:spacing w:line="276" w:lineRule="auto"/>
              <w:rPr>
                <w:rFonts w:cs="Arial"/>
                <w:szCs w:val="24"/>
              </w:rPr>
            </w:pPr>
            <w:r w:rsidRPr="000564EB">
              <w:rPr>
                <w:rFonts w:cs="Arial"/>
                <w:szCs w:val="24"/>
              </w:rPr>
              <w:t>Member Experience (Contact Centre)</w:t>
            </w:r>
          </w:p>
        </w:tc>
        <w:tc>
          <w:tcPr>
            <w:tcW w:w="442" w:type="dxa"/>
            <w:tcBorders>
              <w:top w:val="single" w:sz="4" w:space="0" w:color="auto"/>
              <w:left w:val="single" w:sz="4" w:space="0" w:color="auto"/>
              <w:bottom w:val="single" w:sz="4" w:space="0" w:color="auto"/>
              <w:right w:val="single" w:sz="4" w:space="0" w:color="auto"/>
            </w:tcBorders>
            <w:vAlign w:val="center"/>
          </w:tcPr>
          <w:p w14:paraId="3D4D5CE7"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vAlign w:val="center"/>
          </w:tcPr>
          <w:p w14:paraId="5BF1DA51"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vAlign w:val="center"/>
          </w:tcPr>
          <w:p w14:paraId="68512B71"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vAlign w:val="center"/>
          </w:tcPr>
          <w:p w14:paraId="0CFC7BF9" w14:textId="77777777" w:rsidR="009B4BE2" w:rsidRPr="000564EB" w:rsidRDefault="009B4BE2" w:rsidP="00094D94">
            <w:pPr>
              <w:spacing w:line="276" w:lineRule="auto"/>
              <w:jc w:val="center"/>
              <w:rPr>
                <w:rFonts w:cs="Arial"/>
                <w:szCs w:val="24"/>
                <w:lang w:eastAsia="en-GB"/>
              </w:rPr>
            </w:pPr>
            <w:r w:rsidRPr="000564EB">
              <w:rPr>
                <w:rFonts w:cs="Arial"/>
                <w:szCs w:val="24"/>
                <w:lang w:eastAsia="en-GB"/>
              </w:rPr>
              <w:sym w:font="Wingdings" w:char="F0FC"/>
            </w:r>
          </w:p>
        </w:tc>
        <w:tc>
          <w:tcPr>
            <w:tcW w:w="1147"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85" w:type="dxa"/>
            </w:tcMar>
          </w:tcPr>
          <w:p w14:paraId="4D2CC4D7" w14:textId="77777777" w:rsidR="009B4BE2" w:rsidRPr="000564EB" w:rsidRDefault="009B4BE2" w:rsidP="00094D94">
            <w:pPr>
              <w:spacing w:line="276" w:lineRule="auto"/>
              <w:ind w:left="-113" w:right="-85"/>
              <w:jc w:val="center"/>
              <w:rPr>
                <w:rFonts w:cs="Arial"/>
                <w:szCs w:val="24"/>
              </w:rPr>
            </w:pPr>
            <w:r w:rsidRPr="000564EB">
              <w:rPr>
                <w:rFonts w:cs="Arial"/>
                <w:szCs w:val="24"/>
              </w:rPr>
              <w:t>Planning</w:t>
            </w:r>
          </w:p>
        </w:tc>
        <w:tc>
          <w:tcPr>
            <w:tcW w:w="1109" w:type="dxa"/>
            <w:tcBorders>
              <w:top w:val="single" w:sz="4" w:space="0" w:color="auto"/>
              <w:left w:val="single" w:sz="4" w:space="0" w:color="auto"/>
              <w:bottom w:val="single" w:sz="4" w:space="0" w:color="auto"/>
              <w:right w:val="single" w:sz="4" w:space="0" w:color="auto"/>
            </w:tcBorders>
          </w:tcPr>
          <w:p w14:paraId="49884D96" w14:textId="77777777" w:rsidR="009B4BE2" w:rsidRPr="000564EB" w:rsidRDefault="009B4BE2" w:rsidP="00094D94">
            <w:pPr>
              <w:spacing w:line="276" w:lineRule="auto"/>
              <w:jc w:val="center"/>
              <w:rPr>
                <w:rFonts w:cs="Arial"/>
                <w:szCs w:val="24"/>
              </w:rPr>
            </w:pPr>
            <w:r w:rsidRPr="000564EB">
              <w:rPr>
                <w:rFonts w:cs="Arial"/>
                <w:szCs w:val="24"/>
              </w:rPr>
              <w:t>Oct 2018</w:t>
            </w:r>
          </w:p>
        </w:tc>
        <w:tc>
          <w:tcPr>
            <w:tcW w:w="1025" w:type="dxa"/>
            <w:tcBorders>
              <w:top w:val="single" w:sz="4" w:space="0" w:color="auto"/>
              <w:left w:val="single" w:sz="4" w:space="0" w:color="auto"/>
              <w:bottom w:val="single" w:sz="4" w:space="0" w:color="auto"/>
              <w:right w:val="single" w:sz="4" w:space="0" w:color="auto"/>
            </w:tcBorders>
          </w:tcPr>
          <w:p w14:paraId="0D155966" w14:textId="77777777" w:rsidR="009B4BE2" w:rsidRPr="000564EB" w:rsidRDefault="009B4BE2" w:rsidP="00094D94">
            <w:pPr>
              <w:spacing w:line="276" w:lineRule="auto"/>
              <w:jc w:val="center"/>
              <w:rPr>
                <w:rFonts w:cs="Arial"/>
                <w:szCs w:val="24"/>
              </w:rPr>
            </w:pPr>
          </w:p>
        </w:tc>
        <w:tc>
          <w:tcPr>
            <w:tcW w:w="923" w:type="dxa"/>
            <w:tcBorders>
              <w:top w:val="single" w:sz="4" w:space="0" w:color="auto"/>
              <w:left w:val="single" w:sz="4" w:space="0" w:color="auto"/>
              <w:bottom w:val="single" w:sz="4" w:space="0" w:color="auto"/>
              <w:right w:val="single" w:sz="4" w:space="0" w:color="auto"/>
            </w:tcBorders>
          </w:tcPr>
          <w:p w14:paraId="071352BC" w14:textId="77777777" w:rsidR="009B4BE2" w:rsidRPr="000564EB" w:rsidRDefault="009B4BE2" w:rsidP="00094D94">
            <w:pPr>
              <w:spacing w:line="276" w:lineRule="auto"/>
              <w:jc w:val="center"/>
              <w:rPr>
                <w:rFonts w:cs="Arial"/>
                <w:szCs w:val="24"/>
              </w:rPr>
            </w:pPr>
          </w:p>
        </w:tc>
        <w:tc>
          <w:tcPr>
            <w:tcW w:w="1025" w:type="dxa"/>
            <w:tcBorders>
              <w:top w:val="single" w:sz="4" w:space="0" w:color="auto"/>
              <w:left w:val="single" w:sz="4" w:space="0" w:color="auto"/>
              <w:bottom w:val="single" w:sz="4" w:space="0" w:color="auto"/>
              <w:right w:val="single" w:sz="4" w:space="0" w:color="auto"/>
            </w:tcBorders>
          </w:tcPr>
          <w:p w14:paraId="0B599E03" w14:textId="77777777" w:rsidR="009B4BE2" w:rsidRPr="000564EB" w:rsidRDefault="009B4BE2" w:rsidP="00094D94">
            <w:pPr>
              <w:spacing w:line="276" w:lineRule="auto"/>
              <w:jc w:val="center"/>
              <w:rPr>
                <w:rFonts w:cs="Arial"/>
                <w:szCs w:val="24"/>
              </w:rPr>
            </w:pPr>
          </w:p>
        </w:tc>
        <w:tc>
          <w:tcPr>
            <w:tcW w:w="1025" w:type="dxa"/>
            <w:tcBorders>
              <w:top w:val="single" w:sz="4" w:space="0" w:color="auto"/>
              <w:left w:val="single" w:sz="4" w:space="0" w:color="auto"/>
              <w:bottom w:val="single" w:sz="4" w:space="0" w:color="auto"/>
              <w:right w:val="single" w:sz="4" w:space="0" w:color="auto"/>
            </w:tcBorders>
          </w:tcPr>
          <w:p w14:paraId="080F96E9" w14:textId="77777777" w:rsidR="009B4BE2" w:rsidRPr="000564EB" w:rsidRDefault="009B4BE2" w:rsidP="00094D94">
            <w:pPr>
              <w:spacing w:line="276" w:lineRule="auto"/>
              <w:jc w:val="center"/>
              <w:rPr>
                <w:rFonts w:cs="Arial"/>
                <w:szCs w:val="24"/>
              </w:rPr>
            </w:pPr>
          </w:p>
        </w:tc>
        <w:tc>
          <w:tcPr>
            <w:tcW w:w="989" w:type="dxa"/>
            <w:tcBorders>
              <w:top w:val="single" w:sz="4" w:space="0" w:color="auto"/>
              <w:left w:val="single" w:sz="4" w:space="0" w:color="auto"/>
              <w:bottom w:val="single" w:sz="4" w:space="0" w:color="auto"/>
              <w:right w:val="single" w:sz="4" w:space="0" w:color="auto"/>
            </w:tcBorders>
          </w:tcPr>
          <w:p w14:paraId="591D1680" w14:textId="77777777" w:rsidR="009B4BE2" w:rsidRPr="000564EB" w:rsidRDefault="009B4BE2" w:rsidP="00094D94">
            <w:pPr>
              <w:spacing w:line="276" w:lineRule="auto"/>
              <w:jc w:val="center"/>
              <w:rPr>
                <w:rFonts w:cs="Arial"/>
                <w:szCs w:val="24"/>
              </w:rPr>
            </w:pPr>
          </w:p>
        </w:tc>
        <w:tc>
          <w:tcPr>
            <w:tcW w:w="993" w:type="dxa"/>
            <w:tcBorders>
              <w:top w:val="single" w:sz="4" w:space="0" w:color="auto"/>
              <w:left w:val="single" w:sz="4" w:space="0" w:color="auto"/>
              <w:bottom w:val="single" w:sz="4" w:space="0" w:color="auto"/>
              <w:right w:val="single" w:sz="4" w:space="0" w:color="auto"/>
            </w:tcBorders>
          </w:tcPr>
          <w:p w14:paraId="4BF50CA2" w14:textId="77777777" w:rsidR="009B4BE2" w:rsidRPr="000564EB" w:rsidRDefault="009B4BE2" w:rsidP="00094D94">
            <w:pPr>
              <w:spacing w:line="276" w:lineRule="auto"/>
              <w:jc w:val="center"/>
              <w:rPr>
                <w:rFonts w:cs="Arial"/>
                <w:szCs w:val="24"/>
              </w:rPr>
            </w:pPr>
          </w:p>
        </w:tc>
        <w:tc>
          <w:tcPr>
            <w:tcW w:w="511" w:type="dxa"/>
            <w:tcBorders>
              <w:top w:val="single" w:sz="4" w:space="0" w:color="auto"/>
              <w:left w:val="single" w:sz="4" w:space="0" w:color="auto"/>
              <w:bottom w:val="single" w:sz="4" w:space="0" w:color="auto"/>
              <w:right w:val="single" w:sz="4" w:space="0" w:color="auto"/>
            </w:tcBorders>
          </w:tcPr>
          <w:p w14:paraId="12F27E6B" w14:textId="77777777" w:rsidR="009B4BE2" w:rsidRPr="000564EB" w:rsidRDefault="009B4BE2" w:rsidP="00094D94">
            <w:pPr>
              <w:spacing w:line="276" w:lineRule="auto"/>
              <w:jc w:val="center"/>
              <w:rPr>
                <w:rFonts w:cs="Arial"/>
                <w:szCs w:val="24"/>
              </w:rPr>
            </w:pPr>
          </w:p>
        </w:tc>
        <w:tc>
          <w:tcPr>
            <w:tcW w:w="511" w:type="dxa"/>
            <w:tcBorders>
              <w:top w:val="single" w:sz="4" w:space="0" w:color="auto"/>
              <w:left w:val="single" w:sz="4" w:space="0" w:color="auto"/>
              <w:bottom w:val="single" w:sz="4" w:space="0" w:color="auto"/>
              <w:right w:val="single" w:sz="4" w:space="0" w:color="auto"/>
            </w:tcBorders>
          </w:tcPr>
          <w:p w14:paraId="7BE880FF" w14:textId="77777777" w:rsidR="009B4BE2" w:rsidRPr="000564EB" w:rsidRDefault="009B4BE2" w:rsidP="00094D94">
            <w:pPr>
              <w:spacing w:line="276" w:lineRule="auto"/>
              <w:jc w:val="center"/>
              <w:rPr>
                <w:rFonts w:cs="Arial"/>
                <w:szCs w:val="24"/>
              </w:rPr>
            </w:pPr>
          </w:p>
        </w:tc>
        <w:tc>
          <w:tcPr>
            <w:tcW w:w="511" w:type="dxa"/>
            <w:tcBorders>
              <w:top w:val="single" w:sz="4" w:space="0" w:color="auto"/>
              <w:left w:val="single" w:sz="4" w:space="0" w:color="auto"/>
              <w:bottom w:val="single" w:sz="4" w:space="0" w:color="auto"/>
              <w:right w:val="single" w:sz="4" w:space="0" w:color="auto"/>
            </w:tcBorders>
          </w:tcPr>
          <w:p w14:paraId="21A9A455" w14:textId="77777777" w:rsidR="009B4BE2" w:rsidRPr="000564EB" w:rsidRDefault="009B4BE2" w:rsidP="00094D94">
            <w:pPr>
              <w:spacing w:line="276" w:lineRule="auto"/>
              <w:jc w:val="center"/>
              <w:rPr>
                <w:rFonts w:cs="Arial"/>
                <w:szCs w:val="24"/>
              </w:rPr>
            </w:pPr>
          </w:p>
        </w:tc>
        <w:tc>
          <w:tcPr>
            <w:tcW w:w="511" w:type="dxa"/>
            <w:tcBorders>
              <w:top w:val="single" w:sz="4" w:space="0" w:color="auto"/>
              <w:left w:val="single" w:sz="4" w:space="0" w:color="auto"/>
              <w:bottom w:val="single" w:sz="4" w:space="0" w:color="auto"/>
              <w:right w:val="single" w:sz="4" w:space="0" w:color="auto"/>
            </w:tcBorders>
          </w:tcPr>
          <w:p w14:paraId="041227BA" w14:textId="77777777" w:rsidR="009B4BE2" w:rsidRPr="000564EB" w:rsidRDefault="009B4BE2" w:rsidP="00094D94">
            <w:pPr>
              <w:spacing w:line="276" w:lineRule="auto"/>
              <w:jc w:val="center"/>
              <w:rPr>
                <w:rFonts w:cs="Arial"/>
                <w:szCs w:val="24"/>
              </w:rPr>
            </w:pPr>
          </w:p>
        </w:tc>
      </w:tr>
      <w:tr w:rsidR="009B4BE2" w:rsidRPr="000564EB" w14:paraId="578439FC" w14:textId="77777777" w:rsidTr="00094D94">
        <w:trPr>
          <w:gridAfter w:val="1"/>
          <w:wAfter w:w="30" w:type="dxa"/>
          <w:trHeight w:val="525"/>
        </w:trPr>
        <w:tc>
          <w:tcPr>
            <w:tcW w:w="245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2DE963B8" w14:textId="77777777" w:rsidR="009B4BE2" w:rsidRPr="000564EB" w:rsidRDefault="009B4BE2" w:rsidP="00094D94">
            <w:pPr>
              <w:spacing w:line="276" w:lineRule="auto"/>
              <w:rPr>
                <w:rFonts w:cs="Arial"/>
                <w:szCs w:val="24"/>
              </w:rPr>
            </w:pPr>
            <w:r w:rsidRPr="000564EB">
              <w:rPr>
                <w:rFonts w:cs="Arial"/>
                <w:szCs w:val="24"/>
              </w:rPr>
              <w:t xml:space="preserve">Exit Transition Plan </w:t>
            </w:r>
          </w:p>
        </w:tc>
        <w:tc>
          <w:tcPr>
            <w:tcW w:w="442" w:type="dxa"/>
            <w:tcBorders>
              <w:top w:val="single" w:sz="4" w:space="0" w:color="auto"/>
              <w:left w:val="single" w:sz="4" w:space="0" w:color="auto"/>
              <w:bottom w:val="single" w:sz="4" w:space="0" w:color="auto"/>
              <w:right w:val="single" w:sz="4" w:space="0" w:color="auto"/>
            </w:tcBorders>
            <w:vAlign w:val="center"/>
          </w:tcPr>
          <w:p w14:paraId="6DA34915"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vAlign w:val="center"/>
          </w:tcPr>
          <w:p w14:paraId="2C379029"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vAlign w:val="center"/>
          </w:tcPr>
          <w:p w14:paraId="6AA22D2A"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vAlign w:val="center"/>
          </w:tcPr>
          <w:p w14:paraId="6AAB8DE8" w14:textId="77777777" w:rsidR="009B4BE2" w:rsidRPr="000564EB" w:rsidRDefault="009B4BE2" w:rsidP="00094D94">
            <w:pPr>
              <w:spacing w:line="276" w:lineRule="auto"/>
              <w:jc w:val="center"/>
              <w:rPr>
                <w:rFonts w:cs="Arial"/>
                <w:szCs w:val="24"/>
                <w:lang w:eastAsia="en-GB"/>
              </w:rPr>
            </w:pPr>
            <w:r w:rsidRPr="000564EB">
              <w:rPr>
                <w:rFonts w:cs="Arial"/>
                <w:szCs w:val="24"/>
                <w:lang w:eastAsia="en-GB"/>
              </w:rPr>
              <w:sym w:font="Wingdings" w:char="F0FC"/>
            </w:r>
          </w:p>
        </w:tc>
        <w:tc>
          <w:tcPr>
            <w:tcW w:w="1147"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85" w:type="dxa"/>
            </w:tcMar>
          </w:tcPr>
          <w:p w14:paraId="526FDB77" w14:textId="77777777" w:rsidR="009B4BE2" w:rsidRPr="000564EB" w:rsidRDefault="009B4BE2" w:rsidP="00094D94">
            <w:pPr>
              <w:spacing w:line="276" w:lineRule="auto"/>
              <w:ind w:left="-113" w:right="-85"/>
              <w:jc w:val="center"/>
              <w:rPr>
                <w:rFonts w:cs="Arial"/>
                <w:szCs w:val="24"/>
              </w:rPr>
            </w:pPr>
            <w:r w:rsidRPr="000564EB">
              <w:rPr>
                <w:rFonts w:cs="Arial"/>
                <w:szCs w:val="24"/>
              </w:rPr>
              <w:t xml:space="preserve">Planning </w:t>
            </w:r>
          </w:p>
        </w:tc>
        <w:tc>
          <w:tcPr>
            <w:tcW w:w="1109" w:type="dxa"/>
            <w:tcBorders>
              <w:top w:val="single" w:sz="4" w:space="0" w:color="auto"/>
              <w:left w:val="single" w:sz="4" w:space="0" w:color="auto"/>
              <w:bottom w:val="single" w:sz="4" w:space="0" w:color="auto"/>
              <w:right w:val="single" w:sz="4" w:space="0" w:color="auto"/>
            </w:tcBorders>
          </w:tcPr>
          <w:p w14:paraId="28434A6F" w14:textId="77777777" w:rsidR="009B4BE2" w:rsidRPr="000564EB" w:rsidRDefault="009B4BE2" w:rsidP="00094D94">
            <w:pPr>
              <w:spacing w:line="276" w:lineRule="auto"/>
              <w:jc w:val="center"/>
              <w:rPr>
                <w:rFonts w:cs="Arial"/>
                <w:szCs w:val="24"/>
              </w:rPr>
            </w:pPr>
            <w:r w:rsidRPr="000564EB">
              <w:rPr>
                <w:rFonts w:cs="Arial"/>
                <w:szCs w:val="24"/>
              </w:rPr>
              <w:t>Sep 2018</w:t>
            </w:r>
          </w:p>
        </w:tc>
        <w:tc>
          <w:tcPr>
            <w:tcW w:w="1025" w:type="dxa"/>
            <w:tcBorders>
              <w:top w:val="single" w:sz="4" w:space="0" w:color="auto"/>
              <w:left w:val="single" w:sz="4" w:space="0" w:color="auto"/>
              <w:bottom w:val="single" w:sz="4" w:space="0" w:color="auto"/>
              <w:right w:val="single" w:sz="4" w:space="0" w:color="auto"/>
            </w:tcBorders>
          </w:tcPr>
          <w:p w14:paraId="388B54DF" w14:textId="77777777" w:rsidR="009B4BE2" w:rsidRPr="000564EB" w:rsidRDefault="009B4BE2" w:rsidP="00094D94">
            <w:pPr>
              <w:spacing w:line="276" w:lineRule="auto"/>
              <w:jc w:val="center"/>
              <w:rPr>
                <w:rFonts w:cs="Arial"/>
                <w:szCs w:val="24"/>
              </w:rPr>
            </w:pPr>
          </w:p>
        </w:tc>
        <w:tc>
          <w:tcPr>
            <w:tcW w:w="923" w:type="dxa"/>
            <w:tcBorders>
              <w:top w:val="single" w:sz="4" w:space="0" w:color="auto"/>
              <w:left w:val="single" w:sz="4" w:space="0" w:color="auto"/>
              <w:bottom w:val="single" w:sz="4" w:space="0" w:color="auto"/>
              <w:right w:val="single" w:sz="4" w:space="0" w:color="auto"/>
            </w:tcBorders>
          </w:tcPr>
          <w:p w14:paraId="5443D2F7" w14:textId="77777777" w:rsidR="009B4BE2" w:rsidRPr="000564EB" w:rsidRDefault="009B4BE2" w:rsidP="00094D94">
            <w:pPr>
              <w:spacing w:line="276" w:lineRule="auto"/>
              <w:jc w:val="center"/>
              <w:rPr>
                <w:rFonts w:cs="Arial"/>
                <w:szCs w:val="24"/>
              </w:rPr>
            </w:pPr>
          </w:p>
        </w:tc>
        <w:tc>
          <w:tcPr>
            <w:tcW w:w="1025" w:type="dxa"/>
            <w:tcBorders>
              <w:top w:val="single" w:sz="4" w:space="0" w:color="auto"/>
              <w:left w:val="single" w:sz="4" w:space="0" w:color="auto"/>
              <w:bottom w:val="single" w:sz="4" w:space="0" w:color="auto"/>
              <w:right w:val="single" w:sz="4" w:space="0" w:color="auto"/>
            </w:tcBorders>
          </w:tcPr>
          <w:p w14:paraId="49013368" w14:textId="77777777" w:rsidR="009B4BE2" w:rsidRPr="000564EB" w:rsidRDefault="009B4BE2" w:rsidP="00094D94">
            <w:pPr>
              <w:spacing w:line="276" w:lineRule="auto"/>
              <w:jc w:val="center"/>
              <w:rPr>
                <w:rFonts w:cs="Arial"/>
                <w:szCs w:val="24"/>
              </w:rPr>
            </w:pPr>
          </w:p>
        </w:tc>
        <w:tc>
          <w:tcPr>
            <w:tcW w:w="1025" w:type="dxa"/>
            <w:tcBorders>
              <w:top w:val="single" w:sz="4" w:space="0" w:color="auto"/>
              <w:left w:val="single" w:sz="4" w:space="0" w:color="auto"/>
              <w:bottom w:val="single" w:sz="4" w:space="0" w:color="auto"/>
              <w:right w:val="single" w:sz="4" w:space="0" w:color="auto"/>
            </w:tcBorders>
          </w:tcPr>
          <w:p w14:paraId="4E1E0947" w14:textId="77777777" w:rsidR="009B4BE2" w:rsidRPr="000564EB" w:rsidRDefault="009B4BE2" w:rsidP="00094D94">
            <w:pPr>
              <w:spacing w:line="276" w:lineRule="auto"/>
              <w:jc w:val="center"/>
              <w:rPr>
                <w:rFonts w:cs="Arial"/>
                <w:szCs w:val="24"/>
              </w:rPr>
            </w:pPr>
          </w:p>
        </w:tc>
        <w:tc>
          <w:tcPr>
            <w:tcW w:w="989" w:type="dxa"/>
            <w:tcBorders>
              <w:top w:val="single" w:sz="4" w:space="0" w:color="auto"/>
              <w:left w:val="single" w:sz="4" w:space="0" w:color="auto"/>
              <w:bottom w:val="single" w:sz="4" w:space="0" w:color="auto"/>
              <w:right w:val="single" w:sz="4" w:space="0" w:color="auto"/>
            </w:tcBorders>
          </w:tcPr>
          <w:p w14:paraId="7156C33B" w14:textId="77777777" w:rsidR="009B4BE2" w:rsidRPr="000564EB" w:rsidRDefault="009B4BE2" w:rsidP="00094D94">
            <w:pPr>
              <w:spacing w:line="276" w:lineRule="auto"/>
              <w:jc w:val="center"/>
              <w:rPr>
                <w:rFonts w:cs="Arial"/>
                <w:szCs w:val="24"/>
              </w:rPr>
            </w:pPr>
          </w:p>
        </w:tc>
        <w:tc>
          <w:tcPr>
            <w:tcW w:w="993" w:type="dxa"/>
            <w:tcBorders>
              <w:top w:val="single" w:sz="4" w:space="0" w:color="auto"/>
              <w:left w:val="single" w:sz="4" w:space="0" w:color="auto"/>
              <w:bottom w:val="single" w:sz="4" w:space="0" w:color="auto"/>
              <w:right w:val="single" w:sz="4" w:space="0" w:color="auto"/>
            </w:tcBorders>
          </w:tcPr>
          <w:p w14:paraId="288C917E" w14:textId="77777777" w:rsidR="009B4BE2" w:rsidRPr="000564EB" w:rsidRDefault="009B4BE2" w:rsidP="00094D94">
            <w:pPr>
              <w:spacing w:line="276" w:lineRule="auto"/>
              <w:jc w:val="center"/>
              <w:rPr>
                <w:rFonts w:cs="Arial"/>
                <w:szCs w:val="24"/>
              </w:rPr>
            </w:pPr>
          </w:p>
        </w:tc>
        <w:tc>
          <w:tcPr>
            <w:tcW w:w="511" w:type="dxa"/>
            <w:tcBorders>
              <w:top w:val="single" w:sz="4" w:space="0" w:color="auto"/>
              <w:left w:val="single" w:sz="4" w:space="0" w:color="auto"/>
              <w:bottom w:val="single" w:sz="4" w:space="0" w:color="auto"/>
              <w:right w:val="single" w:sz="4" w:space="0" w:color="auto"/>
            </w:tcBorders>
          </w:tcPr>
          <w:p w14:paraId="33B64758" w14:textId="77777777" w:rsidR="009B4BE2" w:rsidRPr="000564EB" w:rsidRDefault="009B4BE2" w:rsidP="00094D94">
            <w:pPr>
              <w:spacing w:line="276" w:lineRule="auto"/>
              <w:jc w:val="center"/>
              <w:rPr>
                <w:rFonts w:cs="Arial"/>
                <w:szCs w:val="24"/>
              </w:rPr>
            </w:pPr>
          </w:p>
        </w:tc>
        <w:tc>
          <w:tcPr>
            <w:tcW w:w="511" w:type="dxa"/>
            <w:tcBorders>
              <w:top w:val="single" w:sz="4" w:space="0" w:color="auto"/>
              <w:left w:val="single" w:sz="4" w:space="0" w:color="auto"/>
              <w:bottom w:val="single" w:sz="4" w:space="0" w:color="auto"/>
              <w:right w:val="single" w:sz="4" w:space="0" w:color="auto"/>
            </w:tcBorders>
          </w:tcPr>
          <w:p w14:paraId="72DBDA20" w14:textId="77777777" w:rsidR="009B4BE2" w:rsidRPr="000564EB" w:rsidRDefault="009B4BE2" w:rsidP="00094D94">
            <w:pPr>
              <w:spacing w:line="276" w:lineRule="auto"/>
              <w:jc w:val="center"/>
              <w:rPr>
                <w:rFonts w:cs="Arial"/>
                <w:szCs w:val="24"/>
              </w:rPr>
            </w:pPr>
          </w:p>
        </w:tc>
        <w:tc>
          <w:tcPr>
            <w:tcW w:w="511" w:type="dxa"/>
            <w:tcBorders>
              <w:top w:val="single" w:sz="4" w:space="0" w:color="auto"/>
              <w:left w:val="single" w:sz="4" w:space="0" w:color="auto"/>
              <w:bottom w:val="single" w:sz="4" w:space="0" w:color="auto"/>
              <w:right w:val="single" w:sz="4" w:space="0" w:color="auto"/>
            </w:tcBorders>
          </w:tcPr>
          <w:p w14:paraId="774BF1B0" w14:textId="77777777" w:rsidR="009B4BE2" w:rsidRPr="000564EB" w:rsidRDefault="009B4BE2" w:rsidP="00094D94">
            <w:pPr>
              <w:spacing w:line="276" w:lineRule="auto"/>
              <w:jc w:val="center"/>
              <w:rPr>
                <w:rFonts w:cs="Arial"/>
                <w:szCs w:val="24"/>
              </w:rPr>
            </w:pPr>
          </w:p>
        </w:tc>
        <w:tc>
          <w:tcPr>
            <w:tcW w:w="511" w:type="dxa"/>
            <w:tcBorders>
              <w:top w:val="single" w:sz="4" w:space="0" w:color="auto"/>
              <w:left w:val="single" w:sz="4" w:space="0" w:color="auto"/>
              <w:bottom w:val="single" w:sz="4" w:space="0" w:color="auto"/>
              <w:right w:val="single" w:sz="4" w:space="0" w:color="auto"/>
            </w:tcBorders>
          </w:tcPr>
          <w:p w14:paraId="3783D4B7" w14:textId="77777777" w:rsidR="009B4BE2" w:rsidRPr="000564EB" w:rsidRDefault="009B4BE2" w:rsidP="00094D94">
            <w:pPr>
              <w:spacing w:line="276" w:lineRule="auto"/>
              <w:jc w:val="center"/>
              <w:rPr>
                <w:rFonts w:cs="Arial"/>
                <w:szCs w:val="24"/>
              </w:rPr>
            </w:pPr>
          </w:p>
        </w:tc>
      </w:tr>
      <w:tr w:rsidR="009B4BE2" w:rsidRPr="000564EB" w14:paraId="1663FC9D" w14:textId="77777777" w:rsidTr="00094D94">
        <w:trPr>
          <w:gridAfter w:val="1"/>
          <w:wAfter w:w="30" w:type="dxa"/>
          <w:trHeight w:val="525"/>
        </w:trPr>
        <w:tc>
          <w:tcPr>
            <w:tcW w:w="245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6B159A8" w14:textId="77777777" w:rsidR="009B4BE2" w:rsidRPr="000564EB" w:rsidRDefault="009B4BE2" w:rsidP="00094D94">
            <w:pPr>
              <w:spacing w:line="276" w:lineRule="auto"/>
              <w:rPr>
                <w:rFonts w:cs="Arial"/>
                <w:szCs w:val="24"/>
                <w:lang w:eastAsia="en-GB"/>
              </w:rPr>
            </w:pPr>
            <w:r w:rsidRPr="000564EB">
              <w:rPr>
                <w:rFonts w:cs="Arial"/>
                <w:szCs w:val="24"/>
              </w:rPr>
              <w:t>GIA Annual Assurance Statement (2017 / 2018)</w:t>
            </w:r>
          </w:p>
        </w:tc>
        <w:tc>
          <w:tcPr>
            <w:tcW w:w="442" w:type="dxa"/>
            <w:tcBorders>
              <w:top w:val="single" w:sz="4" w:space="0" w:color="auto"/>
              <w:left w:val="single" w:sz="4" w:space="0" w:color="auto"/>
              <w:bottom w:val="single" w:sz="4" w:space="0" w:color="auto"/>
              <w:right w:val="single" w:sz="4" w:space="0" w:color="auto"/>
            </w:tcBorders>
            <w:vAlign w:val="center"/>
            <w:hideMark/>
          </w:tcPr>
          <w:p w14:paraId="5CC94517" w14:textId="77777777" w:rsidR="009B4BE2" w:rsidRPr="000564EB" w:rsidRDefault="009B4BE2" w:rsidP="00094D94">
            <w:pPr>
              <w:spacing w:line="276" w:lineRule="auto"/>
              <w:jc w:val="center"/>
              <w:rPr>
                <w:rFonts w:cs="Arial"/>
                <w:szCs w:val="24"/>
                <w:lang w:eastAsia="en-GB"/>
              </w:rPr>
            </w:pPr>
            <w:r w:rsidRPr="000564EB">
              <w:rPr>
                <w:rFonts w:cs="Arial"/>
                <w:szCs w:val="24"/>
                <w:lang w:eastAsia="en-GB"/>
              </w:rPr>
              <w:sym w:font="Wingdings" w:char="F0FC"/>
            </w:r>
          </w:p>
        </w:tc>
        <w:tc>
          <w:tcPr>
            <w:tcW w:w="511" w:type="dxa"/>
            <w:tcBorders>
              <w:top w:val="single" w:sz="4" w:space="0" w:color="auto"/>
              <w:left w:val="single" w:sz="4" w:space="0" w:color="auto"/>
              <w:bottom w:val="single" w:sz="4" w:space="0" w:color="auto"/>
              <w:right w:val="single" w:sz="4" w:space="0" w:color="auto"/>
            </w:tcBorders>
            <w:vAlign w:val="center"/>
          </w:tcPr>
          <w:p w14:paraId="306C7300"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vAlign w:val="center"/>
          </w:tcPr>
          <w:p w14:paraId="4B849334"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vAlign w:val="center"/>
          </w:tcPr>
          <w:p w14:paraId="38100151" w14:textId="77777777" w:rsidR="009B4BE2" w:rsidRPr="000564EB" w:rsidRDefault="009B4BE2" w:rsidP="00094D94">
            <w:pPr>
              <w:spacing w:line="276" w:lineRule="auto"/>
              <w:jc w:val="center"/>
              <w:rPr>
                <w:rFonts w:cs="Arial"/>
                <w:szCs w:val="24"/>
                <w:lang w:eastAsia="en-GB"/>
              </w:rPr>
            </w:pPr>
          </w:p>
        </w:tc>
        <w:tc>
          <w:tcPr>
            <w:tcW w:w="1147"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85" w:type="dxa"/>
            </w:tcMar>
            <w:hideMark/>
          </w:tcPr>
          <w:p w14:paraId="590F4895" w14:textId="77777777" w:rsidR="009B4BE2" w:rsidRPr="000564EB" w:rsidRDefault="009B4BE2" w:rsidP="00094D94">
            <w:pPr>
              <w:spacing w:line="276" w:lineRule="auto"/>
              <w:ind w:left="-113" w:right="-85"/>
              <w:jc w:val="center"/>
              <w:rPr>
                <w:rFonts w:cs="Arial"/>
                <w:szCs w:val="24"/>
                <w:lang w:eastAsia="en-GB"/>
              </w:rPr>
            </w:pPr>
            <w:r w:rsidRPr="000564EB">
              <w:rPr>
                <w:rFonts w:cs="Arial"/>
                <w:szCs w:val="24"/>
              </w:rPr>
              <w:t xml:space="preserve">Final </w:t>
            </w:r>
          </w:p>
        </w:tc>
        <w:tc>
          <w:tcPr>
            <w:tcW w:w="1109" w:type="dxa"/>
            <w:tcBorders>
              <w:top w:val="single" w:sz="4" w:space="0" w:color="auto"/>
              <w:left w:val="single" w:sz="4" w:space="0" w:color="auto"/>
              <w:bottom w:val="single" w:sz="4" w:space="0" w:color="auto"/>
              <w:right w:val="single" w:sz="4" w:space="0" w:color="auto"/>
            </w:tcBorders>
            <w:hideMark/>
          </w:tcPr>
          <w:p w14:paraId="3A6052E6" w14:textId="77777777" w:rsidR="009B4BE2" w:rsidRPr="000564EB" w:rsidRDefault="009B4BE2" w:rsidP="00094D94">
            <w:pPr>
              <w:spacing w:line="276" w:lineRule="auto"/>
              <w:jc w:val="center"/>
              <w:rPr>
                <w:rFonts w:cs="Arial"/>
                <w:color w:val="000000"/>
                <w:szCs w:val="24"/>
                <w:lang w:eastAsia="en-GB"/>
              </w:rPr>
            </w:pPr>
            <w:r w:rsidRPr="000564EB">
              <w:rPr>
                <w:rFonts w:cs="Arial"/>
                <w:szCs w:val="24"/>
              </w:rPr>
              <w:t>N/A</w:t>
            </w:r>
          </w:p>
        </w:tc>
        <w:tc>
          <w:tcPr>
            <w:tcW w:w="1025" w:type="dxa"/>
            <w:tcBorders>
              <w:top w:val="single" w:sz="4" w:space="0" w:color="auto"/>
              <w:left w:val="single" w:sz="4" w:space="0" w:color="auto"/>
              <w:bottom w:val="single" w:sz="4" w:space="0" w:color="auto"/>
              <w:right w:val="single" w:sz="4" w:space="0" w:color="auto"/>
            </w:tcBorders>
            <w:hideMark/>
          </w:tcPr>
          <w:p w14:paraId="1C590212" w14:textId="77777777" w:rsidR="009B4BE2" w:rsidRPr="000564EB" w:rsidRDefault="009B4BE2" w:rsidP="00094D94">
            <w:pPr>
              <w:spacing w:line="276" w:lineRule="auto"/>
              <w:jc w:val="center"/>
              <w:rPr>
                <w:rFonts w:cs="Arial"/>
                <w:szCs w:val="24"/>
                <w:lang w:eastAsia="en-GB"/>
              </w:rPr>
            </w:pPr>
            <w:r w:rsidRPr="000564EB">
              <w:rPr>
                <w:rFonts w:cs="Arial"/>
                <w:szCs w:val="24"/>
              </w:rPr>
              <w:t>N/A</w:t>
            </w:r>
          </w:p>
        </w:tc>
        <w:tc>
          <w:tcPr>
            <w:tcW w:w="923" w:type="dxa"/>
            <w:tcBorders>
              <w:top w:val="single" w:sz="4" w:space="0" w:color="auto"/>
              <w:left w:val="single" w:sz="4" w:space="0" w:color="auto"/>
              <w:bottom w:val="single" w:sz="4" w:space="0" w:color="auto"/>
              <w:right w:val="single" w:sz="4" w:space="0" w:color="auto"/>
            </w:tcBorders>
            <w:hideMark/>
          </w:tcPr>
          <w:p w14:paraId="1DB12F14" w14:textId="77777777" w:rsidR="009B4BE2" w:rsidRPr="000564EB" w:rsidRDefault="009B4BE2" w:rsidP="00094D94">
            <w:pPr>
              <w:spacing w:line="276" w:lineRule="auto"/>
              <w:jc w:val="center"/>
              <w:rPr>
                <w:rFonts w:cs="Arial"/>
                <w:szCs w:val="24"/>
                <w:lang w:eastAsia="en-GB"/>
              </w:rPr>
            </w:pPr>
            <w:r w:rsidRPr="000564EB">
              <w:rPr>
                <w:rFonts w:cs="Arial"/>
                <w:szCs w:val="24"/>
              </w:rPr>
              <w:t>N/A</w:t>
            </w:r>
          </w:p>
        </w:tc>
        <w:tc>
          <w:tcPr>
            <w:tcW w:w="1025" w:type="dxa"/>
            <w:tcBorders>
              <w:top w:val="single" w:sz="4" w:space="0" w:color="auto"/>
              <w:left w:val="single" w:sz="4" w:space="0" w:color="auto"/>
              <w:bottom w:val="single" w:sz="4" w:space="0" w:color="auto"/>
              <w:right w:val="single" w:sz="4" w:space="0" w:color="auto"/>
            </w:tcBorders>
            <w:hideMark/>
          </w:tcPr>
          <w:p w14:paraId="3167D122" w14:textId="77777777" w:rsidR="009B4BE2" w:rsidRPr="000564EB" w:rsidRDefault="009B4BE2" w:rsidP="00094D94">
            <w:pPr>
              <w:spacing w:line="276" w:lineRule="auto"/>
              <w:jc w:val="center"/>
              <w:rPr>
                <w:rFonts w:cs="Arial"/>
                <w:szCs w:val="24"/>
                <w:lang w:eastAsia="en-GB"/>
              </w:rPr>
            </w:pPr>
            <w:r w:rsidRPr="000564EB">
              <w:rPr>
                <w:rFonts w:cs="Arial"/>
                <w:szCs w:val="24"/>
              </w:rPr>
              <w:t>N/A</w:t>
            </w:r>
          </w:p>
        </w:tc>
        <w:tc>
          <w:tcPr>
            <w:tcW w:w="1025" w:type="dxa"/>
            <w:tcBorders>
              <w:top w:val="single" w:sz="4" w:space="0" w:color="auto"/>
              <w:left w:val="single" w:sz="4" w:space="0" w:color="auto"/>
              <w:bottom w:val="single" w:sz="4" w:space="0" w:color="auto"/>
              <w:right w:val="single" w:sz="4" w:space="0" w:color="auto"/>
            </w:tcBorders>
            <w:hideMark/>
          </w:tcPr>
          <w:p w14:paraId="76CEC809" w14:textId="77777777" w:rsidR="009B4BE2" w:rsidRPr="000564EB" w:rsidRDefault="009B4BE2" w:rsidP="00094D94">
            <w:pPr>
              <w:spacing w:line="276" w:lineRule="auto"/>
              <w:jc w:val="center"/>
              <w:rPr>
                <w:rFonts w:cs="Arial"/>
                <w:szCs w:val="24"/>
                <w:lang w:eastAsia="en-GB"/>
              </w:rPr>
            </w:pPr>
            <w:r w:rsidRPr="000564EB">
              <w:rPr>
                <w:rFonts w:cs="Arial"/>
                <w:szCs w:val="24"/>
              </w:rPr>
              <w:t>N/A</w:t>
            </w:r>
          </w:p>
        </w:tc>
        <w:tc>
          <w:tcPr>
            <w:tcW w:w="989" w:type="dxa"/>
            <w:tcBorders>
              <w:top w:val="single" w:sz="4" w:space="0" w:color="auto"/>
              <w:left w:val="single" w:sz="4" w:space="0" w:color="auto"/>
              <w:bottom w:val="single" w:sz="4" w:space="0" w:color="auto"/>
              <w:right w:val="single" w:sz="4" w:space="0" w:color="auto"/>
            </w:tcBorders>
            <w:hideMark/>
          </w:tcPr>
          <w:p w14:paraId="75DCF46E" w14:textId="77777777" w:rsidR="009B4BE2" w:rsidRPr="000564EB" w:rsidRDefault="009B4BE2" w:rsidP="00094D94">
            <w:pPr>
              <w:spacing w:line="276" w:lineRule="auto"/>
              <w:jc w:val="center"/>
              <w:rPr>
                <w:rFonts w:cs="Arial"/>
                <w:szCs w:val="24"/>
                <w:lang w:eastAsia="en-GB"/>
              </w:rPr>
            </w:pPr>
            <w:r w:rsidRPr="000564EB">
              <w:rPr>
                <w:rFonts w:cs="Arial"/>
                <w:szCs w:val="24"/>
              </w:rPr>
              <w:t>N/A</w:t>
            </w:r>
          </w:p>
        </w:tc>
        <w:tc>
          <w:tcPr>
            <w:tcW w:w="993" w:type="dxa"/>
            <w:tcBorders>
              <w:top w:val="single" w:sz="4" w:space="0" w:color="auto"/>
              <w:left w:val="single" w:sz="4" w:space="0" w:color="auto"/>
              <w:bottom w:val="single" w:sz="4" w:space="0" w:color="auto"/>
              <w:right w:val="single" w:sz="4" w:space="0" w:color="auto"/>
            </w:tcBorders>
            <w:hideMark/>
          </w:tcPr>
          <w:p w14:paraId="389A2735" w14:textId="77777777" w:rsidR="009B4BE2" w:rsidRPr="000564EB" w:rsidRDefault="009B4BE2" w:rsidP="00094D94">
            <w:pPr>
              <w:spacing w:line="276" w:lineRule="auto"/>
              <w:jc w:val="center"/>
              <w:rPr>
                <w:rFonts w:cs="Arial"/>
                <w:szCs w:val="24"/>
                <w:lang w:eastAsia="en-GB"/>
              </w:rPr>
            </w:pPr>
            <w:r w:rsidRPr="000564EB">
              <w:rPr>
                <w:rFonts w:cs="Arial"/>
                <w:szCs w:val="24"/>
              </w:rPr>
              <w:t>N/A</w:t>
            </w:r>
          </w:p>
        </w:tc>
        <w:tc>
          <w:tcPr>
            <w:tcW w:w="511" w:type="dxa"/>
            <w:tcBorders>
              <w:top w:val="single" w:sz="4" w:space="0" w:color="auto"/>
              <w:left w:val="single" w:sz="4" w:space="0" w:color="auto"/>
              <w:bottom w:val="single" w:sz="4" w:space="0" w:color="auto"/>
              <w:right w:val="single" w:sz="4" w:space="0" w:color="auto"/>
            </w:tcBorders>
            <w:hideMark/>
          </w:tcPr>
          <w:p w14:paraId="0CDEF0DA" w14:textId="77777777" w:rsidR="009B4BE2" w:rsidRPr="000564EB" w:rsidRDefault="009B4BE2" w:rsidP="00094D94">
            <w:pPr>
              <w:spacing w:line="276" w:lineRule="auto"/>
              <w:jc w:val="center"/>
              <w:rPr>
                <w:rFonts w:cs="Arial"/>
                <w:szCs w:val="24"/>
                <w:lang w:eastAsia="en-GB"/>
              </w:rPr>
            </w:pPr>
            <w:r w:rsidRPr="000564EB">
              <w:rPr>
                <w:rFonts w:cs="Arial"/>
                <w:szCs w:val="24"/>
              </w:rPr>
              <w:t>-</w:t>
            </w:r>
          </w:p>
        </w:tc>
        <w:tc>
          <w:tcPr>
            <w:tcW w:w="511" w:type="dxa"/>
            <w:tcBorders>
              <w:top w:val="single" w:sz="4" w:space="0" w:color="auto"/>
              <w:left w:val="single" w:sz="4" w:space="0" w:color="auto"/>
              <w:bottom w:val="single" w:sz="4" w:space="0" w:color="auto"/>
              <w:right w:val="single" w:sz="4" w:space="0" w:color="auto"/>
            </w:tcBorders>
            <w:hideMark/>
          </w:tcPr>
          <w:p w14:paraId="5FCA9171" w14:textId="77777777" w:rsidR="009B4BE2" w:rsidRPr="000564EB" w:rsidRDefault="009B4BE2" w:rsidP="00094D94">
            <w:pPr>
              <w:spacing w:line="276" w:lineRule="auto"/>
              <w:jc w:val="center"/>
              <w:rPr>
                <w:rFonts w:cs="Arial"/>
                <w:szCs w:val="24"/>
                <w:lang w:eastAsia="en-GB"/>
              </w:rPr>
            </w:pPr>
            <w:r w:rsidRPr="000564EB">
              <w:rPr>
                <w:rFonts w:cs="Arial"/>
                <w:szCs w:val="24"/>
              </w:rPr>
              <w:t>-</w:t>
            </w:r>
          </w:p>
        </w:tc>
        <w:tc>
          <w:tcPr>
            <w:tcW w:w="511" w:type="dxa"/>
            <w:tcBorders>
              <w:top w:val="single" w:sz="4" w:space="0" w:color="auto"/>
              <w:left w:val="single" w:sz="4" w:space="0" w:color="auto"/>
              <w:bottom w:val="single" w:sz="4" w:space="0" w:color="auto"/>
              <w:right w:val="single" w:sz="4" w:space="0" w:color="auto"/>
            </w:tcBorders>
            <w:hideMark/>
          </w:tcPr>
          <w:p w14:paraId="793A895E" w14:textId="77777777" w:rsidR="009B4BE2" w:rsidRPr="000564EB" w:rsidRDefault="009B4BE2" w:rsidP="00094D94">
            <w:pPr>
              <w:spacing w:line="276" w:lineRule="auto"/>
              <w:jc w:val="center"/>
              <w:rPr>
                <w:rFonts w:cs="Arial"/>
                <w:szCs w:val="24"/>
                <w:lang w:eastAsia="en-GB"/>
              </w:rPr>
            </w:pPr>
            <w:r w:rsidRPr="000564EB">
              <w:rPr>
                <w:rFonts w:cs="Arial"/>
                <w:szCs w:val="24"/>
              </w:rPr>
              <w:t>-</w:t>
            </w:r>
          </w:p>
        </w:tc>
        <w:tc>
          <w:tcPr>
            <w:tcW w:w="511" w:type="dxa"/>
            <w:tcBorders>
              <w:top w:val="single" w:sz="4" w:space="0" w:color="auto"/>
              <w:left w:val="single" w:sz="4" w:space="0" w:color="auto"/>
              <w:bottom w:val="single" w:sz="4" w:space="0" w:color="auto"/>
              <w:right w:val="single" w:sz="4" w:space="0" w:color="auto"/>
            </w:tcBorders>
            <w:hideMark/>
          </w:tcPr>
          <w:p w14:paraId="55B4DBE0" w14:textId="77777777" w:rsidR="009B4BE2" w:rsidRPr="000564EB" w:rsidRDefault="009B4BE2" w:rsidP="00094D94">
            <w:pPr>
              <w:spacing w:line="276" w:lineRule="auto"/>
              <w:jc w:val="center"/>
              <w:rPr>
                <w:rFonts w:cs="Arial"/>
                <w:szCs w:val="24"/>
                <w:lang w:eastAsia="en-GB"/>
              </w:rPr>
            </w:pPr>
            <w:r w:rsidRPr="000564EB">
              <w:rPr>
                <w:rFonts w:cs="Arial"/>
                <w:szCs w:val="24"/>
              </w:rPr>
              <w:t>-</w:t>
            </w:r>
          </w:p>
        </w:tc>
      </w:tr>
      <w:tr w:rsidR="009B4BE2" w:rsidRPr="000564EB" w14:paraId="44E4D98F" w14:textId="77777777" w:rsidTr="00094D94">
        <w:trPr>
          <w:trHeight w:val="188"/>
        </w:trPr>
        <w:tc>
          <w:tcPr>
            <w:tcW w:w="14737" w:type="dxa"/>
            <w:gridSpan w:val="19"/>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4DEDD84" w14:textId="77777777" w:rsidR="009B4BE2" w:rsidRPr="000564EB" w:rsidRDefault="009B4BE2" w:rsidP="00094D94">
            <w:pPr>
              <w:spacing w:line="276" w:lineRule="auto"/>
              <w:rPr>
                <w:rFonts w:cs="Arial"/>
                <w:b/>
                <w:szCs w:val="24"/>
                <w:lang w:eastAsia="en-GB"/>
              </w:rPr>
            </w:pPr>
            <w:r w:rsidRPr="000564EB">
              <w:rPr>
                <w:rFonts w:cs="Arial"/>
                <w:b/>
                <w:szCs w:val="24"/>
              </w:rPr>
              <w:t>CES Head of Business Assurance Activity (HoBA)</w:t>
            </w:r>
          </w:p>
        </w:tc>
      </w:tr>
      <w:tr w:rsidR="009B4BE2" w:rsidRPr="000564EB" w14:paraId="45795FA9" w14:textId="77777777" w:rsidTr="00094D94">
        <w:trPr>
          <w:gridAfter w:val="1"/>
          <w:wAfter w:w="30" w:type="dxa"/>
          <w:trHeight w:val="525"/>
        </w:trPr>
        <w:tc>
          <w:tcPr>
            <w:tcW w:w="245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A7B1D2A" w14:textId="77777777" w:rsidR="009B4BE2" w:rsidRPr="000564EB" w:rsidRDefault="009B4BE2" w:rsidP="00094D94">
            <w:pPr>
              <w:spacing w:line="276" w:lineRule="auto"/>
              <w:rPr>
                <w:rFonts w:cs="Arial"/>
                <w:szCs w:val="24"/>
                <w:lang w:eastAsia="en-GB"/>
              </w:rPr>
            </w:pPr>
            <w:r w:rsidRPr="000564EB">
              <w:rPr>
                <w:rFonts w:cs="Arial"/>
                <w:szCs w:val="24"/>
              </w:rPr>
              <w:t>CES AAF 01/06 (KPMG)</w:t>
            </w:r>
          </w:p>
        </w:tc>
        <w:tc>
          <w:tcPr>
            <w:tcW w:w="442" w:type="dxa"/>
            <w:tcBorders>
              <w:top w:val="single" w:sz="4" w:space="0" w:color="auto"/>
              <w:left w:val="single" w:sz="4" w:space="0" w:color="auto"/>
              <w:bottom w:val="single" w:sz="4" w:space="0" w:color="auto"/>
              <w:right w:val="single" w:sz="4" w:space="0" w:color="auto"/>
            </w:tcBorders>
            <w:vAlign w:val="center"/>
            <w:hideMark/>
          </w:tcPr>
          <w:p w14:paraId="001AA26A" w14:textId="77777777" w:rsidR="009B4BE2" w:rsidRPr="000564EB" w:rsidRDefault="009B4BE2" w:rsidP="00094D94">
            <w:pPr>
              <w:spacing w:line="276" w:lineRule="auto"/>
              <w:jc w:val="center"/>
              <w:rPr>
                <w:rFonts w:cs="Arial"/>
                <w:szCs w:val="24"/>
                <w:lang w:eastAsia="en-GB"/>
              </w:rPr>
            </w:pPr>
            <w:r w:rsidRPr="000564EB">
              <w:rPr>
                <w:rFonts w:cs="Arial"/>
                <w:szCs w:val="24"/>
                <w:lang w:eastAsia="en-GB"/>
              </w:rPr>
              <w:sym w:font="Wingdings" w:char="F0FC"/>
            </w:r>
          </w:p>
        </w:tc>
        <w:tc>
          <w:tcPr>
            <w:tcW w:w="511" w:type="dxa"/>
            <w:tcBorders>
              <w:top w:val="single" w:sz="4" w:space="0" w:color="auto"/>
              <w:left w:val="single" w:sz="4" w:space="0" w:color="auto"/>
              <w:bottom w:val="single" w:sz="4" w:space="0" w:color="auto"/>
              <w:right w:val="single" w:sz="4" w:space="0" w:color="auto"/>
            </w:tcBorders>
            <w:vAlign w:val="center"/>
          </w:tcPr>
          <w:p w14:paraId="18D55AEE"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vAlign w:val="center"/>
          </w:tcPr>
          <w:p w14:paraId="4C0E2C8F"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vAlign w:val="center"/>
          </w:tcPr>
          <w:p w14:paraId="56D058D3" w14:textId="77777777" w:rsidR="009B4BE2" w:rsidRPr="000564EB" w:rsidRDefault="009B4BE2" w:rsidP="00094D94">
            <w:pPr>
              <w:spacing w:line="276" w:lineRule="auto"/>
              <w:jc w:val="center"/>
              <w:rPr>
                <w:rFonts w:cs="Arial"/>
                <w:szCs w:val="24"/>
                <w:lang w:eastAsia="en-GB"/>
              </w:rPr>
            </w:pPr>
          </w:p>
        </w:tc>
        <w:tc>
          <w:tcPr>
            <w:tcW w:w="1127" w:type="dxa"/>
            <w:tcBorders>
              <w:top w:val="single" w:sz="4" w:space="0" w:color="auto"/>
              <w:left w:val="single" w:sz="4" w:space="0" w:color="auto"/>
              <w:bottom w:val="single" w:sz="4" w:space="0" w:color="auto"/>
              <w:right w:val="single" w:sz="4" w:space="0" w:color="auto"/>
            </w:tcBorders>
            <w:tcMar>
              <w:top w:w="0" w:type="dxa"/>
              <w:left w:w="113" w:type="dxa"/>
              <w:bottom w:w="0" w:type="dxa"/>
              <w:right w:w="85" w:type="dxa"/>
            </w:tcMar>
            <w:hideMark/>
          </w:tcPr>
          <w:p w14:paraId="11EC71C5" w14:textId="77777777" w:rsidR="009B4BE2" w:rsidRPr="000564EB" w:rsidRDefault="009B4BE2" w:rsidP="00094D94">
            <w:pPr>
              <w:spacing w:line="276" w:lineRule="auto"/>
              <w:ind w:left="-113" w:right="-85"/>
              <w:jc w:val="center"/>
              <w:rPr>
                <w:rFonts w:cs="Arial"/>
                <w:szCs w:val="24"/>
                <w:lang w:eastAsia="en-GB"/>
              </w:rPr>
            </w:pPr>
            <w:r w:rsidRPr="000564EB">
              <w:rPr>
                <w:rFonts w:cs="Arial"/>
                <w:szCs w:val="24"/>
              </w:rPr>
              <w:t>Final Report</w:t>
            </w:r>
          </w:p>
        </w:tc>
        <w:tc>
          <w:tcPr>
            <w:tcW w:w="1129" w:type="dxa"/>
            <w:gridSpan w:val="2"/>
            <w:tcBorders>
              <w:top w:val="single" w:sz="4" w:space="0" w:color="auto"/>
              <w:left w:val="single" w:sz="4" w:space="0" w:color="auto"/>
              <w:bottom w:val="single" w:sz="4" w:space="0" w:color="auto"/>
              <w:right w:val="single" w:sz="4" w:space="0" w:color="auto"/>
            </w:tcBorders>
            <w:hideMark/>
          </w:tcPr>
          <w:p w14:paraId="36D5413F" w14:textId="77777777" w:rsidR="009B4BE2" w:rsidRPr="000564EB" w:rsidRDefault="009B4BE2" w:rsidP="00094D94">
            <w:pPr>
              <w:spacing w:line="276" w:lineRule="auto"/>
              <w:jc w:val="center"/>
              <w:rPr>
                <w:rFonts w:cs="Arial"/>
                <w:color w:val="000000"/>
                <w:szCs w:val="24"/>
                <w:lang w:eastAsia="en-GB"/>
              </w:rPr>
            </w:pPr>
            <w:r w:rsidRPr="000564EB">
              <w:rPr>
                <w:rFonts w:cs="Arial"/>
                <w:szCs w:val="24"/>
              </w:rPr>
              <w:t xml:space="preserve"> N/A</w:t>
            </w:r>
          </w:p>
        </w:tc>
        <w:tc>
          <w:tcPr>
            <w:tcW w:w="1025" w:type="dxa"/>
            <w:tcBorders>
              <w:top w:val="single" w:sz="4" w:space="0" w:color="auto"/>
              <w:left w:val="single" w:sz="4" w:space="0" w:color="auto"/>
              <w:bottom w:val="single" w:sz="4" w:space="0" w:color="auto"/>
              <w:right w:val="single" w:sz="4" w:space="0" w:color="auto"/>
            </w:tcBorders>
            <w:hideMark/>
          </w:tcPr>
          <w:p w14:paraId="2E34EDF2" w14:textId="77777777" w:rsidR="009B4BE2" w:rsidRPr="000564EB" w:rsidRDefault="009B4BE2" w:rsidP="00094D94">
            <w:pPr>
              <w:spacing w:line="276" w:lineRule="auto"/>
              <w:jc w:val="center"/>
              <w:rPr>
                <w:rFonts w:cs="Arial"/>
                <w:szCs w:val="24"/>
                <w:lang w:eastAsia="en-GB"/>
              </w:rPr>
            </w:pPr>
            <w:r w:rsidRPr="000564EB">
              <w:rPr>
                <w:rFonts w:cs="Arial"/>
                <w:szCs w:val="24"/>
              </w:rPr>
              <w:t>N/A</w:t>
            </w:r>
          </w:p>
        </w:tc>
        <w:tc>
          <w:tcPr>
            <w:tcW w:w="923" w:type="dxa"/>
            <w:tcBorders>
              <w:top w:val="single" w:sz="4" w:space="0" w:color="auto"/>
              <w:left w:val="single" w:sz="4" w:space="0" w:color="auto"/>
              <w:bottom w:val="single" w:sz="4" w:space="0" w:color="auto"/>
              <w:right w:val="single" w:sz="4" w:space="0" w:color="auto"/>
            </w:tcBorders>
            <w:hideMark/>
          </w:tcPr>
          <w:p w14:paraId="3F993182" w14:textId="77777777" w:rsidR="009B4BE2" w:rsidRPr="000564EB" w:rsidRDefault="009B4BE2" w:rsidP="00094D94">
            <w:pPr>
              <w:spacing w:line="276" w:lineRule="auto"/>
              <w:jc w:val="center"/>
              <w:rPr>
                <w:rFonts w:cs="Arial"/>
                <w:szCs w:val="24"/>
                <w:lang w:eastAsia="en-GB"/>
              </w:rPr>
            </w:pPr>
            <w:r w:rsidRPr="000564EB">
              <w:rPr>
                <w:rFonts w:cs="Arial"/>
                <w:szCs w:val="24"/>
              </w:rPr>
              <w:t>N/A</w:t>
            </w:r>
          </w:p>
        </w:tc>
        <w:tc>
          <w:tcPr>
            <w:tcW w:w="1025" w:type="dxa"/>
            <w:tcBorders>
              <w:top w:val="single" w:sz="4" w:space="0" w:color="auto"/>
              <w:left w:val="single" w:sz="4" w:space="0" w:color="auto"/>
              <w:bottom w:val="single" w:sz="4" w:space="0" w:color="auto"/>
              <w:right w:val="single" w:sz="4" w:space="0" w:color="auto"/>
            </w:tcBorders>
            <w:hideMark/>
          </w:tcPr>
          <w:p w14:paraId="730D24D6" w14:textId="77777777" w:rsidR="009B4BE2" w:rsidRPr="000564EB" w:rsidRDefault="009B4BE2" w:rsidP="00094D94">
            <w:pPr>
              <w:spacing w:line="276" w:lineRule="auto"/>
              <w:jc w:val="center"/>
              <w:rPr>
                <w:rFonts w:cs="Arial"/>
                <w:szCs w:val="24"/>
                <w:lang w:eastAsia="en-GB"/>
              </w:rPr>
            </w:pPr>
            <w:r w:rsidRPr="000564EB">
              <w:rPr>
                <w:rFonts w:cs="Arial"/>
                <w:szCs w:val="24"/>
              </w:rPr>
              <w:t>N/A</w:t>
            </w:r>
          </w:p>
        </w:tc>
        <w:tc>
          <w:tcPr>
            <w:tcW w:w="1025" w:type="dxa"/>
            <w:tcBorders>
              <w:top w:val="single" w:sz="4" w:space="0" w:color="auto"/>
              <w:left w:val="single" w:sz="4" w:space="0" w:color="auto"/>
              <w:bottom w:val="single" w:sz="4" w:space="0" w:color="auto"/>
              <w:right w:val="single" w:sz="4" w:space="0" w:color="auto"/>
            </w:tcBorders>
            <w:hideMark/>
          </w:tcPr>
          <w:p w14:paraId="5A4B1310" w14:textId="77777777" w:rsidR="009B4BE2" w:rsidRPr="000564EB" w:rsidRDefault="009B4BE2" w:rsidP="00094D94">
            <w:pPr>
              <w:spacing w:line="276" w:lineRule="auto"/>
              <w:jc w:val="center"/>
              <w:rPr>
                <w:rFonts w:cs="Arial"/>
                <w:szCs w:val="24"/>
                <w:lang w:eastAsia="en-GB"/>
              </w:rPr>
            </w:pPr>
            <w:r w:rsidRPr="000564EB">
              <w:rPr>
                <w:rFonts w:cs="Arial"/>
                <w:szCs w:val="24"/>
              </w:rPr>
              <w:t>N/A</w:t>
            </w:r>
          </w:p>
        </w:tc>
        <w:tc>
          <w:tcPr>
            <w:tcW w:w="989" w:type="dxa"/>
            <w:tcBorders>
              <w:top w:val="single" w:sz="4" w:space="0" w:color="auto"/>
              <w:left w:val="single" w:sz="4" w:space="0" w:color="auto"/>
              <w:bottom w:val="single" w:sz="4" w:space="0" w:color="auto"/>
              <w:right w:val="single" w:sz="4" w:space="0" w:color="auto"/>
            </w:tcBorders>
            <w:hideMark/>
          </w:tcPr>
          <w:p w14:paraId="0D272741" w14:textId="77777777" w:rsidR="009B4BE2" w:rsidRPr="000564EB" w:rsidRDefault="009B4BE2" w:rsidP="00094D94">
            <w:pPr>
              <w:spacing w:line="276" w:lineRule="auto"/>
              <w:jc w:val="center"/>
              <w:rPr>
                <w:rFonts w:cs="Arial"/>
                <w:szCs w:val="24"/>
                <w:lang w:eastAsia="en-GB"/>
              </w:rPr>
            </w:pPr>
            <w:r w:rsidRPr="000564EB">
              <w:rPr>
                <w:rFonts w:cs="Arial"/>
                <w:szCs w:val="24"/>
              </w:rPr>
              <w:t>30/04/18</w:t>
            </w:r>
          </w:p>
        </w:tc>
        <w:tc>
          <w:tcPr>
            <w:tcW w:w="993" w:type="dxa"/>
            <w:tcBorders>
              <w:top w:val="single" w:sz="4" w:space="0" w:color="auto"/>
              <w:left w:val="single" w:sz="4" w:space="0" w:color="auto"/>
              <w:bottom w:val="single" w:sz="4" w:space="0" w:color="auto"/>
              <w:right w:val="single" w:sz="4" w:space="0" w:color="auto"/>
            </w:tcBorders>
            <w:hideMark/>
          </w:tcPr>
          <w:p w14:paraId="3219A54E" w14:textId="77777777" w:rsidR="009B4BE2" w:rsidRPr="000564EB" w:rsidRDefault="009B4BE2" w:rsidP="00094D94">
            <w:pPr>
              <w:spacing w:line="276" w:lineRule="auto"/>
              <w:jc w:val="center"/>
              <w:rPr>
                <w:rFonts w:cs="Arial"/>
                <w:szCs w:val="24"/>
                <w:lang w:eastAsia="en-GB"/>
              </w:rPr>
            </w:pPr>
            <w:r w:rsidRPr="000564EB">
              <w:rPr>
                <w:rFonts w:cs="Arial"/>
                <w:szCs w:val="24"/>
              </w:rPr>
              <w:t>N/A</w:t>
            </w:r>
          </w:p>
        </w:tc>
        <w:tc>
          <w:tcPr>
            <w:tcW w:w="511" w:type="dxa"/>
            <w:tcBorders>
              <w:top w:val="single" w:sz="4" w:space="0" w:color="auto"/>
              <w:left w:val="single" w:sz="4" w:space="0" w:color="auto"/>
              <w:bottom w:val="single" w:sz="4" w:space="0" w:color="auto"/>
              <w:right w:val="single" w:sz="4" w:space="0" w:color="auto"/>
            </w:tcBorders>
            <w:hideMark/>
          </w:tcPr>
          <w:p w14:paraId="1CE7801F" w14:textId="77777777" w:rsidR="009B4BE2" w:rsidRPr="000564EB" w:rsidRDefault="009B4BE2" w:rsidP="00094D94">
            <w:pPr>
              <w:spacing w:line="276" w:lineRule="auto"/>
              <w:jc w:val="center"/>
              <w:rPr>
                <w:rFonts w:cs="Arial"/>
                <w:szCs w:val="24"/>
                <w:lang w:eastAsia="en-GB"/>
              </w:rPr>
            </w:pPr>
            <w:r w:rsidRPr="000564EB">
              <w:rPr>
                <w:rFonts w:cs="Arial"/>
                <w:szCs w:val="24"/>
              </w:rPr>
              <w:t>-</w:t>
            </w:r>
          </w:p>
        </w:tc>
        <w:tc>
          <w:tcPr>
            <w:tcW w:w="511" w:type="dxa"/>
            <w:tcBorders>
              <w:top w:val="single" w:sz="4" w:space="0" w:color="auto"/>
              <w:left w:val="single" w:sz="4" w:space="0" w:color="auto"/>
              <w:bottom w:val="single" w:sz="4" w:space="0" w:color="auto"/>
              <w:right w:val="single" w:sz="4" w:space="0" w:color="auto"/>
            </w:tcBorders>
            <w:hideMark/>
          </w:tcPr>
          <w:p w14:paraId="782AF67B" w14:textId="77777777" w:rsidR="009B4BE2" w:rsidRPr="000564EB" w:rsidRDefault="009B4BE2" w:rsidP="00094D94">
            <w:pPr>
              <w:spacing w:line="276" w:lineRule="auto"/>
              <w:jc w:val="center"/>
              <w:rPr>
                <w:rFonts w:cs="Arial"/>
                <w:szCs w:val="24"/>
                <w:lang w:eastAsia="en-GB"/>
              </w:rPr>
            </w:pPr>
            <w:r w:rsidRPr="000564EB">
              <w:rPr>
                <w:rFonts w:cs="Arial"/>
                <w:szCs w:val="24"/>
              </w:rPr>
              <w:t>-</w:t>
            </w:r>
          </w:p>
        </w:tc>
        <w:tc>
          <w:tcPr>
            <w:tcW w:w="511" w:type="dxa"/>
            <w:tcBorders>
              <w:top w:val="single" w:sz="4" w:space="0" w:color="auto"/>
              <w:left w:val="single" w:sz="4" w:space="0" w:color="auto"/>
              <w:bottom w:val="single" w:sz="4" w:space="0" w:color="auto"/>
              <w:right w:val="single" w:sz="4" w:space="0" w:color="auto"/>
            </w:tcBorders>
            <w:hideMark/>
          </w:tcPr>
          <w:p w14:paraId="233EC8FE" w14:textId="77777777" w:rsidR="009B4BE2" w:rsidRPr="000564EB" w:rsidRDefault="009B4BE2" w:rsidP="00094D94">
            <w:pPr>
              <w:spacing w:line="276" w:lineRule="auto"/>
              <w:jc w:val="center"/>
              <w:rPr>
                <w:rFonts w:cs="Arial"/>
                <w:szCs w:val="24"/>
                <w:lang w:eastAsia="en-GB"/>
              </w:rPr>
            </w:pPr>
            <w:r w:rsidRPr="000564EB">
              <w:rPr>
                <w:rFonts w:cs="Arial"/>
                <w:szCs w:val="24"/>
              </w:rPr>
              <w:t>-</w:t>
            </w:r>
          </w:p>
        </w:tc>
        <w:tc>
          <w:tcPr>
            <w:tcW w:w="511" w:type="dxa"/>
            <w:tcBorders>
              <w:top w:val="single" w:sz="4" w:space="0" w:color="auto"/>
              <w:left w:val="single" w:sz="4" w:space="0" w:color="auto"/>
              <w:bottom w:val="single" w:sz="4" w:space="0" w:color="auto"/>
              <w:right w:val="single" w:sz="4" w:space="0" w:color="auto"/>
            </w:tcBorders>
            <w:hideMark/>
          </w:tcPr>
          <w:p w14:paraId="3AB178F0" w14:textId="77777777" w:rsidR="009B4BE2" w:rsidRPr="000564EB" w:rsidRDefault="009B4BE2" w:rsidP="00094D94">
            <w:pPr>
              <w:spacing w:line="276" w:lineRule="auto"/>
              <w:jc w:val="center"/>
              <w:rPr>
                <w:rFonts w:cs="Arial"/>
                <w:szCs w:val="24"/>
                <w:lang w:eastAsia="en-GB"/>
              </w:rPr>
            </w:pPr>
            <w:r w:rsidRPr="000564EB">
              <w:rPr>
                <w:rFonts w:cs="Arial"/>
                <w:szCs w:val="24"/>
              </w:rPr>
              <w:t>-</w:t>
            </w:r>
          </w:p>
        </w:tc>
      </w:tr>
      <w:tr w:rsidR="009B4BE2" w:rsidRPr="000564EB" w14:paraId="0AFC3412" w14:textId="77777777" w:rsidTr="00094D94">
        <w:trPr>
          <w:gridAfter w:val="1"/>
          <w:wAfter w:w="30" w:type="dxa"/>
          <w:trHeight w:val="301"/>
        </w:trPr>
        <w:tc>
          <w:tcPr>
            <w:tcW w:w="245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5C57B361" w14:textId="77777777" w:rsidR="009B4BE2" w:rsidRPr="000564EB" w:rsidRDefault="009B4BE2" w:rsidP="00094D94">
            <w:pPr>
              <w:spacing w:line="276" w:lineRule="auto"/>
              <w:rPr>
                <w:rFonts w:cs="Arial"/>
                <w:szCs w:val="24"/>
              </w:rPr>
            </w:pPr>
            <w:r w:rsidRPr="000564EB">
              <w:rPr>
                <w:rFonts w:cs="Arial"/>
                <w:szCs w:val="24"/>
              </w:rPr>
              <w:t>Contract Outcomes</w:t>
            </w:r>
          </w:p>
        </w:tc>
        <w:tc>
          <w:tcPr>
            <w:tcW w:w="442" w:type="dxa"/>
            <w:tcBorders>
              <w:top w:val="single" w:sz="4" w:space="0" w:color="auto"/>
              <w:left w:val="single" w:sz="4" w:space="0" w:color="auto"/>
              <w:bottom w:val="single" w:sz="4" w:space="0" w:color="auto"/>
              <w:right w:val="single" w:sz="4" w:space="0" w:color="auto"/>
            </w:tcBorders>
            <w:vAlign w:val="center"/>
          </w:tcPr>
          <w:p w14:paraId="2B897A0A"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vAlign w:val="center"/>
          </w:tcPr>
          <w:p w14:paraId="541B9764"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vAlign w:val="center"/>
          </w:tcPr>
          <w:p w14:paraId="418BB54A"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vAlign w:val="center"/>
          </w:tcPr>
          <w:p w14:paraId="27B6A92F" w14:textId="77777777" w:rsidR="009B4BE2" w:rsidRPr="000564EB" w:rsidRDefault="009B4BE2" w:rsidP="00094D94">
            <w:pPr>
              <w:spacing w:line="276" w:lineRule="auto"/>
              <w:jc w:val="center"/>
              <w:rPr>
                <w:rFonts w:cs="Arial"/>
                <w:szCs w:val="24"/>
                <w:lang w:eastAsia="en-GB"/>
              </w:rPr>
            </w:pPr>
            <w:r w:rsidRPr="000564EB">
              <w:rPr>
                <w:rFonts w:cs="Arial"/>
                <w:szCs w:val="24"/>
                <w:lang w:eastAsia="en-GB"/>
              </w:rPr>
              <w:sym w:font="Wingdings" w:char="F0FC"/>
            </w:r>
          </w:p>
        </w:tc>
        <w:tc>
          <w:tcPr>
            <w:tcW w:w="1127" w:type="dxa"/>
            <w:tcBorders>
              <w:top w:val="single" w:sz="4" w:space="0" w:color="auto"/>
              <w:left w:val="single" w:sz="4" w:space="0" w:color="auto"/>
              <w:bottom w:val="single" w:sz="4" w:space="0" w:color="auto"/>
              <w:right w:val="single" w:sz="4" w:space="0" w:color="auto"/>
            </w:tcBorders>
            <w:tcMar>
              <w:top w:w="0" w:type="dxa"/>
              <w:left w:w="113" w:type="dxa"/>
              <w:bottom w:w="0" w:type="dxa"/>
              <w:right w:w="85" w:type="dxa"/>
            </w:tcMar>
          </w:tcPr>
          <w:p w14:paraId="258526A0" w14:textId="77777777" w:rsidR="009B4BE2" w:rsidRPr="000564EB" w:rsidRDefault="009B4BE2" w:rsidP="00094D94">
            <w:pPr>
              <w:spacing w:line="276" w:lineRule="auto"/>
              <w:ind w:left="-113" w:right="-85"/>
              <w:jc w:val="center"/>
              <w:rPr>
                <w:rFonts w:cs="Arial"/>
                <w:szCs w:val="24"/>
              </w:rPr>
            </w:pPr>
            <w:r w:rsidRPr="000564EB">
              <w:rPr>
                <w:rFonts w:cs="Arial"/>
                <w:szCs w:val="24"/>
              </w:rPr>
              <w:t>Final Report</w:t>
            </w:r>
          </w:p>
        </w:tc>
        <w:tc>
          <w:tcPr>
            <w:tcW w:w="1129" w:type="dxa"/>
            <w:gridSpan w:val="2"/>
            <w:tcBorders>
              <w:top w:val="single" w:sz="4" w:space="0" w:color="auto"/>
              <w:left w:val="single" w:sz="4" w:space="0" w:color="auto"/>
              <w:bottom w:val="single" w:sz="4" w:space="0" w:color="auto"/>
              <w:right w:val="single" w:sz="4" w:space="0" w:color="auto"/>
            </w:tcBorders>
          </w:tcPr>
          <w:p w14:paraId="00278499" w14:textId="77777777" w:rsidR="009B4BE2" w:rsidRPr="000564EB" w:rsidRDefault="009B4BE2" w:rsidP="00094D94">
            <w:pPr>
              <w:spacing w:line="276" w:lineRule="auto"/>
              <w:jc w:val="center"/>
              <w:rPr>
                <w:rFonts w:cs="Arial"/>
                <w:szCs w:val="24"/>
              </w:rPr>
            </w:pPr>
            <w:r w:rsidRPr="000564EB">
              <w:rPr>
                <w:rFonts w:cs="Arial"/>
                <w:szCs w:val="24"/>
              </w:rPr>
              <w:t>Sep 2017</w:t>
            </w:r>
          </w:p>
        </w:tc>
        <w:tc>
          <w:tcPr>
            <w:tcW w:w="1025" w:type="dxa"/>
            <w:tcBorders>
              <w:top w:val="single" w:sz="4" w:space="0" w:color="auto"/>
              <w:left w:val="single" w:sz="4" w:space="0" w:color="auto"/>
              <w:bottom w:val="single" w:sz="4" w:space="0" w:color="auto"/>
              <w:right w:val="single" w:sz="4" w:space="0" w:color="auto"/>
            </w:tcBorders>
            <w:shd w:val="clear" w:color="auto" w:fill="00B050"/>
          </w:tcPr>
          <w:p w14:paraId="0716851A" w14:textId="77777777" w:rsidR="009B4BE2" w:rsidRPr="000B522E" w:rsidRDefault="009B4BE2" w:rsidP="00094D94">
            <w:pPr>
              <w:spacing w:line="276" w:lineRule="auto"/>
              <w:jc w:val="center"/>
              <w:rPr>
                <w:rFonts w:cs="Arial"/>
                <w:sz w:val="22"/>
                <w:szCs w:val="22"/>
              </w:rPr>
            </w:pPr>
            <w:r w:rsidRPr="000B522E">
              <w:rPr>
                <w:rFonts w:cs="Arial"/>
                <w:sz w:val="22"/>
                <w:szCs w:val="22"/>
              </w:rPr>
              <w:t>28/09/17</w:t>
            </w:r>
          </w:p>
        </w:tc>
        <w:tc>
          <w:tcPr>
            <w:tcW w:w="923" w:type="dxa"/>
            <w:tcBorders>
              <w:top w:val="single" w:sz="4" w:space="0" w:color="auto"/>
              <w:left w:val="single" w:sz="4" w:space="0" w:color="auto"/>
              <w:bottom w:val="single" w:sz="4" w:space="0" w:color="auto"/>
              <w:right w:val="single" w:sz="4" w:space="0" w:color="auto"/>
            </w:tcBorders>
          </w:tcPr>
          <w:p w14:paraId="05FCEDAC" w14:textId="77777777" w:rsidR="009B4BE2" w:rsidRPr="000B522E" w:rsidRDefault="009B4BE2" w:rsidP="00094D94">
            <w:pPr>
              <w:spacing w:line="276" w:lineRule="auto"/>
              <w:jc w:val="center"/>
              <w:rPr>
                <w:rFonts w:cs="Arial"/>
                <w:sz w:val="20"/>
              </w:rPr>
            </w:pPr>
            <w:r w:rsidRPr="000B522E">
              <w:rPr>
                <w:rFonts w:cs="Arial"/>
                <w:sz w:val="20"/>
              </w:rPr>
              <w:t>09/10/17</w:t>
            </w:r>
          </w:p>
        </w:tc>
        <w:tc>
          <w:tcPr>
            <w:tcW w:w="1025" w:type="dxa"/>
            <w:tcBorders>
              <w:top w:val="single" w:sz="4" w:space="0" w:color="auto"/>
              <w:left w:val="single" w:sz="4" w:space="0" w:color="auto"/>
              <w:bottom w:val="single" w:sz="4" w:space="0" w:color="auto"/>
              <w:right w:val="single" w:sz="4" w:space="0" w:color="auto"/>
            </w:tcBorders>
          </w:tcPr>
          <w:p w14:paraId="53369C51" w14:textId="77777777" w:rsidR="009B4BE2" w:rsidRPr="000564EB" w:rsidRDefault="009B4BE2" w:rsidP="00094D94">
            <w:pPr>
              <w:spacing w:line="276" w:lineRule="auto"/>
              <w:jc w:val="center"/>
              <w:rPr>
                <w:rFonts w:cs="Arial"/>
                <w:szCs w:val="24"/>
              </w:rPr>
            </w:pPr>
            <w:r w:rsidRPr="000564EB">
              <w:rPr>
                <w:rFonts w:cs="Arial"/>
                <w:szCs w:val="24"/>
              </w:rPr>
              <w:t>Nov 17</w:t>
            </w:r>
          </w:p>
        </w:tc>
        <w:tc>
          <w:tcPr>
            <w:tcW w:w="1025" w:type="dxa"/>
            <w:tcBorders>
              <w:top w:val="single" w:sz="4" w:space="0" w:color="auto"/>
              <w:left w:val="single" w:sz="4" w:space="0" w:color="auto"/>
              <w:bottom w:val="single" w:sz="4" w:space="0" w:color="auto"/>
              <w:right w:val="single" w:sz="4" w:space="0" w:color="auto"/>
            </w:tcBorders>
            <w:shd w:val="clear" w:color="auto" w:fill="FFC000"/>
          </w:tcPr>
          <w:p w14:paraId="7117ACE3" w14:textId="77777777" w:rsidR="009B4BE2" w:rsidRPr="000B522E" w:rsidRDefault="009B4BE2" w:rsidP="00094D94">
            <w:pPr>
              <w:spacing w:line="276" w:lineRule="auto"/>
              <w:jc w:val="center"/>
              <w:rPr>
                <w:rFonts w:cs="Arial"/>
                <w:sz w:val="22"/>
                <w:szCs w:val="22"/>
                <w:lang w:eastAsia="en-GB"/>
              </w:rPr>
            </w:pPr>
            <w:r w:rsidRPr="000B522E">
              <w:rPr>
                <w:rFonts w:cs="Arial"/>
                <w:sz w:val="22"/>
                <w:szCs w:val="22"/>
                <w:lang w:eastAsia="en-GB"/>
              </w:rPr>
              <w:t>17/01/18</w:t>
            </w:r>
          </w:p>
        </w:tc>
        <w:tc>
          <w:tcPr>
            <w:tcW w:w="989" w:type="dxa"/>
            <w:tcBorders>
              <w:top w:val="single" w:sz="4" w:space="0" w:color="auto"/>
              <w:left w:val="single" w:sz="4" w:space="0" w:color="auto"/>
              <w:bottom w:val="single" w:sz="4" w:space="0" w:color="auto"/>
              <w:right w:val="single" w:sz="4" w:space="0" w:color="auto"/>
            </w:tcBorders>
          </w:tcPr>
          <w:p w14:paraId="34507521" w14:textId="77777777" w:rsidR="009B4BE2" w:rsidRPr="000B522E" w:rsidRDefault="009B4BE2" w:rsidP="00094D94">
            <w:pPr>
              <w:spacing w:line="276" w:lineRule="auto"/>
              <w:jc w:val="center"/>
              <w:rPr>
                <w:rFonts w:cs="Arial"/>
                <w:sz w:val="22"/>
                <w:szCs w:val="22"/>
                <w:lang w:eastAsia="en-GB"/>
              </w:rPr>
            </w:pPr>
            <w:r w:rsidRPr="000B522E">
              <w:rPr>
                <w:rFonts w:cs="Arial"/>
                <w:sz w:val="22"/>
                <w:szCs w:val="22"/>
                <w:lang w:eastAsia="en-GB"/>
              </w:rPr>
              <w:t>07/02/18</w:t>
            </w:r>
          </w:p>
        </w:tc>
        <w:tc>
          <w:tcPr>
            <w:tcW w:w="993" w:type="dxa"/>
            <w:tcBorders>
              <w:top w:val="single" w:sz="4" w:space="0" w:color="auto"/>
              <w:left w:val="single" w:sz="4" w:space="0" w:color="auto"/>
              <w:bottom w:val="single" w:sz="4" w:space="0" w:color="auto"/>
              <w:right w:val="single" w:sz="4" w:space="0" w:color="auto"/>
            </w:tcBorders>
          </w:tcPr>
          <w:p w14:paraId="0DAA45CA" w14:textId="77777777" w:rsidR="009B4BE2" w:rsidRPr="000564EB" w:rsidRDefault="009B4BE2" w:rsidP="00094D94">
            <w:pPr>
              <w:spacing w:line="276" w:lineRule="auto"/>
              <w:jc w:val="center"/>
              <w:rPr>
                <w:rFonts w:cs="Arial"/>
                <w:szCs w:val="24"/>
                <w:lang w:eastAsia="en-GB"/>
              </w:rPr>
            </w:pPr>
            <w:r w:rsidRPr="000564EB">
              <w:rPr>
                <w:rFonts w:cs="Arial"/>
                <w:szCs w:val="24"/>
                <w:lang w:eastAsia="en-GB"/>
              </w:rPr>
              <w:t>AT</w:t>
            </w:r>
          </w:p>
        </w:tc>
        <w:tc>
          <w:tcPr>
            <w:tcW w:w="511" w:type="dxa"/>
            <w:tcBorders>
              <w:top w:val="single" w:sz="4" w:space="0" w:color="auto"/>
              <w:left w:val="single" w:sz="4" w:space="0" w:color="auto"/>
              <w:bottom w:val="single" w:sz="4" w:space="0" w:color="auto"/>
              <w:right w:val="single" w:sz="4" w:space="0" w:color="auto"/>
            </w:tcBorders>
          </w:tcPr>
          <w:p w14:paraId="5843FED8" w14:textId="77777777" w:rsidR="009B4BE2" w:rsidRPr="000564EB" w:rsidRDefault="009B4BE2" w:rsidP="00094D94">
            <w:pPr>
              <w:spacing w:line="276" w:lineRule="auto"/>
              <w:jc w:val="center"/>
              <w:rPr>
                <w:rFonts w:cs="Arial"/>
                <w:szCs w:val="24"/>
                <w:lang w:eastAsia="en-GB"/>
              </w:rPr>
            </w:pPr>
            <w:r w:rsidRPr="000564EB">
              <w:rPr>
                <w:rFonts w:cs="Arial"/>
                <w:szCs w:val="24"/>
                <w:lang w:eastAsia="en-GB"/>
              </w:rPr>
              <w:t>-</w:t>
            </w:r>
          </w:p>
        </w:tc>
        <w:tc>
          <w:tcPr>
            <w:tcW w:w="511" w:type="dxa"/>
            <w:tcBorders>
              <w:top w:val="single" w:sz="4" w:space="0" w:color="auto"/>
              <w:left w:val="single" w:sz="4" w:space="0" w:color="auto"/>
              <w:bottom w:val="single" w:sz="4" w:space="0" w:color="auto"/>
              <w:right w:val="single" w:sz="4" w:space="0" w:color="auto"/>
            </w:tcBorders>
          </w:tcPr>
          <w:p w14:paraId="4394819B" w14:textId="77777777" w:rsidR="009B4BE2" w:rsidRPr="000564EB" w:rsidRDefault="009B4BE2" w:rsidP="00094D94">
            <w:pPr>
              <w:spacing w:line="276" w:lineRule="auto"/>
              <w:jc w:val="center"/>
              <w:rPr>
                <w:rFonts w:cs="Arial"/>
                <w:szCs w:val="24"/>
                <w:lang w:eastAsia="en-GB"/>
              </w:rPr>
            </w:pPr>
            <w:r w:rsidRPr="000564EB">
              <w:rPr>
                <w:rFonts w:cs="Arial"/>
                <w:szCs w:val="24"/>
                <w:lang w:eastAsia="en-GB"/>
              </w:rPr>
              <w:t>-</w:t>
            </w:r>
          </w:p>
        </w:tc>
        <w:tc>
          <w:tcPr>
            <w:tcW w:w="511" w:type="dxa"/>
            <w:tcBorders>
              <w:top w:val="single" w:sz="4" w:space="0" w:color="auto"/>
              <w:left w:val="single" w:sz="4" w:space="0" w:color="auto"/>
              <w:bottom w:val="single" w:sz="4" w:space="0" w:color="auto"/>
              <w:right w:val="single" w:sz="4" w:space="0" w:color="auto"/>
            </w:tcBorders>
          </w:tcPr>
          <w:p w14:paraId="333CE8AF" w14:textId="77777777" w:rsidR="009B4BE2" w:rsidRPr="000564EB" w:rsidRDefault="009B4BE2" w:rsidP="00094D94">
            <w:pPr>
              <w:spacing w:line="276" w:lineRule="auto"/>
              <w:jc w:val="center"/>
              <w:rPr>
                <w:rFonts w:cs="Arial"/>
                <w:szCs w:val="24"/>
                <w:lang w:eastAsia="en-GB"/>
              </w:rPr>
            </w:pPr>
            <w:r w:rsidRPr="000564EB">
              <w:rPr>
                <w:rFonts w:cs="Arial"/>
                <w:szCs w:val="24"/>
                <w:lang w:eastAsia="en-GB"/>
              </w:rPr>
              <w:t>5</w:t>
            </w:r>
          </w:p>
        </w:tc>
        <w:tc>
          <w:tcPr>
            <w:tcW w:w="511" w:type="dxa"/>
            <w:tcBorders>
              <w:top w:val="single" w:sz="4" w:space="0" w:color="auto"/>
              <w:left w:val="single" w:sz="4" w:space="0" w:color="auto"/>
              <w:bottom w:val="single" w:sz="4" w:space="0" w:color="auto"/>
              <w:right w:val="single" w:sz="4" w:space="0" w:color="auto"/>
            </w:tcBorders>
          </w:tcPr>
          <w:p w14:paraId="42B73F17" w14:textId="77777777" w:rsidR="009B4BE2" w:rsidRPr="000564EB" w:rsidRDefault="009B4BE2" w:rsidP="00094D94">
            <w:pPr>
              <w:spacing w:line="276" w:lineRule="auto"/>
              <w:jc w:val="center"/>
              <w:rPr>
                <w:rFonts w:cs="Arial"/>
                <w:szCs w:val="24"/>
                <w:lang w:eastAsia="en-GB"/>
              </w:rPr>
            </w:pPr>
            <w:r w:rsidRPr="000564EB">
              <w:rPr>
                <w:rFonts w:cs="Arial"/>
                <w:szCs w:val="24"/>
                <w:lang w:eastAsia="en-GB"/>
              </w:rPr>
              <w:t>2</w:t>
            </w:r>
          </w:p>
        </w:tc>
      </w:tr>
      <w:tr w:rsidR="009B4BE2" w:rsidRPr="000564EB" w14:paraId="592CBDBC" w14:textId="77777777" w:rsidTr="00094D94">
        <w:trPr>
          <w:gridAfter w:val="1"/>
          <w:wAfter w:w="30" w:type="dxa"/>
          <w:trHeight w:val="301"/>
        </w:trPr>
        <w:tc>
          <w:tcPr>
            <w:tcW w:w="245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8663A6F" w14:textId="77777777" w:rsidR="009B4BE2" w:rsidRPr="000564EB" w:rsidRDefault="009B4BE2" w:rsidP="00094D94">
            <w:pPr>
              <w:spacing w:line="276" w:lineRule="auto"/>
              <w:rPr>
                <w:rFonts w:cs="Arial"/>
                <w:szCs w:val="24"/>
                <w:lang w:eastAsia="en-GB"/>
              </w:rPr>
            </w:pPr>
            <w:r w:rsidRPr="000564EB">
              <w:rPr>
                <w:rFonts w:cs="Arial"/>
                <w:szCs w:val="24"/>
              </w:rPr>
              <w:t xml:space="preserve">2nd Bite PI Remediation </w:t>
            </w:r>
          </w:p>
        </w:tc>
        <w:tc>
          <w:tcPr>
            <w:tcW w:w="442" w:type="dxa"/>
            <w:tcBorders>
              <w:top w:val="single" w:sz="4" w:space="0" w:color="auto"/>
              <w:left w:val="single" w:sz="4" w:space="0" w:color="auto"/>
              <w:bottom w:val="single" w:sz="4" w:space="0" w:color="auto"/>
              <w:right w:val="single" w:sz="4" w:space="0" w:color="auto"/>
            </w:tcBorders>
            <w:vAlign w:val="center"/>
          </w:tcPr>
          <w:p w14:paraId="54DC6806"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vAlign w:val="center"/>
            <w:hideMark/>
          </w:tcPr>
          <w:p w14:paraId="268F94C2" w14:textId="77777777" w:rsidR="009B4BE2" w:rsidRPr="000564EB" w:rsidRDefault="009B4BE2" w:rsidP="00094D94">
            <w:pPr>
              <w:spacing w:line="276" w:lineRule="auto"/>
              <w:jc w:val="center"/>
              <w:rPr>
                <w:rFonts w:cs="Arial"/>
                <w:szCs w:val="24"/>
                <w:lang w:eastAsia="en-GB"/>
              </w:rPr>
            </w:pPr>
            <w:r w:rsidRPr="000564EB">
              <w:rPr>
                <w:rFonts w:cs="Arial"/>
                <w:szCs w:val="24"/>
                <w:lang w:eastAsia="en-GB"/>
              </w:rPr>
              <w:sym w:font="Wingdings" w:char="F0FC"/>
            </w:r>
          </w:p>
        </w:tc>
        <w:tc>
          <w:tcPr>
            <w:tcW w:w="511" w:type="dxa"/>
            <w:tcBorders>
              <w:top w:val="single" w:sz="4" w:space="0" w:color="auto"/>
              <w:left w:val="single" w:sz="4" w:space="0" w:color="auto"/>
              <w:bottom w:val="single" w:sz="4" w:space="0" w:color="auto"/>
              <w:right w:val="single" w:sz="4" w:space="0" w:color="auto"/>
            </w:tcBorders>
            <w:vAlign w:val="center"/>
          </w:tcPr>
          <w:p w14:paraId="6D4AA380"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vAlign w:val="center"/>
          </w:tcPr>
          <w:p w14:paraId="636F5B36" w14:textId="77777777" w:rsidR="009B4BE2" w:rsidRPr="000564EB" w:rsidRDefault="009B4BE2" w:rsidP="00094D94">
            <w:pPr>
              <w:spacing w:line="276" w:lineRule="auto"/>
              <w:jc w:val="center"/>
              <w:rPr>
                <w:rFonts w:cs="Arial"/>
                <w:szCs w:val="24"/>
                <w:lang w:eastAsia="en-GB"/>
              </w:rPr>
            </w:pPr>
          </w:p>
        </w:tc>
        <w:tc>
          <w:tcPr>
            <w:tcW w:w="1127" w:type="dxa"/>
            <w:tcBorders>
              <w:top w:val="single" w:sz="4" w:space="0" w:color="auto"/>
              <w:left w:val="single" w:sz="4" w:space="0" w:color="auto"/>
              <w:bottom w:val="single" w:sz="4" w:space="0" w:color="auto"/>
              <w:right w:val="single" w:sz="4" w:space="0" w:color="auto"/>
            </w:tcBorders>
            <w:tcMar>
              <w:top w:w="0" w:type="dxa"/>
              <w:left w:w="113" w:type="dxa"/>
              <w:bottom w:w="0" w:type="dxa"/>
              <w:right w:w="85" w:type="dxa"/>
            </w:tcMar>
            <w:hideMark/>
          </w:tcPr>
          <w:p w14:paraId="420B0E3E" w14:textId="77777777" w:rsidR="009B4BE2" w:rsidRPr="000564EB" w:rsidRDefault="009B4BE2" w:rsidP="00094D94">
            <w:pPr>
              <w:spacing w:line="276" w:lineRule="auto"/>
              <w:ind w:left="-113" w:right="-85"/>
              <w:jc w:val="center"/>
              <w:rPr>
                <w:rFonts w:cs="Arial"/>
                <w:szCs w:val="24"/>
                <w:lang w:eastAsia="en-GB"/>
              </w:rPr>
            </w:pPr>
            <w:r w:rsidRPr="000564EB">
              <w:rPr>
                <w:rFonts w:cs="Arial"/>
                <w:szCs w:val="24"/>
              </w:rPr>
              <w:t>Final Report</w:t>
            </w:r>
          </w:p>
        </w:tc>
        <w:tc>
          <w:tcPr>
            <w:tcW w:w="1129" w:type="dxa"/>
            <w:gridSpan w:val="2"/>
            <w:tcBorders>
              <w:top w:val="single" w:sz="4" w:space="0" w:color="auto"/>
              <w:left w:val="single" w:sz="4" w:space="0" w:color="auto"/>
              <w:bottom w:val="single" w:sz="4" w:space="0" w:color="auto"/>
              <w:right w:val="single" w:sz="4" w:space="0" w:color="auto"/>
            </w:tcBorders>
            <w:hideMark/>
          </w:tcPr>
          <w:p w14:paraId="3D2E4261" w14:textId="77777777" w:rsidR="009B4BE2" w:rsidRPr="000564EB" w:rsidRDefault="009B4BE2" w:rsidP="00094D94">
            <w:pPr>
              <w:spacing w:line="276" w:lineRule="auto"/>
              <w:jc w:val="center"/>
              <w:rPr>
                <w:rFonts w:cs="Arial"/>
                <w:color w:val="000000"/>
                <w:szCs w:val="24"/>
                <w:lang w:eastAsia="en-GB"/>
              </w:rPr>
            </w:pPr>
            <w:r w:rsidRPr="000564EB">
              <w:rPr>
                <w:rFonts w:cs="Arial"/>
                <w:szCs w:val="24"/>
              </w:rPr>
              <w:t>Mar 2017</w:t>
            </w:r>
          </w:p>
        </w:tc>
        <w:tc>
          <w:tcPr>
            <w:tcW w:w="1025" w:type="dxa"/>
            <w:tcBorders>
              <w:top w:val="single" w:sz="4" w:space="0" w:color="auto"/>
              <w:left w:val="single" w:sz="4" w:space="0" w:color="auto"/>
              <w:bottom w:val="single" w:sz="4" w:space="0" w:color="auto"/>
              <w:right w:val="single" w:sz="4" w:space="0" w:color="auto"/>
            </w:tcBorders>
            <w:shd w:val="clear" w:color="auto" w:fill="FFC000"/>
            <w:hideMark/>
          </w:tcPr>
          <w:p w14:paraId="32B5659F" w14:textId="77777777" w:rsidR="009B4BE2" w:rsidRPr="000B522E" w:rsidRDefault="009B4BE2" w:rsidP="00094D94">
            <w:pPr>
              <w:spacing w:line="276" w:lineRule="auto"/>
              <w:jc w:val="center"/>
              <w:rPr>
                <w:rFonts w:cs="Arial"/>
                <w:sz w:val="22"/>
                <w:szCs w:val="22"/>
                <w:lang w:eastAsia="en-GB"/>
              </w:rPr>
            </w:pPr>
            <w:r w:rsidRPr="000B522E">
              <w:rPr>
                <w:rFonts w:cs="Arial"/>
                <w:sz w:val="22"/>
                <w:szCs w:val="22"/>
              </w:rPr>
              <w:t>05/04/17</w:t>
            </w:r>
          </w:p>
        </w:tc>
        <w:tc>
          <w:tcPr>
            <w:tcW w:w="923" w:type="dxa"/>
            <w:tcBorders>
              <w:top w:val="single" w:sz="4" w:space="0" w:color="auto"/>
              <w:left w:val="single" w:sz="4" w:space="0" w:color="auto"/>
              <w:bottom w:val="single" w:sz="4" w:space="0" w:color="auto"/>
              <w:right w:val="single" w:sz="4" w:space="0" w:color="auto"/>
            </w:tcBorders>
            <w:hideMark/>
          </w:tcPr>
          <w:p w14:paraId="74084B31" w14:textId="77777777" w:rsidR="009B4BE2" w:rsidRPr="000B522E" w:rsidRDefault="009B4BE2" w:rsidP="00094D94">
            <w:pPr>
              <w:spacing w:line="276" w:lineRule="auto"/>
              <w:jc w:val="center"/>
              <w:rPr>
                <w:rFonts w:cs="Arial"/>
                <w:sz w:val="20"/>
                <w:lang w:eastAsia="en-GB"/>
              </w:rPr>
            </w:pPr>
            <w:r w:rsidRPr="000B522E">
              <w:rPr>
                <w:rFonts w:cs="Arial"/>
                <w:sz w:val="20"/>
              </w:rPr>
              <w:t>09/05/17</w:t>
            </w:r>
          </w:p>
        </w:tc>
        <w:tc>
          <w:tcPr>
            <w:tcW w:w="1025" w:type="dxa"/>
            <w:tcBorders>
              <w:top w:val="single" w:sz="4" w:space="0" w:color="auto"/>
              <w:left w:val="single" w:sz="4" w:space="0" w:color="auto"/>
              <w:bottom w:val="single" w:sz="4" w:space="0" w:color="auto"/>
              <w:right w:val="single" w:sz="4" w:space="0" w:color="auto"/>
            </w:tcBorders>
            <w:hideMark/>
          </w:tcPr>
          <w:p w14:paraId="7D398D1C" w14:textId="77777777" w:rsidR="009B4BE2" w:rsidRPr="000564EB" w:rsidRDefault="009B4BE2" w:rsidP="00094D94">
            <w:pPr>
              <w:spacing w:line="276" w:lineRule="auto"/>
              <w:jc w:val="center"/>
              <w:rPr>
                <w:rFonts w:cs="Arial"/>
                <w:szCs w:val="24"/>
                <w:lang w:eastAsia="en-GB"/>
              </w:rPr>
            </w:pPr>
            <w:r w:rsidRPr="000564EB">
              <w:rPr>
                <w:rFonts w:cs="Arial"/>
                <w:szCs w:val="24"/>
              </w:rPr>
              <w:t>Jun 17</w:t>
            </w:r>
          </w:p>
        </w:tc>
        <w:tc>
          <w:tcPr>
            <w:tcW w:w="1025" w:type="dxa"/>
            <w:tcBorders>
              <w:top w:val="single" w:sz="4" w:space="0" w:color="auto"/>
              <w:left w:val="single" w:sz="4" w:space="0" w:color="auto"/>
              <w:bottom w:val="single" w:sz="4" w:space="0" w:color="auto"/>
              <w:right w:val="single" w:sz="4" w:space="0" w:color="auto"/>
            </w:tcBorders>
            <w:shd w:val="clear" w:color="auto" w:fill="FFC000"/>
            <w:hideMark/>
          </w:tcPr>
          <w:p w14:paraId="23E7642F" w14:textId="77777777" w:rsidR="009B4BE2" w:rsidRPr="000B522E" w:rsidRDefault="009B4BE2" w:rsidP="00094D94">
            <w:pPr>
              <w:spacing w:line="276" w:lineRule="auto"/>
              <w:jc w:val="center"/>
              <w:rPr>
                <w:rFonts w:cs="Arial"/>
                <w:sz w:val="22"/>
                <w:szCs w:val="22"/>
                <w:lang w:eastAsia="en-GB"/>
              </w:rPr>
            </w:pPr>
            <w:r w:rsidRPr="000B522E">
              <w:rPr>
                <w:rFonts w:cs="Arial"/>
                <w:sz w:val="22"/>
                <w:szCs w:val="22"/>
                <w:lang w:eastAsia="en-GB"/>
              </w:rPr>
              <w:t>03/04/18</w:t>
            </w:r>
          </w:p>
        </w:tc>
        <w:tc>
          <w:tcPr>
            <w:tcW w:w="989" w:type="dxa"/>
            <w:tcBorders>
              <w:top w:val="single" w:sz="4" w:space="0" w:color="auto"/>
              <w:left w:val="single" w:sz="4" w:space="0" w:color="auto"/>
              <w:bottom w:val="single" w:sz="4" w:space="0" w:color="auto"/>
              <w:right w:val="single" w:sz="4" w:space="0" w:color="auto"/>
            </w:tcBorders>
          </w:tcPr>
          <w:p w14:paraId="7EFB2009" w14:textId="77777777" w:rsidR="009B4BE2" w:rsidRPr="000B522E" w:rsidRDefault="009B4BE2" w:rsidP="00094D94">
            <w:pPr>
              <w:spacing w:line="276" w:lineRule="auto"/>
              <w:jc w:val="center"/>
              <w:rPr>
                <w:rFonts w:cs="Arial"/>
                <w:sz w:val="22"/>
                <w:szCs w:val="22"/>
                <w:lang w:eastAsia="en-GB"/>
              </w:rPr>
            </w:pPr>
            <w:r w:rsidRPr="000B522E">
              <w:rPr>
                <w:rFonts w:cs="Arial"/>
                <w:sz w:val="22"/>
                <w:szCs w:val="22"/>
                <w:lang w:eastAsia="en-GB"/>
              </w:rPr>
              <w:t>30/04/18</w:t>
            </w:r>
          </w:p>
        </w:tc>
        <w:tc>
          <w:tcPr>
            <w:tcW w:w="993" w:type="dxa"/>
            <w:tcBorders>
              <w:top w:val="single" w:sz="4" w:space="0" w:color="auto"/>
              <w:left w:val="single" w:sz="4" w:space="0" w:color="auto"/>
              <w:bottom w:val="single" w:sz="4" w:space="0" w:color="auto"/>
              <w:right w:val="single" w:sz="4" w:space="0" w:color="auto"/>
            </w:tcBorders>
            <w:hideMark/>
          </w:tcPr>
          <w:p w14:paraId="0308E59F" w14:textId="77777777" w:rsidR="009B4BE2" w:rsidRPr="000564EB" w:rsidRDefault="009B4BE2" w:rsidP="00094D94">
            <w:pPr>
              <w:spacing w:line="276" w:lineRule="auto"/>
              <w:jc w:val="center"/>
              <w:rPr>
                <w:rFonts w:cs="Arial"/>
                <w:szCs w:val="24"/>
                <w:lang w:eastAsia="en-GB"/>
              </w:rPr>
            </w:pPr>
            <w:r w:rsidRPr="000564EB">
              <w:rPr>
                <w:rFonts w:cs="Arial"/>
                <w:szCs w:val="24"/>
                <w:lang w:eastAsia="en-GB"/>
              </w:rPr>
              <w:t>WT</w:t>
            </w:r>
          </w:p>
        </w:tc>
        <w:tc>
          <w:tcPr>
            <w:tcW w:w="511" w:type="dxa"/>
            <w:tcBorders>
              <w:top w:val="single" w:sz="4" w:space="0" w:color="auto"/>
              <w:left w:val="single" w:sz="4" w:space="0" w:color="auto"/>
              <w:bottom w:val="single" w:sz="4" w:space="0" w:color="auto"/>
              <w:right w:val="single" w:sz="4" w:space="0" w:color="auto"/>
            </w:tcBorders>
            <w:hideMark/>
          </w:tcPr>
          <w:p w14:paraId="075DAB0E" w14:textId="77777777" w:rsidR="009B4BE2" w:rsidRPr="000564EB" w:rsidRDefault="009B4BE2" w:rsidP="00094D94">
            <w:pPr>
              <w:spacing w:line="276" w:lineRule="auto"/>
              <w:jc w:val="center"/>
              <w:rPr>
                <w:rFonts w:cs="Arial"/>
                <w:szCs w:val="24"/>
                <w:lang w:eastAsia="en-GB"/>
              </w:rPr>
            </w:pPr>
            <w:r w:rsidRPr="000564EB">
              <w:rPr>
                <w:rFonts w:cs="Arial"/>
                <w:szCs w:val="24"/>
                <w:lang w:eastAsia="en-GB"/>
              </w:rPr>
              <w:t>-</w:t>
            </w:r>
          </w:p>
        </w:tc>
        <w:tc>
          <w:tcPr>
            <w:tcW w:w="511" w:type="dxa"/>
            <w:tcBorders>
              <w:top w:val="single" w:sz="4" w:space="0" w:color="auto"/>
              <w:left w:val="single" w:sz="4" w:space="0" w:color="auto"/>
              <w:bottom w:val="single" w:sz="4" w:space="0" w:color="auto"/>
              <w:right w:val="single" w:sz="4" w:space="0" w:color="auto"/>
            </w:tcBorders>
            <w:hideMark/>
          </w:tcPr>
          <w:p w14:paraId="2F77E499" w14:textId="77777777" w:rsidR="009B4BE2" w:rsidRPr="000564EB" w:rsidRDefault="009B4BE2" w:rsidP="00094D94">
            <w:pPr>
              <w:spacing w:line="276" w:lineRule="auto"/>
              <w:jc w:val="center"/>
              <w:rPr>
                <w:rFonts w:cs="Arial"/>
                <w:szCs w:val="24"/>
                <w:lang w:eastAsia="en-GB"/>
              </w:rPr>
            </w:pPr>
            <w:r w:rsidRPr="000564EB">
              <w:rPr>
                <w:rFonts w:cs="Arial"/>
                <w:szCs w:val="24"/>
                <w:lang w:eastAsia="en-GB"/>
              </w:rPr>
              <w:t>-</w:t>
            </w:r>
          </w:p>
        </w:tc>
        <w:tc>
          <w:tcPr>
            <w:tcW w:w="511" w:type="dxa"/>
            <w:tcBorders>
              <w:top w:val="single" w:sz="4" w:space="0" w:color="auto"/>
              <w:left w:val="single" w:sz="4" w:space="0" w:color="auto"/>
              <w:bottom w:val="single" w:sz="4" w:space="0" w:color="auto"/>
              <w:right w:val="single" w:sz="4" w:space="0" w:color="auto"/>
            </w:tcBorders>
            <w:hideMark/>
          </w:tcPr>
          <w:p w14:paraId="25898802" w14:textId="77777777" w:rsidR="009B4BE2" w:rsidRPr="000564EB" w:rsidRDefault="009B4BE2" w:rsidP="00094D94">
            <w:pPr>
              <w:spacing w:line="276" w:lineRule="auto"/>
              <w:jc w:val="center"/>
              <w:rPr>
                <w:rFonts w:cs="Arial"/>
                <w:szCs w:val="24"/>
                <w:lang w:eastAsia="en-GB"/>
              </w:rPr>
            </w:pPr>
            <w:r w:rsidRPr="000564EB">
              <w:rPr>
                <w:rFonts w:cs="Arial"/>
                <w:szCs w:val="24"/>
                <w:lang w:eastAsia="en-GB"/>
              </w:rPr>
              <w:t>-</w:t>
            </w:r>
          </w:p>
        </w:tc>
        <w:tc>
          <w:tcPr>
            <w:tcW w:w="511" w:type="dxa"/>
            <w:tcBorders>
              <w:top w:val="single" w:sz="4" w:space="0" w:color="auto"/>
              <w:left w:val="single" w:sz="4" w:space="0" w:color="auto"/>
              <w:bottom w:val="single" w:sz="4" w:space="0" w:color="auto"/>
              <w:right w:val="single" w:sz="4" w:space="0" w:color="auto"/>
            </w:tcBorders>
            <w:hideMark/>
          </w:tcPr>
          <w:p w14:paraId="2833756E" w14:textId="77777777" w:rsidR="009B4BE2" w:rsidRPr="000564EB" w:rsidRDefault="009B4BE2" w:rsidP="00094D94">
            <w:pPr>
              <w:spacing w:line="276" w:lineRule="auto"/>
              <w:jc w:val="center"/>
              <w:rPr>
                <w:rFonts w:cs="Arial"/>
                <w:szCs w:val="24"/>
                <w:lang w:eastAsia="en-GB"/>
              </w:rPr>
            </w:pPr>
            <w:r w:rsidRPr="000564EB">
              <w:rPr>
                <w:rFonts w:cs="Arial"/>
                <w:szCs w:val="24"/>
                <w:lang w:eastAsia="en-GB"/>
              </w:rPr>
              <w:t>-</w:t>
            </w:r>
          </w:p>
        </w:tc>
      </w:tr>
      <w:tr w:rsidR="009B4BE2" w:rsidRPr="000564EB" w14:paraId="2013069C" w14:textId="77777777" w:rsidTr="00094D94">
        <w:trPr>
          <w:gridAfter w:val="1"/>
          <w:wAfter w:w="30" w:type="dxa"/>
          <w:trHeight w:val="301"/>
        </w:trPr>
        <w:tc>
          <w:tcPr>
            <w:tcW w:w="245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2477C368" w14:textId="77777777" w:rsidR="009B4BE2" w:rsidRPr="000564EB" w:rsidRDefault="009B4BE2" w:rsidP="00094D94">
            <w:pPr>
              <w:spacing w:line="276" w:lineRule="auto"/>
              <w:rPr>
                <w:rFonts w:cs="Arial"/>
                <w:szCs w:val="24"/>
              </w:rPr>
            </w:pPr>
            <w:r w:rsidRPr="000564EB">
              <w:rPr>
                <w:rFonts w:cs="Arial"/>
                <w:szCs w:val="24"/>
              </w:rPr>
              <w:t xml:space="preserve">Quality Reporting </w:t>
            </w:r>
          </w:p>
        </w:tc>
        <w:tc>
          <w:tcPr>
            <w:tcW w:w="442" w:type="dxa"/>
            <w:tcBorders>
              <w:top w:val="single" w:sz="4" w:space="0" w:color="auto"/>
              <w:left w:val="single" w:sz="4" w:space="0" w:color="auto"/>
              <w:bottom w:val="single" w:sz="4" w:space="0" w:color="auto"/>
              <w:right w:val="single" w:sz="4" w:space="0" w:color="auto"/>
            </w:tcBorders>
            <w:vAlign w:val="center"/>
          </w:tcPr>
          <w:p w14:paraId="2190305E"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vAlign w:val="center"/>
          </w:tcPr>
          <w:p w14:paraId="339C59D8" w14:textId="77777777" w:rsidR="009B4BE2" w:rsidRPr="000564EB" w:rsidRDefault="009B4BE2" w:rsidP="00094D94">
            <w:pPr>
              <w:spacing w:line="276" w:lineRule="auto"/>
              <w:jc w:val="center"/>
              <w:rPr>
                <w:rFonts w:cs="Arial"/>
                <w:szCs w:val="24"/>
                <w:lang w:eastAsia="en-GB"/>
              </w:rPr>
            </w:pPr>
            <w:r w:rsidRPr="000564EB">
              <w:rPr>
                <w:rFonts w:cs="Arial"/>
                <w:szCs w:val="24"/>
                <w:lang w:eastAsia="en-GB"/>
              </w:rPr>
              <w:sym w:font="Wingdings" w:char="F0FC"/>
            </w:r>
          </w:p>
        </w:tc>
        <w:tc>
          <w:tcPr>
            <w:tcW w:w="511" w:type="dxa"/>
            <w:tcBorders>
              <w:top w:val="single" w:sz="4" w:space="0" w:color="auto"/>
              <w:left w:val="single" w:sz="4" w:space="0" w:color="auto"/>
              <w:bottom w:val="single" w:sz="4" w:space="0" w:color="auto"/>
              <w:right w:val="single" w:sz="4" w:space="0" w:color="auto"/>
            </w:tcBorders>
            <w:vAlign w:val="center"/>
          </w:tcPr>
          <w:p w14:paraId="102F8931"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vAlign w:val="center"/>
          </w:tcPr>
          <w:p w14:paraId="0AAEC87D" w14:textId="77777777" w:rsidR="009B4BE2" w:rsidRPr="000564EB" w:rsidRDefault="009B4BE2" w:rsidP="00094D94">
            <w:pPr>
              <w:spacing w:line="276" w:lineRule="auto"/>
              <w:jc w:val="center"/>
              <w:rPr>
                <w:rFonts w:cs="Arial"/>
                <w:szCs w:val="24"/>
                <w:lang w:eastAsia="en-GB"/>
              </w:rPr>
            </w:pPr>
          </w:p>
        </w:tc>
        <w:tc>
          <w:tcPr>
            <w:tcW w:w="1127" w:type="dxa"/>
            <w:tcBorders>
              <w:top w:val="single" w:sz="4" w:space="0" w:color="auto"/>
              <w:left w:val="single" w:sz="4" w:space="0" w:color="auto"/>
              <w:bottom w:val="single" w:sz="4" w:space="0" w:color="auto"/>
              <w:right w:val="single" w:sz="4" w:space="0" w:color="auto"/>
            </w:tcBorders>
            <w:tcMar>
              <w:top w:w="0" w:type="dxa"/>
              <w:left w:w="113" w:type="dxa"/>
              <w:bottom w:w="0" w:type="dxa"/>
              <w:right w:w="85" w:type="dxa"/>
            </w:tcMar>
          </w:tcPr>
          <w:p w14:paraId="6E4E12EA" w14:textId="77777777" w:rsidR="009B4BE2" w:rsidRPr="000564EB" w:rsidRDefault="009B4BE2" w:rsidP="00094D94">
            <w:pPr>
              <w:spacing w:line="276" w:lineRule="auto"/>
              <w:ind w:left="-113" w:right="-85"/>
              <w:jc w:val="center"/>
              <w:rPr>
                <w:rFonts w:cs="Arial"/>
                <w:szCs w:val="24"/>
              </w:rPr>
            </w:pPr>
            <w:r w:rsidRPr="000564EB">
              <w:rPr>
                <w:rFonts w:cs="Arial"/>
                <w:szCs w:val="24"/>
              </w:rPr>
              <w:t>Draft Report</w:t>
            </w:r>
          </w:p>
        </w:tc>
        <w:tc>
          <w:tcPr>
            <w:tcW w:w="1129" w:type="dxa"/>
            <w:gridSpan w:val="2"/>
            <w:tcBorders>
              <w:top w:val="single" w:sz="4" w:space="0" w:color="auto"/>
              <w:left w:val="single" w:sz="4" w:space="0" w:color="auto"/>
              <w:bottom w:val="single" w:sz="4" w:space="0" w:color="auto"/>
              <w:right w:val="single" w:sz="4" w:space="0" w:color="auto"/>
            </w:tcBorders>
          </w:tcPr>
          <w:p w14:paraId="44387AFE" w14:textId="77777777" w:rsidR="009B4BE2" w:rsidRPr="000564EB" w:rsidRDefault="009B4BE2" w:rsidP="00094D94">
            <w:pPr>
              <w:spacing w:line="276" w:lineRule="auto"/>
              <w:jc w:val="center"/>
              <w:rPr>
                <w:rFonts w:cs="Arial"/>
                <w:szCs w:val="24"/>
              </w:rPr>
            </w:pPr>
            <w:r w:rsidRPr="000564EB">
              <w:rPr>
                <w:rFonts w:cs="Arial"/>
                <w:szCs w:val="24"/>
              </w:rPr>
              <w:t>June 2018</w:t>
            </w:r>
          </w:p>
        </w:tc>
        <w:tc>
          <w:tcPr>
            <w:tcW w:w="1025" w:type="dxa"/>
            <w:tcBorders>
              <w:top w:val="single" w:sz="4" w:space="0" w:color="auto"/>
              <w:left w:val="single" w:sz="4" w:space="0" w:color="auto"/>
              <w:bottom w:val="single" w:sz="4" w:space="0" w:color="auto"/>
              <w:right w:val="single" w:sz="4" w:space="0" w:color="auto"/>
            </w:tcBorders>
            <w:shd w:val="clear" w:color="auto" w:fill="00B050"/>
          </w:tcPr>
          <w:p w14:paraId="45D32FF9" w14:textId="77777777" w:rsidR="009B4BE2" w:rsidRPr="000B522E" w:rsidRDefault="009B4BE2" w:rsidP="00094D94">
            <w:pPr>
              <w:spacing w:line="276" w:lineRule="auto"/>
              <w:jc w:val="center"/>
              <w:rPr>
                <w:rFonts w:cs="Arial"/>
                <w:sz w:val="22"/>
                <w:szCs w:val="22"/>
              </w:rPr>
            </w:pPr>
            <w:r w:rsidRPr="000B522E">
              <w:rPr>
                <w:rFonts w:cs="Arial"/>
                <w:sz w:val="22"/>
                <w:szCs w:val="22"/>
              </w:rPr>
              <w:t>06/06/18</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1E44B28" w14:textId="77777777" w:rsidR="009B4BE2" w:rsidRPr="000B522E" w:rsidRDefault="009B4BE2" w:rsidP="00094D94">
            <w:pPr>
              <w:spacing w:line="276" w:lineRule="auto"/>
              <w:jc w:val="center"/>
              <w:rPr>
                <w:rFonts w:cs="Arial"/>
                <w:sz w:val="20"/>
              </w:rPr>
            </w:pPr>
            <w:r w:rsidRPr="000B522E">
              <w:rPr>
                <w:rFonts w:cs="Arial"/>
                <w:sz w:val="20"/>
              </w:rPr>
              <w:t>13/06/18</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E24265B" w14:textId="77777777" w:rsidR="009B4BE2" w:rsidRPr="000564EB" w:rsidRDefault="009B4BE2" w:rsidP="00094D94">
            <w:pPr>
              <w:spacing w:line="276" w:lineRule="auto"/>
              <w:jc w:val="center"/>
              <w:rPr>
                <w:rFonts w:cs="Arial"/>
                <w:szCs w:val="24"/>
              </w:rPr>
            </w:pPr>
            <w:r w:rsidRPr="000564EB">
              <w:rPr>
                <w:rFonts w:cs="Arial"/>
                <w:szCs w:val="24"/>
              </w:rPr>
              <w:t>Jul 18</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BE04F52" w14:textId="77777777" w:rsidR="009B4BE2" w:rsidRPr="000564EB" w:rsidRDefault="009B4BE2" w:rsidP="00094D94">
            <w:pPr>
              <w:spacing w:line="276" w:lineRule="auto"/>
              <w:jc w:val="center"/>
              <w:rPr>
                <w:rFonts w:cs="Arial"/>
                <w:szCs w:val="24"/>
                <w:lang w:eastAsia="en-GB"/>
              </w:rPr>
            </w:pPr>
          </w:p>
        </w:tc>
        <w:tc>
          <w:tcPr>
            <w:tcW w:w="989" w:type="dxa"/>
            <w:tcBorders>
              <w:top w:val="single" w:sz="4" w:space="0" w:color="auto"/>
              <w:left w:val="single" w:sz="4" w:space="0" w:color="auto"/>
              <w:bottom w:val="single" w:sz="4" w:space="0" w:color="auto"/>
              <w:right w:val="single" w:sz="4" w:space="0" w:color="auto"/>
            </w:tcBorders>
          </w:tcPr>
          <w:p w14:paraId="374FC399" w14:textId="77777777" w:rsidR="009B4BE2" w:rsidRPr="000564EB" w:rsidRDefault="009B4BE2" w:rsidP="00094D94">
            <w:pPr>
              <w:spacing w:line="276" w:lineRule="auto"/>
              <w:jc w:val="center"/>
              <w:rPr>
                <w:rFonts w:cs="Arial"/>
                <w:szCs w:val="24"/>
                <w:lang w:eastAsia="en-GB"/>
              </w:rPr>
            </w:pPr>
          </w:p>
        </w:tc>
        <w:tc>
          <w:tcPr>
            <w:tcW w:w="993" w:type="dxa"/>
            <w:tcBorders>
              <w:top w:val="single" w:sz="4" w:space="0" w:color="auto"/>
              <w:left w:val="single" w:sz="4" w:space="0" w:color="auto"/>
              <w:bottom w:val="single" w:sz="4" w:space="0" w:color="auto"/>
              <w:right w:val="single" w:sz="4" w:space="0" w:color="auto"/>
            </w:tcBorders>
          </w:tcPr>
          <w:p w14:paraId="0A0F9103"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tcPr>
          <w:p w14:paraId="123ADE0F"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tcPr>
          <w:p w14:paraId="7765A13D"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tcPr>
          <w:p w14:paraId="10E79F6B"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tcPr>
          <w:p w14:paraId="20DB81E6" w14:textId="77777777" w:rsidR="009B4BE2" w:rsidRPr="000564EB" w:rsidRDefault="009B4BE2" w:rsidP="00094D94">
            <w:pPr>
              <w:spacing w:line="276" w:lineRule="auto"/>
              <w:jc w:val="center"/>
              <w:rPr>
                <w:rFonts w:cs="Arial"/>
                <w:szCs w:val="24"/>
                <w:lang w:eastAsia="en-GB"/>
              </w:rPr>
            </w:pPr>
          </w:p>
        </w:tc>
      </w:tr>
      <w:tr w:rsidR="009B4BE2" w:rsidRPr="000564EB" w14:paraId="3F6EC320" w14:textId="77777777" w:rsidTr="00094D94">
        <w:trPr>
          <w:gridAfter w:val="1"/>
          <w:wAfter w:w="30" w:type="dxa"/>
          <w:trHeight w:val="301"/>
        </w:trPr>
        <w:tc>
          <w:tcPr>
            <w:tcW w:w="245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14F14F0A" w14:textId="77777777" w:rsidR="009B4BE2" w:rsidRPr="000564EB" w:rsidRDefault="009B4BE2" w:rsidP="00094D94">
            <w:pPr>
              <w:spacing w:line="276" w:lineRule="auto"/>
              <w:rPr>
                <w:rFonts w:cs="Arial"/>
                <w:szCs w:val="24"/>
              </w:rPr>
            </w:pPr>
            <w:r w:rsidRPr="000564EB">
              <w:rPr>
                <w:rFonts w:cs="Arial"/>
                <w:szCs w:val="24"/>
              </w:rPr>
              <w:t>Exception Report Management</w:t>
            </w:r>
          </w:p>
        </w:tc>
        <w:tc>
          <w:tcPr>
            <w:tcW w:w="442" w:type="dxa"/>
            <w:tcBorders>
              <w:top w:val="single" w:sz="4" w:space="0" w:color="auto"/>
              <w:left w:val="single" w:sz="4" w:space="0" w:color="auto"/>
              <w:bottom w:val="single" w:sz="4" w:space="0" w:color="auto"/>
              <w:right w:val="single" w:sz="4" w:space="0" w:color="auto"/>
            </w:tcBorders>
            <w:vAlign w:val="center"/>
          </w:tcPr>
          <w:p w14:paraId="0871E73C"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vAlign w:val="center"/>
          </w:tcPr>
          <w:p w14:paraId="14C0AFE8"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vAlign w:val="center"/>
          </w:tcPr>
          <w:p w14:paraId="3F291938" w14:textId="77777777" w:rsidR="009B4BE2" w:rsidRPr="000564EB" w:rsidRDefault="009B4BE2" w:rsidP="00094D94">
            <w:pPr>
              <w:spacing w:line="276" w:lineRule="auto"/>
              <w:jc w:val="center"/>
              <w:rPr>
                <w:rFonts w:cs="Arial"/>
                <w:szCs w:val="24"/>
                <w:lang w:eastAsia="en-GB"/>
              </w:rPr>
            </w:pPr>
            <w:r w:rsidRPr="000564EB">
              <w:rPr>
                <w:rFonts w:cs="Arial"/>
                <w:szCs w:val="24"/>
                <w:lang w:eastAsia="en-GB"/>
              </w:rPr>
              <w:sym w:font="Wingdings" w:char="F0FC"/>
            </w:r>
          </w:p>
        </w:tc>
        <w:tc>
          <w:tcPr>
            <w:tcW w:w="511" w:type="dxa"/>
            <w:tcBorders>
              <w:top w:val="single" w:sz="4" w:space="0" w:color="auto"/>
              <w:left w:val="single" w:sz="4" w:space="0" w:color="auto"/>
              <w:bottom w:val="single" w:sz="4" w:space="0" w:color="auto"/>
              <w:right w:val="single" w:sz="4" w:space="0" w:color="auto"/>
            </w:tcBorders>
            <w:vAlign w:val="center"/>
          </w:tcPr>
          <w:p w14:paraId="26B94D31" w14:textId="77777777" w:rsidR="009B4BE2" w:rsidRPr="000564EB" w:rsidRDefault="009B4BE2" w:rsidP="00094D94">
            <w:pPr>
              <w:spacing w:line="276" w:lineRule="auto"/>
              <w:jc w:val="center"/>
              <w:rPr>
                <w:rFonts w:cs="Arial"/>
                <w:szCs w:val="24"/>
                <w:lang w:eastAsia="en-GB"/>
              </w:rPr>
            </w:pPr>
          </w:p>
        </w:tc>
        <w:tc>
          <w:tcPr>
            <w:tcW w:w="1127" w:type="dxa"/>
            <w:tcBorders>
              <w:top w:val="single" w:sz="4" w:space="0" w:color="auto"/>
              <w:left w:val="single" w:sz="4" w:space="0" w:color="auto"/>
              <w:bottom w:val="single" w:sz="4" w:space="0" w:color="auto"/>
              <w:right w:val="single" w:sz="4" w:space="0" w:color="auto"/>
            </w:tcBorders>
            <w:tcMar>
              <w:top w:w="0" w:type="dxa"/>
              <w:left w:w="113" w:type="dxa"/>
              <w:bottom w:w="0" w:type="dxa"/>
              <w:right w:w="85" w:type="dxa"/>
            </w:tcMar>
          </w:tcPr>
          <w:p w14:paraId="2DD30E18" w14:textId="77777777" w:rsidR="009B4BE2" w:rsidRPr="000564EB" w:rsidRDefault="009B4BE2" w:rsidP="00094D94">
            <w:pPr>
              <w:spacing w:line="276" w:lineRule="auto"/>
              <w:ind w:left="-113" w:right="-85"/>
              <w:jc w:val="center"/>
              <w:rPr>
                <w:rFonts w:cs="Arial"/>
                <w:szCs w:val="24"/>
              </w:rPr>
            </w:pPr>
            <w:r w:rsidRPr="000564EB">
              <w:rPr>
                <w:rFonts w:cs="Arial"/>
                <w:szCs w:val="24"/>
              </w:rPr>
              <w:t>Planning</w:t>
            </w:r>
          </w:p>
        </w:tc>
        <w:tc>
          <w:tcPr>
            <w:tcW w:w="1129" w:type="dxa"/>
            <w:gridSpan w:val="2"/>
            <w:tcBorders>
              <w:top w:val="single" w:sz="4" w:space="0" w:color="auto"/>
              <w:left w:val="single" w:sz="4" w:space="0" w:color="auto"/>
              <w:bottom w:val="single" w:sz="4" w:space="0" w:color="auto"/>
              <w:right w:val="single" w:sz="4" w:space="0" w:color="auto"/>
            </w:tcBorders>
          </w:tcPr>
          <w:p w14:paraId="14D07887" w14:textId="77777777" w:rsidR="009B4BE2" w:rsidRPr="000564EB" w:rsidRDefault="009B4BE2" w:rsidP="00094D94">
            <w:pPr>
              <w:spacing w:line="276" w:lineRule="auto"/>
              <w:jc w:val="center"/>
              <w:rPr>
                <w:rFonts w:cs="Arial"/>
                <w:szCs w:val="24"/>
              </w:rPr>
            </w:pPr>
            <w:r w:rsidRPr="000564EB">
              <w:rPr>
                <w:rFonts w:cs="Arial"/>
                <w:szCs w:val="24"/>
              </w:rPr>
              <w:t>Sep 2018</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CAC834D" w14:textId="77777777" w:rsidR="009B4BE2" w:rsidRPr="000564EB" w:rsidRDefault="009B4BE2" w:rsidP="00094D94">
            <w:pPr>
              <w:spacing w:line="276" w:lineRule="auto"/>
              <w:jc w:val="center"/>
              <w:rPr>
                <w:rFonts w:cs="Arial"/>
                <w:szCs w:val="24"/>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135D38D" w14:textId="77777777" w:rsidR="009B4BE2" w:rsidRPr="000564EB" w:rsidRDefault="009B4BE2" w:rsidP="00094D94">
            <w:pPr>
              <w:spacing w:line="276" w:lineRule="auto"/>
              <w:jc w:val="center"/>
              <w:rPr>
                <w:rFonts w:cs="Arial"/>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9019301" w14:textId="77777777" w:rsidR="009B4BE2" w:rsidRPr="000564EB" w:rsidRDefault="009B4BE2" w:rsidP="00094D94">
            <w:pPr>
              <w:spacing w:line="276" w:lineRule="auto"/>
              <w:jc w:val="center"/>
              <w:rPr>
                <w:rFonts w:cs="Arial"/>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C714B7B" w14:textId="77777777" w:rsidR="009B4BE2" w:rsidRPr="000564EB" w:rsidRDefault="009B4BE2" w:rsidP="00094D94">
            <w:pPr>
              <w:spacing w:line="276" w:lineRule="auto"/>
              <w:jc w:val="center"/>
              <w:rPr>
                <w:rFonts w:cs="Arial"/>
                <w:szCs w:val="24"/>
                <w:lang w:eastAsia="en-GB"/>
              </w:rPr>
            </w:pPr>
          </w:p>
        </w:tc>
        <w:tc>
          <w:tcPr>
            <w:tcW w:w="989" w:type="dxa"/>
            <w:tcBorders>
              <w:top w:val="single" w:sz="4" w:space="0" w:color="auto"/>
              <w:left w:val="single" w:sz="4" w:space="0" w:color="auto"/>
              <w:bottom w:val="single" w:sz="4" w:space="0" w:color="auto"/>
              <w:right w:val="single" w:sz="4" w:space="0" w:color="auto"/>
            </w:tcBorders>
          </w:tcPr>
          <w:p w14:paraId="61697769" w14:textId="77777777" w:rsidR="009B4BE2" w:rsidRPr="000564EB" w:rsidRDefault="009B4BE2" w:rsidP="00094D94">
            <w:pPr>
              <w:spacing w:line="276" w:lineRule="auto"/>
              <w:jc w:val="center"/>
              <w:rPr>
                <w:rFonts w:cs="Arial"/>
                <w:szCs w:val="24"/>
                <w:lang w:eastAsia="en-GB"/>
              </w:rPr>
            </w:pPr>
          </w:p>
        </w:tc>
        <w:tc>
          <w:tcPr>
            <w:tcW w:w="993" w:type="dxa"/>
            <w:tcBorders>
              <w:top w:val="single" w:sz="4" w:space="0" w:color="auto"/>
              <w:left w:val="single" w:sz="4" w:space="0" w:color="auto"/>
              <w:bottom w:val="single" w:sz="4" w:space="0" w:color="auto"/>
              <w:right w:val="single" w:sz="4" w:space="0" w:color="auto"/>
            </w:tcBorders>
          </w:tcPr>
          <w:p w14:paraId="2616ED29"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tcPr>
          <w:p w14:paraId="5894F497"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tcPr>
          <w:p w14:paraId="6578359F"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tcPr>
          <w:p w14:paraId="4FADFCC3"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tcPr>
          <w:p w14:paraId="60C6A32C" w14:textId="77777777" w:rsidR="009B4BE2" w:rsidRPr="000564EB" w:rsidRDefault="009B4BE2" w:rsidP="00094D94">
            <w:pPr>
              <w:spacing w:line="276" w:lineRule="auto"/>
              <w:jc w:val="center"/>
              <w:rPr>
                <w:rFonts w:cs="Arial"/>
                <w:szCs w:val="24"/>
                <w:lang w:eastAsia="en-GB"/>
              </w:rPr>
            </w:pPr>
          </w:p>
        </w:tc>
      </w:tr>
      <w:tr w:rsidR="009B4BE2" w:rsidRPr="000564EB" w14:paraId="6DB07596" w14:textId="77777777" w:rsidTr="00094D94">
        <w:trPr>
          <w:gridAfter w:val="1"/>
          <w:wAfter w:w="30" w:type="dxa"/>
          <w:trHeight w:val="525"/>
        </w:trPr>
        <w:tc>
          <w:tcPr>
            <w:tcW w:w="245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7406AEF" w14:textId="77777777" w:rsidR="009B4BE2" w:rsidRPr="000564EB" w:rsidRDefault="009B4BE2" w:rsidP="00094D94">
            <w:pPr>
              <w:spacing w:line="276" w:lineRule="auto"/>
              <w:rPr>
                <w:rFonts w:cs="Arial"/>
                <w:szCs w:val="24"/>
                <w:lang w:eastAsia="en-GB"/>
              </w:rPr>
            </w:pPr>
            <w:r w:rsidRPr="000564EB">
              <w:rPr>
                <w:rFonts w:cs="Arial"/>
                <w:szCs w:val="24"/>
              </w:rPr>
              <w:t>Factor Change Management</w:t>
            </w:r>
          </w:p>
        </w:tc>
        <w:tc>
          <w:tcPr>
            <w:tcW w:w="442" w:type="dxa"/>
            <w:tcBorders>
              <w:top w:val="single" w:sz="4" w:space="0" w:color="auto"/>
              <w:left w:val="single" w:sz="4" w:space="0" w:color="auto"/>
              <w:bottom w:val="single" w:sz="4" w:space="0" w:color="auto"/>
              <w:right w:val="single" w:sz="4" w:space="0" w:color="auto"/>
            </w:tcBorders>
            <w:vAlign w:val="center"/>
          </w:tcPr>
          <w:p w14:paraId="1D53112B"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vAlign w:val="center"/>
          </w:tcPr>
          <w:p w14:paraId="16C656E5"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vAlign w:val="center"/>
          </w:tcPr>
          <w:p w14:paraId="5200527A"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vAlign w:val="center"/>
            <w:hideMark/>
          </w:tcPr>
          <w:p w14:paraId="7168F081" w14:textId="77777777" w:rsidR="009B4BE2" w:rsidRPr="000564EB" w:rsidRDefault="009B4BE2" w:rsidP="00094D94">
            <w:pPr>
              <w:spacing w:line="276" w:lineRule="auto"/>
              <w:jc w:val="center"/>
              <w:rPr>
                <w:rFonts w:cs="Arial"/>
                <w:szCs w:val="24"/>
                <w:lang w:eastAsia="en-GB"/>
              </w:rPr>
            </w:pPr>
            <w:r w:rsidRPr="000564EB">
              <w:rPr>
                <w:rFonts w:cs="Arial"/>
                <w:szCs w:val="24"/>
                <w:lang w:eastAsia="en-GB"/>
              </w:rPr>
              <w:sym w:font="Wingdings" w:char="F0FC"/>
            </w:r>
          </w:p>
        </w:tc>
        <w:tc>
          <w:tcPr>
            <w:tcW w:w="1127" w:type="dxa"/>
            <w:tcBorders>
              <w:top w:val="single" w:sz="4" w:space="0" w:color="auto"/>
              <w:left w:val="single" w:sz="4" w:space="0" w:color="auto"/>
              <w:bottom w:val="single" w:sz="4" w:space="0" w:color="auto"/>
              <w:right w:val="single" w:sz="4" w:space="0" w:color="auto"/>
            </w:tcBorders>
            <w:tcMar>
              <w:top w:w="0" w:type="dxa"/>
              <w:left w:w="113" w:type="dxa"/>
              <w:bottom w:w="0" w:type="dxa"/>
              <w:right w:w="85" w:type="dxa"/>
            </w:tcMar>
            <w:hideMark/>
          </w:tcPr>
          <w:p w14:paraId="61DF6B10" w14:textId="77777777" w:rsidR="009B4BE2" w:rsidRPr="000564EB" w:rsidRDefault="009B4BE2" w:rsidP="00094D94">
            <w:pPr>
              <w:spacing w:line="276" w:lineRule="auto"/>
              <w:ind w:left="-113" w:right="-85"/>
              <w:jc w:val="center"/>
              <w:rPr>
                <w:rFonts w:cs="Arial"/>
                <w:szCs w:val="24"/>
                <w:lang w:eastAsia="en-GB"/>
              </w:rPr>
            </w:pPr>
            <w:r w:rsidRPr="000564EB">
              <w:rPr>
                <w:rFonts w:cs="Arial"/>
                <w:szCs w:val="24"/>
              </w:rPr>
              <w:t>Not Started</w:t>
            </w:r>
          </w:p>
        </w:tc>
        <w:tc>
          <w:tcPr>
            <w:tcW w:w="1129" w:type="dxa"/>
            <w:gridSpan w:val="2"/>
            <w:tcBorders>
              <w:top w:val="single" w:sz="4" w:space="0" w:color="auto"/>
              <w:left w:val="single" w:sz="4" w:space="0" w:color="auto"/>
              <w:bottom w:val="single" w:sz="4" w:space="0" w:color="auto"/>
              <w:right w:val="single" w:sz="4" w:space="0" w:color="auto"/>
            </w:tcBorders>
            <w:hideMark/>
          </w:tcPr>
          <w:p w14:paraId="531B3BB9" w14:textId="77777777" w:rsidR="009B4BE2" w:rsidRPr="000564EB" w:rsidRDefault="009B4BE2" w:rsidP="00094D94">
            <w:pPr>
              <w:spacing w:line="276" w:lineRule="auto"/>
              <w:jc w:val="center"/>
              <w:rPr>
                <w:rFonts w:cs="Arial"/>
                <w:color w:val="000000"/>
                <w:szCs w:val="24"/>
                <w:lang w:eastAsia="en-GB"/>
              </w:rPr>
            </w:pPr>
            <w:r w:rsidRPr="000564EB">
              <w:rPr>
                <w:rFonts w:cs="Arial"/>
                <w:szCs w:val="24"/>
              </w:rPr>
              <w:t>Oct 2018</w:t>
            </w:r>
          </w:p>
        </w:tc>
        <w:tc>
          <w:tcPr>
            <w:tcW w:w="1025" w:type="dxa"/>
            <w:tcBorders>
              <w:top w:val="single" w:sz="4" w:space="0" w:color="auto"/>
              <w:left w:val="single" w:sz="4" w:space="0" w:color="auto"/>
              <w:bottom w:val="single" w:sz="4" w:space="0" w:color="auto"/>
              <w:right w:val="single" w:sz="4" w:space="0" w:color="auto"/>
            </w:tcBorders>
          </w:tcPr>
          <w:p w14:paraId="56CF0C29" w14:textId="77777777" w:rsidR="009B4BE2" w:rsidRPr="000564EB" w:rsidRDefault="009B4BE2" w:rsidP="00094D94">
            <w:pPr>
              <w:spacing w:line="276" w:lineRule="auto"/>
              <w:jc w:val="center"/>
              <w:rPr>
                <w:rFonts w:cs="Arial"/>
                <w:szCs w:val="24"/>
                <w:lang w:eastAsia="en-GB"/>
              </w:rPr>
            </w:pPr>
          </w:p>
        </w:tc>
        <w:tc>
          <w:tcPr>
            <w:tcW w:w="923" w:type="dxa"/>
            <w:tcBorders>
              <w:top w:val="single" w:sz="4" w:space="0" w:color="auto"/>
              <w:left w:val="single" w:sz="4" w:space="0" w:color="auto"/>
              <w:bottom w:val="single" w:sz="4" w:space="0" w:color="auto"/>
              <w:right w:val="single" w:sz="4" w:space="0" w:color="auto"/>
            </w:tcBorders>
          </w:tcPr>
          <w:p w14:paraId="60126692" w14:textId="77777777" w:rsidR="009B4BE2" w:rsidRPr="000564EB" w:rsidRDefault="009B4BE2" w:rsidP="00094D94">
            <w:pPr>
              <w:spacing w:line="276" w:lineRule="auto"/>
              <w:jc w:val="center"/>
              <w:rPr>
                <w:rFonts w:cs="Arial"/>
                <w:szCs w:val="24"/>
                <w:lang w:eastAsia="en-GB"/>
              </w:rPr>
            </w:pPr>
          </w:p>
        </w:tc>
        <w:tc>
          <w:tcPr>
            <w:tcW w:w="1025" w:type="dxa"/>
            <w:tcBorders>
              <w:top w:val="single" w:sz="4" w:space="0" w:color="auto"/>
              <w:left w:val="single" w:sz="4" w:space="0" w:color="auto"/>
              <w:bottom w:val="single" w:sz="4" w:space="0" w:color="auto"/>
              <w:right w:val="single" w:sz="4" w:space="0" w:color="auto"/>
            </w:tcBorders>
          </w:tcPr>
          <w:p w14:paraId="3CF5DB89" w14:textId="77777777" w:rsidR="009B4BE2" w:rsidRPr="000564EB" w:rsidRDefault="009B4BE2" w:rsidP="00094D94">
            <w:pPr>
              <w:spacing w:line="276" w:lineRule="auto"/>
              <w:jc w:val="center"/>
              <w:rPr>
                <w:rFonts w:cs="Arial"/>
                <w:szCs w:val="24"/>
                <w:lang w:eastAsia="en-GB"/>
              </w:rPr>
            </w:pPr>
          </w:p>
        </w:tc>
        <w:tc>
          <w:tcPr>
            <w:tcW w:w="1025" w:type="dxa"/>
            <w:tcBorders>
              <w:top w:val="single" w:sz="4" w:space="0" w:color="auto"/>
              <w:left w:val="single" w:sz="4" w:space="0" w:color="auto"/>
              <w:bottom w:val="single" w:sz="4" w:space="0" w:color="auto"/>
              <w:right w:val="single" w:sz="4" w:space="0" w:color="auto"/>
            </w:tcBorders>
          </w:tcPr>
          <w:p w14:paraId="3EF3F135" w14:textId="77777777" w:rsidR="009B4BE2" w:rsidRPr="000564EB" w:rsidRDefault="009B4BE2" w:rsidP="00094D94">
            <w:pPr>
              <w:spacing w:line="276" w:lineRule="auto"/>
              <w:jc w:val="center"/>
              <w:rPr>
                <w:rFonts w:cs="Arial"/>
                <w:szCs w:val="24"/>
                <w:lang w:eastAsia="en-GB"/>
              </w:rPr>
            </w:pPr>
          </w:p>
        </w:tc>
        <w:tc>
          <w:tcPr>
            <w:tcW w:w="989" w:type="dxa"/>
            <w:tcBorders>
              <w:top w:val="single" w:sz="4" w:space="0" w:color="auto"/>
              <w:left w:val="single" w:sz="4" w:space="0" w:color="auto"/>
              <w:bottom w:val="single" w:sz="4" w:space="0" w:color="auto"/>
              <w:right w:val="single" w:sz="4" w:space="0" w:color="auto"/>
            </w:tcBorders>
          </w:tcPr>
          <w:p w14:paraId="2F79614F" w14:textId="77777777" w:rsidR="009B4BE2" w:rsidRPr="000564EB" w:rsidRDefault="009B4BE2" w:rsidP="00094D94">
            <w:pPr>
              <w:spacing w:line="276" w:lineRule="auto"/>
              <w:jc w:val="center"/>
              <w:rPr>
                <w:rFonts w:cs="Arial"/>
                <w:szCs w:val="24"/>
                <w:lang w:eastAsia="en-GB"/>
              </w:rPr>
            </w:pPr>
          </w:p>
        </w:tc>
        <w:tc>
          <w:tcPr>
            <w:tcW w:w="993" w:type="dxa"/>
            <w:tcBorders>
              <w:top w:val="single" w:sz="4" w:space="0" w:color="auto"/>
              <w:left w:val="single" w:sz="4" w:space="0" w:color="auto"/>
              <w:bottom w:val="single" w:sz="4" w:space="0" w:color="auto"/>
              <w:right w:val="single" w:sz="4" w:space="0" w:color="auto"/>
            </w:tcBorders>
          </w:tcPr>
          <w:p w14:paraId="5E96F27B"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tcPr>
          <w:p w14:paraId="5FE15044"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tcPr>
          <w:p w14:paraId="61D13D02"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tcPr>
          <w:p w14:paraId="331E5CAE"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tcPr>
          <w:p w14:paraId="2ED648B8" w14:textId="77777777" w:rsidR="009B4BE2" w:rsidRPr="000564EB" w:rsidRDefault="009B4BE2" w:rsidP="00094D94">
            <w:pPr>
              <w:spacing w:line="276" w:lineRule="auto"/>
              <w:jc w:val="center"/>
              <w:rPr>
                <w:rFonts w:cs="Arial"/>
                <w:szCs w:val="24"/>
                <w:lang w:eastAsia="en-GB"/>
              </w:rPr>
            </w:pPr>
          </w:p>
        </w:tc>
      </w:tr>
      <w:tr w:rsidR="009B4BE2" w:rsidRPr="000564EB" w14:paraId="34E8ADCD" w14:textId="77777777" w:rsidTr="00094D94">
        <w:trPr>
          <w:gridAfter w:val="1"/>
          <w:wAfter w:w="30" w:type="dxa"/>
          <w:trHeight w:val="315"/>
        </w:trPr>
        <w:tc>
          <w:tcPr>
            <w:tcW w:w="245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259BE4EB" w14:textId="77777777" w:rsidR="009B4BE2" w:rsidRPr="000564EB" w:rsidRDefault="009B4BE2" w:rsidP="00094D94">
            <w:pPr>
              <w:spacing w:line="276" w:lineRule="auto"/>
              <w:rPr>
                <w:rFonts w:cs="Arial"/>
                <w:szCs w:val="24"/>
              </w:rPr>
            </w:pPr>
            <w:r w:rsidRPr="000564EB">
              <w:rPr>
                <w:rFonts w:cs="Arial"/>
                <w:szCs w:val="24"/>
              </w:rPr>
              <w:t>GDPR (Post Imp)</w:t>
            </w:r>
          </w:p>
        </w:tc>
        <w:tc>
          <w:tcPr>
            <w:tcW w:w="442" w:type="dxa"/>
            <w:tcBorders>
              <w:top w:val="single" w:sz="4" w:space="0" w:color="auto"/>
              <w:left w:val="single" w:sz="4" w:space="0" w:color="auto"/>
              <w:bottom w:val="single" w:sz="4" w:space="0" w:color="auto"/>
              <w:right w:val="single" w:sz="4" w:space="0" w:color="auto"/>
            </w:tcBorders>
            <w:vAlign w:val="center"/>
          </w:tcPr>
          <w:p w14:paraId="68A9D4B9"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vAlign w:val="center"/>
          </w:tcPr>
          <w:p w14:paraId="5652B6BD"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vAlign w:val="center"/>
          </w:tcPr>
          <w:p w14:paraId="3E396254"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vAlign w:val="center"/>
          </w:tcPr>
          <w:p w14:paraId="3A7DF90C" w14:textId="77777777" w:rsidR="009B4BE2" w:rsidRPr="000564EB" w:rsidRDefault="009B4BE2" w:rsidP="00094D94">
            <w:pPr>
              <w:spacing w:line="276" w:lineRule="auto"/>
              <w:jc w:val="center"/>
              <w:rPr>
                <w:rFonts w:cs="Arial"/>
                <w:szCs w:val="24"/>
                <w:lang w:eastAsia="en-GB"/>
              </w:rPr>
            </w:pPr>
            <w:r w:rsidRPr="000564EB">
              <w:rPr>
                <w:rFonts w:cs="Arial"/>
                <w:szCs w:val="24"/>
                <w:lang w:eastAsia="en-GB"/>
              </w:rPr>
              <w:sym w:font="Wingdings" w:char="F0FC"/>
            </w:r>
          </w:p>
        </w:tc>
        <w:tc>
          <w:tcPr>
            <w:tcW w:w="1127" w:type="dxa"/>
            <w:tcBorders>
              <w:top w:val="single" w:sz="4" w:space="0" w:color="auto"/>
              <w:left w:val="single" w:sz="4" w:space="0" w:color="auto"/>
              <w:bottom w:val="single" w:sz="4" w:space="0" w:color="auto"/>
              <w:right w:val="single" w:sz="4" w:space="0" w:color="auto"/>
            </w:tcBorders>
            <w:tcMar>
              <w:top w:w="0" w:type="dxa"/>
              <w:left w:w="113" w:type="dxa"/>
              <w:bottom w:w="0" w:type="dxa"/>
              <w:right w:w="85" w:type="dxa"/>
            </w:tcMar>
          </w:tcPr>
          <w:p w14:paraId="0DC8149C" w14:textId="77777777" w:rsidR="009B4BE2" w:rsidRPr="000564EB" w:rsidRDefault="009B4BE2" w:rsidP="00094D94">
            <w:pPr>
              <w:spacing w:line="276" w:lineRule="auto"/>
              <w:ind w:left="-113" w:right="-85"/>
              <w:jc w:val="center"/>
              <w:rPr>
                <w:rFonts w:cs="Arial"/>
                <w:szCs w:val="24"/>
              </w:rPr>
            </w:pPr>
            <w:r w:rsidRPr="000564EB">
              <w:rPr>
                <w:rFonts w:cs="Arial"/>
                <w:szCs w:val="24"/>
              </w:rPr>
              <w:t>Not Started</w:t>
            </w:r>
          </w:p>
        </w:tc>
        <w:tc>
          <w:tcPr>
            <w:tcW w:w="1129" w:type="dxa"/>
            <w:gridSpan w:val="2"/>
            <w:tcBorders>
              <w:top w:val="single" w:sz="4" w:space="0" w:color="auto"/>
              <w:left w:val="single" w:sz="4" w:space="0" w:color="auto"/>
              <w:bottom w:val="single" w:sz="4" w:space="0" w:color="auto"/>
              <w:right w:val="single" w:sz="4" w:space="0" w:color="auto"/>
            </w:tcBorders>
          </w:tcPr>
          <w:p w14:paraId="4FCB5094" w14:textId="77777777" w:rsidR="009B4BE2" w:rsidRPr="000564EB" w:rsidRDefault="009B4BE2" w:rsidP="00094D94">
            <w:pPr>
              <w:spacing w:line="276" w:lineRule="auto"/>
              <w:jc w:val="center"/>
              <w:rPr>
                <w:rFonts w:cs="Arial"/>
                <w:szCs w:val="24"/>
              </w:rPr>
            </w:pPr>
            <w:r w:rsidRPr="000564EB">
              <w:rPr>
                <w:rFonts w:cs="Arial"/>
                <w:szCs w:val="24"/>
              </w:rPr>
              <w:t>Nov 2018</w:t>
            </w:r>
          </w:p>
        </w:tc>
        <w:tc>
          <w:tcPr>
            <w:tcW w:w="1025" w:type="dxa"/>
            <w:tcBorders>
              <w:top w:val="single" w:sz="4" w:space="0" w:color="auto"/>
              <w:left w:val="single" w:sz="4" w:space="0" w:color="auto"/>
              <w:bottom w:val="single" w:sz="4" w:space="0" w:color="auto"/>
              <w:right w:val="single" w:sz="4" w:space="0" w:color="auto"/>
            </w:tcBorders>
          </w:tcPr>
          <w:p w14:paraId="45DF288A" w14:textId="77777777" w:rsidR="009B4BE2" w:rsidRPr="000564EB" w:rsidRDefault="009B4BE2" w:rsidP="00094D94">
            <w:pPr>
              <w:spacing w:line="276" w:lineRule="auto"/>
              <w:jc w:val="center"/>
              <w:rPr>
                <w:rFonts w:cs="Arial"/>
                <w:szCs w:val="24"/>
                <w:lang w:eastAsia="en-GB"/>
              </w:rPr>
            </w:pPr>
          </w:p>
        </w:tc>
        <w:tc>
          <w:tcPr>
            <w:tcW w:w="923" w:type="dxa"/>
            <w:tcBorders>
              <w:top w:val="single" w:sz="4" w:space="0" w:color="auto"/>
              <w:left w:val="single" w:sz="4" w:space="0" w:color="auto"/>
              <w:bottom w:val="single" w:sz="4" w:space="0" w:color="auto"/>
              <w:right w:val="single" w:sz="4" w:space="0" w:color="auto"/>
            </w:tcBorders>
          </w:tcPr>
          <w:p w14:paraId="1D2309C1" w14:textId="77777777" w:rsidR="009B4BE2" w:rsidRPr="000564EB" w:rsidRDefault="009B4BE2" w:rsidP="00094D94">
            <w:pPr>
              <w:spacing w:line="276" w:lineRule="auto"/>
              <w:jc w:val="center"/>
              <w:rPr>
                <w:rFonts w:cs="Arial"/>
                <w:szCs w:val="24"/>
                <w:lang w:eastAsia="en-GB"/>
              </w:rPr>
            </w:pPr>
          </w:p>
        </w:tc>
        <w:tc>
          <w:tcPr>
            <w:tcW w:w="1025" w:type="dxa"/>
            <w:tcBorders>
              <w:top w:val="single" w:sz="4" w:space="0" w:color="auto"/>
              <w:left w:val="single" w:sz="4" w:space="0" w:color="auto"/>
              <w:bottom w:val="single" w:sz="4" w:space="0" w:color="auto"/>
              <w:right w:val="single" w:sz="4" w:space="0" w:color="auto"/>
            </w:tcBorders>
          </w:tcPr>
          <w:p w14:paraId="6439FFDC" w14:textId="77777777" w:rsidR="009B4BE2" w:rsidRPr="000564EB" w:rsidRDefault="009B4BE2" w:rsidP="00094D94">
            <w:pPr>
              <w:spacing w:line="276" w:lineRule="auto"/>
              <w:jc w:val="center"/>
              <w:rPr>
                <w:rFonts w:cs="Arial"/>
                <w:szCs w:val="24"/>
                <w:lang w:eastAsia="en-GB"/>
              </w:rPr>
            </w:pPr>
          </w:p>
        </w:tc>
        <w:tc>
          <w:tcPr>
            <w:tcW w:w="1025" w:type="dxa"/>
            <w:tcBorders>
              <w:top w:val="single" w:sz="4" w:space="0" w:color="auto"/>
              <w:left w:val="single" w:sz="4" w:space="0" w:color="auto"/>
              <w:bottom w:val="single" w:sz="4" w:space="0" w:color="auto"/>
              <w:right w:val="single" w:sz="4" w:space="0" w:color="auto"/>
            </w:tcBorders>
          </w:tcPr>
          <w:p w14:paraId="20199774" w14:textId="77777777" w:rsidR="009B4BE2" w:rsidRPr="000564EB" w:rsidRDefault="009B4BE2" w:rsidP="00094D94">
            <w:pPr>
              <w:spacing w:line="276" w:lineRule="auto"/>
              <w:jc w:val="center"/>
              <w:rPr>
                <w:rFonts w:cs="Arial"/>
                <w:szCs w:val="24"/>
                <w:lang w:eastAsia="en-GB"/>
              </w:rPr>
            </w:pPr>
          </w:p>
        </w:tc>
        <w:tc>
          <w:tcPr>
            <w:tcW w:w="989" w:type="dxa"/>
            <w:tcBorders>
              <w:top w:val="single" w:sz="4" w:space="0" w:color="auto"/>
              <w:left w:val="single" w:sz="4" w:space="0" w:color="auto"/>
              <w:bottom w:val="single" w:sz="4" w:space="0" w:color="auto"/>
              <w:right w:val="single" w:sz="4" w:space="0" w:color="auto"/>
            </w:tcBorders>
          </w:tcPr>
          <w:p w14:paraId="10D412A3" w14:textId="77777777" w:rsidR="009B4BE2" w:rsidRPr="000564EB" w:rsidRDefault="009B4BE2" w:rsidP="00094D94">
            <w:pPr>
              <w:spacing w:line="276" w:lineRule="auto"/>
              <w:jc w:val="center"/>
              <w:rPr>
                <w:rFonts w:cs="Arial"/>
                <w:szCs w:val="24"/>
                <w:lang w:eastAsia="en-GB"/>
              </w:rPr>
            </w:pPr>
          </w:p>
        </w:tc>
        <w:tc>
          <w:tcPr>
            <w:tcW w:w="993" w:type="dxa"/>
            <w:tcBorders>
              <w:top w:val="single" w:sz="4" w:space="0" w:color="auto"/>
              <w:left w:val="single" w:sz="4" w:space="0" w:color="auto"/>
              <w:bottom w:val="single" w:sz="4" w:space="0" w:color="auto"/>
              <w:right w:val="single" w:sz="4" w:space="0" w:color="auto"/>
            </w:tcBorders>
          </w:tcPr>
          <w:p w14:paraId="32DBB45C"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tcPr>
          <w:p w14:paraId="31A2E94A"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tcPr>
          <w:p w14:paraId="51DC9ABE"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tcPr>
          <w:p w14:paraId="17294338" w14:textId="77777777" w:rsidR="009B4BE2" w:rsidRPr="000564EB" w:rsidRDefault="009B4BE2" w:rsidP="00094D94">
            <w:pPr>
              <w:spacing w:line="276" w:lineRule="auto"/>
              <w:jc w:val="center"/>
              <w:rPr>
                <w:rFonts w:cs="Arial"/>
                <w:szCs w:val="24"/>
                <w:lang w:eastAsia="en-GB"/>
              </w:rPr>
            </w:pPr>
          </w:p>
        </w:tc>
        <w:tc>
          <w:tcPr>
            <w:tcW w:w="511" w:type="dxa"/>
            <w:tcBorders>
              <w:top w:val="single" w:sz="4" w:space="0" w:color="auto"/>
              <w:left w:val="single" w:sz="4" w:space="0" w:color="auto"/>
              <w:bottom w:val="single" w:sz="4" w:space="0" w:color="auto"/>
              <w:right w:val="single" w:sz="4" w:space="0" w:color="auto"/>
            </w:tcBorders>
          </w:tcPr>
          <w:p w14:paraId="250466CE" w14:textId="77777777" w:rsidR="009B4BE2" w:rsidRPr="000564EB" w:rsidRDefault="009B4BE2" w:rsidP="00094D94">
            <w:pPr>
              <w:spacing w:line="276" w:lineRule="auto"/>
              <w:jc w:val="center"/>
              <w:rPr>
                <w:rFonts w:cs="Arial"/>
                <w:szCs w:val="24"/>
                <w:lang w:eastAsia="en-GB"/>
              </w:rPr>
            </w:pPr>
          </w:p>
        </w:tc>
      </w:tr>
    </w:tbl>
    <w:p w14:paraId="5D605774" w14:textId="77777777" w:rsidR="009B4BE2" w:rsidRPr="000564EB" w:rsidRDefault="009B4BE2" w:rsidP="009B4BE2">
      <w:pPr>
        <w:rPr>
          <w:rFonts w:cs="Arial"/>
          <w:szCs w:val="24"/>
        </w:rPr>
      </w:pPr>
    </w:p>
    <w:p w14:paraId="5407F001" w14:textId="77777777" w:rsidR="00415282" w:rsidRPr="000564EB" w:rsidRDefault="00415282" w:rsidP="00C7117E">
      <w:pPr>
        <w:rPr>
          <w:rFonts w:cs="Arial"/>
          <w:szCs w:val="24"/>
        </w:rPr>
        <w:sectPr w:rsidR="00415282" w:rsidRPr="000564EB" w:rsidSect="004B06B2">
          <w:pgSz w:w="16838" w:h="11906" w:orient="landscape"/>
          <w:pgMar w:top="1440" w:right="1440" w:bottom="1418" w:left="1134" w:header="709" w:footer="709" w:gutter="0"/>
          <w:cols w:space="708"/>
          <w:docGrid w:linePitch="360"/>
        </w:sectPr>
      </w:pPr>
    </w:p>
    <w:p w14:paraId="4F8F41A9" w14:textId="77777777" w:rsidR="00AB2254" w:rsidRPr="000564EB" w:rsidRDefault="009A546B" w:rsidP="00C7117E">
      <w:pPr>
        <w:rPr>
          <w:rFonts w:cs="Arial"/>
          <w:szCs w:val="24"/>
        </w:rPr>
      </w:pPr>
      <w:r w:rsidRPr="000564EB">
        <w:rPr>
          <w:rFonts w:cs="Arial"/>
          <w:szCs w:val="24"/>
        </w:rPr>
        <w:t>A</w:t>
      </w:r>
      <w:r w:rsidR="001E3F44" w:rsidRPr="000564EB">
        <w:rPr>
          <w:rFonts w:cs="Arial"/>
          <w:szCs w:val="24"/>
        </w:rPr>
        <w:t>cronyms used within this report:</w:t>
      </w:r>
    </w:p>
    <w:p w14:paraId="45D6CE6E" w14:textId="77777777" w:rsidR="00DD729A" w:rsidRPr="000564EB" w:rsidRDefault="00DD729A" w:rsidP="00C7117E">
      <w:pPr>
        <w:rPr>
          <w:rFonts w:cs="Arial"/>
          <w:szCs w:val="24"/>
        </w:rPr>
      </w:pPr>
    </w:p>
    <w:tbl>
      <w:tblPr>
        <w:tblStyle w:val="TableGrid"/>
        <w:tblW w:w="0" w:type="auto"/>
        <w:tblInd w:w="720" w:type="dxa"/>
        <w:tblLook w:val="04A0" w:firstRow="1" w:lastRow="0" w:firstColumn="1" w:lastColumn="0" w:noHBand="0" w:noVBand="1"/>
      </w:tblPr>
      <w:tblGrid>
        <w:gridCol w:w="976"/>
        <w:gridCol w:w="2977"/>
        <w:gridCol w:w="1043"/>
        <w:gridCol w:w="2976"/>
      </w:tblGrid>
      <w:tr w:rsidR="00FA68F2" w:rsidRPr="000564EB" w14:paraId="48DFE150" w14:textId="77777777" w:rsidTr="00565BAB">
        <w:tc>
          <w:tcPr>
            <w:tcW w:w="976" w:type="dxa"/>
          </w:tcPr>
          <w:p w14:paraId="5CBA2A3A" w14:textId="77777777" w:rsidR="00FA68F2" w:rsidRPr="000564EB" w:rsidRDefault="00FA68F2" w:rsidP="00FA68F2">
            <w:pPr>
              <w:pStyle w:val="Heading3"/>
              <w:rPr>
                <w:rFonts w:cs="Arial"/>
                <w:szCs w:val="24"/>
              </w:rPr>
            </w:pPr>
            <w:r w:rsidRPr="000564EB">
              <w:rPr>
                <w:rFonts w:cs="Arial"/>
                <w:szCs w:val="24"/>
              </w:rPr>
              <w:t>BS</w:t>
            </w:r>
          </w:p>
        </w:tc>
        <w:tc>
          <w:tcPr>
            <w:tcW w:w="2977" w:type="dxa"/>
          </w:tcPr>
          <w:p w14:paraId="6CF2CBDC" w14:textId="77777777" w:rsidR="00FA68F2" w:rsidRPr="000564EB" w:rsidRDefault="00FA68F2" w:rsidP="00FA68F2">
            <w:pPr>
              <w:pStyle w:val="Heading3"/>
              <w:rPr>
                <w:rFonts w:cs="Arial"/>
                <w:szCs w:val="24"/>
              </w:rPr>
            </w:pPr>
            <w:r w:rsidRPr="000564EB">
              <w:rPr>
                <w:rFonts w:cs="Arial"/>
                <w:szCs w:val="24"/>
              </w:rPr>
              <w:t>Benefit Statement</w:t>
            </w:r>
          </w:p>
        </w:tc>
        <w:tc>
          <w:tcPr>
            <w:tcW w:w="1043" w:type="dxa"/>
          </w:tcPr>
          <w:p w14:paraId="39839A21" w14:textId="77777777" w:rsidR="00FA68F2" w:rsidRPr="000564EB" w:rsidRDefault="00FA68F2" w:rsidP="00FA68F2">
            <w:pPr>
              <w:pStyle w:val="Heading3"/>
              <w:rPr>
                <w:rFonts w:cs="Arial"/>
                <w:szCs w:val="24"/>
              </w:rPr>
            </w:pPr>
            <w:r w:rsidRPr="000564EB">
              <w:rPr>
                <w:rFonts w:cs="Arial"/>
                <w:szCs w:val="24"/>
              </w:rPr>
              <w:t>BAU</w:t>
            </w:r>
          </w:p>
        </w:tc>
        <w:tc>
          <w:tcPr>
            <w:tcW w:w="2976" w:type="dxa"/>
          </w:tcPr>
          <w:p w14:paraId="08BCAA5A" w14:textId="77777777" w:rsidR="00FA68F2" w:rsidRPr="000564EB" w:rsidRDefault="00FA68F2" w:rsidP="00FA68F2">
            <w:pPr>
              <w:pStyle w:val="Heading3"/>
              <w:rPr>
                <w:rFonts w:cs="Arial"/>
                <w:szCs w:val="24"/>
              </w:rPr>
            </w:pPr>
            <w:r w:rsidRPr="000564EB">
              <w:rPr>
                <w:rFonts w:cs="Arial"/>
                <w:szCs w:val="24"/>
              </w:rPr>
              <w:t>Business as Usual</w:t>
            </w:r>
          </w:p>
        </w:tc>
      </w:tr>
      <w:tr w:rsidR="00FA68F2" w:rsidRPr="000564EB" w14:paraId="6E8EC0DE" w14:textId="77777777" w:rsidTr="00565BAB">
        <w:tc>
          <w:tcPr>
            <w:tcW w:w="976" w:type="dxa"/>
          </w:tcPr>
          <w:p w14:paraId="4FD390C1" w14:textId="77777777" w:rsidR="00FA68F2" w:rsidRPr="000564EB" w:rsidRDefault="00FA68F2" w:rsidP="00FA68F2">
            <w:pPr>
              <w:pStyle w:val="Heading3"/>
              <w:rPr>
                <w:rFonts w:cs="Arial"/>
                <w:szCs w:val="24"/>
              </w:rPr>
            </w:pPr>
            <w:r w:rsidRPr="000564EB">
              <w:rPr>
                <w:rFonts w:cs="Arial"/>
                <w:szCs w:val="24"/>
              </w:rPr>
              <w:t>EOYC</w:t>
            </w:r>
          </w:p>
        </w:tc>
        <w:tc>
          <w:tcPr>
            <w:tcW w:w="2977" w:type="dxa"/>
          </w:tcPr>
          <w:p w14:paraId="02651C07" w14:textId="77777777" w:rsidR="00FA68F2" w:rsidRPr="000564EB" w:rsidRDefault="00FA68F2" w:rsidP="00FA68F2">
            <w:pPr>
              <w:pStyle w:val="Heading3"/>
              <w:rPr>
                <w:rFonts w:cs="Arial"/>
                <w:szCs w:val="24"/>
              </w:rPr>
            </w:pPr>
            <w:r w:rsidRPr="000564EB">
              <w:rPr>
                <w:rFonts w:cs="Arial"/>
                <w:szCs w:val="24"/>
              </w:rPr>
              <w:t>End of Year Certificate</w:t>
            </w:r>
          </w:p>
        </w:tc>
        <w:tc>
          <w:tcPr>
            <w:tcW w:w="1043" w:type="dxa"/>
          </w:tcPr>
          <w:p w14:paraId="7BF0D8D5" w14:textId="68A201E2" w:rsidR="00FA68F2" w:rsidRPr="000564EB" w:rsidRDefault="00421B3C" w:rsidP="00421B3C">
            <w:pPr>
              <w:pStyle w:val="Heading3"/>
              <w:rPr>
                <w:rFonts w:cs="Arial"/>
                <w:szCs w:val="24"/>
              </w:rPr>
            </w:pPr>
            <w:r>
              <w:rPr>
                <w:rFonts w:cs="Arial"/>
                <w:szCs w:val="24"/>
              </w:rPr>
              <w:t>GAD</w:t>
            </w:r>
          </w:p>
        </w:tc>
        <w:tc>
          <w:tcPr>
            <w:tcW w:w="2976" w:type="dxa"/>
          </w:tcPr>
          <w:p w14:paraId="61BB6E99" w14:textId="2C3165CC" w:rsidR="00FA68F2" w:rsidRPr="000564EB" w:rsidRDefault="00421B3C" w:rsidP="00FA68F2">
            <w:pPr>
              <w:pStyle w:val="Heading3"/>
              <w:rPr>
                <w:rFonts w:cs="Arial"/>
                <w:szCs w:val="24"/>
              </w:rPr>
            </w:pPr>
            <w:r>
              <w:rPr>
                <w:rFonts w:cs="Arial"/>
                <w:szCs w:val="24"/>
              </w:rPr>
              <w:t>Government Actuary’s Department</w:t>
            </w:r>
          </w:p>
        </w:tc>
      </w:tr>
      <w:tr w:rsidR="00FA68F2" w:rsidRPr="000564EB" w14:paraId="26AB1194" w14:textId="77777777" w:rsidTr="00565BAB">
        <w:tc>
          <w:tcPr>
            <w:tcW w:w="976" w:type="dxa"/>
          </w:tcPr>
          <w:p w14:paraId="7589E3F4" w14:textId="77777777" w:rsidR="00FA68F2" w:rsidRPr="000564EB" w:rsidRDefault="00FA68F2" w:rsidP="00FA68F2">
            <w:pPr>
              <w:pStyle w:val="Heading3"/>
              <w:rPr>
                <w:rFonts w:cs="Arial"/>
                <w:szCs w:val="24"/>
              </w:rPr>
            </w:pPr>
            <w:r w:rsidRPr="000564EB">
              <w:rPr>
                <w:rFonts w:cs="Arial"/>
                <w:szCs w:val="24"/>
              </w:rPr>
              <w:t>MDC</w:t>
            </w:r>
          </w:p>
        </w:tc>
        <w:tc>
          <w:tcPr>
            <w:tcW w:w="2977" w:type="dxa"/>
          </w:tcPr>
          <w:p w14:paraId="45FB09A4" w14:textId="77777777" w:rsidR="00FA68F2" w:rsidRPr="000564EB" w:rsidRDefault="00FA68F2" w:rsidP="00FA68F2">
            <w:pPr>
              <w:pStyle w:val="Heading3"/>
              <w:rPr>
                <w:rFonts w:cs="Arial"/>
                <w:szCs w:val="24"/>
              </w:rPr>
            </w:pPr>
            <w:r w:rsidRPr="000564EB">
              <w:rPr>
                <w:rFonts w:cs="Arial"/>
                <w:szCs w:val="24"/>
              </w:rPr>
              <w:t>Monthly Data Collection</w:t>
            </w:r>
          </w:p>
        </w:tc>
        <w:tc>
          <w:tcPr>
            <w:tcW w:w="1043" w:type="dxa"/>
          </w:tcPr>
          <w:p w14:paraId="4AADB81D" w14:textId="77777777" w:rsidR="00FA68F2" w:rsidRPr="000564EB" w:rsidRDefault="00FA68F2" w:rsidP="00FA68F2">
            <w:pPr>
              <w:pStyle w:val="Heading3"/>
              <w:rPr>
                <w:rFonts w:cs="Arial"/>
                <w:szCs w:val="24"/>
              </w:rPr>
            </w:pPr>
            <w:r w:rsidRPr="000564EB">
              <w:rPr>
                <w:rFonts w:cs="Arial"/>
                <w:szCs w:val="24"/>
              </w:rPr>
              <w:t>MCR</w:t>
            </w:r>
          </w:p>
        </w:tc>
        <w:tc>
          <w:tcPr>
            <w:tcW w:w="2976" w:type="dxa"/>
          </w:tcPr>
          <w:p w14:paraId="057CFAB8" w14:textId="77777777" w:rsidR="00FA68F2" w:rsidRPr="000564EB" w:rsidRDefault="00FA68F2" w:rsidP="00FA68F2">
            <w:pPr>
              <w:pStyle w:val="Heading3"/>
              <w:rPr>
                <w:rFonts w:cs="Arial"/>
                <w:szCs w:val="24"/>
              </w:rPr>
            </w:pPr>
            <w:r w:rsidRPr="000564EB">
              <w:rPr>
                <w:rFonts w:cs="Arial"/>
                <w:szCs w:val="24"/>
              </w:rPr>
              <w:t>Monthly Contribution Reconciliation</w:t>
            </w:r>
          </w:p>
        </w:tc>
      </w:tr>
      <w:tr w:rsidR="00FA68F2" w:rsidRPr="000564EB" w14:paraId="356BEB28" w14:textId="77777777" w:rsidTr="00565BAB">
        <w:tc>
          <w:tcPr>
            <w:tcW w:w="976" w:type="dxa"/>
          </w:tcPr>
          <w:p w14:paraId="0BCE1F1B" w14:textId="77777777" w:rsidR="00FA68F2" w:rsidRPr="000564EB" w:rsidRDefault="00FA68F2" w:rsidP="00FA68F2">
            <w:pPr>
              <w:pStyle w:val="Heading3"/>
              <w:rPr>
                <w:rFonts w:cs="Arial"/>
                <w:szCs w:val="24"/>
              </w:rPr>
            </w:pPr>
            <w:r w:rsidRPr="000564EB">
              <w:rPr>
                <w:rFonts w:cs="Arial"/>
                <w:szCs w:val="24"/>
              </w:rPr>
              <w:t>MPO</w:t>
            </w:r>
          </w:p>
        </w:tc>
        <w:tc>
          <w:tcPr>
            <w:tcW w:w="2977" w:type="dxa"/>
          </w:tcPr>
          <w:p w14:paraId="7D8BF518" w14:textId="77777777" w:rsidR="00FA68F2" w:rsidRPr="000564EB" w:rsidRDefault="00FA68F2" w:rsidP="00FA68F2">
            <w:pPr>
              <w:pStyle w:val="Heading3"/>
              <w:rPr>
                <w:rFonts w:cs="Arial"/>
                <w:szCs w:val="24"/>
              </w:rPr>
            </w:pPr>
            <w:r w:rsidRPr="000564EB">
              <w:rPr>
                <w:rFonts w:cs="Arial"/>
                <w:szCs w:val="24"/>
              </w:rPr>
              <w:t>My Pension Online</w:t>
            </w:r>
          </w:p>
        </w:tc>
        <w:tc>
          <w:tcPr>
            <w:tcW w:w="1043" w:type="dxa"/>
          </w:tcPr>
          <w:p w14:paraId="7D4692F3" w14:textId="74549773" w:rsidR="00FA68F2" w:rsidRPr="000564EB" w:rsidRDefault="00421B3C" w:rsidP="00FA68F2">
            <w:pPr>
              <w:pStyle w:val="Heading3"/>
              <w:rPr>
                <w:rFonts w:cs="Arial"/>
                <w:szCs w:val="24"/>
              </w:rPr>
            </w:pPr>
            <w:r>
              <w:rPr>
                <w:rFonts w:cs="Arial"/>
                <w:szCs w:val="24"/>
              </w:rPr>
              <w:t>MAT</w:t>
            </w:r>
          </w:p>
        </w:tc>
        <w:tc>
          <w:tcPr>
            <w:tcW w:w="2976" w:type="dxa"/>
          </w:tcPr>
          <w:p w14:paraId="17807096" w14:textId="483EC715" w:rsidR="00FA68F2" w:rsidRPr="000564EB" w:rsidRDefault="00421B3C" w:rsidP="00421B3C">
            <w:pPr>
              <w:pStyle w:val="Heading3"/>
              <w:rPr>
                <w:rFonts w:cs="Arial"/>
                <w:szCs w:val="24"/>
              </w:rPr>
            </w:pPr>
            <w:r>
              <w:rPr>
                <w:rFonts w:cs="Arial"/>
                <w:szCs w:val="24"/>
              </w:rPr>
              <w:t xml:space="preserve">Multi-Academy Trust </w:t>
            </w:r>
          </w:p>
        </w:tc>
      </w:tr>
      <w:tr w:rsidR="00421B3C" w:rsidRPr="000564EB" w14:paraId="6F5AFDDE" w14:textId="77777777" w:rsidTr="00565BAB">
        <w:tc>
          <w:tcPr>
            <w:tcW w:w="976" w:type="dxa"/>
          </w:tcPr>
          <w:p w14:paraId="7BA6C734" w14:textId="48460B50" w:rsidR="00421B3C" w:rsidRPr="000564EB" w:rsidRDefault="00421B3C" w:rsidP="00FA68F2">
            <w:pPr>
              <w:pStyle w:val="Heading3"/>
              <w:rPr>
                <w:rFonts w:cs="Arial"/>
                <w:szCs w:val="24"/>
              </w:rPr>
            </w:pPr>
            <w:r>
              <w:rPr>
                <w:rFonts w:cs="Arial"/>
                <w:szCs w:val="24"/>
              </w:rPr>
              <w:t>RMH</w:t>
            </w:r>
          </w:p>
        </w:tc>
        <w:tc>
          <w:tcPr>
            <w:tcW w:w="2977" w:type="dxa"/>
          </w:tcPr>
          <w:p w14:paraId="48351C03" w14:textId="61055315" w:rsidR="00421B3C" w:rsidRPr="000564EB" w:rsidRDefault="00421B3C" w:rsidP="00FA68F2">
            <w:pPr>
              <w:pStyle w:val="Heading3"/>
              <w:rPr>
                <w:rFonts w:cs="Arial"/>
                <w:szCs w:val="24"/>
              </w:rPr>
            </w:pPr>
            <w:r>
              <w:rPr>
                <w:rFonts w:cs="Arial"/>
                <w:szCs w:val="24"/>
              </w:rPr>
              <w:t>Restricted, Managed, Hosted (secure)</w:t>
            </w:r>
          </w:p>
        </w:tc>
        <w:tc>
          <w:tcPr>
            <w:tcW w:w="1043" w:type="dxa"/>
          </w:tcPr>
          <w:p w14:paraId="38807E53" w14:textId="69E0B6FB" w:rsidR="00421B3C" w:rsidRPr="000564EB" w:rsidRDefault="00421B3C" w:rsidP="00FA68F2">
            <w:pPr>
              <w:pStyle w:val="Heading3"/>
              <w:rPr>
                <w:rFonts w:cs="Arial"/>
                <w:szCs w:val="24"/>
              </w:rPr>
            </w:pPr>
            <w:r>
              <w:rPr>
                <w:rFonts w:cs="Arial"/>
                <w:szCs w:val="24"/>
              </w:rPr>
              <w:t>OBR</w:t>
            </w:r>
          </w:p>
        </w:tc>
        <w:tc>
          <w:tcPr>
            <w:tcW w:w="2976" w:type="dxa"/>
          </w:tcPr>
          <w:p w14:paraId="347B0AD3" w14:textId="141D686F" w:rsidR="00421B3C" w:rsidRPr="000564EB" w:rsidRDefault="00421B3C" w:rsidP="00FA68F2">
            <w:pPr>
              <w:pStyle w:val="Heading3"/>
              <w:rPr>
                <w:rFonts w:cs="Arial"/>
                <w:szCs w:val="24"/>
              </w:rPr>
            </w:pPr>
            <w:r>
              <w:rPr>
                <w:rFonts w:cs="Arial"/>
                <w:szCs w:val="24"/>
              </w:rPr>
              <w:t>Office for Budgetary Responsibility</w:t>
            </w:r>
          </w:p>
        </w:tc>
      </w:tr>
      <w:tr w:rsidR="00FA68F2" w:rsidRPr="000564EB" w14:paraId="26189335" w14:textId="77777777" w:rsidTr="00565BAB">
        <w:tc>
          <w:tcPr>
            <w:tcW w:w="976" w:type="dxa"/>
          </w:tcPr>
          <w:p w14:paraId="08292E02" w14:textId="77777777" w:rsidR="00FA68F2" w:rsidRPr="000564EB" w:rsidRDefault="00FA68F2" w:rsidP="00FA68F2">
            <w:pPr>
              <w:pStyle w:val="Heading3"/>
              <w:rPr>
                <w:rFonts w:cs="Arial"/>
                <w:szCs w:val="24"/>
              </w:rPr>
            </w:pPr>
            <w:r w:rsidRPr="000564EB">
              <w:rPr>
                <w:rFonts w:cs="Arial"/>
                <w:szCs w:val="24"/>
              </w:rPr>
              <w:t>SDB</w:t>
            </w:r>
          </w:p>
        </w:tc>
        <w:tc>
          <w:tcPr>
            <w:tcW w:w="2977" w:type="dxa"/>
          </w:tcPr>
          <w:p w14:paraId="2ED6B95A" w14:textId="77777777" w:rsidR="00FA68F2" w:rsidRPr="000564EB" w:rsidRDefault="00FA68F2" w:rsidP="00FA68F2">
            <w:pPr>
              <w:pStyle w:val="Heading3"/>
              <w:rPr>
                <w:rFonts w:cs="Arial"/>
                <w:szCs w:val="24"/>
              </w:rPr>
            </w:pPr>
            <w:r w:rsidRPr="000564EB">
              <w:rPr>
                <w:rFonts w:cs="Arial"/>
                <w:szCs w:val="24"/>
              </w:rPr>
              <w:t xml:space="preserve">Service Delivery Board </w:t>
            </w:r>
          </w:p>
        </w:tc>
        <w:tc>
          <w:tcPr>
            <w:tcW w:w="1043" w:type="dxa"/>
          </w:tcPr>
          <w:p w14:paraId="7E917521" w14:textId="77777777" w:rsidR="00FA68F2" w:rsidRPr="000564EB" w:rsidRDefault="00FA68F2" w:rsidP="00FA68F2">
            <w:pPr>
              <w:pStyle w:val="Heading3"/>
              <w:rPr>
                <w:rFonts w:cs="Arial"/>
                <w:szCs w:val="24"/>
              </w:rPr>
            </w:pPr>
            <w:r w:rsidRPr="000564EB">
              <w:rPr>
                <w:rFonts w:cs="Arial"/>
                <w:szCs w:val="24"/>
              </w:rPr>
              <w:t>TPARG</w:t>
            </w:r>
          </w:p>
        </w:tc>
        <w:tc>
          <w:tcPr>
            <w:tcW w:w="2976" w:type="dxa"/>
          </w:tcPr>
          <w:p w14:paraId="2D475F1C" w14:textId="77777777" w:rsidR="00FA68F2" w:rsidRPr="000564EB" w:rsidRDefault="00FA68F2" w:rsidP="00FA68F2">
            <w:pPr>
              <w:pStyle w:val="Heading3"/>
              <w:rPr>
                <w:rFonts w:cs="Arial"/>
                <w:szCs w:val="24"/>
              </w:rPr>
            </w:pPr>
            <w:r w:rsidRPr="000564EB">
              <w:rPr>
                <w:rFonts w:cs="Arial"/>
                <w:szCs w:val="24"/>
              </w:rPr>
              <w:t>Teachers’ Pensions Administration Review Group</w:t>
            </w:r>
          </w:p>
        </w:tc>
      </w:tr>
      <w:tr w:rsidR="00FA68F2" w:rsidRPr="000564EB" w14:paraId="7887318A" w14:textId="77777777" w:rsidTr="00565BAB">
        <w:tc>
          <w:tcPr>
            <w:tcW w:w="976" w:type="dxa"/>
          </w:tcPr>
          <w:p w14:paraId="17D43086" w14:textId="77777777" w:rsidR="00FA68F2" w:rsidRPr="000564EB" w:rsidRDefault="00FA68F2" w:rsidP="00FA68F2">
            <w:pPr>
              <w:pStyle w:val="Heading3"/>
              <w:rPr>
                <w:rFonts w:cs="Arial"/>
                <w:szCs w:val="24"/>
              </w:rPr>
            </w:pPr>
            <w:r w:rsidRPr="000564EB">
              <w:rPr>
                <w:rFonts w:cs="Arial"/>
                <w:szCs w:val="24"/>
              </w:rPr>
              <w:t>TPAF</w:t>
            </w:r>
          </w:p>
        </w:tc>
        <w:tc>
          <w:tcPr>
            <w:tcW w:w="2977" w:type="dxa"/>
          </w:tcPr>
          <w:p w14:paraId="4256371B" w14:textId="77777777" w:rsidR="00FA68F2" w:rsidRPr="000564EB" w:rsidRDefault="00FA68F2" w:rsidP="00FA68F2">
            <w:pPr>
              <w:pStyle w:val="Heading3"/>
              <w:rPr>
                <w:rFonts w:cs="Arial"/>
                <w:szCs w:val="24"/>
              </w:rPr>
            </w:pPr>
            <w:r w:rsidRPr="000564EB">
              <w:rPr>
                <w:rFonts w:cs="Arial"/>
                <w:szCs w:val="24"/>
              </w:rPr>
              <w:t>Teachers Pensions Administration Forum</w:t>
            </w:r>
          </w:p>
        </w:tc>
        <w:tc>
          <w:tcPr>
            <w:tcW w:w="1043" w:type="dxa"/>
          </w:tcPr>
          <w:p w14:paraId="008CEA05" w14:textId="77777777" w:rsidR="00FA68F2" w:rsidRPr="000564EB" w:rsidRDefault="00FA68F2" w:rsidP="00FA68F2">
            <w:pPr>
              <w:pStyle w:val="Heading3"/>
              <w:rPr>
                <w:rFonts w:cs="Arial"/>
                <w:szCs w:val="24"/>
              </w:rPr>
            </w:pPr>
            <w:r w:rsidRPr="000564EB">
              <w:rPr>
                <w:rFonts w:cs="Arial"/>
                <w:szCs w:val="24"/>
              </w:rPr>
              <w:t>tPR</w:t>
            </w:r>
          </w:p>
        </w:tc>
        <w:tc>
          <w:tcPr>
            <w:tcW w:w="2976" w:type="dxa"/>
          </w:tcPr>
          <w:p w14:paraId="38FA61D0" w14:textId="77777777" w:rsidR="00FA68F2" w:rsidRPr="000564EB" w:rsidRDefault="00FA68F2" w:rsidP="00FA68F2">
            <w:pPr>
              <w:pStyle w:val="Heading3"/>
              <w:rPr>
                <w:rFonts w:cs="Arial"/>
                <w:szCs w:val="24"/>
              </w:rPr>
            </w:pPr>
            <w:r w:rsidRPr="000564EB">
              <w:rPr>
                <w:rFonts w:cs="Arial"/>
                <w:szCs w:val="24"/>
              </w:rPr>
              <w:t>The Pensions Regulator</w:t>
            </w:r>
          </w:p>
        </w:tc>
      </w:tr>
    </w:tbl>
    <w:p w14:paraId="758483A6" w14:textId="77777777" w:rsidR="009C573E" w:rsidRPr="000564EB" w:rsidRDefault="009C573E" w:rsidP="00C7117E">
      <w:pPr>
        <w:pStyle w:val="DeptBullets"/>
        <w:numPr>
          <w:ilvl w:val="0"/>
          <w:numId w:val="0"/>
        </w:numPr>
        <w:spacing w:after="0"/>
        <w:ind w:left="720"/>
        <w:rPr>
          <w:rFonts w:cs="Arial"/>
          <w:szCs w:val="24"/>
        </w:rPr>
      </w:pPr>
    </w:p>
    <w:p w14:paraId="77BB75B5" w14:textId="77777777" w:rsidR="00491648" w:rsidRPr="000564EB" w:rsidRDefault="00491648" w:rsidP="00C7117E">
      <w:pPr>
        <w:pStyle w:val="DeptBullets"/>
        <w:numPr>
          <w:ilvl w:val="0"/>
          <w:numId w:val="0"/>
        </w:numPr>
        <w:spacing w:after="0"/>
        <w:ind w:left="720"/>
        <w:rPr>
          <w:rFonts w:cs="Arial"/>
          <w:szCs w:val="24"/>
        </w:rPr>
      </w:pPr>
    </w:p>
    <w:p w14:paraId="6D9F8B13" w14:textId="77777777" w:rsidR="00BB6DE0" w:rsidRPr="000564EB" w:rsidRDefault="00BB6DE0" w:rsidP="00BB6DE0">
      <w:pPr>
        <w:widowControl/>
        <w:overflowPunct/>
        <w:autoSpaceDE/>
        <w:autoSpaceDN/>
        <w:adjustRightInd/>
        <w:textAlignment w:val="auto"/>
        <w:rPr>
          <w:rFonts w:cs="Arial"/>
          <w:b/>
          <w:szCs w:val="24"/>
        </w:rPr>
      </w:pPr>
    </w:p>
    <w:p w14:paraId="1CA74E84" w14:textId="77777777" w:rsidR="00194C11" w:rsidRPr="000564EB" w:rsidRDefault="00194C11">
      <w:pPr>
        <w:widowControl/>
        <w:overflowPunct/>
        <w:autoSpaceDE/>
        <w:autoSpaceDN/>
        <w:adjustRightInd/>
        <w:textAlignment w:val="auto"/>
        <w:rPr>
          <w:rFonts w:cs="Arial"/>
          <w:b/>
          <w:szCs w:val="24"/>
        </w:rPr>
      </w:pPr>
      <w:r w:rsidRPr="000564EB">
        <w:rPr>
          <w:rFonts w:cs="Arial"/>
          <w:b/>
          <w:szCs w:val="24"/>
        </w:rPr>
        <w:br w:type="page"/>
      </w:r>
    </w:p>
    <w:p w14:paraId="597BE61C" w14:textId="77777777" w:rsidR="00491648" w:rsidRPr="000564EB" w:rsidRDefault="00491648" w:rsidP="00E90BB3">
      <w:pPr>
        <w:widowControl/>
        <w:overflowPunct/>
        <w:autoSpaceDE/>
        <w:autoSpaceDN/>
        <w:adjustRightInd/>
        <w:jc w:val="right"/>
        <w:textAlignment w:val="auto"/>
        <w:rPr>
          <w:rFonts w:cs="Arial"/>
          <w:b/>
          <w:szCs w:val="24"/>
        </w:rPr>
      </w:pPr>
      <w:r w:rsidRPr="000564EB">
        <w:rPr>
          <w:rFonts w:cs="Arial"/>
          <w:b/>
          <w:szCs w:val="24"/>
        </w:rPr>
        <w:t>Annex 1</w:t>
      </w:r>
    </w:p>
    <w:p w14:paraId="013796F1" w14:textId="77777777" w:rsidR="00491648" w:rsidRPr="000564EB" w:rsidRDefault="00491648" w:rsidP="00C7117E">
      <w:pPr>
        <w:pStyle w:val="DeptBullets"/>
        <w:numPr>
          <w:ilvl w:val="0"/>
          <w:numId w:val="0"/>
        </w:numPr>
        <w:spacing w:after="0"/>
        <w:rPr>
          <w:rFonts w:cs="Arial"/>
          <w:b/>
          <w:szCs w:val="24"/>
        </w:rPr>
      </w:pPr>
    </w:p>
    <w:p w14:paraId="3E8B0130" w14:textId="0DBDFAFE" w:rsidR="001E5A7C" w:rsidRDefault="001E5A7C" w:rsidP="00D5347A">
      <w:pPr>
        <w:rPr>
          <w:rFonts w:cs="Arial"/>
          <w:szCs w:val="24"/>
        </w:rPr>
      </w:pPr>
    </w:p>
    <w:p w14:paraId="4C528929" w14:textId="77777777" w:rsidR="001E5A7C" w:rsidRDefault="001E5A7C" w:rsidP="00D5347A">
      <w:pPr>
        <w:rPr>
          <w:rFonts w:cs="Arial"/>
          <w:szCs w:val="24"/>
        </w:rPr>
      </w:pPr>
    </w:p>
    <w:p w14:paraId="6AABFE2F" w14:textId="14B1AD5C" w:rsidR="001E5A7C" w:rsidRPr="001E5A7C" w:rsidRDefault="001E5A7C" w:rsidP="001E5A7C">
      <w:pPr>
        <w:jc w:val="center"/>
        <w:rPr>
          <w:rFonts w:cs="Arial"/>
          <w:b/>
          <w:szCs w:val="24"/>
        </w:rPr>
      </w:pPr>
      <w:r w:rsidRPr="001E5A7C">
        <w:rPr>
          <w:rFonts w:cs="Arial"/>
          <w:b/>
          <w:szCs w:val="24"/>
        </w:rPr>
        <w:t>TPS Membership</w:t>
      </w:r>
    </w:p>
    <w:p w14:paraId="100E3886" w14:textId="77777777" w:rsidR="001E5A7C" w:rsidRPr="001E5A7C" w:rsidRDefault="001E5A7C" w:rsidP="00D5347A">
      <w:pPr>
        <w:rPr>
          <w:rFonts w:cs="Arial"/>
          <w:b/>
          <w:szCs w:val="24"/>
        </w:rPr>
      </w:pPr>
    </w:p>
    <w:p w14:paraId="06C2384F" w14:textId="234162B7" w:rsidR="00D5347A" w:rsidRPr="001E5A7C" w:rsidRDefault="00D5347A" w:rsidP="001E5A7C">
      <w:pPr>
        <w:rPr>
          <w:rFonts w:cs="Arial"/>
          <w:szCs w:val="24"/>
        </w:rPr>
      </w:pPr>
      <w:r w:rsidRPr="001E5A7C">
        <w:rPr>
          <w:rFonts w:cs="Arial"/>
          <w:szCs w:val="24"/>
        </w:rPr>
        <w:t>The table below shows the membership of the TPS, as reported in the scheme accounts.  The figures for active members include part-time members.</w:t>
      </w:r>
    </w:p>
    <w:p w14:paraId="63F6D656" w14:textId="77777777" w:rsidR="00D5347A" w:rsidRPr="00D76A7C" w:rsidRDefault="00D5347A" w:rsidP="00D5347A">
      <w:pPr>
        <w:pStyle w:val="ListParagraph"/>
        <w:rPr>
          <w:rFonts w:cs="Arial"/>
          <w:szCs w:val="24"/>
        </w:rPr>
      </w:pPr>
    </w:p>
    <w:tbl>
      <w:tblPr>
        <w:tblStyle w:val="MediumList2-Accent1"/>
        <w:tblW w:w="4217" w:type="pct"/>
        <w:tblLook w:val="04A0" w:firstRow="1" w:lastRow="0" w:firstColumn="1" w:lastColumn="0" w:noHBand="0" w:noVBand="1"/>
      </w:tblPr>
      <w:tblGrid>
        <w:gridCol w:w="1818"/>
        <w:gridCol w:w="1450"/>
        <w:gridCol w:w="1451"/>
        <w:gridCol w:w="1455"/>
        <w:gridCol w:w="1457"/>
      </w:tblGrid>
      <w:tr w:rsidR="00D5347A" w:rsidRPr="00E649DD" w14:paraId="6D46163C" w14:textId="77777777" w:rsidTr="001F55A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3" w:type="pct"/>
            <w:noWrap/>
          </w:tcPr>
          <w:p w14:paraId="0F897E75" w14:textId="77777777" w:rsidR="00D5347A" w:rsidRPr="00E649DD" w:rsidRDefault="00D5347A" w:rsidP="001F55A6">
            <w:pPr>
              <w:rPr>
                <w:rFonts w:eastAsiaTheme="minorEastAsia" w:cs="Arial"/>
                <w:color w:val="000000"/>
              </w:rPr>
            </w:pPr>
            <w:r w:rsidRPr="00E649DD">
              <w:rPr>
                <w:rFonts w:eastAsiaTheme="minorEastAsia" w:cs="Arial"/>
                <w:color w:val="000000"/>
              </w:rPr>
              <w:t>Date</w:t>
            </w:r>
          </w:p>
        </w:tc>
        <w:tc>
          <w:tcPr>
            <w:tcW w:w="997" w:type="pct"/>
          </w:tcPr>
          <w:p w14:paraId="28C5007C" w14:textId="77777777" w:rsidR="00D5347A" w:rsidRPr="00E649DD" w:rsidRDefault="00D5347A" w:rsidP="001F55A6">
            <w:pPr>
              <w:jc w:val="center"/>
              <w:cnfStyle w:val="100000000000" w:firstRow="1" w:lastRow="0" w:firstColumn="0" w:lastColumn="0" w:oddVBand="0" w:evenVBand="0" w:oddHBand="0" w:evenHBand="0" w:firstRowFirstColumn="0" w:firstRowLastColumn="0" w:lastRowFirstColumn="0" w:lastRowLastColumn="0"/>
              <w:rPr>
                <w:rFonts w:eastAsiaTheme="minorEastAsia" w:cs="Arial"/>
                <w:color w:val="000000"/>
              </w:rPr>
            </w:pPr>
            <w:r w:rsidRPr="00E649DD">
              <w:rPr>
                <w:rFonts w:eastAsiaTheme="minorEastAsia" w:cs="Arial"/>
                <w:color w:val="000000"/>
              </w:rPr>
              <w:t>Actives</w:t>
            </w:r>
          </w:p>
        </w:tc>
        <w:tc>
          <w:tcPr>
            <w:tcW w:w="998" w:type="pct"/>
          </w:tcPr>
          <w:p w14:paraId="28B04E72" w14:textId="77777777" w:rsidR="00D5347A" w:rsidRPr="00E649DD" w:rsidRDefault="00D5347A" w:rsidP="001F55A6">
            <w:pPr>
              <w:jc w:val="center"/>
              <w:cnfStyle w:val="100000000000" w:firstRow="1" w:lastRow="0" w:firstColumn="0" w:lastColumn="0" w:oddVBand="0" w:evenVBand="0" w:oddHBand="0" w:evenHBand="0" w:firstRowFirstColumn="0" w:firstRowLastColumn="0" w:lastRowFirstColumn="0" w:lastRowLastColumn="0"/>
              <w:rPr>
                <w:rFonts w:eastAsiaTheme="minorEastAsia" w:cs="Arial"/>
                <w:color w:val="000000"/>
              </w:rPr>
            </w:pPr>
            <w:r w:rsidRPr="00E649DD">
              <w:rPr>
                <w:rFonts w:eastAsiaTheme="minorEastAsia" w:cs="Arial"/>
                <w:color w:val="000000"/>
              </w:rPr>
              <w:t xml:space="preserve">Deferred </w:t>
            </w:r>
          </w:p>
        </w:tc>
        <w:tc>
          <w:tcPr>
            <w:tcW w:w="1000" w:type="pct"/>
          </w:tcPr>
          <w:p w14:paraId="0EBE2423" w14:textId="77777777" w:rsidR="00D5347A" w:rsidRPr="00E649DD" w:rsidRDefault="00D5347A" w:rsidP="001F55A6">
            <w:pPr>
              <w:jc w:val="center"/>
              <w:cnfStyle w:val="100000000000" w:firstRow="1" w:lastRow="0" w:firstColumn="0" w:lastColumn="0" w:oddVBand="0" w:evenVBand="0" w:oddHBand="0" w:evenHBand="0" w:firstRowFirstColumn="0" w:firstRowLastColumn="0" w:lastRowFirstColumn="0" w:lastRowLastColumn="0"/>
              <w:rPr>
                <w:rFonts w:eastAsiaTheme="minorEastAsia" w:cs="Arial"/>
                <w:color w:val="000000"/>
              </w:rPr>
            </w:pPr>
            <w:r w:rsidRPr="00E649DD">
              <w:rPr>
                <w:rFonts w:eastAsiaTheme="minorEastAsia" w:cs="Arial"/>
                <w:color w:val="000000"/>
              </w:rPr>
              <w:t>Pensioners</w:t>
            </w:r>
          </w:p>
        </w:tc>
        <w:tc>
          <w:tcPr>
            <w:tcW w:w="1001" w:type="pct"/>
          </w:tcPr>
          <w:p w14:paraId="2F7D1973" w14:textId="77777777" w:rsidR="00D5347A" w:rsidRPr="00E649DD" w:rsidRDefault="00D5347A" w:rsidP="001F55A6">
            <w:pPr>
              <w:jc w:val="center"/>
              <w:cnfStyle w:val="100000000000" w:firstRow="1" w:lastRow="0" w:firstColumn="0" w:lastColumn="0" w:oddVBand="0" w:evenVBand="0" w:oddHBand="0" w:evenHBand="0" w:firstRowFirstColumn="0" w:firstRowLastColumn="0" w:lastRowFirstColumn="0" w:lastRowLastColumn="0"/>
              <w:rPr>
                <w:rFonts w:eastAsiaTheme="minorEastAsia" w:cs="Arial"/>
                <w:color w:val="000000"/>
              </w:rPr>
            </w:pPr>
            <w:r w:rsidRPr="00E649DD">
              <w:rPr>
                <w:rFonts w:eastAsiaTheme="minorEastAsia" w:cs="Arial"/>
                <w:color w:val="000000"/>
              </w:rPr>
              <w:t>Total</w:t>
            </w:r>
          </w:p>
        </w:tc>
      </w:tr>
      <w:tr w:rsidR="00D5347A" w:rsidRPr="00E649DD" w14:paraId="2D991667" w14:textId="77777777" w:rsidTr="001F5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pct"/>
            <w:noWrap/>
          </w:tcPr>
          <w:p w14:paraId="34CFE43F" w14:textId="77777777" w:rsidR="00D5347A" w:rsidRPr="00E649DD" w:rsidRDefault="00D5347A" w:rsidP="001F55A6">
            <w:pPr>
              <w:rPr>
                <w:rFonts w:eastAsiaTheme="minorEastAsia" w:cs="Arial"/>
                <w:color w:val="000000"/>
                <w:szCs w:val="24"/>
              </w:rPr>
            </w:pPr>
            <w:r w:rsidRPr="00E649DD">
              <w:rPr>
                <w:rFonts w:eastAsiaTheme="minorEastAsia" w:cs="Arial"/>
                <w:color w:val="000000"/>
                <w:szCs w:val="24"/>
              </w:rPr>
              <w:t>31 March 2010</w:t>
            </w:r>
          </w:p>
        </w:tc>
        <w:tc>
          <w:tcPr>
            <w:tcW w:w="997" w:type="pct"/>
          </w:tcPr>
          <w:p w14:paraId="267426D2" w14:textId="77777777" w:rsidR="00D5347A" w:rsidRPr="00E649DD" w:rsidRDefault="00D5347A" w:rsidP="001F55A6">
            <w:pPr>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000000"/>
                <w:szCs w:val="24"/>
              </w:rPr>
            </w:pPr>
            <w:r w:rsidRPr="00E649DD">
              <w:rPr>
                <w:rFonts w:eastAsiaTheme="minorEastAsia" w:cs="Arial"/>
                <w:color w:val="000000"/>
                <w:szCs w:val="24"/>
              </w:rPr>
              <w:t>658,351</w:t>
            </w:r>
          </w:p>
        </w:tc>
        <w:tc>
          <w:tcPr>
            <w:tcW w:w="998" w:type="pct"/>
          </w:tcPr>
          <w:p w14:paraId="51020946" w14:textId="77777777" w:rsidR="00D5347A" w:rsidRPr="00E649DD" w:rsidRDefault="00D5347A" w:rsidP="001F55A6">
            <w:pPr>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000000"/>
                <w:szCs w:val="24"/>
              </w:rPr>
            </w:pPr>
            <w:r w:rsidRPr="00E649DD">
              <w:rPr>
                <w:rFonts w:eastAsiaTheme="minorEastAsia" w:cs="Arial"/>
                <w:color w:val="000000"/>
                <w:szCs w:val="24"/>
              </w:rPr>
              <w:t>426,496</w:t>
            </w:r>
          </w:p>
        </w:tc>
        <w:tc>
          <w:tcPr>
            <w:tcW w:w="1000" w:type="pct"/>
          </w:tcPr>
          <w:p w14:paraId="562AAB1A" w14:textId="77777777" w:rsidR="00D5347A" w:rsidRPr="00E649DD" w:rsidRDefault="00D5347A" w:rsidP="001F55A6">
            <w:pPr>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000000"/>
                <w:szCs w:val="24"/>
              </w:rPr>
            </w:pPr>
            <w:r w:rsidRPr="00E649DD">
              <w:rPr>
                <w:rFonts w:eastAsiaTheme="minorEastAsia" w:cs="Arial"/>
                <w:color w:val="000000"/>
                <w:szCs w:val="24"/>
              </w:rPr>
              <w:t>567,017</w:t>
            </w:r>
          </w:p>
        </w:tc>
        <w:tc>
          <w:tcPr>
            <w:tcW w:w="1001" w:type="pct"/>
          </w:tcPr>
          <w:p w14:paraId="3DF2FB22" w14:textId="77777777" w:rsidR="00D5347A" w:rsidRPr="00E649DD" w:rsidRDefault="00D5347A" w:rsidP="001F55A6">
            <w:pPr>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000000"/>
                <w:szCs w:val="24"/>
              </w:rPr>
            </w:pPr>
            <w:r w:rsidRPr="00E649DD">
              <w:rPr>
                <w:rFonts w:eastAsiaTheme="minorEastAsia" w:cs="Arial"/>
                <w:color w:val="000000"/>
                <w:szCs w:val="24"/>
              </w:rPr>
              <w:t>1,651,864</w:t>
            </w:r>
          </w:p>
        </w:tc>
      </w:tr>
      <w:tr w:rsidR="00D5347A" w:rsidRPr="00E649DD" w14:paraId="1987FFCB" w14:textId="77777777" w:rsidTr="001F55A6">
        <w:tc>
          <w:tcPr>
            <w:cnfStyle w:val="001000000000" w:firstRow="0" w:lastRow="0" w:firstColumn="1" w:lastColumn="0" w:oddVBand="0" w:evenVBand="0" w:oddHBand="0" w:evenHBand="0" w:firstRowFirstColumn="0" w:firstRowLastColumn="0" w:lastRowFirstColumn="0" w:lastRowLastColumn="0"/>
            <w:tcW w:w="1003" w:type="pct"/>
            <w:noWrap/>
          </w:tcPr>
          <w:p w14:paraId="64FD3918" w14:textId="77777777" w:rsidR="00D5347A" w:rsidRPr="00E649DD" w:rsidRDefault="00D5347A" w:rsidP="001F55A6">
            <w:pPr>
              <w:rPr>
                <w:rFonts w:eastAsiaTheme="minorEastAsia" w:cs="Arial"/>
                <w:color w:val="000000"/>
                <w:szCs w:val="24"/>
              </w:rPr>
            </w:pPr>
            <w:r w:rsidRPr="00E649DD">
              <w:rPr>
                <w:rFonts w:eastAsiaTheme="minorEastAsia" w:cs="Arial"/>
                <w:color w:val="000000"/>
                <w:szCs w:val="24"/>
              </w:rPr>
              <w:t>31 March 2011</w:t>
            </w:r>
          </w:p>
        </w:tc>
        <w:tc>
          <w:tcPr>
            <w:tcW w:w="997" w:type="pct"/>
          </w:tcPr>
          <w:p w14:paraId="61843917" w14:textId="77777777" w:rsidR="00D5347A" w:rsidRPr="00E649DD" w:rsidRDefault="00D5347A" w:rsidP="001F55A6">
            <w:pPr>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24"/>
              </w:rPr>
            </w:pPr>
            <w:r w:rsidRPr="00E649DD">
              <w:rPr>
                <w:rFonts w:eastAsiaTheme="minorEastAsia" w:cs="Arial"/>
                <w:color w:val="000000"/>
                <w:szCs w:val="24"/>
              </w:rPr>
              <w:t>654,545</w:t>
            </w:r>
          </w:p>
        </w:tc>
        <w:tc>
          <w:tcPr>
            <w:tcW w:w="998" w:type="pct"/>
          </w:tcPr>
          <w:p w14:paraId="288F0C5C" w14:textId="77777777" w:rsidR="00D5347A" w:rsidRPr="00E649DD" w:rsidRDefault="00D5347A" w:rsidP="001F55A6">
            <w:pPr>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24"/>
              </w:rPr>
            </w:pPr>
            <w:r w:rsidRPr="00E649DD">
              <w:rPr>
                <w:rFonts w:eastAsiaTheme="minorEastAsia" w:cs="Arial"/>
                <w:color w:val="000000"/>
                <w:szCs w:val="24"/>
              </w:rPr>
              <w:t>439,723</w:t>
            </w:r>
          </w:p>
        </w:tc>
        <w:tc>
          <w:tcPr>
            <w:tcW w:w="1000" w:type="pct"/>
          </w:tcPr>
          <w:p w14:paraId="12D9F992" w14:textId="77777777" w:rsidR="00D5347A" w:rsidRPr="00E649DD" w:rsidRDefault="00D5347A" w:rsidP="001F55A6">
            <w:pPr>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24"/>
              </w:rPr>
            </w:pPr>
            <w:r w:rsidRPr="00E649DD">
              <w:rPr>
                <w:rFonts w:eastAsiaTheme="minorEastAsia" w:cs="Arial"/>
                <w:color w:val="000000"/>
                <w:szCs w:val="24"/>
              </w:rPr>
              <w:t>588,441</w:t>
            </w:r>
          </w:p>
        </w:tc>
        <w:tc>
          <w:tcPr>
            <w:tcW w:w="1001" w:type="pct"/>
          </w:tcPr>
          <w:p w14:paraId="4F4808D7" w14:textId="77777777" w:rsidR="00D5347A" w:rsidRPr="00E649DD" w:rsidRDefault="00D5347A" w:rsidP="001F55A6">
            <w:pPr>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24"/>
              </w:rPr>
            </w:pPr>
            <w:r w:rsidRPr="00E649DD">
              <w:rPr>
                <w:rFonts w:eastAsiaTheme="minorEastAsia" w:cs="Arial"/>
                <w:color w:val="000000"/>
                <w:szCs w:val="24"/>
              </w:rPr>
              <w:t>1,682,709</w:t>
            </w:r>
          </w:p>
        </w:tc>
      </w:tr>
      <w:tr w:rsidR="00D5347A" w:rsidRPr="00E649DD" w14:paraId="583E7CCC" w14:textId="77777777" w:rsidTr="001F5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pct"/>
            <w:noWrap/>
          </w:tcPr>
          <w:p w14:paraId="116CC080" w14:textId="77777777" w:rsidR="00D5347A" w:rsidRPr="00E649DD" w:rsidRDefault="00D5347A" w:rsidP="001F55A6">
            <w:pPr>
              <w:rPr>
                <w:rFonts w:eastAsiaTheme="minorEastAsia" w:cs="Arial"/>
                <w:color w:val="000000"/>
                <w:szCs w:val="24"/>
              </w:rPr>
            </w:pPr>
            <w:r w:rsidRPr="00E649DD">
              <w:rPr>
                <w:rFonts w:eastAsiaTheme="minorEastAsia" w:cs="Arial"/>
                <w:color w:val="000000"/>
                <w:szCs w:val="24"/>
              </w:rPr>
              <w:t>31 March 2012</w:t>
            </w:r>
          </w:p>
        </w:tc>
        <w:tc>
          <w:tcPr>
            <w:tcW w:w="997" w:type="pct"/>
          </w:tcPr>
          <w:p w14:paraId="1421B95B" w14:textId="77777777" w:rsidR="00D5347A" w:rsidRPr="00E649DD" w:rsidRDefault="00D5347A" w:rsidP="001F55A6">
            <w:pPr>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000000"/>
                <w:szCs w:val="24"/>
              </w:rPr>
            </w:pPr>
            <w:r w:rsidRPr="00E649DD">
              <w:rPr>
                <w:rFonts w:eastAsiaTheme="minorEastAsia" w:cs="Arial"/>
                <w:color w:val="000000"/>
                <w:szCs w:val="24"/>
              </w:rPr>
              <w:t>646,365</w:t>
            </w:r>
          </w:p>
        </w:tc>
        <w:tc>
          <w:tcPr>
            <w:tcW w:w="998" w:type="pct"/>
          </w:tcPr>
          <w:p w14:paraId="6CD09D24" w14:textId="77777777" w:rsidR="00D5347A" w:rsidRPr="00E649DD" w:rsidRDefault="00D5347A" w:rsidP="001F55A6">
            <w:pPr>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000000"/>
                <w:szCs w:val="24"/>
              </w:rPr>
            </w:pPr>
            <w:r w:rsidRPr="00E649DD">
              <w:rPr>
                <w:rFonts w:eastAsiaTheme="minorEastAsia" w:cs="Arial"/>
                <w:color w:val="000000"/>
                <w:szCs w:val="24"/>
              </w:rPr>
              <w:t>459,300</w:t>
            </w:r>
          </w:p>
        </w:tc>
        <w:tc>
          <w:tcPr>
            <w:tcW w:w="1000" w:type="pct"/>
          </w:tcPr>
          <w:p w14:paraId="1A295A0D" w14:textId="77777777" w:rsidR="00D5347A" w:rsidRPr="00E649DD" w:rsidRDefault="00D5347A" w:rsidP="001F55A6">
            <w:pPr>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000000"/>
                <w:szCs w:val="24"/>
              </w:rPr>
            </w:pPr>
            <w:r w:rsidRPr="00E649DD">
              <w:rPr>
                <w:rFonts w:eastAsiaTheme="minorEastAsia" w:cs="Arial"/>
                <w:color w:val="000000"/>
                <w:szCs w:val="24"/>
              </w:rPr>
              <w:t>615,710</w:t>
            </w:r>
          </w:p>
        </w:tc>
        <w:tc>
          <w:tcPr>
            <w:tcW w:w="1001" w:type="pct"/>
          </w:tcPr>
          <w:p w14:paraId="3F7074D2" w14:textId="77777777" w:rsidR="00D5347A" w:rsidRPr="00E649DD" w:rsidRDefault="00D5347A" w:rsidP="001F55A6">
            <w:pPr>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000000"/>
                <w:szCs w:val="24"/>
              </w:rPr>
            </w:pPr>
            <w:r w:rsidRPr="00E649DD">
              <w:rPr>
                <w:rFonts w:eastAsiaTheme="minorEastAsia" w:cs="Arial"/>
                <w:color w:val="000000"/>
                <w:szCs w:val="24"/>
              </w:rPr>
              <w:t>1,721,375</w:t>
            </w:r>
          </w:p>
        </w:tc>
      </w:tr>
      <w:tr w:rsidR="00D5347A" w:rsidRPr="00E649DD" w14:paraId="05DBCFA0" w14:textId="77777777" w:rsidTr="001F55A6">
        <w:tc>
          <w:tcPr>
            <w:cnfStyle w:val="001000000000" w:firstRow="0" w:lastRow="0" w:firstColumn="1" w:lastColumn="0" w:oddVBand="0" w:evenVBand="0" w:oddHBand="0" w:evenHBand="0" w:firstRowFirstColumn="0" w:firstRowLastColumn="0" w:lastRowFirstColumn="0" w:lastRowLastColumn="0"/>
            <w:tcW w:w="1003" w:type="pct"/>
            <w:noWrap/>
          </w:tcPr>
          <w:p w14:paraId="70467626" w14:textId="77777777" w:rsidR="00D5347A" w:rsidRPr="00E649DD" w:rsidRDefault="00D5347A" w:rsidP="001F55A6">
            <w:pPr>
              <w:rPr>
                <w:rFonts w:eastAsiaTheme="minorEastAsia" w:cs="Arial"/>
                <w:color w:val="000000"/>
                <w:szCs w:val="24"/>
              </w:rPr>
            </w:pPr>
            <w:r w:rsidRPr="00E649DD">
              <w:rPr>
                <w:rFonts w:eastAsiaTheme="minorEastAsia" w:cs="Arial"/>
                <w:color w:val="000000"/>
                <w:szCs w:val="24"/>
              </w:rPr>
              <w:t>31 March 2013</w:t>
            </w:r>
          </w:p>
        </w:tc>
        <w:tc>
          <w:tcPr>
            <w:tcW w:w="997" w:type="pct"/>
          </w:tcPr>
          <w:p w14:paraId="5A2F7A0D" w14:textId="77777777" w:rsidR="00D5347A" w:rsidRPr="00E649DD" w:rsidRDefault="00D5347A" w:rsidP="001F55A6">
            <w:pPr>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24"/>
              </w:rPr>
            </w:pPr>
            <w:r w:rsidRPr="00E649DD">
              <w:rPr>
                <w:rFonts w:eastAsiaTheme="minorEastAsia" w:cs="Arial"/>
                <w:color w:val="000000"/>
                <w:szCs w:val="24"/>
              </w:rPr>
              <w:t>667,744</w:t>
            </w:r>
          </w:p>
        </w:tc>
        <w:tc>
          <w:tcPr>
            <w:tcW w:w="998" w:type="pct"/>
          </w:tcPr>
          <w:p w14:paraId="6A6A3470" w14:textId="77777777" w:rsidR="00D5347A" w:rsidRPr="00E649DD" w:rsidRDefault="00D5347A" w:rsidP="001F55A6">
            <w:pPr>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24"/>
              </w:rPr>
            </w:pPr>
            <w:r w:rsidRPr="00E649DD">
              <w:rPr>
                <w:rFonts w:eastAsiaTheme="minorEastAsia" w:cs="Arial"/>
                <w:color w:val="000000"/>
                <w:szCs w:val="24"/>
              </w:rPr>
              <w:t>452,201</w:t>
            </w:r>
          </w:p>
        </w:tc>
        <w:tc>
          <w:tcPr>
            <w:tcW w:w="1000" w:type="pct"/>
          </w:tcPr>
          <w:p w14:paraId="076AA63A" w14:textId="77777777" w:rsidR="00D5347A" w:rsidRPr="00E649DD" w:rsidRDefault="00D5347A" w:rsidP="001F55A6">
            <w:pPr>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24"/>
              </w:rPr>
            </w:pPr>
            <w:r w:rsidRPr="00E649DD">
              <w:rPr>
                <w:rFonts w:eastAsiaTheme="minorEastAsia" w:cs="Arial"/>
                <w:color w:val="000000"/>
                <w:szCs w:val="24"/>
              </w:rPr>
              <w:t>636,262</w:t>
            </w:r>
          </w:p>
        </w:tc>
        <w:tc>
          <w:tcPr>
            <w:tcW w:w="1001" w:type="pct"/>
          </w:tcPr>
          <w:p w14:paraId="2177A403" w14:textId="77777777" w:rsidR="00D5347A" w:rsidRPr="00E649DD" w:rsidRDefault="00D5347A" w:rsidP="001F55A6">
            <w:pPr>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24"/>
              </w:rPr>
            </w:pPr>
            <w:r w:rsidRPr="00E649DD">
              <w:rPr>
                <w:rFonts w:eastAsiaTheme="minorEastAsia" w:cs="Arial"/>
                <w:color w:val="000000"/>
                <w:szCs w:val="24"/>
              </w:rPr>
              <w:t>1,756,207</w:t>
            </w:r>
          </w:p>
        </w:tc>
      </w:tr>
      <w:tr w:rsidR="00D5347A" w:rsidRPr="00E649DD" w14:paraId="58F9FBCF" w14:textId="77777777" w:rsidTr="001F5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pct"/>
            <w:noWrap/>
          </w:tcPr>
          <w:p w14:paraId="5CB8DA01" w14:textId="77777777" w:rsidR="00D5347A" w:rsidRPr="00E649DD" w:rsidRDefault="00D5347A" w:rsidP="001F55A6">
            <w:pPr>
              <w:rPr>
                <w:rFonts w:eastAsiaTheme="minorEastAsia" w:cs="Arial"/>
                <w:color w:val="000000"/>
                <w:szCs w:val="24"/>
              </w:rPr>
            </w:pPr>
            <w:r w:rsidRPr="00E649DD">
              <w:rPr>
                <w:rFonts w:eastAsiaTheme="minorEastAsia" w:cs="Arial"/>
                <w:color w:val="000000"/>
                <w:szCs w:val="24"/>
              </w:rPr>
              <w:t>31 March 2014</w:t>
            </w:r>
          </w:p>
        </w:tc>
        <w:tc>
          <w:tcPr>
            <w:tcW w:w="997" w:type="pct"/>
          </w:tcPr>
          <w:p w14:paraId="3A905100" w14:textId="77777777" w:rsidR="00D5347A" w:rsidRPr="00E649DD" w:rsidRDefault="00D5347A" w:rsidP="001F55A6">
            <w:pPr>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000000"/>
                <w:szCs w:val="24"/>
              </w:rPr>
            </w:pPr>
            <w:r w:rsidRPr="00E649DD">
              <w:rPr>
                <w:rFonts w:eastAsiaTheme="minorEastAsia" w:cs="Arial"/>
                <w:color w:val="000000"/>
                <w:szCs w:val="24"/>
              </w:rPr>
              <w:t>670,543</w:t>
            </w:r>
          </w:p>
        </w:tc>
        <w:tc>
          <w:tcPr>
            <w:tcW w:w="998" w:type="pct"/>
          </w:tcPr>
          <w:p w14:paraId="4D803169" w14:textId="77777777" w:rsidR="00D5347A" w:rsidRPr="00E649DD" w:rsidRDefault="00D5347A" w:rsidP="001F55A6">
            <w:pPr>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000000"/>
                <w:szCs w:val="24"/>
              </w:rPr>
            </w:pPr>
            <w:r w:rsidRPr="00E649DD">
              <w:rPr>
                <w:rFonts w:eastAsiaTheme="minorEastAsia" w:cs="Arial"/>
                <w:color w:val="000000"/>
                <w:szCs w:val="24"/>
              </w:rPr>
              <w:t>492,683</w:t>
            </w:r>
          </w:p>
        </w:tc>
        <w:tc>
          <w:tcPr>
            <w:tcW w:w="1000" w:type="pct"/>
          </w:tcPr>
          <w:p w14:paraId="49F45CC4" w14:textId="77777777" w:rsidR="00D5347A" w:rsidRPr="00E649DD" w:rsidRDefault="00D5347A" w:rsidP="001F55A6">
            <w:pPr>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000000"/>
                <w:szCs w:val="24"/>
              </w:rPr>
            </w:pPr>
            <w:r w:rsidRPr="00E649DD">
              <w:rPr>
                <w:rFonts w:eastAsiaTheme="minorEastAsia" w:cs="Arial"/>
                <w:color w:val="000000"/>
                <w:szCs w:val="24"/>
              </w:rPr>
              <w:t>655,829</w:t>
            </w:r>
          </w:p>
        </w:tc>
        <w:tc>
          <w:tcPr>
            <w:tcW w:w="1001" w:type="pct"/>
          </w:tcPr>
          <w:p w14:paraId="3E9799F4" w14:textId="77777777" w:rsidR="00D5347A" w:rsidRPr="00E649DD" w:rsidRDefault="00D5347A" w:rsidP="001F55A6">
            <w:pPr>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000000"/>
                <w:szCs w:val="24"/>
              </w:rPr>
            </w:pPr>
            <w:r w:rsidRPr="00E649DD">
              <w:rPr>
                <w:rFonts w:eastAsiaTheme="minorEastAsia" w:cs="Arial"/>
                <w:color w:val="000000"/>
                <w:szCs w:val="24"/>
              </w:rPr>
              <w:t>1,819,055</w:t>
            </w:r>
          </w:p>
        </w:tc>
      </w:tr>
      <w:tr w:rsidR="00D5347A" w:rsidRPr="00E649DD" w14:paraId="2BBF23B1" w14:textId="77777777" w:rsidTr="001F55A6">
        <w:tc>
          <w:tcPr>
            <w:cnfStyle w:val="001000000000" w:firstRow="0" w:lastRow="0" w:firstColumn="1" w:lastColumn="0" w:oddVBand="0" w:evenVBand="0" w:oddHBand="0" w:evenHBand="0" w:firstRowFirstColumn="0" w:firstRowLastColumn="0" w:lastRowFirstColumn="0" w:lastRowLastColumn="0"/>
            <w:tcW w:w="1003" w:type="pct"/>
            <w:noWrap/>
          </w:tcPr>
          <w:p w14:paraId="093E09B2" w14:textId="77777777" w:rsidR="00D5347A" w:rsidRPr="00E649DD" w:rsidRDefault="00D5347A" w:rsidP="001F55A6">
            <w:pPr>
              <w:rPr>
                <w:rFonts w:eastAsiaTheme="minorEastAsia" w:cs="Arial"/>
                <w:color w:val="000000"/>
                <w:szCs w:val="24"/>
              </w:rPr>
            </w:pPr>
            <w:r w:rsidRPr="00E649DD">
              <w:rPr>
                <w:rFonts w:eastAsiaTheme="minorEastAsia" w:cs="Arial"/>
                <w:color w:val="000000"/>
                <w:szCs w:val="24"/>
              </w:rPr>
              <w:t>31 March 2015</w:t>
            </w:r>
          </w:p>
        </w:tc>
        <w:tc>
          <w:tcPr>
            <w:tcW w:w="997" w:type="pct"/>
          </w:tcPr>
          <w:p w14:paraId="2C06AECF" w14:textId="77777777" w:rsidR="00D5347A" w:rsidRPr="00E649DD" w:rsidRDefault="00D5347A" w:rsidP="001F55A6">
            <w:pPr>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24"/>
              </w:rPr>
            </w:pPr>
            <w:r w:rsidRPr="00E649DD">
              <w:rPr>
                <w:rFonts w:eastAsiaTheme="minorEastAsia" w:cs="Arial"/>
                <w:color w:val="000000"/>
                <w:szCs w:val="24"/>
              </w:rPr>
              <w:t>673,695</w:t>
            </w:r>
          </w:p>
        </w:tc>
        <w:tc>
          <w:tcPr>
            <w:tcW w:w="998" w:type="pct"/>
          </w:tcPr>
          <w:p w14:paraId="176CF712" w14:textId="77777777" w:rsidR="00D5347A" w:rsidRPr="00E649DD" w:rsidRDefault="00D5347A" w:rsidP="001F55A6">
            <w:pPr>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24"/>
              </w:rPr>
            </w:pPr>
            <w:r w:rsidRPr="00E649DD">
              <w:rPr>
                <w:rFonts w:eastAsiaTheme="minorEastAsia" w:cs="Arial"/>
                <w:color w:val="000000"/>
                <w:szCs w:val="24"/>
              </w:rPr>
              <w:t>545,629</w:t>
            </w:r>
          </w:p>
        </w:tc>
        <w:tc>
          <w:tcPr>
            <w:tcW w:w="1000" w:type="pct"/>
          </w:tcPr>
          <w:p w14:paraId="4A4F2609" w14:textId="77777777" w:rsidR="00D5347A" w:rsidRPr="00E649DD" w:rsidRDefault="00D5347A" w:rsidP="001F55A6">
            <w:pPr>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24"/>
              </w:rPr>
            </w:pPr>
            <w:r w:rsidRPr="00E649DD">
              <w:rPr>
                <w:rFonts w:eastAsiaTheme="minorEastAsia" w:cs="Arial"/>
                <w:color w:val="000000"/>
                <w:szCs w:val="24"/>
              </w:rPr>
              <w:t>677,950</w:t>
            </w:r>
          </w:p>
        </w:tc>
        <w:tc>
          <w:tcPr>
            <w:tcW w:w="1001" w:type="pct"/>
          </w:tcPr>
          <w:p w14:paraId="5972FF75" w14:textId="77777777" w:rsidR="00D5347A" w:rsidRPr="00E649DD" w:rsidRDefault="00D5347A" w:rsidP="001F55A6">
            <w:pPr>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24"/>
              </w:rPr>
            </w:pPr>
            <w:r w:rsidRPr="00E649DD">
              <w:rPr>
                <w:rFonts w:eastAsiaTheme="minorEastAsia" w:cs="Arial"/>
                <w:color w:val="000000"/>
                <w:szCs w:val="24"/>
              </w:rPr>
              <w:t>1,897,274</w:t>
            </w:r>
          </w:p>
        </w:tc>
      </w:tr>
      <w:tr w:rsidR="00D5347A" w:rsidRPr="00E649DD" w14:paraId="445E0C65" w14:textId="77777777" w:rsidTr="001F5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pct"/>
            <w:noWrap/>
          </w:tcPr>
          <w:p w14:paraId="5EC8FE43" w14:textId="77777777" w:rsidR="00D5347A" w:rsidRPr="00E649DD" w:rsidRDefault="00D5347A" w:rsidP="001F55A6">
            <w:pPr>
              <w:rPr>
                <w:rFonts w:eastAsiaTheme="minorEastAsia" w:cs="Arial"/>
                <w:color w:val="000000"/>
                <w:szCs w:val="24"/>
              </w:rPr>
            </w:pPr>
            <w:r w:rsidRPr="00E649DD">
              <w:rPr>
                <w:rFonts w:eastAsiaTheme="minorEastAsia" w:cs="Arial"/>
                <w:color w:val="000000"/>
                <w:szCs w:val="24"/>
              </w:rPr>
              <w:t>31 March 2016</w:t>
            </w:r>
          </w:p>
        </w:tc>
        <w:tc>
          <w:tcPr>
            <w:tcW w:w="997" w:type="pct"/>
          </w:tcPr>
          <w:p w14:paraId="5FCF3CAF" w14:textId="77777777" w:rsidR="00D5347A" w:rsidRPr="00E649DD" w:rsidRDefault="00D5347A" w:rsidP="001F55A6">
            <w:pPr>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000000"/>
                <w:szCs w:val="24"/>
              </w:rPr>
            </w:pPr>
            <w:r w:rsidRPr="00E649DD">
              <w:rPr>
                <w:rFonts w:eastAsiaTheme="minorEastAsia" w:cs="Arial"/>
                <w:color w:val="000000"/>
                <w:szCs w:val="24"/>
              </w:rPr>
              <w:t>692,110</w:t>
            </w:r>
          </w:p>
        </w:tc>
        <w:tc>
          <w:tcPr>
            <w:tcW w:w="998" w:type="pct"/>
          </w:tcPr>
          <w:p w14:paraId="2C57F871" w14:textId="77777777" w:rsidR="00D5347A" w:rsidRPr="00E649DD" w:rsidRDefault="00D5347A" w:rsidP="001F55A6">
            <w:pPr>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000000"/>
                <w:szCs w:val="24"/>
              </w:rPr>
            </w:pPr>
            <w:r w:rsidRPr="00E649DD">
              <w:rPr>
                <w:rFonts w:eastAsiaTheme="minorEastAsia" w:cs="Arial"/>
                <w:color w:val="000000"/>
                <w:szCs w:val="24"/>
              </w:rPr>
              <w:t>555,690</w:t>
            </w:r>
          </w:p>
        </w:tc>
        <w:tc>
          <w:tcPr>
            <w:tcW w:w="1000" w:type="pct"/>
          </w:tcPr>
          <w:p w14:paraId="45E2CBFC" w14:textId="77777777" w:rsidR="00D5347A" w:rsidRPr="00E649DD" w:rsidRDefault="00D5347A" w:rsidP="001F55A6">
            <w:pPr>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000000"/>
                <w:szCs w:val="24"/>
              </w:rPr>
            </w:pPr>
            <w:r w:rsidRPr="00E649DD">
              <w:rPr>
                <w:rFonts w:eastAsiaTheme="minorEastAsia" w:cs="Arial"/>
                <w:color w:val="000000"/>
                <w:szCs w:val="24"/>
              </w:rPr>
              <w:t>695,044</w:t>
            </w:r>
          </w:p>
        </w:tc>
        <w:tc>
          <w:tcPr>
            <w:tcW w:w="1001" w:type="pct"/>
          </w:tcPr>
          <w:p w14:paraId="28B86095" w14:textId="77777777" w:rsidR="00D5347A" w:rsidRPr="00E649DD" w:rsidRDefault="00D5347A" w:rsidP="001F55A6">
            <w:pPr>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000000"/>
                <w:szCs w:val="24"/>
              </w:rPr>
            </w:pPr>
            <w:r w:rsidRPr="00E649DD">
              <w:rPr>
                <w:rFonts w:eastAsiaTheme="minorEastAsia" w:cs="Arial"/>
                <w:color w:val="000000"/>
                <w:szCs w:val="24"/>
              </w:rPr>
              <w:t>1,942,844</w:t>
            </w:r>
          </w:p>
        </w:tc>
      </w:tr>
    </w:tbl>
    <w:p w14:paraId="670E577B" w14:textId="77777777" w:rsidR="00D5347A" w:rsidRPr="00D76A7C" w:rsidRDefault="00D5347A" w:rsidP="00D5347A">
      <w:pPr>
        <w:pStyle w:val="ListParagraph"/>
        <w:rPr>
          <w:rFonts w:cs="Arial"/>
          <w:szCs w:val="24"/>
        </w:rPr>
      </w:pPr>
    </w:p>
    <w:p w14:paraId="3097B82E" w14:textId="77777777" w:rsidR="001E5A7C" w:rsidRDefault="001E5A7C" w:rsidP="00D5347A">
      <w:pPr>
        <w:rPr>
          <w:rFonts w:cs="Arial"/>
          <w:szCs w:val="24"/>
        </w:rPr>
      </w:pPr>
    </w:p>
    <w:p w14:paraId="59D5C8CF" w14:textId="01FFFFA4" w:rsidR="00E90BB3" w:rsidRDefault="001E5A7C" w:rsidP="00F97CC5">
      <w:pPr>
        <w:rPr>
          <w:rFonts w:cs="Arial"/>
          <w:szCs w:val="24"/>
        </w:rPr>
      </w:pPr>
      <w:r w:rsidRPr="001E5A7C">
        <w:rPr>
          <w:rFonts w:cs="Arial"/>
          <w:szCs w:val="24"/>
        </w:rPr>
        <w:t>T</w:t>
      </w:r>
      <w:r w:rsidR="00D5347A" w:rsidRPr="001E5A7C">
        <w:rPr>
          <w:rFonts w:cs="Arial"/>
          <w:szCs w:val="24"/>
        </w:rPr>
        <w:t>he methodology for determining the membership of the TPS changed with effect from 31 March 2014.  The main change was to the definition of an active and a deferred member.  This resulted in fewer members being categorised as active, and more members being categorised as deferred.  Notwithstanding this, the overall increase in membership is around 18% over the period (SD3/200618 refers.)</w:t>
      </w:r>
      <w:bookmarkStart w:id="0" w:name="_GoBack"/>
      <w:bookmarkEnd w:id="0"/>
    </w:p>
    <w:sectPr w:rsidR="00E90BB3" w:rsidSect="00E97E5B">
      <w:pgSz w:w="11906" w:h="16838"/>
      <w:pgMar w:top="1440" w:right="1418"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5CE01" w14:textId="77777777" w:rsidR="001F55A6" w:rsidRDefault="001F55A6">
      <w:r>
        <w:separator/>
      </w:r>
    </w:p>
  </w:endnote>
  <w:endnote w:type="continuationSeparator" w:id="0">
    <w:p w14:paraId="20EEB7D9" w14:textId="77777777" w:rsidR="001F55A6" w:rsidRDefault="001F55A6">
      <w:r>
        <w:continuationSeparator/>
      </w:r>
    </w:p>
  </w:endnote>
  <w:endnote w:type="continuationNotice" w:id="1">
    <w:p w14:paraId="56949EDF" w14:textId="77777777" w:rsidR="001F55A6" w:rsidRDefault="001F5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331876"/>
      <w:docPartObj>
        <w:docPartGallery w:val="Page Numbers (Bottom of Page)"/>
        <w:docPartUnique/>
      </w:docPartObj>
    </w:sdtPr>
    <w:sdtEndPr>
      <w:rPr>
        <w:noProof/>
        <w:sz w:val="16"/>
        <w:szCs w:val="16"/>
      </w:rPr>
    </w:sdtEndPr>
    <w:sdtContent>
      <w:p w14:paraId="6F6F9344" w14:textId="69D82BD9" w:rsidR="001F55A6" w:rsidRPr="000C5390" w:rsidRDefault="001F55A6">
        <w:pPr>
          <w:pStyle w:val="Footer"/>
          <w:jc w:val="center"/>
          <w:rPr>
            <w:sz w:val="16"/>
            <w:szCs w:val="16"/>
          </w:rPr>
        </w:pPr>
        <w:r w:rsidRPr="000C5390">
          <w:rPr>
            <w:sz w:val="16"/>
            <w:szCs w:val="16"/>
          </w:rPr>
          <w:fldChar w:fldCharType="begin"/>
        </w:r>
        <w:r w:rsidRPr="000C5390">
          <w:rPr>
            <w:sz w:val="16"/>
            <w:szCs w:val="16"/>
          </w:rPr>
          <w:instrText xml:space="preserve"> PAGE   \* MERGEFORMAT </w:instrText>
        </w:r>
        <w:r w:rsidRPr="000C5390">
          <w:rPr>
            <w:sz w:val="16"/>
            <w:szCs w:val="16"/>
          </w:rPr>
          <w:fldChar w:fldCharType="separate"/>
        </w:r>
        <w:r w:rsidR="00F97CC5">
          <w:rPr>
            <w:noProof/>
            <w:sz w:val="16"/>
            <w:szCs w:val="16"/>
          </w:rPr>
          <w:t>18</w:t>
        </w:r>
        <w:r w:rsidRPr="000C5390">
          <w:rPr>
            <w:noProof/>
            <w:sz w:val="16"/>
            <w:szCs w:val="16"/>
          </w:rPr>
          <w:fldChar w:fldCharType="end"/>
        </w:r>
      </w:p>
    </w:sdtContent>
  </w:sdt>
  <w:p w14:paraId="26718613" w14:textId="77777777" w:rsidR="001F55A6" w:rsidRDefault="001F5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3D542" w14:textId="77777777" w:rsidR="001F55A6" w:rsidRDefault="001F55A6">
      <w:r>
        <w:separator/>
      </w:r>
    </w:p>
  </w:footnote>
  <w:footnote w:type="continuationSeparator" w:id="0">
    <w:p w14:paraId="03D3619A" w14:textId="77777777" w:rsidR="001F55A6" w:rsidRDefault="001F55A6">
      <w:r>
        <w:continuationSeparator/>
      </w:r>
    </w:p>
  </w:footnote>
  <w:footnote w:type="continuationNotice" w:id="1">
    <w:p w14:paraId="325D75E3" w14:textId="77777777" w:rsidR="001F55A6" w:rsidRDefault="001F55A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7FBA4" w14:textId="77933E43" w:rsidR="001F55A6" w:rsidRPr="00740F67" w:rsidRDefault="001F55A6" w:rsidP="00E16D6D">
    <w:pPr>
      <w:pStyle w:val="Header"/>
      <w:rPr>
        <w:sz w:val="20"/>
      </w:rPr>
    </w:pPr>
    <w:r w:rsidRPr="00740F67">
      <w:rPr>
        <w:sz w:val="20"/>
      </w:rPr>
      <w:t xml:space="preserve">PAPER (6) (Agenda item various)                                    </w:t>
    </w:r>
    <w:r>
      <w:rPr>
        <w:sz w:val="20"/>
      </w:rPr>
      <w:t xml:space="preserve">  </w:t>
    </w:r>
    <w:r w:rsidRPr="00740F67">
      <w:rPr>
        <w:sz w:val="20"/>
      </w:rPr>
      <w:t xml:space="preserve">TPSPB sub-committees 26 September 2018 </w:t>
    </w:r>
  </w:p>
  <w:p w14:paraId="7FFDC2C7" w14:textId="77777777" w:rsidR="001F55A6" w:rsidRDefault="001F55A6">
    <w:pPr>
      <w:pStyle w:val="Header"/>
    </w:pPr>
  </w:p>
  <w:p w14:paraId="45264467" w14:textId="77777777" w:rsidR="001F55A6" w:rsidRDefault="001F5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2CA55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465D7"/>
    <w:multiLevelType w:val="hybridMultilevel"/>
    <w:tmpl w:val="55AE7664"/>
    <w:lvl w:ilvl="0" w:tplc="3516ECF6">
      <w:start w:val="1"/>
      <w:numFmt w:val="decimal"/>
      <w:lvlText w:val="%1."/>
      <w:lvlJc w:val="left"/>
      <w:pPr>
        <w:ind w:left="720" w:hanging="360"/>
      </w:pPr>
      <w:rPr>
        <w:rFonts w:hint="default"/>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D1DF1"/>
    <w:multiLevelType w:val="hybridMultilevel"/>
    <w:tmpl w:val="C96A9E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015693"/>
    <w:multiLevelType w:val="hybridMultilevel"/>
    <w:tmpl w:val="615A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D6ECA"/>
    <w:multiLevelType w:val="hybridMultilevel"/>
    <w:tmpl w:val="38F8DE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8D02939"/>
    <w:multiLevelType w:val="hybridMultilevel"/>
    <w:tmpl w:val="4198DA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E2C3028"/>
    <w:multiLevelType w:val="hybridMultilevel"/>
    <w:tmpl w:val="3D5C6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4040D"/>
    <w:multiLevelType w:val="hybridMultilevel"/>
    <w:tmpl w:val="564E7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852F2B"/>
    <w:multiLevelType w:val="hybridMultilevel"/>
    <w:tmpl w:val="7D9074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6205AB9"/>
    <w:multiLevelType w:val="hybridMultilevel"/>
    <w:tmpl w:val="5108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A1EF0"/>
    <w:multiLevelType w:val="hybridMultilevel"/>
    <w:tmpl w:val="451CAC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C876B7"/>
    <w:multiLevelType w:val="hybridMultilevel"/>
    <w:tmpl w:val="94668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2C2860"/>
    <w:multiLevelType w:val="hybridMultilevel"/>
    <w:tmpl w:val="44BC2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29130F"/>
    <w:multiLevelType w:val="hybridMultilevel"/>
    <w:tmpl w:val="97F65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5AB1744"/>
    <w:multiLevelType w:val="hybridMultilevel"/>
    <w:tmpl w:val="A7BAF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8A40DD"/>
    <w:multiLevelType w:val="hybridMultilevel"/>
    <w:tmpl w:val="55AE7664"/>
    <w:lvl w:ilvl="0" w:tplc="3516ECF6">
      <w:start w:val="1"/>
      <w:numFmt w:val="decimal"/>
      <w:lvlText w:val="%1."/>
      <w:lvlJc w:val="left"/>
      <w:pPr>
        <w:ind w:left="720" w:hanging="360"/>
      </w:pPr>
      <w:rPr>
        <w:rFonts w:hint="default"/>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48176BCC"/>
    <w:multiLevelType w:val="hybridMultilevel"/>
    <w:tmpl w:val="A04C1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46273E"/>
    <w:multiLevelType w:val="hybridMultilevel"/>
    <w:tmpl w:val="7E12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B12F0C"/>
    <w:multiLevelType w:val="hybridMultilevel"/>
    <w:tmpl w:val="21AAE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802649"/>
    <w:multiLevelType w:val="hybridMultilevel"/>
    <w:tmpl w:val="0E48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4A2255"/>
    <w:multiLevelType w:val="hybridMultilevel"/>
    <w:tmpl w:val="A876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395357"/>
    <w:multiLevelType w:val="hybridMultilevel"/>
    <w:tmpl w:val="C9627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025634"/>
    <w:multiLevelType w:val="hybridMultilevel"/>
    <w:tmpl w:val="87DEB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3A8129C"/>
    <w:multiLevelType w:val="hybridMultilevel"/>
    <w:tmpl w:val="51E65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2A53B2"/>
    <w:multiLevelType w:val="hybridMultilevel"/>
    <w:tmpl w:val="4DAE9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AD3EA6"/>
    <w:multiLevelType w:val="hybridMultilevel"/>
    <w:tmpl w:val="4B14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F61391"/>
    <w:multiLevelType w:val="hybridMultilevel"/>
    <w:tmpl w:val="B06E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AC4F5C"/>
    <w:multiLevelType w:val="hybridMultilevel"/>
    <w:tmpl w:val="87E017A4"/>
    <w:lvl w:ilvl="0" w:tplc="83BC4F7A">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1D32D0A"/>
    <w:multiLevelType w:val="hybridMultilevel"/>
    <w:tmpl w:val="03866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FE7034"/>
    <w:multiLevelType w:val="hybridMultilevel"/>
    <w:tmpl w:val="A78AC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D6309E"/>
    <w:multiLevelType w:val="hybridMultilevel"/>
    <w:tmpl w:val="BAEC7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04742D"/>
    <w:multiLevelType w:val="hybridMultilevel"/>
    <w:tmpl w:val="6B50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E5318C"/>
    <w:multiLevelType w:val="hybridMultilevel"/>
    <w:tmpl w:val="249A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7A7FC7"/>
    <w:multiLevelType w:val="hybridMultilevel"/>
    <w:tmpl w:val="7BC2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C66371"/>
    <w:multiLevelType w:val="hybridMultilevel"/>
    <w:tmpl w:val="A828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562B39"/>
    <w:multiLevelType w:val="hybridMultilevel"/>
    <w:tmpl w:val="DBA2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512C87"/>
    <w:multiLevelType w:val="hybridMultilevel"/>
    <w:tmpl w:val="E54EA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9E4534"/>
    <w:multiLevelType w:val="hybridMultilevel"/>
    <w:tmpl w:val="50FE9822"/>
    <w:lvl w:ilvl="0" w:tplc="08090001">
      <w:start w:val="1"/>
      <w:numFmt w:val="bullet"/>
      <w:lvlText w:val=""/>
      <w:lvlJc w:val="left"/>
      <w:pPr>
        <w:ind w:left="1081" w:hanging="360"/>
      </w:pPr>
      <w:rPr>
        <w:rFonts w:ascii="Symbol" w:hAnsi="Symbol"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42" w15:restartNumberingAfterBreak="0">
    <w:nsid w:val="7F1B0392"/>
    <w:multiLevelType w:val="hybridMultilevel"/>
    <w:tmpl w:val="2E8882E0"/>
    <w:lvl w:ilvl="0" w:tplc="08090001">
      <w:start w:val="1"/>
      <w:numFmt w:val="bullet"/>
      <w:lvlText w:val=""/>
      <w:lvlJc w:val="left"/>
      <w:pPr>
        <w:ind w:left="2368" w:hanging="360"/>
      </w:pPr>
      <w:rPr>
        <w:rFonts w:ascii="Symbol" w:hAnsi="Symbol" w:hint="default"/>
      </w:rPr>
    </w:lvl>
    <w:lvl w:ilvl="1" w:tplc="08090003" w:tentative="1">
      <w:start w:val="1"/>
      <w:numFmt w:val="bullet"/>
      <w:lvlText w:val="o"/>
      <w:lvlJc w:val="left"/>
      <w:pPr>
        <w:ind w:left="3088" w:hanging="360"/>
      </w:pPr>
      <w:rPr>
        <w:rFonts w:ascii="Courier New" w:hAnsi="Courier New" w:cs="Courier New" w:hint="default"/>
      </w:rPr>
    </w:lvl>
    <w:lvl w:ilvl="2" w:tplc="08090005" w:tentative="1">
      <w:start w:val="1"/>
      <w:numFmt w:val="bullet"/>
      <w:lvlText w:val=""/>
      <w:lvlJc w:val="left"/>
      <w:pPr>
        <w:ind w:left="3808" w:hanging="360"/>
      </w:pPr>
      <w:rPr>
        <w:rFonts w:ascii="Wingdings" w:hAnsi="Wingdings" w:hint="default"/>
      </w:rPr>
    </w:lvl>
    <w:lvl w:ilvl="3" w:tplc="08090001" w:tentative="1">
      <w:start w:val="1"/>
      <w:numFmt w:val="bullet"/>
      <w:lvlText w:val=""/>
      <w:lvlJc w:val="left"/>
      <w:pPr>
        <w:ind w:left="4528" w:hanging="360"/>
      </w:pPr>
      <w:rPr>
        <w:rFonts w:ascii="Symbol" w:hAnsi="Symbol" w:hint="default"/>
      </w:rPr>
    </w:lvl>
    <w:lvl w:ilvl="4" w:tplc="08090003" w:tentative="1">
      <w:start w:val="1"/>
      <w:numFmt w:val="bullet"/>
      <w:lvlText w:val="o"/>
      <w:lvlJc w:val="left"/>
      <w:pPr>
        <w:ind w:left="5248" w:hanging="360"/>
      </w:pPr>
      <w:rPr>
        <w:rFonts w:ascii="Courier New" w:hAnsi="Courier New" w:cs="Courier New" w:hint="default"/>
      </w:rPr>
    </w:lvl>
    <w:lvl w:ilvl="5" w:tplc="08090005" w:tentative="1">
      <w:start w:val="1"/>
      <w:numFmt w:val="bullet"/>
      <w:lvlText w:val=""/>
      <w:lvlJc w:val="left"/>
      <w:pPr>
        <w:ind w:left="5968" w:hanging="360"/>
      </w:pPr>
      <w:rPr>
        <w:rFonts w:ascii="Wingdings" w:hAnsi="Wingdings" w:hint="default"/>
      </w:rPr>
    </w:lvl>
    <w:lvl w:ilvl="6" w:tplc="08090001" w:tentative="1">
      <w:start w:val="1"/>
      <w:numFmt w:val="bullet"/>
      <w:lvlText w:val=""/>
      <w:lvlJc w:val="left"/>
      <w:pPr>
        <w:ind w:left="6688" w:hanging="360"/>
      </w:pPr>
      <w:rPr>
        <w:rFonts w:ascii="Symbol" w:hAnsi="Symbol" w:hint="default"/>
      </w:rPr>
    </w:lvl>
    <w:lvl w:ilvl="7" w:tplc="08090003" w:tentative="1">
      <w:start w:val="1"/>
      <w:numFmt w:val="bullet"/>
      <w:lvlText w:val="o"/>
      <w:lvlJc w:val="left"/>
      <w:pPr>
        <w:ind w:left="7408" w:hanging="360"/>
      </w:pPr>
      <w:rPr>
        <w:rFonts w:ascii="Courier New" w:hAnsi="Courier New" w:cs="Courier New" w:hint="default"/>
      </w:rPr>
    </w:lvl>
    <w:lvl w:ilvl="8" w:tplc="08090005" w:tentative="1">
      <w:start w:val="1"/>
      <w:numFmt w:val="bullet"/>
      <w:lvlText w:val=""/>
      <w:lvlJc w:val="left"/>
      <w:pPr>
        <w:ind w:left="8128" w:hanging="360"/>
      </w:pPr>
      <w:rPr>
        <w:rFonts w:ascii="Wingdings" w:hAnsi="Wingdings" w:hint="default"/>
      </w:rPr>
    </w:lvl>
  </w:abstractNum>
  <w:num w:numId="1">
    <w:abstractNumId w:val="18"/>
  </w:num>
  <w:num w:numId="2">
    <w:abstractNumId w:val="10"/>
  </w:num>
  <w:num w:numId="3">
    <w:abstractNumId w:val="6"/>
  </w:num>
  <w:num w:numId="4">
    <w:abstractNumId w:val="26"/>
  </w:num>
  <w:num w:numId="5">
    <w:abstractNumId w:val="0"/>
  </w:num>
  <w:num w:numId="6">
    <w:abstractNumId w:val="1"/>
  </w:num>
  <w:num w:numId="7">
    <w:abstractNumId w:val="9"/>
  </w:num>
  <w:num w:numId="8">
    <w:abstractNumId w:val="5"/>
  </w:num>
  <w:num w:numId="9">
    <w:abstractNumId w:val="42"/>
  </w:num>
  <w:num w:numId="10">
    <w:abstractNumId w:val="4"/>
  </w:num>
  <w:num w:numId="11">
    <w:abstractNumId w:val="12"/>
  </w:num>
  <w:num w:numId="12">
    <w:abstractNumId w:val="41"/>
  </w:num>
  <w:num w:numId="13">
    <w:abstractNumId w:val="2"/>
  </w:num>
  <w:num w:numId="14">
    <w:abstractNumId w:val="3"/>
  </w:num>
  <w:num w:numId="15">
    <w:abstractNumId w:val="25"/>
  </w:num>
  <w:num w:numId="16">
    <w:abstractNumId w:val="27"/>
  </w:num>
  <w:num w:numId="17">
    <w:abstractNumId w:val="38"/>
  </w:num>
  <w:num w:numId="18">
    <w:abstractNumId w:val="29"/>
  </w:num>
  <w:num w:numId="19">
    <w:abstractNumId w:val="11"/>
  </w:num>
  <w:num w:numId="20">
    <w:abstractNumId w:val="34"/>
  </w:num>
  <w:num w:numId="21">
    <w:abstractNumId w:val="13"/>
  </w:num>
  <w:num w:numId="22">
    <w:abstractNumId w:val="21"/>
  </w:num>
  <w:num w:numId="23">
    <w:abstractNumId w:val="23"/>
  </w:num>
  <w:num w:numId="24">
    <w:abstractNumId w:val="15"/>
  </w:num>
  <w:num w:numId="25">
    <w:abstractNumId w:val="22"/>
  </w:num>
  <w:num w:numId="26">
    <w:abstractNumId w:val="16"/>
  </w:num>
  <w:num w:numId="27">
    <w:abstractNumId w:val="24"/>
  </w:num>
  <w:num w:numId="28">
    <w:abstractNumId w:val="33"/>
  </w:num>
  <w:num w:numId="29">
    <w:abstractNumId w:val="28"/>
  </w:num>
  <w:num w:numId="30">
    <w:abstractNumId w:val="36"/>
  </w:num>
  <w:num w:numId="31">
    <w:abstractNumId w:val="20"/>
  </w:num>
  <w:num w:numId="32">
    <w:abstractNumId w:val="30"/>
  </w:num>
  <w:num w:numId="33">
    <w:abstractNumId w:val="40"/>
  </w:num>
  <w:num w:numId="34">
    <w:abstractNumId w:val="32"/>
  </w:num>
  <w:num w:numId="35">
    <w:abstractNumId w:val="39"/>
  </w:num>
  <w:num w:numId="36">
    <w:abstractNumId w:val="14"/>
  </w:num>
  <w:num w:numId="37">
    <w:abstractNumId w:val="37"/>
  </w:num>
  <w:num w:numId="38">
    <w:abstractNumId w:val="35"/>
  </w:num>
  <w:num w:numId="39">
    <w:abstractNumId w:val="7"/>
  </w:num>
  <w:num w:numId="40">
    <w:abstractNumId w:val="31"/>
  </w:num>
  <w:num w:numId="41">
    <w:abstractNumId w:val="19"/>
  </w:num>
  <w:num w:numId="42">
    <w:abstractNumId w:val="17"/>
  </w:num>
  <w:num w:numId="43">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E41"/>
    <w:rsid w:val="00002470"/>
    <w:rsid w:val="00004C0A"/>
    <w:rsid w:val="00004EA1"/>
    <w:rsid w:val="00006819"/>
    <w:rsid w:val="000105CF"/>
    <w:rsid w:val="000105E5"/>
    <w:rsid w:val="00011F78"/>
    <w:rsid w:val="000126E7"/>
    <w:rsid w:val="0001581E"/>
    <w:rsid w:val="000209BB"/>
    <w:rsid w:val="000225E4"/>
    <w:rsid w:val="00022DB6"/>
    <w:rsid w:val="00025844"/>
    <w:rsid w:val="00027A2C"/>
    <w:rsid w:val="000331CC"/>
    <w:rsid w:val="00035BFF"/>
    <w:rsid w:val="00037333"/>
    <w:rsid w:val="00037428"/>
    <w:rsid w:val="00040188"/>
    <w:rsid w:val="00041864"/>
    <w:rsid w:val="0004336F"/>
    <w:rsid w:val="000437CC"/>
    <w:rsid w:val="00044947"/>
    <w:rsid w:val="0004776A"/>
    <w:rsid w:val="000512C5"/>
    <w:rsid w:val="00052415"/>
    <w:rsid w:val="00053990"/>
    <w:rsid w:val="000564EB"/>
    <w:rsid w:val="00060FDC"/>
    <w:rsid w:val="00065085"/>
    <w:rsid w:val="00065701"/>
    <w:rsid w:val="00065B98"/>
    <w:rsid w:val="000675CF"/>
    <w:rsid w:val="00075239"/>
    <w:rsid w:val="00076703"/>
    <w:rsid w:val="00077DA9"/>
    <w:rsid w:val="000833EF"/>
    <w:rsid w:val="00085758"/>
    <w:rsid w:val="000869CD"/>
    <w:rsid w:val="00087DEB"/>
    <w:rsid w:val="00090B99"/>
    <w:rsid w:val="00093AF5"/>
    <w:rsid w:val="00094D94"/>
    <w:rsid w:val="0009636A"/>
    <w:rsid w:val="00096635"/>
    <w:rsid w:val="000A0C1B"/>
    <w:rsid w:val="000A18C1"/>
    <w:rsid w:val="000A5D03"/>
    <w:rsid w:val="000A6C4A"/>
    <w:rsid w:val="000A7D90"/>
    <w:rsid w:val="000B1468"/>
    <w:rsid w:val="000B2E9D"/>
    <w:rsid w:val="000B522E"/>
    <w:rsid w:val="000C146F"/>
    <w:rsid w:val="000C371C"/>
    <w:rsid w:val="000C5390"/>
    <w:rsid w:val="000D1781"/>
    <w:rsid w:val="000D1945"/>
    <w:rsid w:val="000D4001"/>
    <w:rsid w:val="000D7882"/>
    <w:rsid w:val="000D7AF2"/>
    <w:rsid w:val="000E2184"/>
    <w:rsid w:val="000E3341"/>
    <w:rsid w:val="000E4C9E"/>
    <w:rsid w:val="000E52A0"/>
    <w:rsid w:val="000E735A"/>
    <w:rsid w:val="000E7DA3"/>
    <w:rsid w:val="000F0281"/>
    <w:rsid w:val="000F32C3"/>
    <w:rsid w:val="000F366C"/>
    <w:rsid w:val="000F4E59"/>
    <w:rsid w:val="000F69D2"/>
    <w:rsid w:val="000F761A"/>
    <w:rsid w:val="00100EAE"/>
    <w:rsid w:val="0010607E"/>
    <w:rsid w:val="00116F59"/>
    <w:rsid w:val="00122576"/>
    <w:rsid w:val="00123E5A"/>
    <w:rsid w:val="001254ED"/>
    <w:rsid w:val="001257B1"/>
    <w:rsid w:val="00126974"/>
    <w:rsid w:val="00126F57"/>
    <w:rsid w:val="0013186E"/>
    <w:rsid w:val="00132922"/>
    <w:rsid w:val="00132EA1"/>
    <w:rsid w:val="001345E5"/>
    <w:rsid w:val="001362FD"/>
    <w:rsid w:val="001366BB"/>
    <w:rsid w:val="00136E58"/>
    <w:rsid w:val="001372F2"/>
    <w:rsid w:val="00142C72"/>
    <w:rsid w:val="00142E6E"/>
    <w:rsid w:val="00144F9C"/>
    <w:rsid w:val="00145B7A"/>
    <w:rsid w:val="00147131"/>
    <w:rsid w:val="00150451"/>
    <w:rsid w:val="00153F85"/>
    <w:rsid w:val="00156A46"/>
    <w:rsid w:val="00160AFD"/>
    <w:rsid w:val="00163F54"/>
    <w:rsid w:val="00165081"/>
    <w:rsid w:val="001666BB"/>
    <w:rsid w:val="00174676"/>
    <w:rsid w:val="00175394"/>
    <w:rsid w:val="0017574C"/>
    <w:rsid w:val="00176ED4"/>
    <w:rsid w:val="00180A06"/>
    <w:rsid w:val="00180DE7"/>
    <w:rsid w:val="00182783"/>
    <w:rsid w:val="00185138"/>
    <w:rsid w:val="00185540"/>
    <w:rsid w:val="00185857"/>
    <w:rsid w:val="0018629E"/>
    <w:rsid w:val="00191F66"/>
    <w:rsid w:val="0019345D"/>
    <w:rsid w:val="00193492"/>
    <w:rsid w:val="00194C11"/>
    <w:rsid w:val="001951D5"/>
    <w:rsid w:val="00195F8E"/>
    <w:rsid w:val="001A20D5"/>
    <w:rsid w:val="001A28B6"/>
    <w:rsid w:val="001A2914"/>
    <w:rsid w:val="001A2954"/>
    <w:rsid w:val="001A4D7D"/>
    <w:rsid w:val="001A54FA"/>
    <w:rsid w:val="001B05C8"/>
    <w:rsid w:val="001B19AE"/>
    <w:rsid w:val="001B2630"/>
    <w:rsid w:val="001B46E4"/>
    <w:rsid w:val="001B52E6"/>
    <w:rsid w:val="001B6DF9"/>
    <w:rsid w:val="001C0A03"/>
    <w:rsid w:val="001C189A"/>
    <w:rsid w:val="001C2F2B"/>
    <w:rsid w:val="001D1783"/>
    <w:rsid w:val="001D55BC"/>
    <w:rsid w:val="001D7169"/>
    <w:rsid w:val="001D71F0"/>
    <w:rsid w:val="001D7FB3"/>
    <w:rsid w:val="001E0808"/>
    <w:rsid w:val="001E2034"/>
    <w:rsid w:val="001E3F44"/>
    <w:rsid w:val="001E5A7C"/>
    <w:rsid w:val="001F02E5"/>
    <w:rsid w:val="001F1886"/>
    <w:rsid w:val="001F1FBF"/>
    <w:rsid w:val="001F2118"/>
    <w:rsid w:val="001F55A6"/>
    <w:rsid w:val="001F7A50"/>
    <w:rsid w:val="002009C2"/>
    <w:rsid w:val="00201125"/>
    <w:rsid w:val="0020235E"/>
    <w:rsid w:val="002023A8"/>
    <w:rsid w:val="002054E4"/>
    <w:rsid w:val="002058AA"/>
    <w:rsid w:val="00207BC8"/>
    <w:rsid w:val="00211C37"/>
    <w:rsid w:val="00212A6A"/>
    <w:rsid w:val="00212AC6"/>
    <w:rsid w:val="00212D24"/>
    <w:rsid w:val="00214F2C"/>
    <w:rsid w:val="00216A86"/>
    <w:rsid w:val="00217581"/>
    <w:rsid w:val="00217FCC"/>
    <w:rsid w:val="00220846"/>
    <w:rsid w:val="00220E8B"/>
    <w:rsid w:val="002213E2"/>
    <w:rsid w:val="002230A6"/>
    <w:rsid w:val="00223D3C"/>
    <w:rsid w:val="002244B9"/>
    <w:rsid w:val="00226A3A"/>
    <w:rsid w:val="00226DF8"/>
    <w:rsid w:val="0023299F"/>
    <w:rsid w:val="002335B0"/>
    <w:rsid w:val="002338A1"/>
    <w:rsid w:val="00237398"/>
    <w:rsid w:val="00237DB9"/>
    <w:rsid w:val="00241A47"/>
    <w:rsid w:val="002435D1"/>
    <w:rsid w:val="0024364F"/>
    <w:rsid w:val="00244420"/>
    <w:rsid w:val="00246430"/>
    <w:rsid w:val="002464E5"/>
    <w:rsid w:val="00247E90"/>
    <w:rsid w:val="00250991"/>
    <w:rsid w:val="00251B95"/>
    <w:rsid w:val="0025215E"/>
    <w:rsid w:val="00255D4B"/>
    <w:rsid w:val="00257B4E"/>
    <w:rsid w:val="00262243"/>
    <w:rsid w:val="0026346D"/>
    <w:rsid w:val="00265B11"/>
    <w:rsid w:val="00266064"/>
    <w:rsid w:val="00267F00"/>
    <w:rsid w:val="00271600"/>
    <w:rsid w:val="0027528A"/>
    <w:rsid w:val="0027611C"/>
    <w:rsid w:val="00280F36"/>
    <w:rsid w:val="002832FE"/>
    <w:rsid w:val="00283CD8"/>
    <w:rsid w:val="002840D0"/>
    <w:rsid w:val="00284D04"/>
    <w:rsid w:val="00285ABA"/>
    <w:rsid w:val="00294B22"/>
    <w:rsid w:val="00295EFC"/>
    <w:rsid w:val="00296BBE"/>
    <w:rsid w:val="002A39CC"/>
    <w:rsid w:val="002A5BB8"/>
    <w:rsid w:val="002A7069"/>
    <w:rsid w:val="002B0305"/>
    <w:rsid w:val="002B1B2C"/>
    <w:rsid w:val="002B360F"/>
    <w:rsid w:val="002B651E"/>
    <w:rsid w:val="002B69B5"/>
    <w:rsid w:val="002B7B64"/>
    <w:rsid w:val="002C1665"/>
    <w:rsid w:val="002C20B4"/>
    <w:rsid w:val="002C2BDD"/>
    <w:rsid w:val="002C50F9"/>
    <w:rsid w:val="002D2A7A"/>
    <w:rsid w:val="002D41FE"/>
    <w:rsid w:val="002E047F"/>
    <w:rsid w:val="002E0AD1"/>
    <w:rsid w:val="002E14CB"/>
    <w:rsid w:val="002E167D"/>
    <w:rsid w:val="002E28FA"/>
    <w:rsid w:val="002E3089"/>
    <w:rsid w:val="002E54D7"/>
    <w:rsid w:val="002E6431"/>
    <w:rsid w:val="002E7015"/>
    <w:rsid w:val="002E7E9A"/>
    <w:rsid w:val="002F1D88"/>
    <w:rsid w:val="002F35B4"/>
    <w:rsid w:val="002F4069"/>
    <w:rsid w:val="002F6536"/>
    <w:rsid w:val="002F6DFB"/>
    <w:rsid w:val="00301132"/>
    <w:rsid w:val="00302455"/>
    <w:rsid w:val="00302E5D"/>
    <w:rsid w:val="003038C0"/>
    <w:rsid w:val="00304199"/>
    <w:rsid w:val="003102EA"/>
    <w:rsid w:val="00310708"/>
    <w:rsid w:val="00312BD3"/>
    <w:rsid w:val="00313459"/>
    <w:rsid w:val="003143B4"/>
    <w:rsid w:val="00314E65"/>
    <w:rsid w:val="003219B9"/>
    <w:rsid w:val="00326C23"/>
    <w:rsid w:val="003279E5"/>
    <w:rsid w:val="00327FA8"/>
    <w:rsid w:val="003307FC"/>
    <w:rsid w:val="00334511"/>
    <w:rsid w:val="0033604A"/>
    <w:rsid w:val="00341475"/>
    <w:rsid w:val="00341A1F"/>
    <w:rsid w:val="003438D2"/>
    <w:rsid w:val="00345F70"/>
    <w:rsid w:val="003465F3"/>
    <w:rsid w:val="0034704B"/>
    <w:rsid w:val="00347A3B"/>
    <w:rsid w:val="00350878"/>
    <w:rsid w:val="00367EEB"/>
    <w:rsid w:val="00370880"/>
    <w:rsid w:val="00370895"/>
    <w:rsid w:val="003735C2"/>
    <w:rsid w:val="003745A8"/>
    <w:rsid w:val="00376688"/>
    <w:rsid w:val="00376CF0"/>
    <w:rsid w:val="00376D36"/>
    <w:rsid w:val="003821C6"/>
    <w:rsid w:val="00391549"/>
    <w:rsid w:val="00392AE9"/>
    <w:rsid w:val="003A2C26"/>
    <w:rsid w:val="003A3710"/>
    <w:rsid w:val="003A74CA"/>
    <w:rsid w:val="003B0C3F"/>
    <w:rsid w:val="003B21DB"/>
    <w:rsid w:val="003B3207"/>
    <w:rsid w:val="003B4769"/>
    <w:rsid w:val="003B546C"/>
    <w:rsid w:val="003B5D37"/>
    <w:rsid w:val="003B6847"/>
    <w:rsid w:val="003B78F9"/>
    <w:rsid w:val="003C02D2"/>
    <w:rsid w:val="003C3404"/>
    <w:rsid w:val="003C6A61"/>
    <w:rsid w:val="003C7B4B"/>
    <w:rsid w:val="003D1C61"/>
    <w:rsid w:val="003D1E75"/>
    <w:rsid w:val="003D3078"/>
    <w:rsid w:val="003D461D"/>
    <w:rsid w:val="003D4F34"/>
    <w:rsid w:val="003D74A2"/>
    <w:rsid w:val="003D7A13"/>
    <w:rsid w:val="003E07D1"/>
    <w:rsid w:val="003E0ACD"/>
    <w:rsid w:val="003E1B86"/>
    <w:rsid w:val="003E5387"/>
    <w:rsid w:val="003E69DE"/>
    <w:rsid w:val="003F37B0"/>
    <w:rsid w:val="003F7C29"/>
    <w:rsid w:val="004027AF"/>
    <w:rsid w:val="00402829"/>
    <w:rsid w:val="00402B87"/>
    <w:rsid w:val="004074C9"/>
    <w:rsid w:val="00412871"/>
    <w:rsid w:val="00415282"/>
    <w:rsid w:val="004153FA"/>
    <w:rsid w:val="00416748"/>
    <w:rsid w:val="00416A33"/>
    <w:rsid w:val="00421B3C"/>
    <w:rsid w:val="00422D63"/>
    <w:rsid w:val="00424866"/>
    <w:rsid w:val="004250AD"/>
    <w:rsid w:val="00427717"/>
    <w:rsid w:val="00430DC5"/>
    <w:rsid w:val="00432026"/>
    <w:rsid w:val="00432D39"/>
    <w:rsid w:val="004331D7"/>
    <w:rsid w:val="00436771"/>
    <w:rsid w:val="004373AD"/>
    <w:rsid w:val="00437704"/>
    <w:rsid w:val="00437E4A"/>
    <w:rsid w:val="00441B4E"/>
    <w:rsid w:val="00444BD5"/>
    <w:rsid w:val="00445FE6"/>
    <w:rsid w:val="0045082E"/>
    <w:rsid w:val="00450D89"/>
    <w:rsid w:val="004533A7"/>
    <w:rsid w:val="004542DC"/>
    <w:rsid w:val="00455887"/>
    <w:rsid w:val="00460505"/>
    <w:rsid w:val="00460823"/>
    <w:rsid w:val="00463122"/>
    <w:rsid w:val="00466874"/>
    <w:rsid w:val="00473A92"/>
    <w:rsid w:val="0047682C"/>
    <w:rsid w:val="00477AEA"/>
    <w:rsid w:val="00480D09"/>
    <w:rsid w:val="00480E77"/>
    <w:rsid w:val="0048158F"/>
    <w:rsid w:val="00482435"/>
    <w:rsid w:val="00484328"/>
    <w:rsid w:val="00484C39"/>
    <w:rsid w:val="00487A46"/>
    <w:rsid w:val="00491648"/>
    <w:rsid w:val="00491B1F"/>
    <w:rsid w:val="004925AB"/>
    <w:rsid w:val="00494CE6"/>
    <w:rsid w:val="004955D9"/>
    <w:rsid w:val="004962E1"/>
    <w:rsid w:val="004A4D90"/>
    <w:rsid w:val="004A6219"/>
    <w:rsid w:val="004A63ED"/>
    <w:rsid w:val="004B06B2"/>
    <w:rsid w:val="004B1BCC"/>
    <w:rsid w:val="004B4487"/>
    <w:rsid w:val="004B594C"/>
    <w:rsid w:val="004B6B56"/>
    <w:rsid w:val="004C067F"/>
    <w:rsid w:val="004C0A3E"/>
    <w:rsid w:val="004C321A"/>
    <w:rsid w:val="004C32E8"/>
    <w:rsid w:val="004C4972"/>
    <w:rsid w:val="004C4FA7"/>
    <w:rsid w:val="004C64AE"/>
    <w:rsid w:val="004C6765"/>
    <w:rsid w:val="004C7C7D"/>
    <w:rsid w:val="004D2BB3"/>
    <w:rsid w:val="004D71C7"/>
    <w:rsid w:val="004E0392"/>
    <w:rsid w:val="004E0769"/>
    <w:rsid w:val="004E3891"/>
    <w:rsid w:val="004E4263"/>
    <w:rsid w:val="004E45EC"/>
    <w:rsid w:val="004E494E"/>
    <w:rsid w:val="004E5533"/>
    <w:rsid w:val="004E633C"/>
    <w:rsid w:val="004E7015"/>
    <w:rsid w:val="004F05CF"/>
    <w:rsid w:val="004F0B25"/>
    <w:rsid w:val="004F1A3E"/>
    <w:rsid w:val="004F7F73"/>
    <w:rsid w:val="00500134"/>
    <w:rsid w:val="00500F31"/>
    <w:rsid w:val="00501BFF"/>
    <w:rsid w:val="005028A7"/>
    <w:rsid w:val="00502D50"/>
    <w:rsid w:val="00503069"/>
    <w:rsid w:val="00504D18"/>
    <w:rsid w:val="0050779A"/>
    <w:rsid w:val="00511CA5"/>
    <w:rsid w:val="00513E94"/>
    <w:rsid w:val="00514E70"/>
    <w:rsid w:val="005150CE"/>
    <w:rsid w:val="00515C7A"/>
    <w:rsid w:val="0051718D"/>
    <w:rsid w:val="00523049"/>
    <w:rsid w:val="0052341D"/>
    <w:rsid w:val="005238B0"/>
    <w:rsid w:val="005273CC"/>
    <w:rsid w:val="005279DD"/>
    <w:rsid w:val="00530158"/>
    <w:rsid w:val="00530814"/>
    <w:rsid w:val="005323E9"/>
    <w:rsid w:val="00532531"/>
    <w:rsid w:val="00532A05"/>
    <w:rsid w:val="00536CCA"/>
    <w:rsid w:val="00545301"/>
    <w:rsid w:val="00546C41"/>
    <w:rsid w:val="005522C8"/>
    <w:rsid w:val="00560C75"/>
    <w:rsid w:val="00560CAB"/>
    <w:rsid w:val="005627FA"/>
    <w:rsid w:val="005632CC"/>
    <w:rsid w:val="00565333"/>
    <w:rsid w:val="00565BAB"/>
    <w:rsid w:val="00566907"/>
    <w:rsid w:val="00566E51"/>
    <w:rsid w:val="00570AD4"/>
    <w:rsid w:val="00570E0A"/>
    <w:rsid w:val="00570E42"/>
    <w:rsid w:val="00573340"/>
    <w:rsid w:val="00575F08"/>
    <w:rsid w:val="005808A8"/>
    <w:rsid w:val="00580DDB"/>
    <w:rsid w:val="005826DE"/>
    <w:rsid w:val="005833CE"/>
    <w:rsid w:val="0058430B"/>
    <w:rsid w:val="0058545B"/>
    <w:rsid w:val="0059072E"/>
    <w:rsid w:val="00591264"/>
    <w:rsid w:val="00591B39"/>
    <w:rsid w:val="00592320"/>
    <w:rsid w:val="005A0B4A"/>
    <w:rsid w:val="005A22CC"/>
    <w:rsid w:val="005A501A"/>
    <w:rsid w:val="005B0DC5"/>
    <w:rsid w:val="005B1AF4"/>
    <w:rsid w:val="005B1CC3"/>
    <w:rsid w:val="005B224C"/>
    <w:rsid w:val="005B38FA"/>
    <w:rsid w:val="005B5A07"/>
    <w:rsid w:val="005C06E6"/>
    <w:rsid w:val="005C105B"/>
    <w:rsid w:val="005C1372"/>
    <w:rsid w:val="005C2EE7"/>
    <w:rsid w:val="005C3E92"/>
    <w:rsid w:val="005C57BA"/>
    <w:rsid w:val="005D2766"/>
    <w:rsid w:val="005D45D0"/>
    <w:rsid w:val="005D6A1A"/>
    <w:rsid w:val="005D7B60"/>
    <w:rsid w:val="005E19E3"/>
    <w:rsid w:val="005E1BA5"/>
    <w:rsid w:val="005E21EB"/>
    <w:rsid w:val="005E24AF"/>
    <w:rsid w:val="005E2EA2"/>
    <w:rsid w:val="005E32C1"/>
    <w:rsid w:val="005E32F5"/>
    <w:rsid w:val="005E39F2"/>
    <w:rsid w:val="005F0C7A"/>
    <w:rsid w:val="005F0EB7"/>
    <w:rsid w:val="005F1BB1"/>
    <w:rsid w:val="005F4BBF"/>
    <w:rsid w:val="0060005C"/>
    <w:rsid w:val="006030F4"/>
    <w:rsid w:val="00605675"/>
    <w:rsid w:val="00605697"/>
    <w:rsid w:val="00606998"/>
    <w:rsid w:val="006076BB"/>
    <w:rsid w:val="00607A4B"/>
    <w:rsid w:val="00610389"/>
    <w:rsid w:val="006107B0"/>
    <w:rsid w:val="006125FA"/>
    <w:rsid w:val="00614162"/>
    <w:rsid w:val="00616BF8"/>
    <w:rsid w:val="0061706D"/>
    <w:rsid w:val="00620461"/>
    <w:rsid w:val="006209E9"/>
    <w:rsid w:val="0062704E"/>
    <w:rsid w:val="00630E86"/>
    <w:rsid w:val="00633AC4"/>
    <w:rsid w:val="0063411A"/>
    <w:rsid w:val="00634682"/>
    <w:rsid w:val="0063507E"/>
    <w:rsid w:val="00635320"/>
    <w:rsid w:val="0063540D"/>
    <w:rsid w:val="006355F9"/>
    <w:rsid w:val="0063602B"/>
    <w:rsid w:val="006363E9"/>
    <w:rsid w:val="00636EF7"/>
    <w:rsid w:val="00641A82"/>
    <w:rsid w:val="00642F97"/>
    <w:rsid w:val="00644223"/>
    <w:rsid w:val="006449DE"/>
    <w:rsid w:val="00645262"/>
    <w:rsid w:val="006455AC"/>
    <w:rsid w:val="00645B84"/>
    <w:rsid w:val="00653E52"/>
    <w:rsid w:val="00654870"/>
    <w:rsid w:val="00655A1C"/>
    <w:rsid w:val="00655B23"/>
    <w:rsid w:val="00656AF0"/>
    <w:rsid w:val="006626AA"/>
    <w:rsid w:val="00664C8E"/>
    <w:rsid w:val="006660DE"/>
    <w:rsid w:val="006757F1"/>
    <w:rsid w:val="0068462E"/>
    <w:rsid w:val="0068479D"/>
    <w:rsid w:val="006854F8"/>
    <w:rsid w:val="006858D6"/>
    <w:rsid w:val="0068597D"/>
    <w:rsid w:val="00686D7A"/>
    <w:rsid w:val="00687908"/>
    <w:rsid w:val="00687EC8"/>
    <w:rsid w:val="00694BBB"/>
    <w:rsid w:val="00694DF4"/>
    <w:rsid w:val="006974DC"/>
    <w:rsid w:val="006975B3"/>
    <w:rsid w:val="006A005C"/>
    <w:rsid w:val="006A0189"/>
    <w:rsid w:val="006A1127"/>
    <w:rsid w:val="006A16A6"/>
    <w:rsid w:val="006A24AB"/>
    <w:rsid w:val="006A2F72"/>
    <w:rsid w:val="006A3278"/>
    <w:rsid w:val="006A3A50"/>
    <w:rsid w:val="006A5101"/>
    <w:rsid w:val="006A7991"/>
    <w:rsid w:val="006A7BEF"/>
    <w:rsid w:val="006A7EFB"/>
    <w:rsid w:val="006B09CC"/>
    <w:rsid w:val="006B0E54"/>
    <w:rsid w:val="006B123E"/>
    <w:rsid w:val="006B6486"/>
    <w:rsid w:val="006B758F"/>
    <w:rsid w:val="006C1D72"/>
    <w:rsid w:val="006C3A6D"/>
    <w:rsid w:val="006C4936"/>
    <w:rsid w:val="006C52DF"/>
    <w:rsid w:val="006C5500"/>
    <w:rsid w:val="006C7401"/>
    <w:rsid w:val="006C7EB3"/>
    <w:rsid w:val="006D1E22"/>
    <w:rsid w:val="006D3D19"/>
    <w:rsid w:val="006D3EBD"/>
    <w:rsid w:val="006D496F"/>
    <w:rsid w:val="006D4A7B"/>
    <w:rsid w:val="006D6C17"/>
    <w:rsid w:val="006D753B"/>
    <w:rsid w:val="006E0DB1"/>
    <w:rsid w:val="006E243D"/>
    <w:rsid w:val="006E4582"/>
    <w:rsid w:val="006E4A60"/>
    <w:rsid w:val="006E6B6C"/>
    <w:rsid w:val="006E6F0B"/>
    <w:rsid w:val="006F1189"/>
    <w:rsid w:val="006F1B27"/>
    <w:rsid w:val="006F29D4"/>
    <w:rsid w:val="006F2A8F"/>
    <w:rsid w:val="00701807"/>
    <w:rsid w:val="00701BFF"/>
    <w:rsid w:val="007039E5"/>
    <w:rsid w:val="00704E1D"/>
    <w:rsid w:val="007079F9"/>
    <w:rsid w:val="007104E4"/>
    <w:rsid w:val="00711743"/>
    <w:rsid w:val="00711999"/>
    <w:rsid w:val="007148B4"/>
    <w:rsid w:val="007148B7"/>
    <w:rsid w:val="00715105"/>
    <w:rsid w:val="00717CD7"/>
    <w:rsid w:val="00720296"/>
    <w:rsid w:val="00720BA8"/>
    <w:rsid w:val="007212DB"/>
    <w:rsid w:val="00721DF5"/>
    <w:rsid w:val="00722150"/>
    <w:rsid w:val="00723A55"/>
    <w:rsid w:val="00723B92"/>
    <w:rsid w:val="0072455E"/>
    <w:rsid w:val="00724665"/>
    <w:rsid w:val="00725043"/>
    <w:rsid w:val="007333A0"/>
    <w:rsid w:val="00733DA1"/>
    <w:rsid w:val="00737573"/>
    <w:rsid w:val="00740F67"/>
    <w:rsid w:val="00741A64"/>
    <w:rsid w:val="007442BB"/>
    <w:rsid w:val="007463C5"/>
    <w:rsid w:val="00746846"/>
    <w:rsid w:val="007469D4"/>
    <w:rsid w:val="00750E54"/>
    <w:rsid w:val="007510C3"/>
    <w:rsid w:val="00755106"/>
    <w:rsid w:val="00755AAD"/>
    <w:rsid w:val="00760FA2"/>
    <w:rsid w:val="0076209D"/>
    <w:rsid w:val="0076458E"/>
    <w:rsid w:val="00767062"/>
    <w:rsid w:val="00767063"/>
    <w:rsid w:val="00772B07"/>
    <w:rsid w:val="00775E55"/>
    <w:rsid w:val="00777F1B"/>
    <w:rsid w:val="00784D3F"/>
    <w:rsid w:val="0078706F"/>
    <w:rsid w:val="007870B9"/>
    <w:rsid w:val="007940AE"/>
    <w:rsid w:val="00794A8C"/>
    <w:rsid w:val="0079559B"/>
    <w:rsid w:val="00795CE8"/>
    <w:rsid w:val="007A0948"/>
    <w:rsid w:val="007A0F56"/>
    <w:rsid w:val="007A0FE9"/>
    <w:rsid w:val="007A10F9"/>
    <w:rsid w:val="007A14A3"/>
    <w:rsid w:val="007A3D06"/>
    <w:rsid w:val="007A428D"/>
    <w:rsid w:val="007A47BE"/>
    <w:rsid w:val="007A4C02"/>
    <w:rsid w:val="007A5295"/>
    <w:rsid w:val="007B1116"/>
    <w:rsid w:val="007B49CD"/>
    <w:rsid w:val="007B4D5F"/>
    <w:rsid w:val="007B593B"/>
    <w:rsid w:val="007B5A46"/>
    <w:rsid w:val="007B62D1"/>
    <w:rsid w:val="007B7D9B"/>
    <w:rsid w:val="007C05FC"/>
    <w:rsid w:val="007C1BC2"/>
    <w:rsid w:val="007C42CC"/>
    <w:rsid w:val="007C5074"/>
    <w:rsid w:val="007D0DBA"/>
    <w:rsid w:val="007D3B27"/>
    <w:rsid w:val="007D4DB0"/>
    <w:rsid w:val="007D7565"/>
    <w:rsid w:val="007D7B0E"/>
    <w:rsid w:val="007E24FB"/>
    <w:rsid w:val="007E2954"/>
    <w:rsid w:val="007E31DF"/>
    <w:rsid w:val="007F073B"/>
    <w:rsid w:val="007F1D65"/>
    <w:rsid w:val="007F2C09"/>
    <w:rsid w:val="00803100"/>
    <w:rsid w:val="00803884"/>
    <w:rsid w:val="00803EA3"/>
    <w:rsid w:val="00805884"/>
    <w:rsid w:val="00805C72"/>
    <w:rsid w:val="00806792"/>
    <w:rsid w:val="00806A7A"/>
    <w:rsid w:val="00810215"/>
    <w:rsid w:val="00810542"/>
    <w:rsid w:val="00812102"/>
    <w:rsid w:val="0081404A"/>
    <w:rsid w:val="00814C1B"/>
    <w:rsid w:val="00815EFC"/>
    <w:rsid w:val="0081776F"/>
    <w:rsid w:val="00820860"/>
    <w:rsid w:val="00823702"/>
    <w:rsid w:val="00831225"/>
    <w:rsid w:val="0083213D"/>
    <w:rsid w:val="00837469"/>
    <w:rsid w:val="00840DF1"/>
    <w:rsid w:val="008428AB"/>
    <w:rsid w:val="00845469"/>
    <w:rsid w:val="0084649A"/>
    <w:rsid w:val="008474A5"/>
    <w:rsid w:val="00847692"/>
    <w:rsid w:val="00847BF3"/>
    <w:rsid w:val="008501BC"/>
    <w:rsid w:val="0085231D"/>
    <w:rsid w:val="00853B08"/>
    <w:rsid w:val="00854A63"/>
    <w:rsid w:val="0085538C"/>
    <w:rsid w:val="00855ED4"/>
    <w:rsid w:val="00860B31"/>
    <w:rsid w:val="0086125E"/>
    <w:rsid w:val="00863664"/>
    <w:rsid w:val="008664C2"/>
    <w:rsid w:val="008721F0"/>
    <w:rsid w:val="008735B7"/>
    <w:rsid w:val="008748D6"/>
    <w:rsid w:val="00877044"/>
    <w:rsid w:val="008801CB"/>
    <w:rsid w:val="0088151C"/>
    <w:rsid w:val="008817AB"/>
    <w:rsid w:val="008843A4"/>
    <w:rsid w:val="008929A5"/>
    <w:rsid w:val="008936DF"/>
    <w:rsid w:val="008936EC"/>
    <w:rsid w:val="00893CAE"/>
    <w:rsid w:val="008955E8"/>
    <w:rsid w:val="00896121"/>
    <w:rsid w:val="00896F4C"/>
    <w:rsid w:val="008A30E4"/>
    <w:rsid w:val="008A38C5"/>
    <w:rsid w:val="008A4704"/>
    <w:rsid w:val="008A5E21"/>
    <w:rsid w:val="008A60DA"/>
    <w:rsid w:val="008A722F"/>
    <w:rsid w:val="008B0144"/>
    <w:rsid w:val="008B062E"/>
    <w:rsid w:val="008B1C49"/>
    <w:rsid w:val="008B4D71"/>
    <w:rsid w:val="008B5F08"/>
    <w:rsid w:val="008B67CC"/>
    <w:rsid w:val="008C0987"/>
    <w:rsid w:val="008C16B7"/>
    <w:rsid w:val="008C3CD0"/>
    <w:rsid w:val="008C3E62"/>
    <w:rsid w:val="008C52DA"/>
    <w:rsid w:val="008D1228"/>
    <w:rsid w:val="008D3FBA"/>
    <w:rsid w:val="008D6BD8"/>
    <w:rsid w:val="008D6E19"/>
    <w:rsid w:val="008E00C0"/>
    <w:rsid w:val="008E1B4E"/>
    <w:rsid w:val="008E2C4A"/>
    <w:rsid w:val="008E3590"/>
    <w:rsid w:val="008E3703"/>
    <w:rsid w:val="008E3BDA"/>
    <w:rsid w:val="008E448D"/>
    <w:rsid w:val="008E5B51"/>
    <w:rsid w:val="008F168F"/>
    <w:rsid w:val="008F26FD"/>
    <w:rsid w:val="008F2BCE"/>
    <w:rsid w:val="008F452F"/>
    <w:rsid w:val="008F4AE9"/>
    <w:rsid w:val="008F4C31"/>
    <w:rsid w:val="009006E6"/>
    <w:rsid w:val="009024CC"/>
    <w:rsid w:val="009045E5"/>
    <w:rsid w:val="009047EF"/>
    <w:rsid w:val="00904D28"/>
    <w:rsid w:val="009057A1"/>
    <w:rsid w:val="00905ADC"/>
    <w:rsid w:val="00906C33"/>
    <w:rsid w:val="00906CED"/>
    <w:rsid w:val="009110CC"/>
    <w:rsid w:val="00914EEE"/>
    <w:rsid w:val="00915975"/>
    <w:rsid w:val="009173AF"/>
    <w:rsid w:val="00917E1E"/>
    <w:rsid w:val="0092049F"/>
    <w:rsid w:val="009216E1"/>
    <w:rsid w:val="0092476B"/>
    <w:rsid w:val="00925DB7"/>
    <w:rsid w:val="00925E89"/>
    <w:rsid w:val="00927558"/>
    <w:rsid w:val="00931D83"/>
    <w:rsid w:val="00932528"/>
    <w:rsid w:val="00932946"/>
    <w:rsid w:val="0093697E"/>
    <w:rsid w:val="0093719C"/>
    <w:rsid w:val="009400D8"/>
    <w:rsid w:val="009404CA"/>
    <w:rsid w:val="00941635"/>
    <w:rsid w:val="00941740"/>
    <w:rsid w:val="00941CFB"/>
    <w:rsid w:val="009424FA"/>
    <w:rsid w:val="009426CB"/>
    <w:rsid w:val="00943645"/>
    <w:rsid w:val="00944F8C"/>
    <w:rsid w:val="009455C1"/>
    <w:rsid w:val="00952B7B"/>
    <w:rsid w:val="0095341C"/>
    <w:rsid w:val="00957551"/>
    <w:rsid w:val="00963073"/>
    <w:rsid w:val="00964700"/>
    <w:rsid w:val="009717C5"/>
    <w:rsid w:val="0097315A"/>
    <w:rsid w:val="00973DF9"/>
    <w:rsid w:val="009748EE"/>
    <w:rsid w:val="00974E98"/>
    <w:rsid w:val="0097597F"/>
    <w:rsid w:val="00980E8B"/>
    <w:rsid w:val="009811ED"/>
    <w:rsid w:val="00983349"/>
    <w:rsid w:val="009850E7"/>
    <w:rsid w:val="00985A2E"/>
    <w:rsid w:val="009863E4"/>
    <w:rsid w:val="00986E30"/>
    <w:rsid w:val="009879A0"/>
    <w:rsid w:val="00990B69"/>
    <w:rsid w:val="009919BE"/>
    <w:rsid w:val="00993DC2"/>
    <w:rsid w:val="00994889"/>
    <w:rsid w:val="009A1760"/>
    <w:rsid w:val="009A3B70"/>
    <w:rsid w:val="009A3F0A"/>
    <w:rsid w:val="009A546B"/>
    <w:rsid w:val="009A61AF"/>
    <w:rsid w:val="009B0D51"/>
    <w:rsid w:val="009B3A70"/>
    <w:rsid w:val="009B3EFE"/>
    <w:rsid w:val="009B45CB"/>
    <w:rsid w:val="009B493A"/>
    <w:rsid w:val="009B4BE2"/>
    <w:rsid w:val="009B63DB"/>
    <w:rsid w:val="009B679D"/>
    <w:rsid w:val="009C0868"/>
    <w:rsid w:val="009C2CFD"/>
    <w:rsid w:val="009C3E41"/>
    <w:rsid w:val="009C4F9A"/>
    <w:rsid w:val="009C573E"/>
    <w:rsid w:val="009D1575"/>
    <w:rsid w:val="009D289B"/>
    <w:rsid w:val="009D3D73"/>
    <w:rsid w:val="009D58E4"/>
    <w:rsid w:val="009D5A44"/>
    <w:rsid w:val="009E4584"/>
    <w:rsid w:val="009E483D"/>
    <w:rsid w:val="009E4FB0"/>
    <w:rsid w:val="009E5570"/>
    <w:rsid w:val="009E73AD"/>
    <w:rsid w:val="009F1B81"/>
    <w:rsid w:val="009F3307"/>
    <w:rsid w:val="009F5357"/>
    <w:rsid w:val="009F7653"/>
    <w:rsid w:val="009F7B4A"/>
    <w:rsid w:val="00A00569"/>
    <w:rsid w:val="00A078D5"/>
    <w:rsid w:val="00A10A3D"/>
    <w:rsid w:val="00A11E4D"/>
    <w:rsid w:val="00A1324F"/>
    <w:rsid w:val="00A14485"/>
    <w:rsid w:val="00A1503F"/>
    <w:rsid w:val="00A160BC"/>
    <w:rsid w:val="00A210C2"/>
    <w:rsid w:val="00A21E85"/>
    <w:rsid w:val="00A24E73"/>
    <w:rsid w:val="00A259C2"/>
    <w:rsid w:val="00A25FBF"/>
    <w:rsid w:val="00A2644E"/>
    <w:rsid w:val="00A2712A"/>
    <w:rsid w:val="00A31392"/>
    <w:rsid w:val="00A31934"/>
    <w:rsid w:val="00A32C9A"/>
    <w:rsid w:val="00A3306B"/>
    <w:rsid w:val="00A36044"/>
    <w:rsid w:val="00A366A9"/>
    <w:rsid w:val="00A43433"/>
    <w:rsid w:val="00A44411"/>
    <w:rsid w:val="00A45566"/>
    <w:rsid w:val="00A46912"/>
    <w:rsid w:val="00A46CE5"/>
    <w:rsid w:val="00A51193"/>
    <w:rsid w:val="00A51A34"/>
    <w:rsid w:val="00A51F32"/>
    <w:rsid w:val="00A553F5"/>
    <w:rsid w:val="00A63531"/>
    <w:rsid w:val="00A64099"/>
    <w:rsid w:val="00A654FC"/>
    <w:rsid w:val="00A70451"/>
    <w:rsid w:val="00A70775"/>
    <w:rsid w:val="00A71702"/>
    <w:rsid w:val="00A73BAD"/>
    <w:rsid w:val="00A75C61"/>
    <w:rsid w:val="00A8007E"/>
    <w:rsid w:val="00A835D2"/>
    <w:rsid w:val="00A84F74"/>
    <w:rsid w:val="00A90078"/>
    <w:rsid w:val="00A94C07"/>
    <w:rsid w:val="00A94D45"/>
    <w:rsid w:val="00A96425"/>
    <w:rsid w:val="00A97E91"/>
    <w:rsid w:val="00AA0B99"/>
    <w:rsid w:val="00AA14A0"/>
    <w:rsid w:val="00AA55EF"/>
    <w:rsid w:val="00AA5C1E"/>
    <w:rsid w:val="00AB0E0C"/>
    <w:rsid w:val="00AB1623"/>
    <w:rsid w:val="00AB2254"/>
    <w:rsid w:val="00AB345C"/>
    <w:rsid w:val="00AB34A2"/>
    <w:rsid w:val="00AB53F2"/>
    <w:rsid w:val="00AB6016"/>
    <w:rsid w:val="00AB6587"/>
    <w:rsid w:val="00AC22E8"/>
    <w:rsid w:val="00AC2A37"/>
    <w:rsid w:val="00AC4DE1"/>
    <w:rsid w:val="00AC5733"/>
    <w:rsid w:val="00AC7120"/>
    <w:rsid w:val="00AC7D0B"/>
    <w:rsid w:val="00AD0E50"/>
    <w:rsid w:val="00AD3CC6"/>
    <w:rsid w:val="00AD632D"/>
    <w:rsid w:val="00AE2535"/>
    <w:rsid w:val="00AE26DF"/>
    <w:rsid w:val="00AE3502"/>
    <w:rsid w:val="00AE718F"/>
    <w:rsid w:val="00AE794B"/>
    <w:rsid w:val="00AF0554"/>
    <w:rsid w:val="00AF191E"/>
    <w:rsid w:val="00AF1A11"/>
    <w:rsid w:val="00AF1C07"/>
    <w:rsid w:val="00AF2376"/>
    <w:rsid w:val="00AF2D17"/>
    <w:rsid w:val="00AF34FD"/>
    <w:rsid w:val="00AF737F"/>
    <w:rsid w:val="00B006DF"/>
    <w:rsid w:val="00B02A5B"/>
    <w:rsid w:val="00B0324F"/>
    <w:rsid w:val="00B05ECD"/>
    <w:rsid w:val="00B06172"/>
    <w:rsid w:val="00B114D2"/>
    <w:rsid w:val="00B1399F"/>
    <w:rsid w:val="00B14B7C"/>
    <w:rsid w:val="00B16A24"/>
    <w:rsid w:val="00B16A8C"/>
    <w:rsid w:val="00B176EB"/>
    <w:rsid w:val="00B22A8A"/>
    <w:rsid w:val="00B22F24"/>
    <w:rsid w:val="00B22F3D"/>
    <w:rsid w:val="00B230B6"/>
    <w:rsid w:val="00B2586B"/>
    <w:rsid w:val="00B275C1"/>
    <w:rsid w:val="00B30074"/>
    <w:rsid w:val="00B316D7"/>
    <w:rsid w:val="00B32D3B"/>
    <w:rsid w:val="00B33723"/>
    <w:rsid w:val="00B36247"/>
    <w:rsid w:val="00B3699D"/>
    <w:rsid w:val="00B37774"/>
    <w:rsid w:val="00B40952"/>
    <w:rsid w:val="00B42737"/>
    <w:rsid w:val="00B505D0"/>
    <w:rsid w:val="00B50B2F"/>
    <w:rsid w:val="00B517E8"/>
    <w:rsid w:val="00B51D97"/>
    <w:rsid w:val="00B5684F"/>
    <w:rsid w:val="00B5717C"/>
    <w:rsid w:val="00B6048F"/>
    <w:rsid w:val="00B60C22"/>
    <w:rsid w:val="00B63550"/>
    <w:rsid w:val="00B6364C"/>
    <w:rsid w:val="00B6376B"/>
    <w:rsid w:val="00B6522B"/>
    <w:rsid w:val="00B65709"/>
    <w:rsid w:val="00B66ADD"/>
    <w:rsid w:val="00B67DF2"/>
    <w:rsid w:val="00B74F8E"/>
    <w:rsid w:val="00B74FC9"/>
    <w:rsid w:val="00B75C63"/>
    <w:rsid w:val="00B805EC"/>
    <w:rsid w:val="00B80F20"/>
    <w:rsid w:val="00B8390A"/>
    <w:rsid w:val="00B84118"/>
    <w:rsid w:val="00B85BF7"/>
    <w:rsid w:val="00B86198"/>
    <w:rsid w:val="00B867ED"/>
    <w:rsid w:val="00B86AF9"/>
    <w:rsid w:val="00B92A0D"/>
    <w:rsid w:val="00B92C28"/>
    <w:rsid w:val="00B935E3"/>
    <w:rsid w:val="00B936EF"/>
    <w:rsid w:val="00B939CC"/>
    <w:rsid w:val="00B963E3"/>
    <w:rsid w:val="00B96DC1"/>
    <w:rsid w:val="00BA14C3"/>
    <w:rsid w:val="00BA2350"/>
    <w:rsid w:val="00BA4AB3"/>
    <w:rsid w:val="00BA4C93"/>
    <w:rsid w:val="00BA4EE7"/>
    <w:rsid w:val="00BA54D0"/>
    <w:rsid w:val="00BA5EC9"/>
    <w:rsid w:val="00BA708E"/>
    <w:rsid w:val="00BB258C"/>
    <w:rsid w:val="00BB370D"/>
    <w:rsid w:val="00BB5E38"/>
    <w:rsid w:val="00BB6DE0"/>
    <w:rsid w:val="00BC0DBC"/>
    <w:rsid w:val="00BC547B"/>
    <w:rsid w:val="00BC7A32"/>
    <w:rsid w:val="00BC7F57"/>
    <w:rsid w:val="00BD0291"/>
    <w:rsid w:val="00BD21EB"/>
    <w:rsid w:val="00BD3C09"/>
    <w:rsid w:val="00BD4B6C"/>
    <w:rsid w:val="00BD5914"/>
    <w:rsid w:val="00BE1095"/>
    <w:rsid w:val="00BE56E4"/>
    <w:rsid w:val="00BE5F99"/>
    <w:rsid w:val="00BE6027"/>
    <w:rsid w:val="00BE608D"/>
    <w:rsid w:val="00BE7A0B"/>
    <w:rsid w:val="00BF0971"/>
    <w:rsid w:val="00BF0F80"/>
    <w:rsid w:val="00BF4613"/>
    <w:rsid w:val="00BF60FB"/>
    <w:rsid w:val="00BF66BA"/>
    <w:rsid w:val="00BF6BFB"/>
    <w:rsid w:val="00BF70BF"/>
    <w:rsid w:val="00C0014A"/>
    <w:rsid w:val="00C010B6"/>
    <w:rsid w:val="00C03AD1"/>
    <w:rsid w:val="00C04BC7"/>
    <w:rsid w:val="00C0523F"/>
    <w:rsid w:val="00C05403"/>
    <w:rsid w:val="00C11421"/>
    <w:rsid w:val="00C11DA4"/>
    <w:rsid w:val="00C12ACE"/>
    <w:rsid w:val="00C12D6C"/>
    <w:rsid w:val="00C132F2"/>
    <w:rsid w:val="00C13EF2"/>
    <w:rsid w:val="00C14FC0"/>
    <w:rsid w:val="00C173B9"/>
    <w:rsid w:val="00C214A3"/>
    <w:rsid w:val="00C217A8"/>
    <w:rsid w:val="00C21A51"/>
    <w:rsid w:val="00C22FF8"/>
    <w:rsid w:val="00C2462B"/>
    <w:rsid w:val="00C24D7F"/>
    <w:rsid w:val="00C3008E"/>
    <w:rsid w:val="00C31141"/>
    <w:rsid w:val="00C32525"/>
    <w:rsid w:val="00C327A7"/>
    <w:rsid w:val="00C34F80"/>
    <w:rsid w:val="00C36BAA"/>
    <w:rsid w:val="00C36CC6"/>
    <w:rsid w:val="00C36D43"/>
    <w:rsid w:val="00C37933"/>
    <w:rsid w:val="00C40777"/>
    <w:rsid w:val="00C408C7"/>
    <w:rsid w:val="00C42107"/>
    <w:rsid w:val="00C4225A"/>
    <w:rsid w:val="00C43BD5"/>
    <w:rsid w:val="00C44456"/>
    <w:rsid w:val="00C47EEA"/>
    <w:rsid w:val="00C519D0"/>
    <w:rsid w:val="00C526FC"/>
    <w:rsid w:val="00C537A6"/>
    <w:rsid w:val="00C54632"/>
    <w:rsid w:val="00C568AA"/>
    <w:rsid w:val="00C56967"/>
    <w:rsid w:val="00C600FB"/>
    <w:rsid w:val="00C60C7B"/>
    <w:rsid w:val="00C63F40"/>
    <w:rsid w:val="00C661E6"/>
    <w:rsid w:val="00C67091"/>
    <w:rsid w:val="00C67889"/>
    <w:rsid w:val="00C70ACB"/>
    <w:rsid w:val="00C70B80"/>
    <w:rsid w:val="00C7117E"/>
    <w:rsid w:val="00C72218"/>
    <w:rsid w:val="00C72BF8"/>
    <w:rsid w:val="00C74BA1"/>
    <w:rsid w:val="00C91855"/>
    <w:rsid w:val="00C928E5"/>
    <w:rsid w:val="00C92C2C"/>
    <w:rsid w:val="00C95169"/>
    <w:rsid w:val="00C96765"/>
    <w:rsid w:val="00CA09CE"/>
    <w:rsid w:val="00CA1A9F"/>
    <w:rsid w:val="00CA39EE"/>
    <w:rsid w:val="00CA4F60"/>
    <w:rsid w:val="00CA4FEC"/>
    <w:rsid w:val="00CA5310"/>
    <w:rsid w:val="00CA588F"/>
    <w:rsid w:val="00CA6C1D"/>
    <w:rsid w:val="00CA7998"/>
    <w:rsid w:val="00CB2777"/>
    <w:rsid w:val="00CB5DFC"/>
    <w:rsid w:val="00CC1FD8"/>
    <w:rsid w:val="00CC227F"/>
    <w:rsid w:val="00CC3B21"/>
    <w:rsid w:val="00CC5B3F"/>
    <w:rsid w:val="00CC7C87"/>
    <w:rsid w:val="00CD18C4"/>
    <w:rsid w:val="00CD3B4C"/>
    <w:rsid w:val="00CD4096"/>
    <w:rsid w:val="00CD4FA5"/>
    <w:rsid w:val="00CD6077"/>
    <w:rsid w:val="00CD6247"/>
    <w:rsid w:val="00CD7921"/>
    <w:rsid w:val="00CE0495"/>
    <w:rsid w:val="00CE084B"/>
    <w:rsid w:val="00CE0A0C"/>
    <w:rsid w:val="00CE23D5"/>
    <w:rsid w:val="00CE3E34"/>
    <w:rsid w:val="00CE513F"/>
    <w:rsid w:val="00CE58A2"/>
    <w:rsid w:val="00CE6D2C"/>
    <w:rsid w:val="00CF3CED"/>
    <w:rsid w:val="00CF5FB5"/>
    <w:rsid w:val="00D01452"/>
    <w:rsid w:val="00D028B3"/>
    <w:rsid w:val="00D02D57"/>
    <w:rsid w:val="00D10C1E"/>
    <w:rsid w:val="00D10C88"/>
    <w:rsid w:val="00D118D6"/>
    <w:rsid w:val="00D12E7F"/>
    <w:rsid w:val="00D13AFF"/>
    <w:rsid w:val="00D13C32"/>
    <w:rsid w:val="00D146E8"/>
    <w:rsid w:val="00D14B9E"/>
    <w:rsid w:val="00D15033"/>
    <w:rsid w:val="00D17E2E"/>
    <w:rsid w:val="00D20266"/>
    <w:rsid w:val="00D20C29"/>
    <w:rsid w:val="00D22C9B"/>
    <w:rsid w:val="00D244AB"/>
    <w:rsid w:val="00D246CC"/>
    <w:rsid w:val="00D24A01"/>
    <w:rsid w:val="00D26D8C"/>
    <w:rsid w:val="00D27029"/>
    <w:rsid w:val="00D335ED"/>
    <w:rsid w:val="00D33842"/>
    <w:rsid w:val="00D34994"/>
    <w:rsid w:val="00D36C78"/>
    <w:rsid w:val="00D37851"/>
    <w:rsid w:val="00D40C3F"/>
    <w:rsid w:val="00D43677"/>
    <w:rsid w:val="00D43B62"/>
    <w:rsid w:val="00D43D99"/>
    <w:rsid w:val="00D44B4F"/>
    <w:rsid w:val="00D467F9"/>
    <w:rsid w:val="00D46D90"/>
    <w:rsid w:val="00D47915"/>
    <w:rsid w:val="00D5074F"/>
    <w:rsid w:val="00D5170F"/>
    <w:rsid w:val="00D5347A"/>
    <w:rsid w:val="00D537F4"/>
    <w:rsid w:val="00D54074"/>
    <w:rsid w:val="00D54E18"/>
    <w:rsid w:val="00D55E4A"/>
    <w:rsid w:val="00D575DF"/>
    <w:rsid w:val="00D57D6E"/>
    <w:rsid w:val="00D60B76"/>
    <w:rsid w:val="00D61404"/>
    <w:rsid w:val="00D61F5A"/>
    <w:rsid w:val="00D63EC5"/>
    <w:rsid w:val="00D6406E"/>
    <w:rsid w:val="00D656C2"/>
    <w:rsid w:val="00D662F4"/>
    <w:rsid w:val="00D6793B"/>
    <w:rsid w:val="00D73060"/>
    <w:rsid w:val="00D73078"/>
    <w:rsid w:val="00D730DA"/>
    <w:rsid w:val="00D74878"/>
    <w:rsid w:val="00D74E96"/>
    <w:rsid w:val="00D76A7C"/>
    <w:rsid w:val="00D80F66"/>
    <w:rsid w:val="00D82B12"/>
    <w:rsid w:val="00D82E41"/>
    <w:rsid w:val="00D841FF"/>
    <w:rsid w:val="00D91289"/>
    <w:rsid w:val="00D914B0"/>
    <w:rsid w:val="00D91E34"/>
    <w:rsid w:val="00DA18F4"/>
    <w:rsid w:val="00DA2B8C"/>
    <w:rsid w:val="00DA34F2"/>
    <w:rsid w:val="00DA437B"/>
    <w:rsid w:val="00DA4AC1"/>
    <w:rsid w:val="00DA5A3C"/>
    <w:rsid w:val="00DA735E"/>
    <w:rsid w:val="00DB39FC"/>
    <w:rsid w:val="00DB4A1B"/>
    <w:rsid w:val="00DB4C12"/>
    <w:rsid w:val="00DB51F5"/>
    <w:rsid w:val="00DB5844"/>
    <w:rsid w:val="00DB7DEF"/>
    <w:rsid w:val="00DC1F7C"/>
    <w:rsid w:val="00DC409A"/>
    <w:rsid w:val="00DC423E"/>
    <w:rsid w:val="00DC671B"/>
    <w:rsid w:val="00DD06C6"/>
    <w:rsid w:val="00DD2142"/>
    <w:rsid w:val="00DD2B87"/>
    <w:rsid w:val="00DD3DC4"/>
    <w:rsid w:val="00DD4072"/>
    <w:rsid w:val="00DD5579"/>
    <w:rsid w:val="00DD563E"/>
    <w:rsid w:val="00DD5986"/>
    <w:rsid w:val="00DD729A"/>
    <w:rsid w:val="00DE4813"/>
    <w:rsid w:val="00DE4E17"/>
    <w:rsid w:val="00DE7FAC"/>
    <w:rsid w:val="00DF0C03"/>
    <w:rsid w:val="00DF0CB5"/>
    <w:rsid w:val="00DF69A3"/>
    <w:rsid w:val="00E0081E"/>
    <w:rsid w:val="00E02094"/>
    <w:rsid w:val="00E05AC3"/>
    <w:rsid w:val="00E0674B"/>
    <w:rsid w:val="00E10F4C"/>
    <w:rsid w:val="00E13322"/>
    <w:rsid w:val="00E155B4"/>
    <w:rsid w:val="00E15B34"/>
    <w:rsid w:val="00E15E29"/>
    <w:rsid w:val="00E16D6D"/>
    <w:rsid w:val="00E20548"/>
    <w:rsid w:val="00E20570"/>
    <w:rsid w:val="00E21356"/>
    <w:rsid w:val="00E22B69"/>
    <w:rsid w:val="00E2371F"/>
    <w:rsid w:val="00E2419F"/>
    <w:rsid w:val="00E24E47"/>
    <w:rsid w:val="00E259F9"/>
    <w:rsid w:val="00E267A9"/>
    <w:rsid w:val="00E35934"/>
    <w:rsid w:val="00E366D6"/>
    <w:rsid w:val="00E408FC"/>
    <w:rsid w:val="00E40963"/>
    <w:rsid w:val="00E42477"/>
    <w:rsid w:val="00E427A4"/>
    <w:rsid w:val="00E44294"/>
    <w:rsid w:val="00E44403"/>
    <w:rsid w:val="00E452F1"/>
    <w:rsid w:val="00E45B17"/>
    <w:rsid w:val="00E45FD1"/>
    <w:rsid w:val="00E46958"/>
    <w:rsid w:val="00E500C6"/>
    <w:rsid w:val="00E5016E"/>
    <w:rsid w:val="00E51344"/>
    <w:rsid w:val="00E529EC"/>
    <w:rsid w:val="00E53029"/>
    <w:rsid w:val="00E53354"/>
    <w:rsid w:val="00E543DF"/>
    <w:rsid w:val="00E5482D"/>
    <w:rsid w:val="00E578BF"/>
    <w:rsid w:val="00E614A4"/>
    <w:rsid w:val="00E6152C"/>
    <w:rsid w:val="00E618C6"/>
    <w:rsid w:val="00E63D8B"/>
    <w:rsid w:val="00E651B2"/>
    <w:rsid w:val="00E658C0"/>
    <w:rsid w:val="00E65C7B"/>
    <w:rsid w:val="00E70B72"/>
    <w:rsid w:val="00E70CD4"/>
    <w:rsid w:val="00E7254F"/>
    <w:rsid w:val="00E75661"/>
    <w:rsid w:val="00E81F4B"/>
    <w:rsid w:val="00E851B9"/>
    <w:rsid w:val="00E86D79"/>
    <w:rsid w:val="00E90BB3"/>
    <w:rsid w:val="00E91797"/>
    <w:rsid w:val="00E97E5B"/>
    <w:rsid w:val="00EA087D"/>
    <w:rsid w:val="00EA11BE"/>
    <w:rsid w:val="00EA1911"/>
    <w:rsid w:val="00EA2FDB"/>
    <w:rsid w:val="00EA3463"/>
    <w:rsid w:val="00EA3699"/>
    <w:rsid w:val="00EA52F5"/>
    <w:rsid w:val="00EB352A"/>
    <w:rsid w:val="00EC3A23"/>
    <w:rsid w:val="00EC644A"/>
    <w:rsid w:val="00EC6A3F"/>
    <w:rsid w:val="00ED2360"/>
    <w:rsid w:val="00ED3CAE"/>
    <w:rsid w:val="00ED5FE0"/>
    <w:rsid w:val="00ED7DB7"/>
    <w:rsid w:val="00EE1811"/>
    <w:rsid w:val="00EE2403"/>
    <w:rsid w:val="00EE3086"/>
    <w:rsid w:val="00EE5999"/>
    <w:rsid w:val="00EE60D1"/>
    <w:rsid w:val="00EE6333"/>
    <w:rsid w:val="00EF07BD"/>
    <w:rsid w:val="00EF15DE"/>
    <w:rsid w:val="00EF1633"/>
    <w:rsid w:val="00EF3769"/>
    <w:rsid w:val="00EF4BDC"/>
    <w:rsid w:val="00EF5BA6"/>
    <w:rsid w:val="00F00491"/>
    <w:rsid w:val="00F01526"/>
    <w:rsid w:val="00F03320"/>
    <w:rsid w:val="00F05F1E"/>
    <w:rsid w:val="00F05FDE"/>
    <w:rsid w:val="00F06D32"/>
    <w:rsid w:val="00F11A9A"/>
    <w:rsid w:val="00F16D71"/>
    <w:rsid w:val="00F17760"/>
    <w:rsid w:val="00F24BFD"/>
    <w:rsid w:val="00F24ECB"/>
    <w:rsid w:val="00F27A3C"/>
    <w:rsid w:val="00F30554"/>
    <w:rsid w:val="00F31F78"/>
    <w:rsid w:val="00F3342F"/>
    <w:rsid w:val="00F33853"/>
    <w:rsid w:val="00F33911"/>
    <w:rsid w:val="00F342A5"/>
    <w:rsid w:val="00F348D2"/>
    <w:rsid w:val="00F41A3C"/>
    <w:rsid w:val="00F4485F"/>
    <w:rsid w:val="00F44B6A"/>
    <w:rsid w:val="00F46C7D"/>
    <w:rsid w:val="00F4718C"/>
    <w:rsid w:val="00F50A98"/>
    <w:rsid w:val="00F521C7"/>
    <w:rsid w:val="00F5344B"/>
    <w:rsid w:val="00F54C7A"/>
    <w:rsid w:val="00F6080C"/>
    <w:rsid w:val="00F60BF8"/>
    <w:rsid w:val="00F62100"/>
    <w:rsid w:val="00F62BD0"/>
    <w:rsid w:val="00F62F89"/>
    <w:rsid w:val="00F63CAD"/>
    <w:rsid w:val="00F64494"/>
    <w:rsid w:val="00F64863"/>
    <w:rsid w:val="00F6615B"/>
    <w:rsid w:val="00F70C7F"/>
    <w:rsid w:val="00F71B49"/>
    <w:rsid w:val="00F71B98"/>
    <w:rsid w:val="00F74F2F"/>
    <w:rsid w:val="00F80C89"/>
    <w:rsid w:val="00F84D72"/>
    <w:rsid w:val="00F8782E"/>
    <w:rsid w:val="00F90DC1"/>
    <w:rsid w:val="00F9133C"/>
    <w:rsid w:val="00F921CC"/>
    <w:rsid w:val="00F960C1"/>
    <w:rsid w:val="00F96392"/>
    <w:rsid w:val="00F96419"/>
    <w:rsid w:val="00F97CC5"/>
    <w:rsid w:val="00FA0235"/>
    <w:rsid w:val="00FA0331"/>
    <w:rsid w:val="00FA12A4"/>
    <w:rsid w:val="00FA4FED"/>
    <w:rsid w:val="00FA57BB"/>
    <w:rsid w:val="00FA5C5F"/>
    <w:rsid w:val="00FA68F2"/>
    <w:rsid w:val="00FB0092"/>
    <w:rsid w:val="00FB295F"/>
    <w:rsid w:val="00FB30BD"/>
    <w:rsid w:val="00FB4990"/>
    <w:rsid w:val="00FC049C"/>
    <w:rsid w:val="00FC0E86"/>
    <w:rsid w:val="00FC1C0E"/>
    <w:rsid w:val="00FC2E11"/>
    <w:rsid w:val="00FC56F7"/>
    <w:rsid w:val="00FC5ED8"/>
    <w:rsid w:val="00FC6310"/>
    <w:rsid w:val="00FC7BE4"/>
    <w:rsid w:val="00FC7F7C"/>
    <w:rsid w:val="00FD1221"/>
    <w:rsid w:val="00FD1F51"/>
    <w:rsid w:val="00FD3A3E"/>
    <w:rsid w:val="00FD45FE"/>
    <w:rsid w:val="00FD4B2A"/>
    <w:rsid w:val="00FD76EB"/>
    <w:rsid w:val="00FE2DF7"/>
    <w:rsid w:val="00FE4834"/>
    <w:rsid w:val="00FE4BA3"/>
    <w:rsid w:val="00FE5470"/>
    <w:rsid w:val="00FE60BB"/>
    <w:rsid w:val="00FE7510"/>
    <w:rsid w:val="00FE7858"/>
    <w:rsid w:val="00FF1E41"/>
    <w:rsid w:val="00FF3222"/>
    <w:rsid w:val="00FF65FC"/>
    <w:rsid w:val="00FF7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555872F"/>
  <w15:docId w15:val="{1E35A77B-CCD5-424D-97BF-584C0600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5E5"/>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link w:val="Heading2Char"/>
    <w:uiPriority w:val="99"/>
    <w:qFormat/>
    <w:rsid w:val="00AF1C07"/>
    <w:pPr>
      <w:outlineLvl w:val="1"/>
    </w:pPr>
  </w:style>
  <w:style w:type="paragraph" w:styleId="Heading3">
    <w:name w:val="heading 3"/>
    <w:aliases w:val="Numbered - 3"/>
    <w:basedOn w:val="Heading2"/>
    <w:next w:val="Normal"/>
    <w:link w:val="Heading3Char"/>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uiPriority w:val="99"/>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link w:val="DfESOutNumberedChar"/>
    <w:uiPriority w:val="99"/>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link w:val="ListParagraphChar"/>
    <w:uiPriority w:val="99"/>
    <w:qFormat/>
    <w:rsid w:val="007463C5"/>
    <w:pPr>
      <w:ind w:left="720"/>
      <w:contextualSpacing/>
    </w:pPr>
  </w:style>
  <w:style w:type="table" w:styleId="TableGrid">
    <w:name w:val="Table Grid"/>
    <w:basedOn w:val="TableNormal"/>
    <w:uiPriority w:val="39"/>
    <w:rsid w:val="00D73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B5E38"/>
    <w:rPr>
      <w:sz w:val="16"/>
      <w:szCs w:val="16"/>
    </w:rPr>
  </w:style>
  <w:style w:type="paragraph" w:styleId="CommentText">
    <w:name w:val="annotation text"/>
    <w:basedOn w:val="Normal"/>
    <w:link w:val="CommentTextChar"/>
    <w:rsid w:val="00BB5E38"/>
    <w:rPr>
      <w:sz w:val="20"/>
    </w:rPr>
  </w:style>
  <w:style w:type="character" w:customStyle="1" w:styleId="CommentTextChar">
    <w:name w:val="Comment Text Char"/>
    <w:basedOn w:val="DefaultParagraphFont"/>
    <w:link w:val="CommentText"/>
    <w:rsid w:val="00BB5E38"/>
    <w:rPr>
      <w:rFonts w:ascii="Arial" w:hAnsi="Arial"/>
      <w:lang w:eastAsia="en-US"/>
    </w:rPr>
  </w:style>
  <w:style w:type="paragraph" w:styleId="CommentSubject">
    <w:name w:val="annotation subject"/>
    <w:basedOn w:val="CommentText"/>
    <w:next w:val="CommentText"/>
    <w:link w:val="CommentSubjectChar"/>
    <w:rsid w:val="00BB5E38"/>
    <w:rPr>
      <w:b/>
      <w:bCs/>
    </w:rPr>
  </w:style>
  <w:style w:type="character" w:customStyle="1" w:styleId="CommentSubjectChar">
    <w:name w:val="Comment Subject Char"/>
    <w:basedOn w:val="CommentTextChar"/>
    <w:link w:val="CommentSubject"/>
    <w:rsid w:val="00BB5E38"/>
    <w:rPr>
      <w:rFonts w:ascii="Arial" w:hAnsi="Arial"/>
      <w:b/>
      <w:bCs/>
      <w:lang w:eastAsia="en-US"/>
    </w:rPr>
  </w:style>
  <w:style w:type="paragraph" w:styleId="BalloonText">
    <w:name w:val="Balloon Text"/>
    <w:basedOn w:val="Normal"/>
    <w:link w:val="BalloonTextChar"/>
    <w:rsid w:val="00BB5E38"/>
    <w:rPr>
      <w:rFonts w:ascii="Tahoma" w:hAnsi="Tahoma" w:cs="Tahoma"/>
      <w:sz w:val="16"/>
      <w:szCs w:val="16"/>
    </w:rPr>
  </w:style>
  <w:style w:type="character" w:customStyle="1" w:styleId="BalloonTextChar">
    <w:name w:val="Balloon Text Char"/>
    <w:basedOn w:val="DefaultParagraphFont"/>
    <w:link w:val="BalloonText"/>
    <w:rsid w:val="00BB5E38"/>
    <w:rPr>
      <w:rFonts w:ascii="Tahoma" w:hAnsi="Tahoma" w:cs="Tahoma"/>
      <w:sz w:val="16"/>
      <w:szCs w:val="16"/>
      <w:lang w:eastAsia="en-US"/>
    </w:rPr>
  </w:style>
  <w:style w:type="paragraph" w:styleId="Revision">
    <w:name w:val="Revision"/>
    <w:hidden/>
    <w:uiPriority w:val="99"/>
    <w:semiHidden/>
    <w:rsid w:val="00174676"/>
    <w:rPr>
      <w:rFonts w:ascii="Arial" w:hAnsi="Arial"/>
      <w:sz w:val="24"/>
      <w:lang w:eastAsia="en-US"/>
    </w:rPr>
  </w:style>
  <w:style w:type="character" w:customStyle="1" w:styleId="FooterChar">
    <w:name w:val="Footer Char"/>
    <w:basedOn w:val="DefaultParagraphFont"/>
    <w:link w:val="Footer"/>
    <w:uiPriority w:val="99"/>
    <w:rsid w:val="00402B87"/>
    <w:rPr>
      <w:rFonts w:ascii="Arial" w:hAnsi="Arial"/>
      <w:sz w:val="24"/>
      <w:lang w:eastAsia="en-US"/>
    </w:rPr>
  </w:style>
  <w:style w:type="character" w:styleId="Hyperlink">
    <w:name w:val="Hyperlink"/>
    <w:basedOn w:val="DefaultParagraphFont"/>
    <w:rsid w:val="003038C0"/>
    <w:rPr>
      <w:color w:val="0000FF" w:themeColor="hyperlink"/>
      <w:u w:val="single"/>
    </w:rPr>
  </w:style>
  <w:style w:type="character" w:customStyle="1" w:styleId="HeaderChar">
    <w:name w:val="Header Char"/>
    <w:basedOn w:val="DefaultParagraphFont"/>
    <w:link w:val="Header"/>
    <w:uiPriority w:val="99"/>
    <w:rsid w:val="00A51F32"/>
    <w:rPr>
      <w:rFonts w:ascii="Arial" w:hAnsi="Arial"/>
      <w:sz w:val="24"/>
      <w:lang w:eastAsia="en-US"/>
    </w:rPr>
  </w:style>
  <w:style w:type="paragraph" w:styleId="ListBullet">
    <w:name w:val="List Bullet"/>
    <w:basedOn w:val="List"/>
    <w:uiPriority w:val="1"/>
    <w:qFormat/>
    <w:rsid w:val="00B33723"/>
    <w:pPr>
      <w:widowControl/>
      <w:numPr>
        <w:numId w:val="5"/>
      </w:numPr>
      <w:tabs>
        <w:tab w:val="clear" w:pos="360"/>
        <w:tab w:val="num" w:pos="720"/>
      </w:tabs>
      <w:overflowPunct/>
      <w:autoSpaceDE/>
      <w:autoSpaceDN/>
      <w:adjustRightInd/>
      <w:spacing w:before="120" w:after="120" w:line="276" w:lineRule="auto"/>
      <w:ind w:left="357" w:hanging="357"/>
      <w:contextualSpacing w:val="0"/>
      <w:textAlignment w:val="auto"/>
    </w:pPr>
    <w:rPr>
      <w:rFonts w:asciiTheme="minorHAnsi" w:eastAsiaTheme="minorHAnsi" w:hAnsiTheme="minorHAnsi" w:cs="Arial"/>
      <w:color w:val="111111"/>
      <w:sz w:val="22"/>
      <w:lang w:val="en-US"/>
    </w:rPr>
  </w:style>
  <w:style w:type="paragraph" w:styleId="List">
    <w:name w:val="List"/>
    <w:basedOn w:val="Normal"/>
    <w:semiHidden/>
    <w:unhideWhenUsed/>
    <w:rsid w:val="00B33723"/>
    <w:pPr>
      <w:ind w:left="283" w:hanging="283"/>
      <w:contextualSpacing/>
    </w:pPr>
  </w:style>
  <w:style w:type="paragraph" w:customStyle="1" w:styleId="Body">
    <w:name w:val="Body"/>
    <w:basedOn w:val="Normal"/>
    <w:link w:val="BodyChar"/>
    <w:rsid w:val="00570E0A"/>
    <w:pPr>
      <w:widowControl/>
      <w:overflowPunct/>
      <w:autoSpaceDE/>
      <w:autoSpaceDN/>
      <w:adjustRightInd/>
      <w:spacing w:after="240"/>
      <w:jc w:val="both"/>
      <w:textAlignment w:val="auto"/>
    </w:pPr>
    <w:rPr>
      <w:rFonts w:cs="Arial"/>
      <w:sz w:val="20"/>
      <w:lang w:eastAsia="en-GB"/>
    </w:rPr>
  </w:style>
  <w:style w:type="character" w:customStyle="1" w:styleId="BodyChar">
    <w:name w:val="Body Char"/>
    <w:basedOn w:val="DefaultParagraphFont"/>
    <w:link w:val="Body"/>
    <w:locked/>
    <w:rsid w:val="00570E0A"/>
    <w:rPr>
      <w:rFonts w:ascii="Arial" w:hAnsi="Arial" w:cs="Arial"/>
    </w:rPr>
  </w:style>
  <w:style w:type="paragraph" w:customStyle="1" w:styleId="Default">
    <w:name w:val="Default"/>
    <w:rsid w:val="00570E0A"/>
    <w:pPr>
      <w:autoSpaceDE w:val="0"/>
      <w:autoSpaceDN w:val="0"/>
      <w:adjustRightInd w:val="0"/>
    </w:pPr>
    <w:rPr>
      <w:rFonts w:ascii="Calibri" w:eastAsiaTheme="minorHAnsi" w:hAnsi="Calibri" w:cs="Calibri"/>
      <w:color w:val="000000"/>
      <w:sz w:val="24"/>
      <w:szCs w:val="24"/>
      <w:lang w:eastAsia="en-US"/>
    </w:rPr>
  </w:style>
  <w:style w:type="table" w:customStyle="1" w:styleId="TableGrid0">
    <w:name w:val="TableGrid"/>
    <w:rsid w:val="00AC7D0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istParagraphChar">
    <w:name w:val="List Paragraph Char"/>
    <w:basedOn w:val="DefaultParagraphFont"/>
    <w:link w:val="ListParagraph"/>
    <w:uiPriority w:val="34"/>
    <w:locked/>
    <w:rsid w:val="00EA3699"/>
    <w:rPr>
      <w:rFonts w:ascii="Arial" w:hAnsi="Arial"/>
      <w:sz w:val="24"/>
      <w:lang w:eastAsia="en-US"/>
    </w:rPr>
  </w:style>
  <w:style w:type="paragraph" w:styleId="NormalWeb">
    <w:name w:val="Normal (Web)"/>
    <w:basedOn w:val="Normal"/>
    <w:uiPriority w:val="99"/>
    <w:unhideWhenUsed/>
    <w:rsid w:val="00123E5A"/>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DfESOutNumberedChar">
    <w:name w:val="DfESOutNumbered Char"/>
    <w:basedOn w:val="DefaultParagraphFont"/>
    <w:link w:val="DfESOutNumbered"/>
    <w:uiPriority w:val="99"/>
    <w:locked/>
    <w:rsid w:val="00123E5A"/>
    <w:rPr>
      <w:rFonts w:ascii="Arial" w:hAnsi="Arial" w:cs="Arial"/>
      <w:sz w:val="22"/>
      <w:lang w:eastAsia="en-US"/>
    </w:rPr>
  </w:style>
  <w:style w:type="character" w:customStyle="1" w:styleId="Heading3Char">
    <w:name w:val="Heading 3 Char"/>
    <w:aliases w:val="Numbered - 3 Char"/>
    <w:basedOn w:val="DefaultParagraphFont"/>
    <w:link w:val="Heading3"/>
    <w:rsid w:val="006A16A6"/>
    <w:rPr>
      <w:rFonts w:ascii="Arial" w:hAnsi="Arial"/>
      <w:kern w:val="28"/>
      <w:sz w:val="24"/>
      <w:lang w:eastAsia="en-US"/>
    </w:rPr>
  </w:style>
  <w:style w:type="paragraph" w:customStyle="1" w:styleId="TableHeading">
    <w:name w:val="Table Heading"/>
    <w:basedOn w:val="Normal"/>
    <w:uiPriority w:val="99"/>
    <w:rsid w:val="00606998"/>
    <w:pPr>
      <w:widowControl/>
      <w:overflowPunct/>
      <w:autoSpaceDE/>
      <w:autoSpaceDN/>
      <w:adjustRightInd/>
      <w:textAlignment w:val="auto"/>
    </w:pPr>
    <w:rPr>
      <w:b/>
      <w:color w:val="FFFFFF"/>
      <w:szCs w:val="24"/>
      <w:lang w:eastAsia="en-GB"/>
    </w:rPr>
  </w:style>
  <w:style w:type="character" w:customStyle="1" w:styleId="Heading2Char">
    <w:name w:val="Heading 2 Char"/>
    <w:aliases w:val="Numbered - 2 Char"/>
    <w:basedOn w:val="DefaultParagraphFont"/>
    <w:link w:val="Heading2"/>
    <w:uiPriority w:val="99"/>
    <w:rsid w:val="00415282"/>
    <w:rPr>
      <w:rFonts w:ascii="Arial" w:hAnsi="Arial"/>
      <w:b/>
      <w:kern w:val="28"/>
      <w:sz w:val="24"/>
      <w:lang w:eastAsia="en-US"/>
    </w:rPr>
  </w:style>
  <w:style w:type="table" w:styleId="MediumList2-Accent1">
    <w:name w:val="Medium List 2 Accent 1"/>
    <w:basedOn w:val="TableNormal"/>
    <w:uiPriority w:val="66"/>
    <w:rsid w:val="00D76A7C"/>
    <w:rPr>
      <w:rFonts w:asciiTheme="majorHAnsi" w:eastAsiaTheme="majorEastAsia" w:hAnsiTheme="majorHAnsi" w:cstheme="majorBidi"/>
      <w:color w:val="000000" w:themeColor="text1"/>
      <w:sz w:val="22"/>
      <w:szCs w:val="22"/>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7583">
      <w:bodyDiv w:val="1"/>
      <w:marLeft w:val="0"/>
      <w:marRight w:val="0"/>
      <w:marTop w:val="0"/>
      <w:marBottom w:val="0"/>
      <w:divBdr>
        <w:top w:val="none" w:sz="0" w:space="0" w:color="auto"/>
        <w:left w:val="none" w:sz="0" w:space="0" w:color="auto"/>
        <w:bottom w:val="none" w:sz="0" w:space="0" w:color="auto"/>
        <w:right w:val="none" w:sz="0" w:space="0" w:color="auto"/>
      </w:divBdr>
    </w:div>
    <w:div w:id="33047711">
      <w:bodyDiv w:val="1"/>
      <w:marLeft w:val="0"/>
      <w:marRight w:val="0"/>
      <w:marTop w:val="0"/>
      <w:marBottom w:val="0"/>
      <w:divBdr>
        <w:top w:val="none" w:sz="0" w:space="0" w:color="auto"/>
        <w:left w:val="none" w:sz="0" w:space="0" w:color="auto"/>
        <w:bottom w:val="none" w:sz="0" w:space="0" w:color="auto"/>
        <w:right w:val="none" w:sz="0" w:space="0" w:color="auto"/>
      </w:divBdr>
    </w:div>
    <w:div w:id="67850597">
      <w:bodyDiv w:val="1"/>
      <w:marLeft w:val="0"/>
      <w:marRight w:val="0"/>
      <w:marTop w:val="0"/>
      <w:marBottom w:val="0"/>
      <w:divBdr>
        <w:top w:val="none" w:sz="0" w:space="0" w:color="auto"/>
        <w:left w:val="none" w:sz="0" w:space="0" w:color="auto"/>
        <w:bottom w:val="none" w:sz="0" w:space="0" w:color="auto"/>
        <w:right w:val="none" w:sz="0" w:space="0" w:color="auto"/>
      </w:divBdr>
    </w:div>
    <w:div w:id="69351333">
      <w:bodyDiv w:val="1"/>
      <w:marLeft w:val="0"/>
      <w:marRight w:val="0"/>
      <w:marTop w:val="0"/>
      <w:marBottom w:val="0"/>
      <w:divBdr>
        <w:top w:val="none" w:sz="0" w:space="0" w:color="auto"/>
        <w:left w:val="none" w:sz="0" w:space="0" w:color="auto"/>
        <w:bottom w:val="none" w:sz="0" w:space="0" w:color="auto"/>
        <w:right w:val="none" w:sz="0" w:space="0" w:color="auto"/>
      </w:divBdr>
    </w:div>
    <w:div w:id="74589956">
      <w:bodyDiv w:val="1"/>
      <w:marLeft w:val="0"/>
      <w:marRight w:val="0"/>
      <w:marTop w:val="0"/>
      <w:marBottom w:val="0"/>
      <w:divBdr>
        <w:top w:val="none" w:sz="0" w:space="0" w:color="auto"/>
        <w:left w:val="none" w:sz="0" w:space="0" w:color="auto"/>
        <w:bottom w:val="none" w:sz="0" w:space="0" w:color="auto"/>
        <w:right w:val="none" w:sz="0" w:space="0" w:color="auto"/>
      </w:divBdr>
    </w:div>
    <w:div w:id="122122835">
      <w:bodyDiv w:val="1"/>
      <w:marLeft w:val="0"/>
      <w:marRight w:val="0"/>
      <w:marTop w:val="0"/>
      <w:marBottom w:val="0"/>
      <w:divBdr>
        <w:top w:val="none" w:sz="0" w:space="0" w:color="auto"/>
        <w:left w:val="none" w:sz="0" w:space="0" w:color="auto"/>
        <w:bottom w:val="none" w:sz="0" w:space="0" w:color="auto"/>
        <w:right w:val="none" w:sz="0" w:space="0" w:color="auto"/>
      </w:divBdr>
    </w:div>
    <w:div w:id="131796314">
      <w:bodyDiv w:val="1"/>
      <w:marLeft w:val="0"/>
      <w:marRight w:val="0"/>
      <w:marTop w:val="0"/>
      <w:marBottom w:val="0"/>
      <w:divBdr>
        <w:top w:val="none" w:sz="0" w:space="0" w:color="auto"/>
        <w:left w:val="none" w:sz="0" w:space="0" w:color="auto"/>
        <w:bottom w:val="none" w:sz="0" w:space="0" w:color="auto"/>
        <w:right w:val="none" w:sz="0" w:space="0" w:color="auto"/>
      </w:divBdr>
    </w:div>
    <w:div w:id="287009711">
      <w:bodyDiv w:val="1"/>
      <w:marLeft w:val="0"/>
      <w:marRight w:val="0"/>
      <w:marTop w:val="0"/>
      <w:marBottom w:val="0"/>
      <w:divBdr>
        <w:top w:val="none" w:sz="0" w:space="0" w:color="auto"/>
        <w:left w:val="none" w:sz="0" w:space="0" w:color="auto"/>
        <w:bottom w:val="none" w:sz="0" w:space="0" w:color="auto"/>
        <w:right w:val="none" w:sz="0" w:space="0" w:color="auto"/>
      </w:divBdr>
    </w:div>
    <w:div w:id="366682089">
      <w:bodyDiv w:val="1"/>
      <w:marLeft w:val="0"/>
      <w:marRight w:val="0"/>
      <w:marTop w:val="0"/>
      <w:marBottom w:val="0"/>
      <w:divBdr>
        <w:top w:val="none" w:sz="0" w:space="0" w:color="auto"/>
        <w:left w:val="none" w:sz="0" w:space="0" w:color="auto"/>
        <w:bottom w:val="none" w:sz="0" w:space="0" w:color="auto"/>
        <w:right w:val="none" w:sz="0" w:space="0" w:color="auto"/>
      </w:divBdr>
    </w:div>
    <w:div w:id="458768145">
      <w:bodyDiv w:val="1"/>
      <w:marLeft w:val="0"/>
      <w:marRight w:val="0"/>
      <w:marTop w:val="0"/>
      <w:marBottom w:val="0"/>
      <w:divBdr>
        <w:top w:val="none" w:sz="0" w:space="0" w:color="auto"/>
        <w:left w:val="none" w:sz="0" w:space="0" w:color="auto"/>
        <w:bottom w:val="none" w:sz="0" w:space="0" w:color="auto"/>
        <w:right w:val="none" w:sz="0" w:space="0" w:color="auto"/>
      </w:divBdr>
    </w:div>
    <w:div w:id="519976520">
      <w:bodyDiv w:val="1"/>
      <w:marLeft w:val="0"/>
      <w:marRight w:val="0"/>
      <w:marTop w:val="0"/>
      <w:marBottom w:val="0"/>
      <w:divBdr>
        <w:top w:val="none" w:sz="0" w:space="0" w:color="auto"/>
        <w:left w:val="none" w:sz="0" w:space="0" w:color="auto"/>
        <w:bottom w:val="none" w:sz="0" w:space="0" w:color="auto"/>
        <w:right w:val="none" w:sz="0" w:space="0" w:color="auto"/>
      </w:divBdr>
    </w:div>
    <w:div w:id="549728642">
      <w:bodyDiv w:val="1"/>
      <w:marLeft w:val="0"/>
      <w:marRight w:val="0"/>
      <w:marTop w:val="0"/>
      <w:marBottom w:val="0"/>
      <w:divBdr>
        <w:top w:val="none" w:sz="0" w:space="0" w:color="auto"/>
        <w:left w:val="none" w:sz="0" w:space="0" w:color="auto"/>
        <w:bottom w:val="none" w:sz="0" w:space="0" w:color="auto"/>
        <w:right w:val="none" w:sz="0" w:space="0" w:color="auto"/>
      </w:divBdr>
    </w:div>
    <w:div w:id="798843747">
      <w:bodyDiv w:val="1"/>
      <w:marLeft w:val="0"/>
      <w:marRight w:val="0"/>
      <w:marTop w:val="0"/>
      <w:marBottom w:val="0"/>
      <w:divBdr>
        <w:top w:val="none" w:sz="0" w:space="0" w:color="auto"/>
        <w:left w:val="none" w:sz="0" w:space="0" w:color="auto"/>
        <w:bottom w:val="none" w:sz="0" w:space="0" w:color="auto"/>
        <w:right w:val="none" w:sz="0" w:space="0" w:color="auto"/>
      </w:divBdr>
    </w:div>
    <w:div w:id="1056709147">
      <w:bodyDiv w:val="1"/>
      <w:marLeft w:val="0"/>
      <w:marRight w:val="0"/>
      <w:marTop w:val="0"/>
      <w:marBottom w:val="0"/>
      <w:divBdr>
        <w:top w:val="none" w:sz="0" w:space="0" w:color="auto"/>
        <w:left w:val="none" w:sz="0" w:space="0" w:color="auto"/>
        <w:bottom w:val="none" w:sz="0" w:space="0" w:color="auto"/>
        <w:right w:val="none" w:sz="0" w:space="0" w:color="auto"/>
      </w:divBdr>
    </w:div>
    <w:div w:id="1059479249">
      <w:bodyDiv w:val="1"/>
      <w:marLeft w:val="0"/>
      <w:marRight w:val="0"/>
      <w:marTop w:val="0"/>
      <w:marBottom w:val="0"/>
      <w:divBdr>
        <w:top w:val="none" w:sz="0" w:space="0" w:color="auto"/>
        <w:left w:val="none" w:sz="0" w:space="0" w:color="auto"/>
        <w:bottom w:val="none" w:sz="0" w:space="0" w:color="auto"/>
        <w:right w:val="none" w:sz="0" w:space="0" w:color="auto"/>
      </w:divBdr>
    </w:div>
    <w:div w:id="1127241691">
      <w:bodyDiv w:val="1"/>
      <w:marLeft w:val="0"/>
      <w:marRight w:val="0"/>
      <w:marTop w:val="0"/>
      <w:marBottom w:val="0"/>
      <w:divBdr>
        <w:top w:val="none" w:sz="0" w:space="0" w:color="auto"/>
        <w:left w:val="none" w:sz="0" w:space="0" w:color="auto"/>
        <w:bottom w:val="none" w:sz="0" w:space="0" w:color="auto"/>
        <w:right w:val="none" w:sz="0" w:space="0" w:color="auto"/>
      </w:divBdr>
    </w:div>
    <w:div w:id="1223638106">
      <w:bodyDiv w:val="1"/>
      <w:marLeft w:val="0"/>
      <w:marRight w:val="0"/>
      <w:marTop w:val="0"/>
      <w:marBottom w:val="0"/>
      <w:divBdr>
        <w:top w:val="none" w:sz="0" w:space="0" w:color="auto"/>
        <w:left w:val="none" w:sz="0" w:space="0" w:color="auto"/>
        <w:bottom w:val="none" w:sz="0" w:space="0" w:color="auto"/>
        <w:right w:val="none" w:sz="0" w:space="0" w:color="auto"/>
      </w:divBdr>
    </w:div>
    <w:div w:id="1246957674">
      <w:bodyDiv w:val="1"/>
      <w:marLeft w:val="0"/>
      <w:marRight w:val="0"/>
      <w:marTop w:val="0"/>
      <w:marBottom w:val="0"/>
      <w:divBdr>
        <w:top w:val="none" w:sz="0" w:space="0" w:color="auto"/>
        <w:left w:val="none" w:sz="0" w:space="0" w:color="auto"/>
        <w:bottom w:val="none" w:sz="0" w:space="0" w:color="auto"/>
        <w:right w:val="none" w:sz="0" w:space="0" w:color="auto"/>
      </w:divBdr>
    </w:div>
    <w:div w:id="1277710999">
      <w:bodyDiv w:val="1"/>
      <w:marLeft w:val="0"/>
      <w:marRight w:val="0"/>
      <w:marTop w:val="0"/>
      <w:marBottom w:val="0"/>
      <w:divBdr>
        <w:top w:val="none" w:sz="0" w:space="0" w:color="auto"/>
        <w:left w:val="none" w:sz="0" w:space="0" w:color="auto"/>
        <w:bottom w:val="none" w:sz="0" w:space="0" w:color="auto"/>
        <w:right w:val="none" w:sz="0" w:space="0" w:color="auto"/>
      </w:divBdr>
    </w:div>
    <w:div w:id="1280336764">
      <w:bodyDiv w:val="1"/>
      <w:marLeft w:val="0"/>
      <w:marRight w:val="0"/>
      <w:marTop w:val="0"/>
      <w:marBottom w:val="0"/>
      <w:divBdr>
        <w:top w:val="none" w:sz="0" w:space="0" w:color="auto"/>
        <w:left w:val="none" w:sz="0" w:space="0" w:color="auto"/>
        <w:bottom w:val="none" w:sz="0" w:space="0" w:color="auto"/>
        <w:right w:val="none" w:sz="0" w:space="0" w:color="auto"/>
      </w:divBdr>
    </w:div>
    <w:div w:id="1336493228">
      <w:bodyDiv w:val="1"/>
      <w:marLeft w:val="0"/>
      <w:marRight w:val="0"/>
      <w:marTop w:val="0"/>
      <w:marBottom w:val="0"/>
      <w:divBdr>
        <w:top w:val="none" w:sz="0" w:space="0" w:color="auto"/>
        <w:left w:val="none" w:sz="0" w:space="0" w:color="auto"/>
        <w:bottom w:val="none" w:sz="0" w:space="0" w:color="auto"/>
        <w:right w:val="none" w:sz="0" w:space="0" w:color="auto"/>
      </w:divBdr>
    </w:div>
    <w:div w:id="1387921457">
      <w:bodyDiv w:val="1"/>
      <w:marLeft w:val="0"/>
      <w:marRight w:val="0"/>
      <w:marTop w:val="0"/>
      <w:marBottom w:val="0"/>
      <w:divBdr>
        <w:top w:val="none" w:sz="0" w:space="0" w:color="auto"/>
        <w:left w:val="none" w:sz="0" w:space="0" w:color="auto"/>
        <w:bottom w:val="none" w:sz="0" w:space="0" w:color="auto"/>
        <w:right w:val="none" w:sz="0" w:space="0" w:color="auto"/>
      </w:divBdr>
    </w:div>
    <w:div w:id="1392850248">
      <w:bodyDiv w:val="1"/>
      <w:marLeft w:val="0"/>
      <w:marRight w:val="0"/>
      <w:marTop w:val="0"/>
      <w:marBottom w:val="0"/>
      <w:divBdr>
        <w:top w:val="none" w:sz="0" w:space="0" w:color="auto"/>
        <w:left w:val="none" w:sz="0" w:space="0" w:color="auto"/>
        <w:bottom w:val="none" w:sz="0" w:space="0" w:color="auto"/>
        <w:right w:val="none" w:sz="0" w:space="0" w:color="auto"/>
      </w:divBdr>
    </w:div>
    <w:div w:id="1403872984">
      <w:bodyDiv w:val="1"/>
      <w:marLeft w:val="0"/>
      <w:marRight w:val="0"/>
      <w:marTop w:val="0"/>
      <w:marBottom w:val="0"/>
      <w:divBdr>
        <w:top w:val="none" w:sz="0" w:space="0" w:color="auto"/>
        <w:left w:val="none" w:sz="0" w:space="0" w:color="auto"/>
        <w:bottom w:val="none" w:sz="0" w:space="0" w:color="auto"/>
        <w:right w:val="none" w:sz="0" w:space="0" w:color="auto"/>
      </w:divBdr>
    </w:div>
    <w:div w:id="1418136281">
      <w:bodyDiv w:val="1"/>
      <w:marLeft w:val="0"/>
      <w:marRight w:val="0"/>
      <w:marTop w:val="0"/>
      <w:marBottom w:val="0"/>
      <w:divBdr>
        <w:top w:val="none" w:sz="0" w:space="0" w:color="auto"/>
        <w:left w:val="none" w:sz="0" w:space="0" w:color="auto"/>
        <w:bottom w:val="none" w:sz="0" w:space="0" w:color="auto"/>
        <w:right w:val="none" w:sz="0" w:space="0" w:color="auto"/>
      </w:divBdr>
    </w:div>
    <w:div w:id="1424572845">
      <w:bodyDiv w:val="1"/>
      <w:marLeft w:val="0"/>
      <w:marRight w:val="0"/>
      <w:marTop w:val="0"/>
      <w:marBottom w:val="0"/>
      <w:divBdr>
        <w:top w:val="none" w:sz="0" w:space="0" w:color="auto"/>
        <w:left w:val="none" w:sz="0" w:space="0" w:color="auto"/>
        <w:bottom w:val="none" w:sz="0" w:space="0" w:color="auto"/>
        <w:right w:val="none" w:sz="0" w:space="0" w:color="auto"/>
      </w:divBdr>
    </w:div>
    <w:div w:id="1526671675">
      <w:bodyDiv w:val="1"/>
      <w:marLeft w:val="0"/>
      <w:marRight w:val="0"/>
      <w:marTop w:val="0"/>
      <w:marBottom w:val="0"/>
      <w:divBdr>
        <w:top w:val="none" w:sz="0" w:space="0" w:color="auto"/>
        <w:left w:val="none" w:sz="0" w:space="0" w:color="auto"/>
        <w:bottom w:val="none" w:sz="0" w:space="0" w:color="auto"/>
        <w:right w:val="none" w:sz="0" w:space="0" w:color="auto"/>
      </w:divBdr>
    </w:div>
    <w:div w:id="1766531841">
      <w:bodyDiv w:val="1"/>
      <w:marLeft w:val="0"/>
      <w:marRight w:val="0"/>
      <w:marTop w:val="0"/>
      <w:marBottom w:val="0"/>
      <w:divBdr>
        <w:top w:val="none" w:sz="0" w:space="0" w:color="auto"/>
        <w:left w:val="none" w:sz="0" w:space="0" w:color="auto"/>
        <w:bottom w:val="none" w:sz="0" w:space="0" w:color="auto"/>
        <w:right w:val="none" w:sz="0" w:space="0" w:color="auto"/>
      </w:divBdr>
    </w:div>
    <w:div w:id="1769428620">
      <w:bodyDiv w:val="1"/>
      <w:marLeft w:val="0"/>
      <w:marRight w:val="0"/>
      <w:marTop w:val="0"/>
      <w:marBottom w:val="0"/>
      <w:divBdr>
        <w:top w:val="none" w:sz="0" w:space="0" w:color="auto"/>
        <w:left w:val="none" w:sz="0" w:space="0" w:color="auto"/>
        <w:bottom w:val="none" w:sz="0" w:space="0" w:color="auto"/>
        <w:right w:val="none" w:sz="0" w:space="0" w:color="auto"/>
      </w:divBdr>
    </w:div>
    <w:div w:id="1869836296">
      <w:bodyDiv w:val="1"/>
      <w:marLeft w:val="0"/>
      <w:marRight w:val="0"/>
      <w:marTop w:val="0"/>
      <w:marBottom w:val="0"/>
      <w:divBdr>
        <w:top w:val="none" w:sz="0" w:space="0" w:color="auto"/>
        <w:left w:val="none" w:sz="0" w:space="0" w:color="auto"/>
        <w:bottom w:val="none" w:sz="0" w:space="0" w:color="auto"/>
        <w:right w:val="none" w:sz="0" w:space="0" w:color="auto"/>
      </w:divBdr>
    </w:div>
    <w:div w:id="1902910793">
      <w:bodyDiv w:val="1"/>
      <w:marLeft w:val="0"/>
      <w:marRight w:val="0"/>
      <w:marTop w:val="0"/>
      <w:marBottom w:val="0"/>
      <w:divBdr>
        <w:top w:val="none" w:sz="0" w:space="0" w:color="auto"/>
        <w:left w:val="none" w:sz="0" w:space="0" w:color="auto"/>
        <w:bottom w:val="none" w:sz="0" w:space="0" w:color="auto"/>
        <w:right w:val="none" w:sz="0" w:space="0" w:color="auto"/>
      </w:divBdr>
    </w:div>
    <w:div w:id="1943801694">
      <w:bodyDiv w:val="1"/>
      <w:marLeft w:val="0"/>
      <w:marRight w:val="0"/>
      <w:marTop w:val="0"/>
      <w:marBottom w:val="0"/>
      <w:divBdr>
        <w:top w:val="none" w:sz="0" w:space="0" w:color="auto"/>
        <w:left w:val="none" w:sz="0" w:space="0" w:color="auto"/>
        <w:bottom w:val="none" w:sz="0" w:space="0" w:color="auto"/>
        <w:right w:val="none" w:sz="0" w:space="0" w:color="auto"/>
      </w:divBdr>
    </w:div>
    <w:div w:id="1981684817">
      <w:bodyDiv w:val="1"/>
      <w:marLeft w:val="0"/>
      <w:marRight w:val="0"/>
      <w:marTop w:val="0"/>
      <w:marBottom w:val="0"/>
      <w:divBdr>
        <w:top w:val="none" w:sz="0" w:space="0" w:color="auto"/>
        <w:left w:val="none" w:sz="0" w:space="0" w:color="auto"/>
        <w:bottom w:val="none" w:sz="0" w:space="0" w:color="auto"/>
        <w:right w:val="none" w:sz="0" w:space="0" w:color="auto"/>
      </w:divBdr>
    </w:div>
    <w:div w:id="1987275220">
      <w:bodyDiv w:val="1"/>
      <w:marLeft w:val="0"/>
      <w:marRight w:val="0"/>
      <w:marTop w:val="0"/>
      <w:marBottom w:val="0"/>
      <w:divBdr>
        <w:top w:val="none" w:sz="0" w:space="0" w:color="auto"/>
        <w:left w:val="none" w:sz="0" w:space="0" w:color="auto"/>
        <w:bottom w:val="none" w:sz="0" w:space="0" w:color="auto"/>
        <w:right w:val="none" w:sz="0" w:space="0" w:color="auto"/>
      </w:divBdr>
    </w:div>
    <w:div w:id="1995184227">
      <w:bodyDiv w:val="1"/>
      <w:marLeft w:val="0"/>
      <w:marRight w:val="0"/>
      <w:marTop w:val="0"/>
      <w:marBottom w:val="0"/>
      <w:divBdr>
        <w:top w:val="none" w:sz="0" w:space="0" w:color="auto"/>
        <w:left w:val="none" w:sz="0" w:space="0" w:color="auto"/>
        <w:bottom w:val="none" w:sz="0" w:space="0" w:color="auto"/>
        <w:right w:val="none" w:sz="0" w:space="0" w:color="auto"/>
      </w:divBdr>
    </w:div>
    <w:div w:id="2037731090">
      <w:bodyDiv w:val="1"/>
      <w:marLeft w:val="0"/>
      <w:marRight w:val="0"/>
      <w:marTop w:val="0"/>
      <w:marBottom w:val="0"/>
      <w:divBdr>
        <w:top w:val="none" w:sz="0" w:space="0" w:color="auto"/>
        <w:left w:val="none" w:sz="0" w:space="0" w:color="auto"/>
        <w:bottom w:val="none" w:sz="0" w:space="0" w:color="auto"/>
        <w:right w:val="none" w:sz="0" w:space="0" w:color="auto"/>
      </w:divBdr>
    </w:div>
    <w:div w:id="20482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1.png@01D44049.E49FB890" TargetMode="External"/><Relationship Id="rId10" Type="http://schemas.openxmlformats.org/officeDocument/2006/relationships/footnotes" Target="footnotes.xml"/><Relationship Id="rId19" Type="http://schemas.openxmlformats.org/officeDocument/2006/relationships/image" Target="cid:image001.png@01D449E0.77A71E9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6023447069116361E-2"/>
          <c:y val="5.565172774455826E-2"/>
          <c:w val="0.74253205016039669"/>
          <c:h val="0.81877607404337793"/>
        </c:manualLayout>
      </c:layout>
      <c:barChart>
        <c:barDir val="col"/>
        <c:grouping val="clustered"/>
        <c:varyColors val="0"/>
        <c:ser>
          <c:idx val="1"/>
          <c:order val="0"/>
          <c:tx>
            <c:strRef>
              <c:f>'Outcome 14 Y7 '!$A$28</c:f>
              <c:strCache>
                <c:ptCount val="1"/>
                <c:pt idx="0">
                  <c:v>% of total active and pensioner membership</c:v>
                </c:pt>
              </c:strCache>
            </c:strRef>
          </c:tx>
          <c:invertIfNegative val="0"/>
          <c:dLbls>
            <c:dLbl>
              <c:idx val="2"/>
              <c:layout>
                <c:manualLayout>
                  <c:x val="0"/>
                  <c:y val="1.002506265664160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FD9-41BC-960A-6C57604B0DB5}"/>
                </c:ext>
              </c:extLst>
            </c:dLbl>
            <c:dLbl>
              <c:idx val="3"/>
              <c:layout>
                <c:manualLayout>
                  <c:x val="1.4814814814814814E-3"/>
                  <c:y val="2.005012531328320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FD9-41BC-960A-6C57604B0DB5}"/>
                </c:ext>
              </c:extLst>
            </c:dLbl>
            <c:dLbl>
              <c:idx val="4"/>
              <c:layout>
                <c:manualLayout>
                  <c:x val="0"/>
                  <c:y val="-1.503759398496240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FD9-41BC-960A-6C57604B0DB5}"/>
                </c:ext>
              </c:extLst>
            </c:dLbl>
            <c:dLbl>
              <c:idx val="7"/>
              <c:layout>
                <c:manualLayout>
                  <c:x val="1.4814814814814814E-3"/>
                  <c:y val="1.002506265664160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FD9-41BC-960A-6C57604B0DB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'Outcome 14 Y7 '!$C$26:$M$26</c:f>
              <c:numCache>
                <c:formatCode>mmm\-yy</c:formatCode>
                <c:ptCount val="11"/>
                <c:pt idx="0">
                  <c:v>43009</c:v>
                </c:pt>
                <c:pt idx="1">
                  <c:v>43040</c:v>
                </c:pt>
                <c:pt idx="2">
                  <c:v>43070</c:v>
                </c:pt>
                <c:pt idx="3">
                  <c:v>43101</c:v>
                </c:pt>
                <c:pt idx="4">
                  <c:v>43132</c:v>
                </c:pt>
                <c:pt idx="5">
                  <c:v>43160</c:v>
                </c:pt>
                <c:pt idx="6">
                  <c:v>43191</c:v>
                </c:pt>
                <c:pt idx="7">
                  <c:v>43221</c:v>
                </c:pt>
                <c:pt idx="8">
                  <c:v>43252</c:v>
                </c:pt>
                <c:pt idx="9">
                  <c:v>43282</c:v>
                </c:pt>
              </c:numCache>
            </c:numRef>
          </c:cat>
          <c:val>
            <c:numRef>
              <c:f>'Outcome 14 Y7 '!$C$28:$M$28</c:f>
              <c:numCache>
                <c:formatCode>0.00%</c:formatCode>
                <c:ptCount val="11"/>
                <c:pt idx="0">
                  <c:v>0.38453781538148224</c:v>
                </c:pt>
                <c:pt idx="1">
                  <c:v>0.39479127562985106</c:v>
                </c:pt>
                <c:pt idx="2">
                  <c:v>0.40366018058491759</c:v>
                </c:pt>
                <c:pt idx="3">
                  <c:v>0.41489620394757842</c:v>
                </c:pt>
                <c:pt idx="4">
                  <c:v>0.42876607398783839</c:v>
                </c:pt>
                <c:pt idx="5">
                  <c:v>0.43842528492810495</c:v>
                </c:pt>
                <c:pt idx="6">
                  <c:v>0.44850548578741073</c:v>
                </c:pt>
                <c:pt idx="7">
                  <c:v>0.46183809973965495</c:v>
                </c:pt>
                <c:pt idx="8">
                  <c:v>0.47033844853816192</c:v>
                </c:pt>
                <c:pt idx="9">
                  <c:v>0.4791237634371015</c:v>
                </c:pt>
              </c:numCache>
            </c:numRef>
          </c:val>
          <c:extLst>
            <c:ext xmlns:c16="http://schemas.microsoft.com/office/drawing/2014/chart" uri="{C3380CC4-5D6E-409C-BE32-E72D297353CC}">
              <c16:uniqueId val="{00000004-9FD9-41BC-960A-6C57604B0DB5}"/>
            </c:ext>
          </c:extLst>
        </c:ser>
        <c:dLbls>
          <c:showLegendKey val="0"/>
          <c:showVal val="0"/>
          <c:showCatName val="0"/>
          <c:showSerName val="0"/>
          <c:showPercent val="0"/>
          <c:showBubbleSize val="0"/>
        </c:dLbls>
        <c:gapWidth val="150"/>
        <c:axId val="59304576"/>
        <c:axId val="59814272"/>
      </c:barChart>
      <c:lineChart>
        <c:grouping val="standard"/>
        <c:varyColors val="0"/>
        <c:ser>
          <c:idx val="2"/>
          <c:order val="1"/>
          <c:tx>
            <c:strRef>
              <c:f>'Outcome 14 Y7 '!$A$29</c:f>
              <c:strCache>
                <c:ptCount val="1"/>
                <c:pt idx="0">
                  <c:v>Year 7 Target</c:v>
                </c:pt>
              </c:strCache>
            </c:strRef>
          </c:tx>
          <c:marker>
            <c:symbol val="none"/>
          </c:marker>
          <c:cat>
            <c:numRef>
              <c:f>'Outcome 14 Y7 '!$C$26:$M$26</c:f>
              <c:numCache>
                <c:formatCode>mmm\-yy</c:formatCode>
                <c:ptCount val="11"/>
                <c:pt idx="0">
                  <c:v>43009</c:v>
                </c:pt>
                <c:pt idx="1">
                  <c:v>43040</c:v>
                </c:pt>
                <c:pt idx="2">
                  <c:v>43070</c:v>
                </c:pt>
                <c:pt idx="3">
                  <c:v>43101</c:v>
                </c:pt>
                <c:pt idx="4">
                  <c:v>43132</c:v>
                </c:pt>
                <c:pt idx="5">
                  <c:v>43160</c:v>
                </c:pt>
                <c:pt idx="6">
                  <c:v>43191</c:v>
                </c:pt>
                <c:pt idx="7">
                  <c:v>43221</c:v>
                </c:pt>
                <c:pt idx="8">
                  <c:v>43252</c:v>
                </c:pt>
                <c:pt idx="9">
                  <c:v>43282</c:v>
                </c:pt>
              </c:numCache>
            </c:numRef>
          </c:cat>
          <c:val>
            <c:numRef>
              <c:f>'Outcome 14 Y7 '!$C$29:$M$29</c:f>
              <c:numCache>
                <c:formatCode>0%</c:formatCode>
                <c:ptCount val="11"/>
                <c:pt idx="0">
                  <c:v>0.45</c:v>
                </c:pt>
                <c:pt idx="1">
                  <c:v>0.45</c:v>
                </c:pt>
                <c:pt idx="2">
                  <c:v>0.45</c:v>
                </c:pt>
                <c:pt idx="3">
                  <c:v>0.45</c:v>
                </c:pt>
                <c:pt idx="4">
                  <c:v>0.45</c:v>
                </c:pt>
                <c:pt idx="5">
                  <c:v>0.45</c:v>
                </c:pt>
                <c:pt idx="6">
                  <c:v>0.45</c:v>
                </c:pt>
                <c:pt idx="7">
                  <c:v>0.45</c:v>
                </c:pt>
                <c:pt idx="8">
                  <c:v>0.45</c:v>
                </c:pt>
                <c:pt idx="9">
                  <c:v>0.45</c:v>
                </c:pt>
              </c:numCache>
            </c:numRef>
          </c:val>
          <c:smooth val="0"/>
          <c:extLst>
            <c:ext xmlns:c16="http://schemas.microsoft.com/office/drawing/2014/chart" uri="{C3380CC4-5D6E-409C-BE32-E72D297353CC}">
              <c16:uniqueId val="{00000005-9FD9-41BC-960A-6C57604B0DB5}"/>
            </c:ext>
          </c:extLst>
        </c:ser>
        <c:dLbls>
          <c:showLegendKey val="0"/>
          <c:showVal val="0"/>
          <c:showCatName val="0"/>
          <c:showSerName val="0"/>
          <c:showPercent val="0"/>
          <c:showBubbleSize val="0"/>
        </c:dLbls>
        <c:marker val="1"/>
        <c:smooth val="0"/>
        <c:axId val="59304576"/>
        <c:axId val="59814272"/>
      </c:lineChart>
      <c:dateAx>
        <c:axId val="59304576"/>
        <c:scaling>
          <c:orientation val="minMax"/>
        </c:scaling>
        <c:delete val="0"/>
        <c:axPos val="b"/>
        <c:numFmt formatCode="mmm\-yy" sourceLinked="1"/>
        <c:majorTickMark val="out"/>
        <c:minorTickMark val="none"/>
        <c:tickLblPos val="nextTo"/>
        <c:crossAx val="59814272"/>
        <c:crosses val="autoZero"/>
        <c:auto val="1"/>
        <c:lblOffset val="100"/>
        <c:baseTimeUnit val="months"/>
      </c:dateAx>
      <c:valAx>
        <c:axId val="59814272"/>
        <c:scaling>
          <c:orientation val="minMax"/>
          <c:min val="0"/>
        </c:scaling>
        <c:delete val="0"/>
        <c:axPos val="l"/>
        <c:majorGridlines/>
        <c:numFmt formatCode="0%" sourceLinked="0"/>
        <c:majorTickMark val="out"/>
        <c:minorTickMark val="none"/>
        <c:tickLblPos val="nextTo"/>
        <c:crossAx val="59304576"/>
        <c:crosses val="autoZero"/>
        <c:crossBetween val="between"/>
      </c:valAx>
    </c:plotArea>
    <c:legend>
      <c:legendPos val="r"/>
      <c:layout>
        <c:manualLayout>
          <c:xMode val="edge"/>
          <c:yMode val="edge"/>
          <c:x val="0.81670364537766116"/>
          <c:y val="0.34879284826238827"/>
          <c:w val="0.17440746573345031"/>
          <c:h val="0.57309099520454765"/>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WPContributor xmlns="01d2705b-266c-471f-bbad-ca9cc3733704">
      <UserInfo>
        <DisplayName/>
        <AccountId xsi:nil="true"/>
        <AccountType/>
      </UserInfo>
    </IWPContributor>
    <Comments xmlns="http://schemas.microsoft.com/sharepoint/v3" xsi:nil="true"/>
    <TaxCatchAll xmlns="4259d123-e6a2-4a39-9cc4-e247171b8278">
      <Value>3</Value>
      <Value>2</Value>
      <Value>1</Value>
    </TaxCatchAll>
    <_dlc_DocId xmlns="4259d123-e6a2-4a39-9cc4-e247171b8278">HKPH4XM4QHZ4-1883831546-50111</_dlc_DocId>
    <_dlc_DocIdUrl xmlns="4259d123-e6a2-4a39-9cc4-e247171b8278">
      <Url>https://educationgovuk.sharepoint.com/sites/ttg/d/_layouts/15/DocIdRedir.aspx?ID=HKPH4XM4QHZ4-1883831546-50111</Url>
      <Description>HKPH4XM4QHZ4-1883831546-50111</Description>
    </_dlc_DocIdUrl>
    <fcfa2e3a102f492eb9989c5396408ed9 xmlns="4259d123-e6a2-4a39-9cc4-e247171b8278">
      <Terms xmlns="http://schemas.microsoft.com/office/infopath/2007/PartnerControls"/>
    </fcfa2e3a102f492eb9989c5396408ed9>
    <TaxCatchAllLabel xmlns="4259d123-e6a2-4a39-9cc4-e247171b8278"/>
    <ce5af11cf85042fda4c4f1f7f633f15b xmlns="4259d123-e6a2-4a39-9cc4-e247171b827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e5af11cf85042fda4c4f1f7f633f15b>
    <ba8d4f2c4b764194bae6c355bbdcc1eb xmlns="4259d123-e6a2-4a39-9cc4-e247171b8278">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ba8d4f2c4b764194bae6c355bbdcc1eb>
    <_vti_ItemDeclaredRecord xmlns="http://schemas.microsoft.com/sharepoint/v3" xsi:nil="true"/>
    <b11dec6ce0c448c0844aaa6ccb665a34 xmlns="4259d123-e6a2-4a39-9cc4-e247171b8278">
      <Terms xmlns="http://schemas.microsoft.com/office/infopath/2007/PartnerControls"/>
    </b11dec6ce0c448c0844aaa6ccb665a34>
    <h5181134883947a99a38d116ffff0102 xmlns="9f3f92a8-473c-4608-bac3-6eb86d935198">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9f3f92a8-473c-4608-bac3-6eb86d935198">
      <Terms xmlns="http://schemas.microsoft.com/office/infopath/2007/PartnerControls"/>
    </h5181134883947a99a38d116ffff0006>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Other briefing" ma:contentTypeID="0x0101003D8DE97B5F6A5E4385284C1FFBEDADD60900885B21747AAC4445B8D0C35AA84078F6" ma:contentTypeVersion="33" ma:contentTypeDescription="For any briefing which is not in relation to a department policy. Records retained for 10 years." ma:contentTypeScope="" ma:versionID="401d9327ad14eefd7fa221f02d53c70b">
  <xsd:schema xmlns:xsd="http://www.w3.org/2001/XMLSchema" xmlns:xs="http://www.w3.org/2001/XMLSchema" xmlns:p="http://schemas.microsoft.com/office/2006/metadata/properties" xmlns:ns1="http://schemas.microsoft.com/sharepoint/v3" xmlns:ns2="4259d123-e6a2-4a39-9cc4-e247171b8278" xmlns:ns3="01d2705b-266c-471f-bbad-ca9cc3733704" xmlns:ns4="9f3f92a8-473c-4608-bac3-6eb86d935198" targetNamespace="http://schemas.microsoft.com/office/2006/metadata/properties" ma:root="true" ma:fieldsID="3b1eed54426b3fca24fd8fb7ba32e1dc" ns1:_="" ns2:_="" ns3:_="" ns4:_="">
    <xsd:import namespace="http://schemas.microsoft.com/sharepoint/v3"/>
    <xsd:import namespace="4259d123-e6a2-4a39-9cc4-e247171b8278"/>
    <xsd:import namespace="01d2705b-266c-471f-bbad-ca9cc3733704"/>
    <xsd:import namespace="9f3f92a8-473c-4608-bac3-6eb86d935198"/>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b11dec6ce0c448c0844aaa6ccb665a34" minOccurs="0"/>
                <xsd:element ref="ns2:ce5af11cf85042fda4c4f1f7f633f15b" minOccurs="0"/>
                <xsd:element ref="ns2:fcfa2e3a102f492eb9989c5396408ed9" minOccurs="0"/>
                <xsd:element ref="ns2:ba8d4f2c4b764194bae6c355bbdcc1eb"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259d123-e6a2-4a39-9cc4-e247171b82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da1b62f6-7c55-4857-80e2-86b00f747f63}" ma:internalName="TaxCatchAll" ma:readOnly="false" ma:showField="CatchAllData" ma:web="4259d123-e6a2-4a39-9cc4-e247171b8278">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da1b62f6-7c55-4857-80e2-86b00f747f63}" ma:internalName="TaxCatchAllLabel" ma:readOnly="false" ma:showField="CatchAllDataLabel" ma:web="4259d123-e6a2-4a39-9cc4-e247171b8278">
      <xsd:complexType>
        <xsd:complexContent>
          <xsd:extension base="dms:MultiChoiceLookup">
            <xsd:sequence>
              <xsd:element name="Value" type="dms:Lookup" maxOccurs="unbounded" minOccurs="0" nillable="true"/>
            </xsd:sequence>
          </xsd:extension>
        </xsd:complexContent>
      </xsd:complexType>
    </xsd:element>
    <xsd:element name="b11dec6ce0c448c0844aaa6ccb665a34" ma:index="22" nillable="true" ma:taxonomy="true" ma:internalName="b11dec6ce0c448c0844aaa6ccb665a34" ma:taxonomyFieldName="IWPFunction" ma:displayName="Function" ma:readOnly="false" ma:fieldId="{b11dec6c-e0c4-48c0-844a-aa6ccb665a34}"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ce5af11cf85042fda4c4f1f7f633f15b" ma:index="23" ma:taxonomy="true" ma:internalName="ce5af11cf85042fda4c4f1f7f633f15b" ma:taxonomyFieldName="IWPRightsProtectiveMarking" ma:displayName="Rights: Protective Marking" ma:readOnly="false" ma:default="1;#Official|0884c477-2e62-47ea-b19c-5af6e91124c5" ma:fieldId="{ce5af11c-f850-42fd-a4c4-f1f7f633f15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fcfa2e3a102f492eb9989c5396408ed9" ma:index="24" nillable="true" ma:taxonomy="true" ma:internalName="fcfa2e3a102f492eb9989c5396408ed9" ma:taxonomyFieldName="IWPSiteType" ma:displayName="Site Type" ma:readOnly="false" ma:fieldId="{fcfa2e3a-102f-492e-b998-9c5396408ed9}"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ba8d4f2c4b764194bae6c355bbdcc1eb" ma:index="25" ma:taxonomy="true" ma:internalName="ba8d4f2c4b764194bae6c355bbdcc1eb" ma:taxonomyFieldName="IWPOrganisationalUnit" ma:displayName="Organisational Unit" ma:readOnly="false" ma:default="2;#DfE|cc08a6d4-dfde-4d0f-bd85-069ebcef80d5" ma:fieldId="{ba8d4f2c-4b76-4194-bae6-c355bbdcc1e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d2705b-266c-471f-bbad-ca9cc3733704"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3f92a8-473c-4608-bac3-6eb86d935198"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8BF90-8498-4A9B-B138-4920C5221B38}">
  <ds:schemaRefs>
    <ds:schemaRef ds:uri="http://purl.org/dc/terms/"/>
    <ds:schemaRef ds:uri="http://schemas.openxmlformats.org/package/2006/metadata/core-properties"/>
    <ds:schemaRef ds:uri="9f3f92a8-473c-4608-bac3-6eb86d935198"/>
    <ds:schemaRef ds:uri="http://schemas.microsoft.com/office/2006/documentManagement/types"/>
    <ds:schemaRef ds:uri="http://schemas.microsoft.com/office/infopath/2007/PartnerControls"/>
    <ds:schemaRef ds:uri="http://purl.org/dc/elements/1.1/"/>
    <ds:schemaRef ds:uri="http://schemas.microsoft.com/office/2006/metadata/properties"/>
    <ds:schemaRef ds:uri="4259d123-e6a2-4a39-9cc4-e247171b8278"/>
    <ds:schemaRef ds:uri="http://schemas.microsoft.com/sharepoint/v3"/>
    <ds:schemaRef ds:uri="01d2705b-266c-471f-bbad-ca9cc3733704"/>
    <ds:schemaRef ds:uri="http://www.w3.org/XML/1998/namespace"/>
    <ds:schemaRef ds:uri="http://purl.org/dc/dcmitype/"/>
  </ds:schemaRefs>
</ds:datastoreItem>
</file>

<file path=customXml/itemProps2.xml><?xml version="1.0" encoding="utf-8"?>
<ds:datastoreItem xmlns:ds="http://schemas.openxmlformats.org/officeDocument/2006/customXml" ds:itemID="{DB8D43B7-F098-4BFC-B8FA-715B6B29AF49}">
  <ds:schemaRefs>
    <ds:schemaRef ds:uri="http://schemas.microsoft.com/sharepoint/events"/>
  </ds:schemaRefs>
</ds:datastoreItem>
</file>

<file path=customXml/itemProps3.xml><?xml version="1.0" encoding="utf-8"?>
<ds:datastoreItem xmlns:ds="http://schemas.openxmlformats.org/officeDocument/2006/customXml" ds:itemID="{133E588A-6E9E-4B0B-85CB-422CE795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59d123-e6a2-4a39-9cc4-e247171b8278"/>
    <ds:schemaRef ds:uri="01d2705b-266c-471f-bbad-ca9cc3733704"/>
    <ds:schemaRef ds:uri="9f3f92a8-473c-4608-bac3-6eb86d935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36EB68-3F08-4D92-B797-3B9A04691772}">
  <ds:schemaRefs>
    <ds:schemaRef ds:uri="http://schemas.microsoft.com/sharepoint/v3/contenttype/forms"/>
  </ds:schemaRefs>
</ds:datastoreItem>
</file>

<file path=customXml/itemProps5.xml><?xml version="1.0" encoding="utf-8"?>
<ds:datastoreItem xmlns:ds="http://schemas.openxmlformats.org/officeDocument/2006/customXml" ds:itemID="{37F046BD-3CF1-4B6C-B6DC-51C65685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4203</Words>
  <Characters>23959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v3 JR QA and amends</vt:lpstr>
    </vt:vector>
  </TitlesOfParts>
  <Company>Employee Benefits</Company>
  <LinksUpToDate>false</LinksUpToDate>
  <CharactersWithSpaces>28106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v3 JR QA and amends</dc:title>
  <dc:creator>LEES, Richard</dc:creator>
  <cp:lastModifiedBy>CAMMACK, Karen</cp:lastModifiedBy>
  <cp:revision>3</cp:revision>
  <cp:lastPrinted>2018-06-07T12:52:00Z</cp:lastPrinted>
  <dcterms:created xsi:type="dcterms:W3CDTF">2019-01-31T09:39:00Z</dcterms:created>
  <dcterms:modified xsi:type="dcterms:W3CDTF">2019-01-31T09:41:00Z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0x0101003D8DE97B5F6A5E4385284C1FFBEDADD60900885B21747AAC4445B8D0C35AA84078F6</vt:lpwstr>
  </property>
  <property fmtid="{D5CDD505-2E9C-101B-9397-08002B2CF9AE}" pid="3" name="IWPOrganisationalUnit">
    <vt:lpwstr>2;#DfE|cc08a6d4-dfde-4d0f-bd85-069ebcef80d5</vt:lpwstr>
  </property>
  <property fmtid="{D5CDD505-2E9C-101B-9397-08002B2CF9AE}" pid="4" name="IWPOwner">
    <vt:lpwstr>3;#DfE|a484111e-5b24-4ad9-9778-c536c8c88985</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1;#Official|0884c477-2e62-47ea-b19c-5af6e91124c5</vt:lpwstr>
  </property>
  <property fmtid="{D5CDD505-2E9C-101B-9397-08002B2CF9AE}" pid="9" name="_dlc_DocIdItemGuid">
    <vt:lpwstr>c4e339e5-66d7-4c21-905f-90a901b2c47f</vt:lpwstr>
  </property>
</Properties>
</file>