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8F6D3" w14:textId="77777777" w:rsidR="00F24CA1" w:rsidRPr="00F2025C" w:rsidRDefault="00F24CA1" w:rsidP="00F24CA1">
      <w:pPr>
        <w:jc w:val="center"/>
        <w:rPr>
          <w:rFonts w:cs="Arial"/>
          <w:b/>
          <w:sz w:val="28"/>
          <w:szCs w:val="28"/>
        </w:rPr>
      </w:pPr>
      <w:r w:rsidRPr="00F2025C">
        <w:rPr>
          <w:rFonts w:cs="Arial"/>
          <w:b/>
          <w:sz w:val="28"/>
          <w:szCs w:val="28"/>
        </w:rPr>
        <w:t xml:space="preserve">Finance </w:t>
      </w:r>
    </w:p>
    <w:p w14:paraId="1551E0AF" w14:textId="77777777" w:rsidR="00F24CA1" w:rsidRPr="00F2025C" w:rsidRDefault="00F24CA1" w:rsidP="00F24CA1">
      <w:pPr>
        <w:jc w:val="center"/>
        <w:rPr>
          <w:rFonts w:cs="Arial"/>
          <w:b/>
          <w:sz w:val="28"/>
          <w:szCs w:val="28"/>
        </w:rPr>
      </w:pPr>
    </w:p>
    <w:tbl>
      <w:tblPr>
        <w:tblStyle w:val="TableGrid"/>
        <w:tblW w:w="0" w:type="auto"/>
        <w:tblInd w:w="108" w:type="dxa"/>
        <w:tblLook w:val="04A0" w:firstRow="1" w:lastRow="0" w:firstColumn="1" w:lastColumn="0" w:noHBand="0" w:noVBand="1"/>
      </w:tblPr>
      <w:tblGrid>
        <w:gridCol w:w="7230"/>
        <w:gridCol w:w="1134"/>
      </w:tblGrid>
      <w:tr w:rsidR="00F24CA1" w:rsidRPr="00F2025C" w14:paraId="18CBEDBD" w14:textId="77777777" w:rsidTr="00077322">
        <w:tc>
          <w:tcPr>
            <w:tcW w:w="7230" w:type="dxa"/>
          </w:tcPr>
          <w:p w14:paraId="01255FDC" w14:textId="77777777" w:rsidR="00F24CA1" w:rsidRPr="00F2025C" w:rsidRDefault="00F24CA1" w:rsidP="00077322">
            <w:pPr>
              <w:rPr>
                <w:rFonts w:cs="Arial"/>
                <w:b/>
                <w:sz w:val="22"/>
                <w:szCs w:val="22"/>
                <w:lang w:eastAsia="en-GB"/>
              </w:rPr>
            </w:pPr>
          </w:p>
          <w:p w14:paraId="11DB3CF0" w14:textId="77777777" w:rsidR="00F24CA1" w:rsidRPr="00F2025C" w:rsidRDefault="00F24CA1" w:rsidP="00077322">
            <w:pPr>
              <w:rPr>
                <w:rFonts w:cs="Arial"/>
                <w:b/>
                <w:sz w:val="22"/>
                <w:szCs w:val="22"/>
                <w:lang w:eastAsia="en-GB"/>
              </w:rPr>
            </w:pPr>
            <w:r w:rsidRPr="00F2025C">
              <w:rPr>
                <w:rFonts w:cs="Arial"/>
                <w:b/>
                <w:sz w:val="22"/>
                <w:szCs w:val="22"/>
                <w:lang w:eastAsia="en-GB"/>
              </w:rPr>
              <w:t>Cash Income and Expenditure</w:t>
            </w:r>
            <w:r w:rsidR="006E34DF" w:rsidRPr="00F2025C">
              <w:rPr>
                <w:rFonts w:cs="Arial"/>
                <w:b/>
                <w:sz w:val="22"/>
                <w:szCs w:val="22"/>
                <w:lang w:eastAsia="en-GB"/>
              </w:rPr>
              <w:t xml:space="preserve"> (net cash requirement)</w:t>
            </w:r>
          </w:p>
          <w:p w14:paraId="22BD77A4" w14:textId="77777777" w:rsidR="00F24CA1" w:rsidRPr="00F2025C" w:rsidRDefault="00F24CA1" w:rsidP="00077322">
            <w:pPr>
              <w:rPr>
                <w:rFonts w:cs="Arial"/>
                <w:b/>
                <w:sz w:val="22"/>
                <w:szCs w:val="22"/>
              </w:rPr>
            </w:pPr>
          </w:p>
        </w:tc>
        <w:tc>
          <w:tcPr>
            <w:tcW w:w="1134" w:type="dxa"/>
            <w:shd w:val="clear" w:color="auto" w:fill="00B050"/>
          </w:tcPr>
          <w:p w14:paraId="59A39340" w14:textId="77777777" w:rsidR="00F24CA1" w:rsidRPr="00F2025C" w:rsidRDefault="00F24CA1" w:rsidP="00077322">
            <w:pPr>
              <w:rPr>
                <w:rFonts w:cs="Arial"/>
                <w:sz w:val="22"/>
                <w:szCs w:val="22"/>
              </w:rPr>
            </w:pPr>
          </w:p>
          <w:p w14:paraId="7354D713" w14:textId="77777777" w:rsidR="00F24CA1" w:rsidRPr="00F2025C" w:rsidRDefault="00174F49" w:rsidP="00077322">
            <w:pPr>
              <w:rPr>
                <w:rFonts w:cs="Arial"/>
                <w:sz w:val="22"/>
                <w:szCs w:val="22"/>
              </w:rPr>
            </w:pPr>
            <w:r>
              <w:rPr>
                <w:rFonts w:cs="Arial"/>
                <w:noProof/>
                <w:szCs w:val="24"/>
                <w:lang w:eastAsia="en-GB"/>
              </w:rPr>
              <mc:AlternateContent>
                <mc:Choice Requires="wps">
                  <w:drawing>
                    <wp:anchor distT="4294967293" distB="4294967293" distL="114300" distR="114300" simplePos="0" relativeHeight="251687936" behindDoc="0" locked="0" layoutInCell="1" allowOverlap="1" wp14:anchorId="7FB784F2" wp14:editId="3E742B9B">
                      <wp:simplePos x="0" y="0"/>
                      <wp:positionH relativeFrom="column">
                        <wp:posOffset>118110</wp:posOffset>
                      </wp:positionH>
                      <wp:positionV relativeFrom="paragraph">
                        <wp:posOffset>91439</wp:posOffset>
                      </wp:positionV>
                      <wp:extent cx="350520" cy="0"/>
                      <wp:effectExtent l="0" t="76200" r="30480" b="15240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6DB2A6A1" id="_x0000_t32" coordsize="21600,21600" o:spt="32" o:oned="t" path="m,l21600,21600e" filled="f">
                      <v:path arrowok="t" fillok="f" o:connecttype="none"/>
                      <o:lock v:ext="edit" shapetype="t"/>
                    </v:shapetype>
                    <v:shape id="Straight Arrow Connector 2" o:spid="_x0000_s1026" type="#_x0000_t32" style="position:absolute;margin-left:9.3pt;margin-top:7.2pt;width:27.6pt;height:0;z-index:251687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XPLQIAAFgEAAAOAAAAZHJzL2Uyb0RvYy54bWysVE2P0zAQvSPxHyzfadouRauo6Qq1LJcV&#10;VHQR56njJBaObc24TfvvGTtt2YUbIgfL4/nwe2/GWT6ceiuOGsl4V8nZZCqFdsrXxrWV/P78+O5e&#10;CorgarDe6UqeNcmH1ds3yyGUeu47b2uNgos4KodQyS7GUBYFqU73QBMftGNn47GHyCa2RY0wcPXe&#10;FvPp9EMxeKwDeqWJ+HQzOuUq128areLXpiEdha0kY4t5xbzu01qsllC2CKEz6gID/gFFD8bxpbdS&#10;G4ggDmj+KtUbhZ58EyfK94VvGqN05sBsZtM/2Ow6CDpzYXEo3GSi/1dWfTluUZiaeyeFg55btIsI&#10;pu2i+IjoB7H2zrGMHsU8qTUEKjlp7baY+KqT24Unr34S+4pXzmRQGMNODfYpnAmLU1b/fFNfn6JQ&#10;fHi3mC7m3CN1dRVQXvMCUvysfS/SppJ0gXjDNsviw/GJYsIB5TUhXer8o7E2d9o6MVRyvng/TRcB&#10;D1xjIfK2DywBuVYKsC1PsoqYS5K3pk7pqRCdaW1RHIGHiWew9sMzg5fCAkV2MKP8JZkYwqvUhGcD&#10;1I3J2TXOXgRjP7laxHNg7SFJfsm3Lt2p8xAzryzfIWrcdfUg9vaA34AxM5PEpTZJF34Ro8FYEsds&#10;oY8/TOzyMCXRMxNs9zcqOW48Bxs6GDHe3afsC5UxPNPyVwzZegEvd39seGr93tfnLab8ZPH45vjL&#10;U0vv46Wdo37/EFa/AAAA//8DAFBLAwQUAAYACAAAACEA7liPwdsAAAAHAQAADwAAAGRycy9kb3du&#10;cmV2LnhtbEyPzU7DMBCE70i8g7WVuFGnUNIqjVPxL3FBIvQB3HibpI3XUez8lKdnEQc4rUYzmv0m&#10;3U62EQN2vnakYDGPQCAVztRUKth9vlyvQfigyejGESo4o4dtdnmR6sS4kT5wyEMpuIR8ohVUIbSJ&#10;lL6o0Go/dy0SewfXWR1YdqU0nR653DbyJopiaXVN/KHSLT5WWJzy3ir4sk/0bIe71/44xG/j+8M5&#10;Oq1ypa5m0/0GRMAp/IXhB5/RIWOmvevJeNGwXsec5LtcgmB/dctL9r9aZqn8z599AwAA//8DAFBL&#10;AQItABQABgAIAAAAIQC2gziS/gAAAOEBAAATAAAAAAAAAAAAAAAAAAAAAABbQ29udGVudF9UeXBl&#10;c10ueG1sUEsBAi0AFAAGAAgAAAAhADj9If/WAAAAlAEAAAsAAAAAAAAAAAAAAAAALwEAAF9yZWxz&#10;Ly5yZWxzUEsBAi0AFAAGAAgAAAAhAIhBFc8tAgAAWAQAAA4AAAAAAAAAAAAAAAAALgIAAGRycy9l&#10;Mm9Eb2MueG1sUEsBAi0AFAAGAAgAAAAhAO5Yj8HbAAAABwEAAA8AAAAAAAAAAAAAAAAAhwQAAGRy&#10;cy9kb3ducmV2LnhtbFBLBQYAAAAABAAEAPMAAACPBQAAAAA=&#10;" strokecolor="windowText" strokeweight="2pt">
                      <v:stroke endarrow="open"/>
                      <v:shadow on="t" color="black" opacity="24903f" origin=",.5" offset="0,.55556mm"/>
                      <o:lock v:ext="edit" shapetype="f"/>
                    </v:shape>
                  </w:pict>
                </mc:Fallback>
              </mc:AlternateContent>
            </w:r>
          </w:p>
        </w:tc>
      </w:tr>
    </w:tbl>
    <w:p w14:paraId="626C2C9F" w14:textId="77777777" w:rsidR="00F24CA1" w:rsidRPr="00F2025C" w:rsidRDefault="00F24CA1" w:rsidP="00F24CA1">
      <w:pPr>
        <w:pStyle w:val="ListParagraph"/>
        <w:widowControl/>
        <w:tabs>
          <w:tab w:val="left" w:pos="8222"/>
        </w:tabs>
        <w:overflowPunct/>
        <w:autoSpaceDE/>
        <w:autoSpaceDN/>
        <w:adjustRightInd/>
        <w:spacing w:line="276" w:lineRule="auto"/>
        <w:ind w:right="-58"/>
        <w:textAlignment w:val="auto"/>
        <w:rPr>
          <w:rFonts w:asciiTheme="minorHAnsi" w:hAnsiTheme="minorHAnsi" w:cs="Arial"/>
          <w:sz w:val="22"/>
          <w:szCs w:val="22"/>
        </w:rPr>
      </w:pPr>
    </w:p>
    <w:p w14:paraId="6AF8BC1B" w14:textId="77777777" w:rsidR="002B0C98" w:rsidRPr="00F2025C" w:rsidRDefault="00D87894" w:rsidP="007E6DC7">
      <w:pPr>
        <w:pStyle w:val="ListParagraph"/>
        <w:widowControl/>
        <w:numPr>
          <w:ilvl w:val="0"/>
          <w:numId w:val="5"/>
        </w:numPr>
        <w:tabs>
          <w:tab w:val="left" w:pos="8222"/>
        </w:tabs>
        <w:overflowPunct/>
        <w:autoSpaceDE/>
        <w:autoSpaceDN/>
        <w:adjustRightInd/>
        <w:ind w:right="-57"/>
        <w:textAlignment w:val="auto"/>
        <w:rPr>
          <w:rFonts w:cs="Arial"/>
          <w:sz w:val="22"/>
          <w:szCs w:val="22"/>
        </w:rPr>
      </w:pPr>
      <w:r w:rsidRPr="00F2025C">
        <w:rPr>
          <w:rFonts w:cs="Arial"/>
          <w:sz w:val="22"/>
          <w:szCs w:val="22"/>
        </w:rPr>
        <w:t>T</w:t>
      </w:r>
      <w:r w:rsidR="003C2302" w:rsidRPr="00F2025C">
        <w:rPr>
          <w:rFonts w:cs="Arial"/>
          <w:sz w:val="22"/>
          <w:szCs w:val="22"/>
        </w:rPr>
        <w:t>he</w:t>
      </w:r>
      <w:r w:rsidRPr="00F2025C">
        <w:rPr>
          <w:rFonts w:cs="Arial"/>
          <w:sz w:val="22"/>
          <w:szCs w:val="22"/>
        </w:rPr>
        <w:t xml:space="preserve"> </w:t>
      </w:r>
      <w:r w:rsidR="00B14F38">
        <w:rPr>
          <w:rFonts w:cs="Arial"/>
          <w:sz w:val="22"/>
          <w:szCs w:val="22"/>
        </w:rPr>
        <w:t>January</w:t>
      </w:r>
      <w:r w:rsidR="008D14FF" w:rsidRPr="00F2025C">
        <w:rPr>
          <w:rFonts w:cs="Arial"/>
          <w:sz w:val="22"/>
          <w:szCs w:val="22"/>
        </w:rPr>
        <w:t xml:space="preserve"> </w:t>
      </w:r>
      <w:r w:rsidRPr="00F2025C">
        <w:rPr>
          <w:rFonts w:cs="Arial"/>
          <w:sz w:val="22"/>
          <w:szCs w:val="22"/>
        </w:rPr>
        <w:t xml:space="preserve">year </w:t>
      </w:r>
      <w:r w:rsidR="008D14FF" w:rsidRPr="00F2025C">
        <w:rPr>
          <w:rFonts w:cs="Arial"/>
          <w:sz w:val="22"/>
          <w:szCs w:val="22"/>
        </w:rPr>
        <w:t>to date p</w:t>
      </w:r>
      <w:r w:rsidR="00B14F38">
        <w:rPr>
          <w:rFonts w:cs="Arial"/>
          <w:sz w:val="22"/>
          <w:szCs w:val="22"/>
        </w:rPr>
        <w:t>osition reported income at £1.5million (m) down against the forecast of £5,275m with £5,273</w:t>
      </w:r>
      <w:r w:rsidR="008D14FF" w:rsidRPr="00F2025C">
        <w:rPr>
          <w:rFonts w:cs="Arial"/>
          <w:sz w:val="22"/>
          <w:szCs w:val="22"/>
        </w:rPr>
        <w:t>m received. T</w:t>
      </w:r>
      <w:r w:rsidR="00B14F38">
        <w:rPr>
          <w:rFonts w:cs="Arial"/>
          <w:sz w:val="22"/>
          <w:szCs w:val="22"/>
        </w:rPr>
        <w:t>his represents a variance of 0.0</w:t>
      </w:r>
      <w:r w:rsidR="001B3120">
        <w:rPr>
          <w:rFonts w:cs="Arial"/>
          <w:sz w:val="22"/>
          <w:szCs w:val="22"/>
        </w:rPr>
        <w:t>3</w:t>
      </w:r>
      <w:r w:rsidR="008D14FF" w:rsidRPr="00F2025C">
        <w:rPr>
          <w:rFonts w:cs="Arial"/>
          <w:sz w:val="22"/>
          <w:szCs w:val="22"/>
        </w:rPr>
        <w:t xml:space="preserve">%. Expenditure </w:t>
      </w:r>
      <w:r w:rsidR="00B14F38">
        <w:rPr>
          <w:rFonts w:cs="Arial"/>
          <w:sz w:val="22"/>
          <w:szCs w:val="22"/>
        </w:rPr>
        <w:t>saw a variance of 0.3</w:t>
      </w:r>
      <w:r w:rsidR="001B3120">
        <w:rPr>
          <w:rFonts w:cs="Arial"/>
          <w:sz w:val="22"/>
          <w:szCs w:val="22"/>
        </w:rPr>
        <w:t>%</w:t>
      </w:r>
      <w:r w:rsidR="00B14F38">
        <w:rPr>
          <w:rFonts w:cs="Arial"/>
          <w:sz w:val="22"/>
          <w:szCs w:val="22"/>
        </w:rPr>
        <w:t>, £25m less than forecast with £8,175</w:t>
      </w:r>
      <w:r w:rsidR="00C071F2" w:rsidRPr="00F2025C">
        <w:rPr>
          <w:rFonts w:cs="Arial"/>
          <w:sz w:val="22"/>
          <w:szCs w:val="22"/>
        </w:rPr>
        <w:t>m paid out compared</w:t>
      </w:r>
      <w:r w:rsidR="00B14F38">
        <w:rPr>
          <w:rFonts w:cs="Arial"/>
          <w:sz w:val="22"/>
          <w:szCs w:val="22"/>
        </w:rPr>
        <w:t xml:space="preserve"> to the £8,200</w:t>
      </w:r>
      <w:r w:rsidR="00C071F2" w:rsidRPr="00F2025C">
        <w:rPr>
          <w:rFonts w:cs="Arial"/>
          <w:sz w:val="22"/>
          <w:szCs w:val="22"/>
        </w:rPr>
        <w:t xml:space="preserve">m forecasted. </w:t>
      </w:r>
    </w:p>
    <w:p w14:paraId="63554AAC" w14:textId="77777777" w:rsidR="002B0C98" w:rsidRPr="00F2025C" w:rsidRDefault="003C2302" w:rsidP="002B0C98">
      <w:pPr>
        <w:widowControl/>
        <w:tabs>
          <w:tab w:val="left" w:pos="8222"/>
        </w:tabs>
        <w:overflowPunct/>
        <w:autoSpaceDE/>
        <w:autoSpaceDN/>
        <w:adjustRightInd/>
        <w:ind w:right="-57"/>
        <w:textAlignment w:val="auto"/>
        <w:rPr>
          <w:rFonts w:cs="Arial"/>
          <w:sz w:val="22"/>
          <w:szCs w:val="22"/>
        </w:rPr>
      </w:pPr>
      <w:r w:rsidRPr="00F2025C">
        <w:rPr>
          <w:rFonts w:cs="Arial"/>
          <w:sz w:val="22"/>
          <w:szCs w:val="22"/>
        </w:rPr>
        <w:t xml:space="preserve"> </w:t>
      </w:r>
    </w:p>
    <w:p w14:paraId="5A1E93DB" w14:textId="77777777" w:rsidR="003047BC" w:rsidRPr="00F2025C" w:rsidRDefault="00B14F38" w:rsidP="002B0C98">
      <w:pPr>
        <w:pStyle w:val="ListParagraph"/>
        <w:widowControl/>
        <w:numPr>
          <w:ilvl w:val="0"/>
          <w:numId w:val="5"/>
        </w:numPr>
        <w:tabs>
          <w:tab w:val="left" w:pos="8222"/>
        </w:tabs>
        <w:overflowPunct/>
        <w:autoSpaceDE/>
        <w:autoSpaceDN/>
        <w:adjustRightInd/>
        <w:ind w:right="-57"/>
        <w:textAlignment w:val="auto"/>
        <w:rPr>
          <w:rFonts w:cs="Arial"/>
          <w:sz w:val="22"/>
          <w:szCs w:val="22"/>
        </w:rPr>
      </w:pPr>
      <w:r>
        <w:rPr>
          <w:rFonts w:cs="Arial"/>
          <w:sz w:val="22"/>
          <w:szCs w:val="22"/>
        </w:rPr>
        <w:t>When reviewing January</w:t>
      </w:r>
      <w:r w:rsidR="00B04B32" w:rsidRPr="00F2025C">
        <w:rPr>
          <w:rFonts w:cs="Arial"/>
          <w:sz w:val="22"/>
          <w:szCs w:val="22"/>
        </w:rPr>
        <w:t xml:space="preserve"> in isolation</w:t>
      </w:r>
      <w:r w:rsidR="00980551">
        <w:rPr>
          <w:rFonts w:cs="Arial"/>
          <w:sz w:val="22"/>
          <w:szCs w:val="22"/>
        </w:rPr>
        <w:t>, f</w:t>
      </w:r>
      <w:r>
        <w:rPr>
          <w:rFonts w:cs="Arial"/>
          <w:sz w:val="22"/>
          <w:szCs w:val="22"/>
        </w:rPr>
        <w:t>ollowing the input of the Winter OBR forecast</w:t>
      </w:r>
      <w:r w:rsidR="00980551">
        <w:rPr>
          <w:rFonts w:cs="Arial"/>
          <w:sz w:val="22"/>
          <w:szCs w:val="22"/>
        </w:rPr>
        <w:t>,</w:t>
      </w:r>
      <w:r w:rsidR="00B04B32" w:rsidRPr="00F2025C">
        <w:rPr>
          <w:rFonts w:cs="Arial"/>
          <w:sz w:val="22"/>
          <w:szCs w:val="22"/>
        </w:rPr>
        <w:t xml:space="preserve"> </w:t>
      </w:r>
      <w:r w:rsidR="003047BC" w:rsidRPr="00F2025C">
        <w:rPr>
          <w:rFonts w:cs="Arial"/>
          <w:sz w:val="22"/>
          <w:szCs w:val="22"/>
        </w:rPr>
        <w:t>income</w:t>
      </w:r>
      <w:r w:rsidR="000D749C" w:rsidRPr="00F2025C">
        <w:rPr>
          <w:rFonts w:cs="Arial"/>
          <w:sz w:val="22"/>
          <w:szCs w:val="22"/>
        </w:rPr>
        <w:t xml:space="preserve"> </w:t>
      </w:r>
      <w:r w:rsidR="00F628BD" w:rsidRPr="00F2025C">
        <w:rPr>
          <w:rFonts w:cs="Arial"/>
          <w:sz w:val="22"/>
          <w:szCs w:val="22"/>
        </w:rPr>
        <w:t xml:space="preserve">was </w:t>
      </w:r>
      <w:r>
        <w:rPr>
          <w:rFonts w:cs="Arial"/>
          <w:sz w:val="22"/>
          <w:szCs w:val="22"/>
        </w:rPr>
        <w:t>£7.2</w:t>
      </w:r>
      <w:r w:rsidR="003047BC" w:rsidRPr="00F2025C">
        <w:rPr>
          <w:rFonts w:cs="Arial"/>
          <w:sz w:val="22"/>
          <w:szCs w:val="22"/>
        </w:rPr>
        <w:t xml:space="preserve">m </w:t>
      </w:r>
      <w:r>
        <w:rPr>
          <w:rFonts w:cs="Arial"/>
          <w:sz w:val="22"/>
          <w:szCs w:val="22"/>
        </w:rPr>
        <w:t>above</w:t>
      </w:r>
      <w:r w:rsidR="00F628BD" w:rsidRPr="00F2025C">
        <w:rPr>
          <w:rFonts w:cs="Arial"/>
          <w:sz w:val="22"/>
          <w:szCs w:val="22"/>
        </w:rPr>
        <w:t xml:space="preserve"> estimate, </w:t>
      </w:r>
      <w:r w:rsidR="003047BC" w:rsidRPr="00F2025C">
        <w:rPr>
          <w:rFonts w:cs="Arial"/>
          <w:sz w:val="22"/>
          <w:szCs w:val="22"/>
        </w:rPr>
        <w:t>a</w:t>
      </w:r>
      <w:r w:rsidR="00F628BD" w:rsidRPr="00F2025C">
        <w:rPr>
          <w:rFonts w:cs="Arial"/>
          <w:sz w:val="22"/>
          <w:szCs w:val="22"/>
        </w:rPr>
        <w:t xml:space="preserve"> </w:t>
      </w:r>
      <w:r>
        <w:rPr>
          <w:rFonts w:cs="Arial"/>
          <w:sz w:val="22"/>
          <w:szCs w:val="22"/>
        </w:rPr>
        <w:t>variance of 1.4</w:t>
      </w:r>
      <w:r w:rsidR="003047BC" w:rsidRPr="00F2025C">
        <w:rPr>
          <w:rFonts w:cs="Arial"/>
          <w:sz w:val="22"/>
          <w:szCs w:val="22"/>
        </w:rPr>
        <w:t>%</w:t>
      </w:r>
      <w:r w:rsidR="00980551">
        <w:rPr>
          <w:rFonts w:cs="Arial"/>
          <w:sz w:val="22"/>
          <w:szCs w:val="22"/>
        </w:rPr>
        <w:t xml:space="preserve"> for the month</w:t>
      </w:r>
      <w:r w:rsidR="008C2030" w:rsidRPr="00F2025C">
        <w:rPr>
          <w:rFonts w:cs="Arial"/>
          <w:sz w:val="22"/>
          <w:szCs w:val="22"/>
        </w:rPr>
        <w:t>.</w:t>
      </w:r>
      <w:r w:rsidR="003047BC" w:rsidRPr="00F2025C">
        <w:rPr>
          <w:rFonts w:cs="Arial"/>
          <w:sz w:val="22"/>
          <w:szCs w:val="22"/>
        </w:rPr>
        <w:t xml:space="preserve"> </w:t>
      </w:r>
      <w:r>
        <w:rPr>
          <w:rFonts w:cs="Arial"/>
          <w:sz w:val="22"/>
          <w:szCs w:val="22"/>
        </w:rPr>
        <w:t>£526.6</w:t>
      </w:r>
      <w:r w:rsidR="00D87894" w:rsidRPr="00F2025C">
        <w:rPr>
          <w:rFonts w:cs="Arial"/>
          <w:sz w:val="22"/>
          <w:szCs w:val="22"/>
        </w:rPr>
        <w:t>m was received during the month c</w:t>
      </w:r>
      <w:r>
        <w:rPr>
          <w:rFonts w:cs="Arial"/>
          <w:sz w:val="22"/>
          <w:szCs w:val="22"/>
        </w:rPr>
        <w:t>ompared to the forecasted £519.4</w:t>
      </w:r>
      <w:r w:rsidR="00D87894" w:rsidRPr="00F2025C">
        <w:rPr>
          <w:rFonts w:cs="Arial"/>
          <w:sz w:val="22"/>
          <w:szCs w:val="22"/>
        </w:rPr>
        <w:t xml:space="preserve">m. </w:t>
      </w:r>
    </w:p>
    <w:p w14:paraId="621B1D8F" w14:textId="77777777" w:rsidR="003047BC" w:rsidRPr="00F2025C" w:rsidRDefault="003047BC" w:rsidP="003047BC">
      <w:pPr>
        <w:widowControl/>
        <w:tabs>
          <w:tab w:val="left" w:pos="8222"/>
        </w:tabs>
        <w:overflowPunct/>
        <w:autoSpaceDE/>
        <w:autoSpaceDN/>
        <w:adjustRightInd/>
        <w:ind w:right="-57"/>
        <w:textAlignment w:val="auto"/>
        <w:rPr>
          <w:rFonts w:cs="Arial"/>
          <w:sz w:val="22"/>
          <w:szCs w:val="22"/>
        </w:rPr>
      </w:pPr>
    </w:p>
    <w:p w14:paraId="4549F175" w14:textId="77777777" w:rsidR="00F24CA1" w:rsidRPr="00F2025C" w:rsidRDefault="00B04B32" w:rsidP="002B0C98">
      <w:pPr>
        <w:pStyle w:val="ListParagraph"/>
        <w:widowControl/>
        <w:numPr>
          <w:ilvl w:val="0"/>
          <w:numId w:val="5"/>
        </w:numPr>
        <w:tabs>
          <w:tab w:val="left" w:pos="8222"/>
        </w:tabs>
        <w:overflowPunct/>
        <w:autoSpaceDE/>
        <w:autoSpaceDN/>
        <w:adjustRightInd/>
        <w:ind w:right="-57"/>
        <w:textAlignment w:val="auto"/>
        <w:rPr>
          <w:sz w:val="22"/>
          <w:szCs w:val="22"/>
        </w:rPr>
      </w:pPr>
      <w:r w:rsidRPr="00F2025C">
        <w:rPr>
          <w:rFonts w:cs="Arial"/>
          <w:sz w:val="22"/>
          <w:szCs w:val="22"/>
        </w:rPr>
        <w:t>The month’s</w:t>
      </w:r>
      <w:r w:rsidR="003047BC" w:rsidRPr="00F2025C">
        <w:rPr>
          <w:rFonts w:cs="Arial"/>
          <w:sz w:val="22"/>
          <w:szCs w:val="22"/>
        </w:rPr>
        <w:t xml:space="preserve"> expend</w:t>
      </w:r>
      <w:r w:rsidR="00B14F38">
        <w:rPr>
          <w:rFonts w:cs="Arial"/>
          <w:sz w:val="22"/>
          <w:szCs w:val="22"/>
        </w:rPr>
        <w:t>iture reported a variance of 2.6% (£21.4</w:t>
      </w:r>
      <w:r w:rsidR="003C2302" w:rsidRPr="00F2025C">
        <w:rPr>
          <w:rFonts w:cs="Arial"/>
          <w:sz w:val="22"/>
          <w:szCs w:val="22"/>
        </w:rPr>
        <w:t xml:space="preserve">m) </w:t>
      </w:r>
      <w:r w:rsidR="00B14F38">
        <w:rPr>
          <w:rFonts w:cs="Arial"/>
          <w:sz w:val="22"/>
          <w:szCs w:val="22"/>
        </w:rPr>
        <w:t>with £809.9</w:t>
      </w:r>
      <w:r w:rsidR="003047BC" w:rsidRPr="00F2025C">
        <w:rPr>
          <w:rFonts w:cs="Arial"/>
          <w:sz w:val="22"/>
          <w:szCs w:val="22"/>
        </w:rPr>
        <w:t>m pa</w:t>
      </w:r>
      <w:r w:rsidR="008C2030" w:rsidRPr="00F2025C">
        <w:rPr>
          <w:rFonts w:cs="Arial"/>
          <w:sz w:val="22"/>
          <w:szCs w:val="22"/>
        </w:rPr>
        <w:t>i</w:t>
      </w:r>
      <w:r w:rsidR="003C2302" w:rsidRPr="00F2025C">
        <w:rPr>
          <w:rFonts w:cs="Arial"/>
          <w:sz w:val="22"/>
          <w:szCs w:val="22"/>
        </w:rPr>
        <w:t>d out against the forecast £</w:t>
      </w:r>
      <w:r w:rsidR="00B14F38">
        <w:rPr>
          <w:rFonts w:cs="Arial"/>
          <w:sz w:val="22"/>
          <w:szCs w:val="22"/>
        </w:rPr>
        <w:t>831.3</w:t>
      </w:r>
      <w:r w:rsidR="006E3F96">
        <w:rPr>
          <w:rFonts w:cs="Arial"/>
          <w:sz w:val="22"/>
          <w:szCs w:val="22"/>
        </w:rPr>
        <w:t>m.</w:t>
      </w:r>
      <w:r w:rsidR="002B0C98" w:rsidRPr="00F2025C">
        <w:rPr>
          <w:rFonts w:cs="Arial"/>
          <w:sz w:val="22"/>
          <w:szCs w:val="22"/>
        </w:rPr>
        <w:t xml:space="preserve"> </w:t>
      </w:r>
    </w:p>
    <w:p w14:paraId="40C0EEAB" w14:textId="77777777" w:rsidR="00F24CA1" w:rsidRPr="00F2025C" w:rsidRDefault="00F24CA1" w:rsidP="00F24CA1">
      <w:pPr>
        <w:ind w:right="-58"/>
        <w:rPr>
          <w:rFonts w:cs="Arial"/>
          <w:sz w:val="22"/>
          <w:szCs w:val="22"/>
        </w:rPr>
      </w:pPr>
    </w:p>
    <w:tbl>
      <w:tblPr>
        <w:tblStyle w:val="TableGrid"/>
        <w:tblW w:w="0" w:type="auto"/>
        <w:tblInd w:w="108" w:type="dxa"/>
        <w:tblLook w:val="04A0" w:firstRow="1" w:lastRow="0" w:firstColumn="1" w:lastColumn="0" w:noHBand="0" w:noVBand="1"/>
      </w:tblPr>
      <w:tblGrid>
        <w:gridCol w:w="7230"/>
        <w:gridCol w:w="1134"/>
      </w:tblGrid>
      <w:tr w:rsidR="00F24CA1" w:rsidRPr="00F2025C" w14:paraId="661F2672" w14:textId="77777777" w:rsidTr="00077322">
        <w:tc>
          <w:tcPr>
            <w:tcW w:w="7230" w:type="dxa"/>
          </w:tcPr>
          <w:p w14:paraId="4490F5CE" w14:textId="77777777" w:rsidR="00F24CA1" w:rsidRPr="00F2025C" w:rsidRDefault="00F24CA1" w:rsidP="00077322">
            <w:pPr>
              <w:rPr>
                <w:rFonts w:cs="Arial"/>
                <w:b/>
                <w:sz w:val="22"/>
                <w:szCs w:val="22"/>
                <w:lang w:eastAsia="en-GB"/>
              </w:rPr>
            </w:pPr>
          </w:p>
          <w:p w14:paraId="0832B7F5" w14:textId="77777777" w:rsidR="00F24CA1" w:rsidRPr="00F2025C" w:rsidRDefault="00F24CA1" w:rsidP="00077322">
            <w:pPr>
              <w:rPr>
                <w:rFonts w:cs="Arial"/>
                <w:b/>
                <w:sz w:val="22"/>
                <w:szCs w:val="22"/>
                <w:lang w:eastAsia="en-GB"/>
              </w:rPr>
            </w:pPr>
            <w:r w:rsidRPr="00F2025C">
              <w:rPr>
                <w:rFonts w:cs="Arial"/>
                <w:b/>
                <w:sz w:val="22"/>
                <w:szCs w:val="22"/>
                <w:lang w:eastAsia="en-GB"/>
              </w:rPr>
              <w:t xml:space="preserve">TPS Forecasting Exercises </w:t>
            </w:r>
          </w:p>
          <w:p w14:paraId="1CC7D67F" w14:textId="77777777" w:rsidR="00F24CA1" w:rsidRPr="00F2025C" w:rsidRDefault="00F24CA1" w:rsidP="00077322">
            <w:pPr>
              <w:rPr>
                <w:rFonts w:cs="Arial"/>
                <w:b/>
                <w:sz w:val="22"/>
                <w:szCs w:val="22"/>
              </w:rPr>
            </w:pPr>
          </w:p>
        </w:tc>
        <w:tc>
          <w:tcPr>
            <w:tcW w:w="1134" w:type="dxa"/>
            <w:shd w:val="clear" w:color="auto" w:fill="00B050"/>
          </w:tcPr>
          <w:p w14:paraId="397C8B39" w14:textId="77777777" w:rsidR="00F24CA1" w:rsidRPr="00F2025C" w:rsidRDefault="00F24CA1" w:rsidP="00077322">
            <w:pPr>
              <w:rPr>
                <w:rFonts w:cs="Arial"/>
                <w:sz w:val="22"/>
                <w:szCs w:val="22"/>
              </w:rPr>
            </w:pPr>
          </w:p>
          <w:p w14:paraId="79F5CF50" w14:textId="77777777" w:rsidR="00F24CA1" w:rsidRPr="00F2025C" w:rsidRDefault="00174F49" w:rsidP="00077322">
            <w:pPr>
              <w:rPr>
                <w:rFonts w:cs="Arial"/>
                <w:sz w:val="22"/>
                <w:szCs w:val="22"/>
              </w:rPr>
            </w:pPr>
            <w:r>
              <w:rPr>
                <w:rFonts w:cs="Arial"/>
                <w:noProof/>
                <w:szCs w:val="24"/>
                <w:lang w:eastAsia="en-GB"/>
              </w:rPr>
              <mc:AlternateContent>
                <mc:Choice Requires="wps">
                  <w:drawing>
                    <wp:anchor distT="4294967293" distB="4294967293" distL="114300" distR="114300" simplePos="0" relativeHeight="251683840" behindDoc="0" locked="0" layoutInCell="1" allowOverlap="1" wp14:anchorId="09B99E2C" wp14:editId="30F5AEB0">
                      <wp:simplePos x="0" y="0"/>
                      <wp:positionH relativeFrom="column">
                        <wp:posOffset>118110</wp:posOffset>
                      </wp:positionH>
                      <wp:positionV relativeFrom="paragraph">
                        <wp:posOffset>80644</wp:posOffset>
                      </wp:positionV>
                      <wp:extent cx="350520" cy="0"/>
                      <wp:effectExtent l="0" t="76200" r="30480" b="1524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3CA3519" id="Straight Arrow Connector 2" o:spid="_x0000_s1026" type="#_x0000_t32" style="position:absolute;margin-left:9.3pt;margin-top:6.35pt;width:27.6pt;height:0;z-index:25168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zrLQIAAFgEAAAOAAAAZHJzL2Uyb0RvYy54bWysVE2P0zAQvSPxHyzfadouRauo6Qq1LJcV&#10;VHQR56njJBaObc24TfvvGTtt2YUbIgfL4/nwe2/GWT6ceiuOGsl4V8nZZCqFdsrXxrWV/P78+O5e&#10;CorgarDe6UqeNcmH1ds3yyGUeu47b2uNgos4KodQyS7GUBYFqU73QBMftGNn47GHyCa2RY0wcPXe&#10;FvPp9EMxeKwDeqWJ+HQzOuUq128areLXpiEdha0kY4t5xbzu01qsllC2CKEz6gID/gFFD8bxpbdS&#10;G4ggDmj+KtUbhZ58EyfK94VvGqN05sBsZtM/2Ow6CDpzYXEo3GSi/1dWfTluUZi6knMpHPTcol1E&#10;MG0XxUdEP4i1d45l9CjmSa0hUMlJa7fFxFed3C48efWT2Fe8ciaDwhh2arBP4UxYnLL655v6+hSF&#10;4sO7xXQx5x6pq6uA8poXkOJn7XuRNpWkC8QbtlkWH45PFBMOKK8J6VLnH421udPWiYGpLt5P00XA&#10;A9dYiLztA0tArpUCbMuTrCLmkuStqVN6KkRnWlsUR+Bh4hms/fDM4KWwQJEdzCh/SSaG8Co14dkA&#10;dWNydo2zF8HYT64W8RxYe0iSX/KtS3fqPMTMK8t3iBp3XT2IvT3gN2DMzCRxqU3ShV/EaDCWxDFb&#10;6OMPE7s8TEn0zATb/Y1KjhvPwYYORox39yn7QmUMz7T8FUO2XsDL3R8bnlq/9/V5iyk/WTy+Of7y&#10;1NL7eGnnqN8/hNUvAAAA//8DAFBLAwQUAAYACAAAACEAd4rppNsAAAAHAQAADwAAAGRycy9kb3du&#10;cmV2LnhtbEyPzU7DMBCE70i8g7VI3KhDEUkV4lQtfxKXSg08gBsvSWi8jmLnpzw9izjQ02o0o9lv&#10;svVsWzFi7xtHCm4XEQik0pmGKgUf7y83KxA+aDK6dYQKTuhhnV9eZDo1bqI9jkWoBJeQT7WCOoQu&#10;ldKXNVrtF65DYu/T9VYHln0lTa8nLretXEZRLK1uiD/UusPHGstjMVgF3/aJnu14/zp8jfHbtNue&#10;omNSKHV9NW8eQAScw38YfvEZHXJmOriBjBct61XMSb7LBAT7yR0vOfxpmWfynD//AQAA//8DAFBL&#10;AQItABQABgAIAAAAIQC2gziS/gAAAOEBAAATAAAAAAAAAAAAAAAAAAAAAABbQ29udGVudF9UeXBl&#10;c10ueG1sUEsBAi0AFAAGAAgAAAAhADj9If/WAAAAlAEAAAsAAAAAAAAAAAAAAAAALwEAAF9yZWxz&#10;Ly5yZWxzUEsBAi0AFAAGAAgAAAAhAGgwfOstAgAAWAQAAA4AAAAAAAAAAAAAAAAALgIAAGRycy9l&#10;Mm9Eb2MueG1sUEsBAi0AFAAGAAgAAAAhAHeK6aTbAAAABwEAAA8AAAAAAAAAAAAAAAAAhwQAAGRy&#10;cy9kb3ducmV2LnhtbFBLBQYAAAAABAAEAPMAAACPBQAAAAA=&#10;" strokecolor="windowText" strokeweight="2pt">
                      <v:stroke endarrow="open"/>
                      <v:shadow on="t" color="black" opacity="24903f" origin=",.5" offset="0,.55556mm"/>
                      <o:lock v:ext="edit" shapetype="f"/>
                    </v:shape>
                  </w:pict>
                </mc:Fallback>
              </mc:AlternateContent>
            </w:r>
          </w:p>
        </w:tc>
      </w:tr>
    </w:tbl>
    <w:p w14:paraId="5412E351" w14:textId="77777777" w:rsidR="00F24CA1" w:rsidRPr="00F2025C" w:rsidRDefault="00F24CA1" w:rsidP="00F24CA1">
      <w:pPr>
        <w:pStyle w:val="ListParagraph"/>
        <w:ind w:left="360" w:right="-58"/>
        <w:rPr>
          <w:rFonts w:ascii="Calibri" w:hAnsi="Calibri" w:cs="Calibri"/>
          <w:sz w:val="22"/>
          <w:szCs w:val="22"/>
        </w:rPr>
      </w:pPr>
    </w:p>
    <w:p w14:paraId="73A77696" w14:textId="77777777" w:rsidR="00265B50" w:rsidRDefault="00F04B23" w:rsidP="00265B50">
      <w:pPr>
        <w:pStyle w:val="ListParagraph"/>
        <w:numPr>
          <w:ilvl w:val="0"/>
          <w:numId w:val="5"/>
        </w:numPr>
        <w:ind w:right="-58"/>
        <w:rPr>
          <w:rFonts w:cs="Arial"/>
          <w:sz w:val="22"/>
          <w:szCs w:val="22"/>
        </w:rPr>
      </w:pPr>
      <w:r>
        <w:rPr>
          <w:rFonts w:cs="Arial"/>
          <w:sz w:val="22"/>
          <w:szCs w:val="22"/>
        </w:rPr>
        <w:t xml:space="preserve">TP and </w:t>
      </w:r>
      <w:r w:rsidR="005060CE">
        <w:rPr>
          <w:rFonts w:cs="Arial"/>
          <w:sz w:val="22"/>
          <w:szCs w:val="22"/>
        </w:rPr>
        <w:t>DfE</w:t>
      </w:r>
      <w:r w:rsidR="002B0C98" w:rsidRPr="00F2025C">
        <w:rPr>
          <w:rFonts w:cs="Arial"/>
          <w:sz w:val="22"/>
          <w:szCs w:val="22"/>
        </w:rPr>
        <w:t xml:space="preserve"> </w:t>
      </w:r>
      <w:r w:rsidR="00265B50">
        <w:rPr>
          <w:rFonts w:cs="Arial"/>
          <w:sz w:val="22"/>
          <w:szCs w:val="22"/>
        </w:rPr>
        <w:t>successfully</w:t>
      </w:r>
      <w:r w:rsidR="00666E26">
        <w:rPr>
          <w:rFonts w:cs="Arial"/>
          <w:sz w:val="22"/>
          <w:szCs w:val="22"/>
        </w:rPr>
        <w:t xml:space="preserve"> </w:t>
      </w:r>
      <w:r>
        <w:rPr>
          <w:rFonts w:cs="Arial"/>
          <w:sz w:val="22"/>
          <w:szCs w:val="22"/>
        </w:rPr>
        <w:t xml:space="preserve">completed and submitted the Winter </w:t>
      </w:r>
      <w:r w:rsidR="00C071F2" w:rsidRPr="00F2025C">
        <w:rPr>
          <w:rFonts w:cs="Arial"/>
          <w:sz w:val="22"/>
          <w:szCs w:val="22"/>
        </w:rPr>
        <w:t>Offic</w:t>
      </w:r>
      <w:r>
        <w:rPr>
          <w:rFonts w:cs="Arial"/>
          <w:sz w:val="22"/>
          <w:szCs w:val="22"/>
        </w:rPr>
        <w:t>e of Budgetary Responsibility (W</w:t>
      </w:r>
      <w:r w:rsidR="00C071F2" w:rsidRPr="00F2025C">
        <w:rPr>
          <w:rFonts w:cs="Arial"/>
          <w:sz w:val="22"/>
          <w:szCs w:val="22"/>
        </w:rPr>
        <w:t>OBR)</w:t>
      </w:r>
      <w:r w:rsidR="00B04B32" w:rsidRPr="00F2025C">
        <w:rPr>
          <w:rFonts w:cs="Arial"/>
          <w:sz w:val="22"/>
          <w:szCs w:val="22"/>
        </w:rPr>
        <w:t xml:space="preserve"> </w:t>
      </w:r>
      <w:r w:rsidR="00666E26">
        <w:rPr>
          <w:rFonts w:cs="Arial"/>
          <w:sz w:val="22"/>
          <w:szCs w:val="22"/>
        </w:rPr>
        <w:t>7 year</w:t>
      </w:r>
      <w:r w:rsidR="006F62B1">
        <w:rPr>
          <w:rFonts w:cs="Arial"/>
          <w:sz w:val="22"/>
          <w:szCs w:val="22"/>
        </w:rPr>
        <w:t xml:space="preserve"> (plus current)</w:t>
      </w:r>
      <w:r w:rsidR="00666E26">
        <w:rPr>
          <w:rFonts w:cs="Arial"/>
          <w:sz w:val="22"/>
          <w:szCs w:val="22"/>
        </w:rPr>
        <w:t xml:space="preserve"> </w:t>
      </w:r>
      <w:r w:rsidR="00B04B32" w:rsidRPr="00F2025C">
        <w:rPr>
          <w:rFonts w:cs="Arial"/>
          <w:sz w:val="22"/>
          <w:szCs w:val="22"/>
        </w:rPr>
        <w:t>forecast</w:t>
      </w:r>
      <w:r w:rsidR="00C071F2" w:rsidRPr="00F2025C">
        <w:rPr>
          <w:rFonts w:cs="Arial"/>
          <w:sz w:val="22"/>
          <w:szCs w:val="22"/>
        </w:rPr>
        <w:t xml:space="preserve"> </w:t>
      </w:r>
      <w:r w:rsidR="00666E26">
        <w:rPr>
          <w:rFonts w:cs="Arial"/>
          <w:sz w:val="22"/>
          <w:szCs w:val="22"/>
        </w:rPr>
        <w:t xml:space="preserve">return </w:t>
      </w:r>
      <w:r w:rsidR="006F62B1">
        <w:rPr>
          <w:rFonts w:cs="Arial"/>
          <w:sz w:val="22"/>
          <w:szCs w:val="22"/>
        </w:rPr>
        <w:t>ahead of the</w:t>
      </w:r>
      <w:r>
        <w:rPr>
          <w:rFonts w:cs="Arial"/>
          <w:sz w:val="22"/>
          <w:szCs w:val="22"/>
        </w:rPr>
        <w:t xml:space="preserve"> January </w:t>
      </w:r>
      <w:r w:rsidR="00C071F2" w:rsidRPr="00F2025C">
        <w:rPr>
          <w:rFonts w:cs="Arial"/>
          <w:sz w:val="22"/>
          <w:szCs w:val="22"/>
        </w:rPr>
        <w:t xml:space="preserve">deadline. </w:t>
      </w:r>
      <w:r>
        <w:rPr>
          <w:rFonts w:cs="Arial"/>
          <w:sz w:val="22"/>
          <w:szCs w:val="22"/>
        </w:rPr>
        <w:t xml:space="preserve">Following review by the </w:t>
      </w:r>
      <w:r w:rsidR="00666E26">
        <w:rPr>
          <w:rFonts w:cs="Arial"/>
          <w:sz w:val="22"/>
          <w:szCs w:val="22"/>
        </w:rPr>
        <w:t xml:space="preserve">OBR and HM Treasury </w:t>
      </w:r>
      <w:r>
        <w:rPr>
          <w:rFonts w:cs="Arial"/>
          <w:sz w:val="22"/>
          <w:szCs w:val="22"/>
        </w:rPr>
        <w:t xml:space="preserve">the </w:t>
      </w:r>
      <w:r w:rsidR="00666E26">
        <w:rPr>
          <w:rFonts w:cs="Arial"/>
          <w:sz w:val="22"/>
          <w:szCs w:val="22"/>
        </w:rPr>
        <w:t xml:space="preserve">challenge meeting </w:t>
      </w:r>
      <w:r>
        <w:rPr>
          <w:rFonts w:cs="Arial"/>
          <w:sz w:val="22"/>
          <w:szCs w:val="22"/>
        </w:rPr>
        <w:t xml:space="preserve">was </w:t>
      </w:r>
      <w:r w:rsidR="002B6A91">
        <w:rPr>
          <w:rFonts w:cs="Arial"/>
          <w:sz w:val="22"/>
          <w:szCs w:val="22"/>
        </w:rPr>
        <w:t>cancelled due to HMT/OBR only having a small number of queries,</w:t>
      </w:r>
      <w:r>
        <w:rPr>
          <w:rFonts w:cs="Arial"/>
          <w:sz w:val="22"/>
          <w:szCs w:val="22"/>
        </w:rPr>
        <w:t xml:space="preserve"> which were </w:t>
      </w:r>
      <w:r w:rsidR="002B6A91">
        <w:rPr>
          <w:rFonts w:cs="Arial"/>
          <w:sz w:val="22"/>
          <w:szCs w:val="22"/>
        </w:rPr>
        <w:t xml:space="preserve">responded to </w:t>
      </w:r>
      <w:r>
        <w:rPr>
          <w:rFonts w:cs="Arial"/>
          <w:sz w:val="22"/>
          <w:szCs w:val="22"/>
        </w:rPr>
        <w:t>promptly to the satisfaction of all parties.</w:t>
      </w:r>
      <w:r w:rsidR="00265B50">
        <w:rPr>
          <w:rFonts w:cs="Arial"/>
          <w:sz w:val="22"/>
          <w:szCs w:val="22"/>
        </w:rPr>
        <w:br/>
      </w:r>
    </w:p>
    <w:p w14:paraId="7A7D425D" w14:textId="77777777" w:rsidR="00F24CA1" w:rsidRDefault="00FE21EE" w:rsidP="00022806">
      <w:pPr>
        <w:pStyle w:val="ListParagraph"/>
        <w:widowControl/>
        <w:numPr>
          <w:ilvl w:val="0"/>
          <w:numId w:val="5"/>
        </w:numPr>
        <w:overflowPunct/>
        <w:autoSpaceDE/>
        <w:autoSpaceDN/>
        <w:adjustRightInd/>
        <w:ind w:right="-58"/>
        <w:textAlignment w:val="auto"/>
        <w:rPr>
          <w:rFonts w:cs="Arial"/>
          <w:sz w:val="22"/>
          <w:szCs w:val="22"/>
        </w:rPr>
      </w:pPr>
      <w:r>
        <w:rPr>
          <w:rFonts w:cs="Arial"/>
          <w:sz w:val="22"/>
          <w:szCs w:val="22"/>
        </w:rPr>
        <w:t>Shortly f</w:t>
      </w:r>
      <w:r w:rsidR="00F04B23">
        <w:rPr>
          <w:rFonts w:cs="Arial"/>
          <w:sz w:val="22"/>
          <w:szCs w:val="22"/>
        </w:rPr>
        <w:t xml:space="preserve">ollowing </w:t>
      </w:r>
      <w:r>
        <w:rPr>
          <w:rFonts w:cs="Arial"/>
          <w:sz w:val="22"/>
          <w:szCs w:val="22"/>
        </w:rPr>
        <w:t xml:space="preserve">conclusion of </w:t>
      </w:r>
      <w:r w:rsidR="00F04B23">
        <w:rPr>
          <w:rFonts w:cs="Arial"/>
          <w:sz w:val="22"/>
          <w:szCs w:val="22"/>
        </w:rPr>
        <w:t>the exercis</w:t>
      </w:r>
      <w:r>
        <w:rPr>
          <w:rFonts w:cs="Arial"/>
          <w:sz w:val="22"/>
          <w:szCs w:val="22"/>
        </w:rPr>
        <w:t xml:space="preserve">e TP and the DfE held a </w:t>
      </w:r>
      <w:r w:rsidR="00F04B23">
        <w:rPr>
          <w:rFonts w:cs="Arial"/>
          <w:sz w:val="22"/>
          <w:szCs w:val="22"/>
        </w:rPr>
        <w:t>sessio</w:t>
      </w:r>
      <w:r>
        <w:rPr>
          <w:rFonts w:cs="Arial"/>
          <w:sz w:val="22"/>
          <w:szCs w:val="22"/>
        </w:rPr>
        <w:t>n to review all the queries collated and update the</w:t>
      </w:r>
      <w:r w:rsidR="002B6A91">
        <w:rPr>
          <w:rFonts w:cs="Arial"/>
          <w:sz w:val="22"/>
          <w:szCs w:val="22"/>
        </w:rPr>
        <w:t xml:space="preserve"> OBR</w:t>
      </w:r>
      <w:r w:rsidR="006F62B1">
        <w:rPr>
          <w:rFonts w:cs="Arial"/>
          <w:sz w:val="22"/>
          <w:szCs w:val="22"/>
        </w:rPr>
        <w:t xml:space="preserve"> tracker with relevant actions a</w:t>
      </w:r>
      <w:r w:rsidR="009457D7">
        <w:rPr>
          <w:rFonts w:cs="Arial"/>
          <w:sz w:val="22"/>
          <w:szCs w:val="22"/>
        </w:rPr>
        <w:t>nd</w:t>
      </w:r>
      <w:r w:rsidR="006F62B1">
        <w:rPr>
          <w:rFonts w:cs="Arial"/>
          <w:sz w:val="22"/>
          <w:szCs w:val="22"/>
        </w:rPr>
        <w:t xml:space="preserve"> are meeting monthly to prepare in advance of the next forecasting exercise. This activity</w:t>
      </w:r>
      <w:r>
        <w:rPr>
          <w:rFonts w:cs="Arial"/>
          <w:sz w:val="22"/>
          <w:szCs w:val="22"/>
        </w:rPr>
        <w:t xml:space="preserve"> </w:t>
      </w:r>
      <w:r w:rsidR="006F62B1">
        <w:rPr>
          <w:rFonts w:cs="Arial"/>
          <w:sz w:val="22"/>
          <w:szCs w:val="22"/>
        </w:rPr>
        <w:t xml:space="preserve">is also attended by </w:t>
      </w:r>
      <w:r>
        <w:rPr>
          <w:rFonts w:cs="Arial"/>
          <w:sz w:val="22"/>
          <w:szCs w:val="22"/>
        </w:rPr>
        <w:t xml:space="preserve">the TP operational delivery managers </w:t>
      </w:r>
      <w:r w:rsidR="002B6A91">
        <w:rPr>
          <w:rFonts w:cs="Arial"/>
          <w:sz w:val="22"/>
          <w:szCs w:val="22"/>
        </w:rPr>
        <w:t>to ensure a holistic approach to forecasting</w:t>
      </w:r>
      <w:r>
        <w:rPr>
          <w:rFonts w:cs="Arial"/>
          <w:sz w:val="22"/>
          <w:szCs w:val="22"/>
        </w:rPr>
        <w:t xml:space="preserve">. In addition regular catch-ups are </w:t>
      </w:r>
      <w:r w:rsidR="005A52DA">
        <w:rPr>
          <w:rFonts w:cs="Arial"/>
          <w:sz w:val="22"/>
          <w:szCs w:val="22"/>
        </w:rPr>
        <w:t xml:space="preserve">being </w:t>
      </w:r>
      <w:r>
        <w:rPr>
          <w:rFonts w:cs="Arial"/>
          <w:sz w:val="22"/>
          <w:szCs w:val="22"/>
        </w:rPr>
        <w:t>held between Finance, Operations and Governance with a view to continuously improving the accuracy of t</w:t>
      </w:r>
      <w:r w:rsidR="005A52DA">
        <w:rPr>
          <w:rFonts w:cs="Arial"/>
          <w:sz w:val="22"/>
          <w:szCs w:val="22"/>
        </w:rPr>
        <w:t>he retirement positon within the forecast</w:t>
      </w:r>
      <w:r>
        <w:rPr>
          <w:rFonts w:cs="Arial"/>
          <w:sz w:val="22"/>
          <w:szCs w:val="22"/>
        </w:rPr>
        <w:t xml:space="preserve">.   </w:t>
      </w:r>
      <w:r w:rsidR="002F10FD">
        <w:rPr>
          <w:rFonts w:cs="Arial"/>
          <w:sz w:val="22"/>
          <w:szCs w:val="22"/>
        </w:rPr>
        <w:br/>
      </w:r>
    </w:p>
    <w:p w14:paraId="3267DCF3" w14:textId="77777777" w:rsidR="002F10FD" w:rsidRPr="002F10FD" w:rsidRDefault="005A52DA" w:rsidP="002F10FD">
      <w:pPr>
        <w:pStyle w:val="ListParagraph"/>
        <w:widowControl/>
        <w:numPr>
          <w:ilvl w:val="0"/>
          <w:numId w:val="5"/>
        </w:numPr>
        <w:overflowPunct/>
        <w:autoSpaceDE/>
        <w:autoSpaceDN/>
        <w:adjustRightInd/>
        <w:ind w:right="-58"/>
        <w:textAlignment w:val="auto"/>
        <w:rPr>
          <w:rFonts w:cs="Arial"/>
          <w:sz w:val="22"/>
          <w:szCs w:val="22"/>
        </w:rPr>
      </w:pPr>
      <w:r>
        <w:rPr>
          <w:rFonts w:cs="Arial"/>
          <w:sz w:val="22"/>
          <w:szCs w:val="22"/>
        </w:rPr>
        <w:t>Considerable work will be undertaken between now and summer 2018 to review and enhance the current TP forecasting model. The objective being to fu</w:t>
      </w:r>
      <w:r w:rsidR="009457D7">
        <w:rPr>
          <w:rFonts w:cs="Arial"/>
          <w:sz w:val="22"/>
          <w:szCs w:val="22"/>
        </w:rPr>
        <w:t>ture proof the model and fur</w:t>
      </w:r>
      <w:r>
        <w:rPr>
          <w:rFonts w:cs="Arial"/>
          <w:sz w:val="22"/>
          <w:szCs w:val="22"/>
        </w:rPr>
        <w:t xml:space="preserve">ther improve forecast accuracy by </w:t>
      </w:r>
      <w:r w:rsidR="009457D7">
        <w:rPr>
          <w:rFonts w:cs="Arial"/>
          <w:sz w:val="22"/>
          <w:szCs w:val="22"/>
        </w:rPr>
        <w:t xml:space="preserve">better </w:t>
      </w:r>
      <w:r>
        <w:rPr>
          <w:rFonts w:cs="Arial"/>
          <w:sz w:val="22"/>
          <w:szCs w:val="22"/>
        </w:rPr>
        <w:t xml:space="preserve">accounting for the </w:t>
      </w:r>
      <w:r w:rsidR="009457D7">
        <w:rPr>
          <w:rFonts w:cs="Arial"/>
          <w:sz w:val="22"/>
          <w:szCs w:val="22"/>
        </w:rPr>
        <w:t xml:space="preserve">future impacts of the </w:t>
      </w:r>
      <w:r>
        <w:rPr>
          <w:rFonts w:cs="Arial"/>
          <w:sz w:val="22"/>
          <w:szCs w:val="22"/>
        </w:rPr>
        <w:t xml:space="preserve">different schemes within TP </w:t>
      </w:r>
      <w:r w:rsidR="009457D7">
        <w:rPr>
          <w:rFonts w:cs="Arial"/>
          <w:sz w:val="22"/>
          <w:szCs w:val="22"/>
        </w:rPr>
        <w:t>(NPA 60, 65 and career average), in particular the likely changes in member behaviours a</w:t>
      </w:r>
      <w:r>
        <w:rPr>
          <w:rFonts w:cs="Arial"/>
          <w:sz w:val="22"/>
          <w:szCs w:val="22"/>
        </w:rPr>
        <w:t xml:space="preserve">s more </w:t>
      </w:r>
      <w:r w:rsidR="009457D7">
        <w:rPr>
          <w:rFonts w:cs="Arial"/>
          <w:sz w:val="22"/>
          <w:szCs w:val="22"/>
        </w:rPr>
        <w:t>approach retirement age with service in both the final salary and career average schemes</w:t>
      </w:r>
      <w:r>
        <w:rPr>
          <w:rFonts w:cs="Arial"/>
          <w:sz w:val="22"/>
          <w:szCs w:val="22"/>
        </w:rPr>
        <w:t xml:space="preserve">. </w:t>
      </w:r>
      <w:r w:rsidR="00E352B2">
        <w:rPr>
          <w:rFonts w:cs="Arial"/>
          <w:sz w:val="22"/>
          <w:szCs w:val="22"/>
        </w:rPr>
        <w:t>All actions are recorded on a tracker and DfE monitors progress on this during the monthly finance meeting.</w:t>
      </w:r>
    </w:p>
    <w:p w14:paraId="55943729" w14:textId="77777777" w:rsidR="002F10FD" w:rsidRPr="00265B50" w:rsidRDefault="002F10FD" w:rsidP="002F10FD">
      <w:pPr>
        <w:pStyle w:val="ListParagraph"/>
        <w:widowControl/>
        <w:overflowPunct/>
        <w:autoSpaceDE/>
        <w:autoSpaceDN/>
        <w:adjustRightInd/>
        <w:ind w:left="360" w:right="-58"/>
        <w:textAlignment w:val="auto"/>
        <w:rPr>
          <w:rFonts w:cs="Arial"/>
          <w:sz w:val="22"/>
          <w:szCs w:val="22"/>
        </w:rPr>
      </w:pPr>
    </w:p>
    <w:tbl>
      <w:tblPr>
        <w:tblStyle w:val="TableGrid"/>
        <w:tblW w:w="0" w:type="auto"/>
        <w:tblInd w:w="108" w:type="dxa"/>
        <w:tblLook w:val="04A0" w:firstRow="1" w:lastRow="0" w:firstColumn="1" w:lastColumn="0" w:noHBand="0" w:noVBand="1"/>
      </w:tblPr>
      <w:tblGrid>
        <w:gridCol w:w="7230"/>
        <w:gridCol w:w="1134"/>
      </w:tblGrid>
      <w:tr w:rsidR="00F24CA1" w:rsidRPr="00F2025C" w14:paraId="52D319FC" w14:textId="77777777" w:rsidTr="00077322">
        <w:tc>
          <w:tcPr>
            <w:tcW w:w="7230" w:type="dxa"/>
          </w:tcPr>
          <w:p w14:paraId="3214F46A" w14:textId="77777777" w:rsidR="00F24CA1" w:rsidRPr="00F2025C" w:rsidRDefault="00F24CA1" w:rsidP="00077322">
            <w:pPr>
              <w:rPr>
                <w:rFonts w:cs="Arial"/>
                <w:b/>
                <w:sz w:val="22"/>
                <w:szCs w:val="22"/>
                <w:lang w:eastAsia="en-GB"/>
              </w:rPr>
            </w:pPr>
          </w:p>
          <w:p w14:paraId="68F15C26" w14:textId="77777777" w:rsidR="00F24CA1" w:rsidRPr="00F2025C" w:rsidRDefault="00F24CA1" w:rsidP="00077322">
            <w:pPr>
              <w:rPr>
                <w:rFonts w:cs="Arial"/>
                <w:b/>
                <w:sz w:val="22"/>
                <w:szCs w:val="22"/>
              </w:rPr>
            </w:pPr>
            <w:r w:rsidRPr="00F2025C">
              <w:rPr>
                <w:rFonts w:cs="Arial"/>
                <w:b/>
                <w:sz w:val="22"/>
                <w:szCs w:val="22"/>
              </w:rPr>
              <w:t>Resource Accounts (net expenditure out-turn) Position</w:t>
            </w:r>
          </w:p>
          <w:p w14:paraId="0E690F40" w14:textId="77777777" w:rsidR="00F24CA1" w:rsidRPr="00F2025C" w:rsidRDefault="00F24CA1" w:rsidP="00077322">
            <w:pPr>
              <w:rPr>
                <w:rFonts w:cs="Arial"/>
                <w:b/>
                <w:sz w:val="22"/>
                <w:szCs w:val="22"/>
              </w:rPr>
            </w:pPr>
          </w:p>
        </w:tc>
        <w:tc>
          <w:tcPr>
            <w:tcW w:w="1134" w:type="dxa"/>
            <w:shd w:val="clear" w:color="auto" w:fill="00B050"/>
          </w:tcPr>
          <w:p w14:paraId="6F7ABDDF" w14:textId="77777777" w:rsidR="00F24CA1" w:rsidRPr="00F2025C" w:rsidRDefault="00174F49" w:rsidP="00077322">
            <w:pPr>
              <w:rPr>
                <w:rFonts w:cs="Arial"/>
                <w:sz w:val="22"/>
                <w:szCs w:val="22"/>
              </w:rPr>
            </w:pPr>
            <w:r>
              <w:rPr>
                <w:rFonts w:cs="Arial"/>
                <w:noProof/>
                <w:szCs w:val="24"/>
                <w:lang w:eastAsia="en-GB"/>
              </w:rPr>
              <mc:AlternateContent>
                <mc:Choice Requires="wps">
                  <w:drawing>
                    <wp:anchor distT="4294967293" distB="4294967293" distL="114300" distR="114300" simplePos="0" relativeHeight="251684864" behindDoc="0" locked="0" layoutInCell="1" allowOverlap="1" wp14:anchorId="5C3B7253" wp14:editId="6F9DB291">
                      <wp:simplePos x="0" y="0"/>
                      <wp:positionH relativeFrom="column">
                        <wp:posOffset>148590</wp:posOffset>
                      </wp:positionH>
                      <wp:positionV relativeFrom="paragraph">
                        <wp:posOffset>242569</wp:posOffset>
                      </wp:positionV>
                      <wp:extent cx="350520" cy="0"/>
                      <wp:effectExtent l="0" t="76200" r="30480" b="1524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5FD77F5" id="Straight Arrow Connector 5" o:spid="_x0000_s1026" type="#_x0000_t32" style="position:absolute;margin-left:11.7pt;margin-top:19.1pt;width:27.6pt;height:0;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uiLQIAAFgEAAAOAAAAZHJzL2Uyb0RvYy54bWysVE2P0zAQvSPxHyzfadouRauo6Qq1LJcV&#10;VHQR56njJBaObY3dpv33zDht2YUbIgfL4/nwe2/GWT6ceiuOGqPxrpKzyVQK7ZSvjWsr+f358d29&#10;FDGBq8F6pyt51lE+rN6+WQ6h1HPfeVtrFFTExXIIlexSCmVRRNXpHuLEB+3I2XjsIZGJbVEjDFS9&#10;t8V8Ov1QDB7rgF7pGOl0MzrlKtdvGq3S16aJOglbScKW8op53fNarJZQtgihM+oCA/4BRQ/G0aW3&#10;UhtIIA5o/irVG4U++iZNlO8L3zRG6cyB2Mymf7DZdRB05kLixHCTKf6/surLcYvC1JVcSOGgpxbt&#10;EoJpuyQ+IvpBrL1zJKNHsWC1hhBLSlq7LTJfdXK78OTVz0i+4pWTjRjGsFODPYcTYXHK6p9v6utT&#10;EooO7xbTxZx6pK6uAsprXsCYPmvfC95UMl4g3rDNsvhwfIqJcUB5TeBLnX801uZOWyeGSs4X76d8&#10;EdDANRYSbftAEkTXSgG2pUlWCXPJ6K2pOZ0LxXNcWxRHoGGiGaz98EzgpbAQEzmIUf5YJoLwKpXx&#10;bCB2Y3J2jbOXwNhPrhbpHEh7YMkv+dbxnToPMfHK8h2Sxl1XD2JvD/gNCDMxYS61YV3oRYwGYWGO&#10;2UKffpjU5WFi0TMTbPc3KjluPAcbOhgx3t1z9oXKGJ5p+SuGbL2Al7s/Npxbv/f1eYuczxaNb46/&#10;PDV+Hy/tHPX7h7D6BQAA//8DAFBLAwQUAAYACAAAACEAyK4ZAdsAAAAHAQAADwAAAGRycy9kb3du&#10;cmV2LnhtbEyOy07DMBBF90j8gzVI7KhDCmkUMql4S90gEfgANx6S0Hgcxc6jfD1GLGB5da/OPfl2&#10;MZ2YaHCtZYTLVQSCuLK65Rrh/e3pIgXhvGKtOsuEcCQH2+L0JFeZtjO/0lT6WgQIu0whNN73mZSu&#10;asgot7I9ceg+7GCUD3GopR7UHOCmk3EUJdKolsNDo3q6b6g6lKNB+DIP/Gim6+fxc0p288vdMTps&#10;SsTzs+X2BoSnxf+N4Uc/qEMRnPZ2ZO1EhxCvr8ISYZ3GIEK/SRMQ+98si1z+9y++AQAA//8DAFBL&#10;AQItABQABgAIAAAAIQC2gziS/gAAAOEBAAATAAAAAAAAAAAAAAAAAAAAAABbQ29udGVudF9UeXBl&#10;c10ueG1sUEsBAi0AFAAGAAgAAAAhADj9If/WAAAAlAEAAAsAAAAAAAAAAAAAAAAALwEAAF9yZWxz&#10;Ly5yZWxzUEsBAi0AFAAGAAgAAAAhAJVh26ItAgAAWAQAAA4AAAAAAAAAAAAAAAAALgIAAGRycy9l&#10;Mm9Eb2MueG1sUEsBAi0AFAAGAAgAAAAhAMiuGQHbAAAABwEAAA8AAAAAAAAAAAAAAAAAhwQAAGRy&#10;cy9kb3ducmV2LnhtbFBLBQYAAAAABAAEAPMAAACPBQAAAAA=&#10;" strokecolor="windowText" strokeweight="2pt">
                      <v:stroke endarrow="open"/>
                      <v:shadow on="t" color="black" opacity="24903f" origin=",.5" offset="0,.55556mm"/>
                      <o:lock v:ext="edit" shapetype="f"/>
                    </v:shape>
                  </w:pict>
                </mc:Fallback>
              </mc:AlternateContent>
            </w:r>
            <w:r w:rsidR="00F24CA1" w:rsidRPr="00F2025C">
              <w:rPr>
                <w:rFonts w:cs="Arial"/>
                <w:sz w:val="22"/>
                <w:szCs w:val="22"/>
              </w:rPr>
              <w:t xml:space="preserve">            </w:t>
            </w:r>
          </w:p>
        </w:tc>
      </w:tr>
    </w:tbl>
    <w:p w14:paraId="0798A9B3" w14:textId="77777777" w:rsidR="00F24CA1" w:rsidRPr="00F2025C" w:rsidRDefault="00F24CA1" w:rsidP="00F24CA1">
      <w:pPr>
        <w:pStyle w:val="DeptBullets"/>
        <w:numPr>
          <w:ilvl w:val="0"/>
          <w:numId w:val="0"/>
        </w:numPr>
        <w:spacing w:after="0"/>
        <w:ind w:right="-58"/>
        <w:rPr>
          <w:rFonts w:cs="Arial"/>
          <w:sz w:val="22"/>
          <w:szCs w:val="22"/>
        </w:rPr>
      </w:pPr>
    </w:p>
    <w:p w14:paraId="06B2E0A4" w14:textId="6DD18718" w:rsidR="00C95F39" w:rsidRPr="00666E26" w:rsidRDefault="00666E26" w:rsidP="00666E26">
      <w:pPr>
        <w:pStyle w:val="ListParagraph"/>
        <w:widowControl/>
        <w:numPr>
          <w:ilvl w:val="0"/>
          <w:numId w:val="5"/>
        </w:numPr>
        <w:adjustRightInd/>
        <w:ind w:left="426" w:right="-99" w:hanging="426"/>
        <w:textAlignment w:val="auto"/>
        <w:rPr>
          <w:rFonts w:ascii="Calibri" w:hAnsi="Calibri"/>
          <w:sz w:val="22"/>
          <w:szCs w:val="22"/>
        </w:rPr>
      </w:pPr>
      <w:r>
        <w:rPr>
          <w:rFonts w:cs="Arial"/>
          <w:sz w:val="22"/>
          <w:szCs w:val="22"/>
        </w:rPr>
        <w:t xml:space="preserve">Work </w:t>
      </w:r>
      <w:r w:rsidR="004B021D">
        <w:rPr>
          <w:rFonts w:cs="Arial"/>
          <w:sz w:val="22"/>
          <w:szCs w:val="22"/>
        </w:rPr>
        <w:t xml:space="preserve">continues </w:t>
      </w:r>
      <w:r>
        <w:rPr>
          <w:rFonts w:cs="Arial"/>
          <w:sz w:val="22"/>
          <w:szCs w:val="22"/>
        </w:rPr>
        <w:t xml:space="preserve">on the </w:t>
      </w:r>
      <w:r w:rsidR="00B04B32" w:rsidRPr="00F2025C">
        <w:rPr>
          <w:rFonts w:cs="Arial"/>
          <w:sz w:val="22"/>
          <w:szCs w:val="22"/>
        </w:rPr>
        <w:t>TPS Annual</w:t>
      </w:r>
      <w:r>
        <w:rPr>
          <w:rFonts w:cs="Arial"/>
          <w:sz w:val="22"/>
          <w:szCs w:val="22"/>
        </w:rPr>
        <w:t xml:space="preserve"> Report and Accounts for 2017-18</w:t>
      </w:r>
      <w:r w:rsidR="004B021D">
        <w:rPr>
          <w:rFonts w:cs="Arial"/>
          <w:sz w:val="22"/>
          <w:szCs w:val="22"/>
        </w:rPr>
        <w:t>. T</w:t>
      </w:r>
      <w:r>
        <w:rPr>
          <w:rFonts w:cs="Arial"/>
          <w:sz w:val="22"/>
          <w:szCs w:val="22"/>
        </w:rPr>
        <w:t>he Project and Steering</w:t>
      </w:r>
      <w:r w:rsidRPr="00666E26">
        <w:rPr>
          <w:rFonts w:cs="Arial"/>
          <w:sz w:val="22"/>
          <w:szCs w:val="22"/>
        </w:rPr>
        <w:t xml:space="preserve"> groups</w:t>
      </w:r>
      <w:r>
        <w:rPr>
          <w:rFonts w:cs="Arial"/>
          <w:sz w:val="22"/>
          <w:szCs w:val="22"/>
        </w:rPr>
        <w:t xml:space="preserve"> </w:t>
      </w:r>
      <w:r w:rsidR="004B021D">
        <w:rPr>
          <w:rFonts w:cs="Arial"/>
          <w:sz w:val="22"/>
          <w:szCs w:val="22"/>
        </w:rPr>
        <w:t xml:space="preserve">continue to meet on a </w:t>
      </w:r>
      <w:r>
        <w:rPr>
          <w:rFonts w:cs="Arial"/>
          <w:sz w:val="22"/>
          <w:szCs w:val="22"/>
        </w:rPr>
        <w:t>monthly</w:t>
      </w:r>
      <w:r w:rsidR="004B021D">
        <w:rPr>
          <w:rFonts w:cs="Arial"/>
          <w:sz w:val="22"/>
          <w:szCs w:val="22"/>
        </w:rPr>
        <w:t xml:space="preserve"> basis to monitor progress and manage risks</w:t>
      </w:r>
      <w:r>
        <w:rPr>
          <w:rFonts w:cs="Arial"/>
          <w:sz w:val="22"/>
          <w:szCs w:val="22"/>
        </w:rPr>
        <w:t xml:space="preserve">. The </w:t>
      </w:r>
      <w:r w:rsidR="004B021D">
        <w:rPr>
          <w:rFonts w:cs="Arial"/>
          <w:sz w:val="22"/>
          <w:szCs w:val="22"/>
        </w:rPr>
        <w:t xml:space="preserve">interim audit commences </w:t>
      </w:r>
      <w:r w:rsidR="006F62B1">
        <w:rPr>
          <w:rFonts w:cs="Arial"/>
          <w:sz w:val="22"/>
          <w:szCs w:val="22"/>
        </w:rPr>
        <w:t>on 12 March for two weeks. DfE has set up bi-weekly calls to discuss audit requirements and TP are engaging with auditors on a frequent basis</w:t>
      </w:r>
      <w:r w:rsidR="004B021D">
        <w:rPr>
          <w:rFonts w:cs="Arial"/>
          <w:sz w:val="22"/>
          <w:szCs w:val="22"/>
        </w:rPr>
        <w:t xml:space="preserve"> </w:t>
      </w:r>
      <w:r w:rsidR="006F62B1">
        <w:rPr>
          <w:rFonts w:cs="Arial"/>
          <w:sz w:val="22"/>
          <w:szCs w:val="22"/>
        </w:rPr>
        <w:t>to provide information and co-ordinate the audit internally</w:t>
      </w:r>
      <w:r>
        <w:rPr>
          <w:rFonts w:cs="Arial"/>
          <w:sz w:val="22"/>
          <w:szCs w:val="22"/>
        </w:rPr>
        <w:t>.</w:t>
      </w:r>
      <w:r w:rsidR="004B021D">
        <w:rPr>
          <w:rFonts w:cs="Arial"/>
          <w:sz w:val="22"/>
          <w:szCs w:val="22"/>
        </w:rPr>
        <w:t xml:space="preserve"> </w:t>
      </w:r>
      <w:r w:rsidR="00F13246">
        <w:rPr>
          <w:rFonts w:cs="Arial"/>
          <w:sz w:val="22"/>
          <w:szCs w:val="22"/>
        </w:rPr>
        <w:t xml:space="preserve">DfE are currently </w:t>
      </w:r>
      <w:r w:rsidR="00F13246">
        <w:rPr>
          <w:rFonts w:cs="Arial"/>
          <w:sz w:val="22"/>
          <w:szCs w:val="22"/>
        </w:rPr>
        <w:lastRenderedPageBreak/>
        <w:t>collating the interim annual report and accounts (to 31 December)</w:t>
      </w:r>
      <w:r w:rsidR="004564AF">
        <w:rPr>
          <w:rFonts w:cs="Arial"/>
          <w:sz w:val="22"/>
          <w:szCs w:val="22"/>
        </w:rPr>
        <w:t xml:space="preserve"> </w:t>
      </w:r>
      <w:r w:rsidR="007E24C3">
        <w:rPr>
          <w:rFonts w:cs="Arial"/>
          <w:sz w:val="22"/>
          <w:szCs w:val="22"/>
        </w:rPr>
        <w:t xml:space="preserve">with TP’s input in preparation </w:t>
      </w:r>
      <w:r w:rsidR="004564AF">
        <w:rPr>
          <w:rFonts w:cs="Arial"/>
          <w:sz w:val="22"/>
          <w:szCs w:val="22"/>
        </w:rPr>
        <w:t xml:space="preserve">for auditor comments at the interim audit. </w:t>
      </w:r>
      <w:r w:rsidR="00F13246">
        <w:rPr>
          <w:rFonts w:cs="Arial"/>
          <w:sz w:val="22"/>
          <w:szCs w:val="22"/>
        </w:rPr>
        <w:t xml:space="preserve"> </w:t>
      </w:r>
    </w:p>
    <w:p w14:paraId="1760B84A" w14:textId="77777777" w:rsidR="00C95F39" w:rsidRPr="00F2025C" w:rsidRDefault="00C95F39" w:rsidP="00C95F39">
      <w:pPr>
        <w:pStyle w:val="ListParagraph"/>
        <w:widowControl/>
        <w:adjustRightInd/>
        <w:ind w:left="426" w:right="-99"/>
        <w:textAlignment w:val="auto"/>
        <w:rPr>
          <w:rFonts w:ascii="Calibri" w:hAnsi="Calibri"/>
          <w:sz w:val="22"/>
          <w:szCs w:val="22"/>
        </w:rPr>
      </w:pPr>
    </w:p>
    <w:p w14:paraId="748AB803" w14:textId="77777777" w:rsidR="000B46C6" w:rsidRPr="000B46C6" w:rsidRDefault="0037410D" w:rsidP="000B46C6">
      <w:pPr>
        <w:pStyle w:val="ListParagraph"/>
        <w:widowControl/>
        <w:numPr>
          <w:ilvl w:val="0"/>
          <w:numId w:val="5"/>
        </w:numPr>
        <w:adjustRightInd/>
        <w:ind w:left="426" w:right="-99" w:hanging="426"/>
        <w:textAlignment w:val="auto"/>
        <w:rPr>
          <w:rFonts w:ascii="Calibri" w:hAnsi="Calibri"/>
          <w:sz w:val="22"/>
          <w:szCs w:val="22"/>
        </w:rPr>
      </w:pPr>
      <w:r>
        <w:rPr>
          <w:sz w:val="22"/>
          <w:szCs w:val="22"/>
        </w:rPr>
        <w:t xml:space="preserve">Forecasting at January indicated that the scheme would come £17m within its net cash requirement </w:t>
      </w:r>
      <w:r w:rsidR="007958F0">
        <w:rPr>
          <w:sz w:val="22"/>
          <w:szCs w:val="22"/>
        </w:rPr>
        <w:t>as per the supplementary estimate of £3,515m. The</w:t>
      </w:r>
      <w:r w:rsidR="009018F4" w:rsidRPr="00F2025C">
        <w:rPr>
          <w:sz w:val="22"/>
          <w:szCs w:val="22"/>
        </w:rPr>
        <w:t xml:space="preserve"> net resource </w:t>
      </w:r>
      <w:r w:rsidR="00837341" w:rsidRPr="00F2025C">
        <w:rPr>
          <w:sz w:val="22"/>
          <w:szCs w:val="22"/>
        </w:rPr>
        <w:t>position</w:t>
      </w:r>
      <w:r w:rsidR="007958F0">
        <w:rPr>
          <w:sz w:val="22"/>
          <w:szCs w:val="22"/>
        </w:rPr>
        <w:t xml:space="preserve"> variance was £3m under following the post estimate revised forecast.</w:t>
      </w:r>
    </w:p>
    <w:p w14:paraId="08C22FB9" w14:textId="77777777" w:rsidR="00F16943" w:rsidRPr="00F2025C" w:rsidRDefault="00F16943" w:rsidP="005E0AFA">
      <w:pPr>
        <w:pStyle w:val="DeptBullets"/>
        <w:numPr>
          <w:ilvl w:val="0"/>
          <w:numId w:val="0"/>
        </w:numPr>
        <w:tabs>
          <w:tab w:val="left" w:pos="8222"/>
        </w:tabs>
        <w:spacing w:after="0"/>
        <w:ind w:right="-58"/>
        <w:rPr>
          <w:rFonts w:cs="Arial"/>
          <w:b/>
          <w:sz w:val="22"/>
          <w:szCs w:val="22"/>
          <w:lang w:eastAsia="en-GB"/>
        </w:rPr>
      </w:pPr>
    </w:p>
    <w:tbl>
      <w:tblPr>
        <w:tblStyle w:val="TableGrid"/>
        <w:tblW w:w="0" w:type="auto"/>
        <w:tblInd w:w="108" w:type="dxa"/>
        <w:tblLook w:val="04A0" w:firstRow="1" w:lastRow="0" w:firstColumn="1" w:lastColumn="0" w:noHBand="0" w:noVBand="1"/>
      </w:tblPr>
      <w:tblGrid>
        <w:gridCol w:w="7230"/>
        <w:gridCol w:w="1134"/>
      </w:tblGrid>
      <w:tr w:rsidR="00F24CA1" w:rsidRPr="00F2025C" w14:paraId="20825CA3" w14:textId="77777777" w:rsidTr="00077322">
        <w:tc>
          <w:tcPr>
            <w:tcW w:w="7230" w:type="dxa"/>
          </w:tcPr>
          <w:p w14:paraId="1CAD7D96" w14:textId="77777777" w:rsidR="00F24CA1" w:rsidRPr="00F2025C" w:rsidRDefault="00F24CA1" w:rsidP="00077322">
            <w:pPr>
              <w:rPr>
                <w:rFonts w:cs="Arial"/>
                <w:b/>
                <w:sz w:val="22"/>
                <w:szCs w:val="22"/>
                <w:lang w:eastAsia="en-GB"/>
              </w:rPr>
            </w:pPr>
          </w:p>
          <w:p w14:paraId="46B7B1DE" w14:textId="77777777" w:rsidR="00F24CA1" w:rsidRPr="00F2025C" w:rsidRDefault="00F24CA1" w:rsidP="00077322">
            <w:pPr>
              <w:rPr>
                <w:rFonts w:cs="Arial"/>
                <w:b/>
                <w:sz w:val="22"/>
                <w:szCs w:val="22"/>
                <w:lang w:eastAsia="en-GB"/>
              </w:rPr>
            </w:pPr>
            <w:r w:rsidRPr="00F2025C">
              <w:rPr>
                <w:rFonts w:cs="Arial"/>
                <w:b/>
                <w:sz w:val="22"/>
                <w:szCs w:val="22"/>
                <w:lang w:eastAsia="en-GB"/>
              </w:rPr>
              <w:t>Contributions</w:t>
            </w:r>
          </w:p>
          <w:p w14:paraId="102F6B57" w14:textId="77777777" w:rsidR="00F2025C" w:rsidRPr="00F2025C" w:rsidRDefault="00F2025C" w:rsidP="00077322">
            <w:pPr>
              <w:rPr>
                <w:rFonts w:cs="Arial"/>
                <w:b/>
                <w:sz w:val="22"/>
                <w:szCs w:val="22"/>
                <w:lang w:eastAsia="en-GB"/>
              </w:rPr>
            </w:pPr>
          </w:p>
        </w:tc>
        <w:tc>
          <w:tcPr>
            <w:tcW w:w="1134" w:type="dxa"/>
            <w:shd w:val="clear" w:color="auto" w:fill="00B050"/>
          </w:tcPr>
          <w:p w14:paraId="0635AC58" w14:textId="77777777" w:rsidR="00F24CA1" w:rsidRPr="00F2025C" w:rsidRDefault="00F24CA1" w:rsidP="00077322">
            <w:pPr>
              <w:rPr>
                <w:rFonts w:cs="Arial"/>
                <w:sz w:val="22"/>
                <w:szCs w:val="22"/>
              </w:rPr>
            </w:pPr>
            <w:r w:rsidRPr="00F2025C">
              <w:rPr>
                <w:rFonts w:cs="Arial"/>
                <w:sz w:val="22"/>
                <w:szCs w:val="22"/>
              </w:rPr>
              <w:t xml:space="preserve">            </w:t>
            </w:r>
          </w:p>
          <w:p w14:paraId="5421673C" w14:textId="77777777" w:rsidR="00F24CA1" w:rsidRPr="00F2025C" w:rsidRDefault="00174F49" w:rsidP="00077322">
            <w:pPr>
              <w:rPr>
                <w:rFonts w:cs="Arial"/>
                <w:sz w:val="22"/>
                <w:szCs w:val="22"/>
              </w:rPr>
            </w:pPr>
            <w:r>
              <w:rPr>
                <w:rFonts w:cs="Arial"/>
                <w:noProof/>
                <w:szCs w:val="24"/>
                <w:lang w:eastAsia="en-GB"/>
              </w:rPr>
              <mc:AlternateContent>
                <mc:Choice Requires="wps">
                  <w:drawing>
                    <wp:anchor distT="4294967293" distB="4294967293" distL="114300" distR="114300" simplePos="0" relativeHeight="251685888" behindDoc="0" locked="0" layoutInCell="1" allowOverlap="1" wp14:anchorId="0FD84B68" wp14:editId="77D18974">
                      <wp:simplePos x="0" y="0"/>
                      <wp:positionH relativeFrom="column">
                        <wp:posOffset>125730</wp:posOffset>
                      </wp:positionH>
                      <wp:positionV relativeFrom="paragraph">
                        <wp:posOffset>83184</wp:posOffset>
                      </wp:positionV>
                      <wp:extent cx="350520" cy="0"/>
                      <wp:effectExtent l="0" t="76200" r="30480" b="1524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EECEFCF" id="Straight Arrow Connector 6" o:spid="_x0000_s1026" type="#_x0000_t32" style="position:absolute;margin-left:9.9pt;margin-top:6.55pt;width:27.6pt;height:0;z-index:25168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wMALgIAAFgEAAAOAAAAZHJzL2Uyb0RvYy54bWysVE2P2jAQvVfqf7B8LwlsQauIsKqg28uq&#10;RWWrngfbSaw6tjU2BP59xw6wu+2tag6Wx/Ph996Ms3w49YYdFQbtbM2nk5IzZYWT2rY1//H8+OGe&#10;sxDBSjDOqpqfVeAPq/fvloOv1Mx1zkiFjIrYUA2+5l2MviqKIDrVQ5g4ryw5G4c9RDKxLSTCQNV7&#10;U8zKclEMDqVHJ1QIdLoZnXyV6zeNEvFb0wQVmak5YYt5xbzu01qsllC1CL7T4gID/gFFD9rSpbdS&#10;G4jADqj/KtVrgS64Jk6E6wvXNFqozIHYTMs/2Ow68CpzIXGCv8kU/l9Z8fW4RaZlzRecWeipRbuI&#10;oNsusk+IbmBrZy3J6JAtklqDDxUlre0WE19xsjv/5MSvQL7ijTMZwY9hpwb7FE6E2Smrf76pr06R&#10;CTq8m5fzGfVIXF0FVNc8jyF+Ua5naVPzcIF4wzbN4sPxKcSEA6prQrrUukdtTO60sWyo+Wz+sUwX&#10;AQ1cYyDStvckQbAtZ2BammQRMZcMzmiZ0lOhcA5rg+wINEw0g9INzwSeMwMhkoMY5S/JRBDepCY8&#10;GwjdmJxd4+xF0OazlSyePWkPSfJLvrHpTpWHmHhl+Q5R4a6TA9ubA34HwkxMEhepky70IkaDsCSO&#10;2UIXf+rY5WFKomcm2O5vVHLceA7GdzBivLtP2RcqY3im5a4YsvUKXu7+2PDU+r2T5y2m/GTR+Ob4&#10;y1NL7+O1naNefgir3wAAAP//AwBQSwMEFAAGAAgAAAAhACJ59vTaAAAABwEAAA8AAABkcnMvZG93&#10;bnJldi54bWxMj8tOw0AMRfdI/MPISOzopKC2EDKpeEtskAh8gJsxSWjGE2Umj/L1GLGAlXV0revj&#10;bDu7Vo3Uh8azgeUiAUVcettwZeD97fHsElSIyBZbz2TgQAG2+fFRhqn1E7/SWMRKSQmHFA3UMXap&#10;1qGsyWFY+I5Ysg/fO4yCfaVtj5OUu1afJ8laO2xYLtTY0V1N5b4YnIEvd88Pblw9DZ/j+nl6uT0k&#10;+01hzOnJfHMNKtIc/5bhR1/UIRennR/YBtUKX4l5lHmxBCX5ZiWv7X5Z55n+759/AwAA//8DAFBL&#10;AQItABQABgAIAAAAIQC2gziS/gAAAOEBAAATAAAAAAAAAAAAAAAAAAAAAABbQ29udGVudF9UeXBl&#10;c10ueG1sUEsBAi0AFAAGAAgAAAAhADj9If/WAAAAlAEAAAsAAAAAAAAAAAAAAAAALwEAAF9yZWxz&#10;Ly5yZWxzUEsBAi0AFAAGAAgAAAAhAKLzAwAuAgAAWAQAAA4AAAAAAAAAAAAAAAAALgIAAGRycy9l&#10;Mm9Eb2MueG1sUEsBAi0AFAAGAAgAAAAhACJ59vTaAAAABwEAAA8AAAAAAAAAAAAAAAAAiAQAAGRy&#10;cy9kb3ducmV2LnhtbFBLBQYAAAAABAAEAPMAAACPBQAAAAA=&#10;" strokecolor="windowText" strokeweight="2pt">
                      <v:stroke endarrow="open"/>
                      <v:shadow on="t" color="black" opacity="24903f" origin=",.5" offset="0,.55556mm"/>
                      <o:lock v:ext="edit" shapetype="f"/>
                    </v:shape>
                  </w:pict>
                </mc:Fallback>
              </mc:AlternateContent>
            </w:r>
          </w:p>
        </w:tc>
      </w:tr>
    </w:tbl>
    <w:p w14:paraId="4428AC03" w14:textId="77777777" w:rsidR="00F24CA1" w:rsidRPr="00F2025C" w:rsidRDefault="00F24CA1" w:rsidP="00F24CA1">
      <w:pPr>
        <w:pStyle w:val="DeptBullets"/>
        <w:numPr>
          <w:ilvl w:val="0"/>
          <w:numId w:val="0"/>
        </w:numPr>
        <w:spacing w:after="0"/>
        <w:ind w:right="-58"/>
        <w:rPr>
          <w:rFonts w:cs="Arial"/>
          <w:b/>
          <w:sz w:val="22"/>
          <w:szCs w:val="22"/>
        </w:rPr>
      </w:pPr>
    </w:p>
    <w:p w14:paraId="675BBDEA" w14:textId="77777777" w:rsidR="00F24CA1" w:rsidRPr="00F2025C" w:rsidRDefault="00F24CA1" w:rsidP="007E6DC7">
      <w:pPr>
        <w:pStyle w:val="DeptBullets"/>
        <w:numPr>
          <w:ilvl w:val="0"/>
          <w:numId w:val="5"/>
        </w:numPr>
        <w:spacing w:after="0"/>
        <w:ind w:right="-58"/>
        <w:rPr>
          <w:rFonts w:cs="Arial"/>
          <w:sz w:val="22"/>
          <w:szCs w:val="22"/>
        </w:rPr>
      </w:pPr>
      <w:r w:rsidRPr="00F2025C">
        <w:rPr>
          <w:rFonts w:cs="Arial"/>
          <w:b/>
          <w:sz w:val="22"/>
          <w:szCs w:val="22"/>
        </w:rPr>
        <w:t>Unallocated Contributions</w:t>
      </w:r>
      <w:r w:rsidRPr="00F2025C">
        <w:rPr>
          <w:rFonts w:cs="Arial"/>
          <w:sz w:val="22"/>
          <w:szCs w:val="22"/>
        </w:rPr>
        <w:t xml:space="preserve"> – Scheme contributions are paid by default to a suspense account</w:t>
      </w:r>
      <w:r w:rsidR="00786C18">
        <w:rPr>
          <w:rFonts w:cs="Arial"/>
          <w:sz w:val="22"/>
          <w:szCs w:val="22"/>
        </w:rPr>
        <w:t xml:space="preserve"> if no corresponding ‘paying-in’ slip is present</w:t>
      </w:r>
      <w:r w:rsidRPr="00F2025C">
        <w:rPr>
          <w:rFonts w:cs="Arial"/>
          <w:sz w:val="22"/>
          <w:szCs w:val="22"/>
        </w:rPr>
        <w:t>, and allocated to the appropr</w:t>
      </w:r>
      <w:r w:rsidR="00786C18">
        <w:rPr>
          <w:rFonts w:cs="Arial"/>
          <w:sz w:val="22"/>
          <w:szCs w:val="22"/>
        </w:rPr>
        <w:t xml:space="preserve">iate account once the </w:t>
      </w:r>
      <w:r w:rsidRPr="00F2025C">
        <w:rPr>
          <w:rFonts w:cs="Arial"/>
          <w:sz w:val="22"/>
          <w:szCs w:val="22"/>
        </w:rPr>
        <w:t>slip has been received fr</w:t>
      </w:r>
      <w:r w:rsidR="00786C18">
        <w:rPr>
          <w:rFonts w:cs="Arial"/>
          <w:sz w:val="22"/>
          <w:szCs w:val="22"/>
        </w:rPr>
        <w:t xml:space="preserve">om the </w:t>
      </w:r>
      <w:r w:rsidR="0000336A" w:rsidRPr="00F2025C">
        <w:rPr>
          <w:rFonts w:cs="Arial"/>
          <w:sz w:val="22"/>
          <w:szCs w:val="22"/>
        </w:rPr>
        <w:t xml:space="preserve">employer. </w:t>
      </w:r>
      <w:r w:rsidRPr="00F2025C">
        <w:rPr>
          <w:rFonts w:cs="Arial"/>
          <w:sz w:val="22"/>
          <w:szCs w:val="22"/>
        </w:rPr>
        <w:t>Late receipt of this supporting data can lead to delays in allocating co</w:t>
      </w:r>
      <w:r w:rsidR="0000336A" w:rsidRPr="00F2025C">
        <w:rPr>
          <w:rFonts w:cs="Arial"/>
          <w:sz w:val="22"/>
          <w:szCs w:val="22"/>
        </w:rPr>
        <w:t xml:space="preserve">ntributions. </w:t>
      </w:r>
      <w:r w:rsidRPr="00F2025C">
        <w:rPr>
          <w:rFonts w:cs="Arial"/>
          <w:sz w:val="22"/>
          <w:szCs w:val="22"/>
        </w:rPr>
        <w:t>There is a structured approach to pursuing this outstanding data.</w:t>
      </w:r>
    </w:p>
    <w:p w14:paraId="45919725" w14:textId="77777777" w:rsidR="00F16943" w:rsidRPr="00F2025C" w:rsidRDefault="00F16943" w:rsidP="00F16943">
      <w:pPr>
        <w:pStyle w:val="DeptBullets"/>
        <w:numPr>
          <w:ilvl w:val="0"/>
          <w:numId w:val="0"/>
        </w:numPr>
        <w:spacing w:after="0"/>
        <w:ind w:left="360" w:right="-58"/>
        <w:rPr>
          <w:rFonts w:cs="Arial"/>
          <w:sz w:val="22"/>
          <w:szCs w:val="22"/>
        </w:rPr>
      </w:pPr>
    </w:p>
    <w:p w14:paraId="7D6037CF" w14:textId="77777777" w:rsidR="00F24CA1" w:rsidRPr="00F2025C" w:rsidRDefault="0000336A" w:rsidP="007E6DC7">
      <w:pPr>
        <w:pStyle w:val="DeptBullets"/>
        <w:numPr>
          <w:ilvl w:val="1"/>
          <w:numId w:val="5"/>
        </w:numPr>
        <w:spacing w:after="0"/>
        <w:ind w:left="993" w:right="84" w:hanging="425"/>
        <w:rPr>
          <w:rFonts w:cs="Arial"/>
          <w:sz w:val="22"/>
          <w:szCs w:val="22"/>
        </w:rPr>
      </w:pPr>
      <w:r w:rsidRPr="00F2025C">
        <w:rPr>
          <w:rFonts w:cs="Arial"/>
          <w:sz w:val="22"/>
          <w:szCs w:val="22"/>
        </w:rPr>
        <w:t xml:space="preserve">The </w:t>
      </w:r>
      <w:r w:rsidR="00E7400D" w:rsidRPr="00F2025C">
        <w:rPr>
          <w:rFonts w:cs="Arial"/>
          <w:sz w:val="22"/>
          <w:szCs w:val="22"/>
        </w:rPr>
        <w:t xml:space="preserve">position at the end of </w:t>
      </w:r>
      <w:r w:rsidR="00786C18">
        <w:rPr>
          <w:rFonts w:cs="Arial"/>
          <w:sz w:val="22"/>
          <w:szCs w:val="22"/>
        </w:rPr>
        <w:t>January was £67</w:t>
      </w:r>
      <w:r w:rsidR="00BE1424">
        <w:rPr>
          <w:rFonts w:cs="Arial"/>
          <w:sz w:val="22"/>
          <w:szCs w:val="22"/>
        </w:rPr>
        <w:t>m</w:t>
      </w:r>
      <w:r w:rsidR="00786C18">
        <w:rPr>
          <w:rFonts w:cs="Arial"/>
          <w:sz w:val="22"/>
          <w:szCs w:val="22"/>
        </w:rPr>
        <w:t>, comparable to this stage last year,</w:t>
      </w:r>
      <w:r w:rsidR="00BE1424">
        <w:rPr>
          <w:rFonts w:cs="Arial"/>
          <w:sz w:val="22"/>
          <w:szCs w:val="22"/>
        </w:rPr>
        <w:t xml:space="preserve"> </w:t>
      </w:r>
      <w:r w:rsidR="00E7400D" w:rsidRPr="00F2025C">
        <w:rPr>
          <w:rFonts w:cs="Arial"/>
          <w:sz w:val="22"/>
          <w:szCs w:val="22"/>
        </w:rPr>
        <w:t>and reflected a</w:t>
      </w:r>
      <w:r w:rsidR="00786C18">
        <w:rPr>
          <w:rFonts w:cs="Arial"/>
          <w:sz w:val="22"/>
          <w:szCs w:val="22"/>
        </w:rPr>
        <w:t>n</w:t>
      </w:r>
      <w:r w:rsidR="00BE1424">
        <w:rPr>
          <w:rFonts w:cs="Arial"/>
          <w:sz w:val="22"/>
          <w:szCs w:val="22"/>
        </w:rPr>
        <w:t xml:space="preserve"> improved position </w:t>
      </w:r>
      <w:r w:rsidR="00786C18">
        <w:rPr>
          <w:rFonts w:cs="Arial"/>
          <w:sz w:val="22"/>
          <w:szCs w:val="22"/>
        </w:rPr>
        <w:t>since October reported £70m. Following the clearance of 2015-16 t</w:t>
      </w:r>
      <w:r w:rsidR="00E7400D" w:rsidRPr="00F2025C">
        <w:rPr>
          <w:rFonts w:cs="Arial"/>
          <w:sz w:val="22"/>
          <w:szCs w:val="22"/>
        </w:rPr>
        <w:t xml:space="preserve">he balance </w:t>
      </w:r>
      <w:r w:rsidR="00BE1424">
        <w:rPr>
          <w:rFonts w:cs="Arial"/>
          <w:sz w:val="22"/>
          <w:szCs w:val="22"/>
        </w:rPr>
        <w:t>consisted</w:t>
      </w:r>
      <w:r w:rsidR="0023338A" w:rsidRPr="00F2025C">
        <w:rPr>
          <w:rFonts w:cs="Arial"/>
          <w:sz w:val="22"/>
          <w:szCs w:val="22"/>
        </w:rPr>
        <w:t xml:space="preserve"> of</w:t>
      </w:r>
      <w:r w:rsidR="00786C18">
        <w:rPr>
          <w:rFonts w:cs="Arial"/>
          <w:sz w:val="22"/>
          <w:szCs w:val="22"/>
        </w:rPr>
        <w:t xml:space="preserve"> </w:t>
      </w:r>
      <w:r w:rsidRPr="00F2025C">
        <w:rPr>
          <w:rFonts w:cs="Arial"/>
          <w:sz w:val="22"/>
          <w:szCs w:val="22"/>
        </w:rPr>
        <w:t>£</w:t>
      </w:r>
      <w:r w:rsidR="00786C18">
        <w:rPr>
          <w:rFonts w:cs="Arial"/>
          <w:sz w:val="22"/>
          <w:szCs w:val="22"/>
        </w:rPr>
        <w:t>19.2</w:t>
      </w:r>
      <w:r w:rsidR="00FE1E27" w:rsidRPr="00F2025C">
        <w:rPr>
          <w:rFonts w:cs="Arial"/>
          <w:sz w:val="22"/>
          <w:szCs w:val="22"/>
        </w:rPr>
        <w:t xml:space="preserve">m </w:t>
      </w:r>
      <w:r w:rsidRPr="00F2025C">
        <w:rPr>
          <w:rFonts w:cs="Arial"/>
          <w:sz w:val="22"/>
          <w:szCs w:val="22"/>
        </w:rPr>
        <w:t xml:space="preserve">from 2016-17 </w:t>
      </w:r>
      <w:r w:rsidR="00786C18">
        <w:rPr>
          <w:rFonts w:cs="Arial"/>
          <w:sz w:val="22"/>
          <w:szCs w:val="22"/>
        </w:rPr>
        <w:t>(previously reported at £24.5</w:t>
      </w:r>
      <w:r w:rsidR="00BE1424">
        <w:rPr>
          <w:rFonts w:cs="Arial"/>
          <w:sz w:val="22"/>
          <w:szCs w:val="22"/>
        </w:rPr>
        <w:t xml:space="preserve">m) and the remaining </w:t>
      </w:r>
      <w:r w:rsidR="00786C18">
        <w:rPr>
          <w:rFonts w:cs="Arial"/>
          <w:sz w:val="22"/>
          <w:szCs w:val="22"/>
        </w:rPr>
        <w:t>£48.2</w:t>
      </w:r>
      <w:r w:rsidR="00FE1E27" w:rsidRPr="00F2025C">
        <w:rPr>
          <w:rFonts w:cs="Arial"/>
          <w:sz w:val="22"/>
          <w:szCs w:val="22"/>
        </w:rPr>
        <w:t>m from 2017-18</w:t>
      </w:r>
      <w:r w:rsidR="00786C18">
        <w:rPr>
          <w:rFonts w:cs="Arial"/>
          <w:sz w:val="22"/>
          <w:szCs w:val="22"/>
        </w:rPr>
        <w:t xml:space="preserve"> (£37.6</w:t>
      </w:r>
      <w:r w:rsidR="00BE1424">
        <w:rPr>
          <w:rFonts w:cs="Arial"/>
          <w:sz w:val="22"/>
          <w:szCs w:val="22"/>
        </w:rPr>
        <w:t>m)</w:t>
      </w:r>
      <w:r w:rsidRPr="00F2025C">
        <w:rPr>
          <w:rFonts w:cs="Arial"/>
          <w:sz w:val="22"/>
          <w:szCs w:val="22"/>
        </w:rPr>
        <w:t>.</w:t>
      </w:r>
    </w:p>
    <w:p w14:paraId="6F4A0A70" w14:textId="77777777" w:rsidR="00F16943" w:rsidRPr="00F2025C" w:rsidRDefault="00F16943" w:rsidP="00F16943">
      <w:pPr>
        <w:pStyle w:val="DeptBullets"/>
        <w:numPr>
          <w:ilvl w:val="0"/>
          <w:numId w:val="0"/>
        </w:numPr>
        <w:spacing w:after="0"/>
        <w:ind w:left="993" w:right="84"/>
        <w:rPr>
          <w:rFonts w:cs="Arial"/>
          <w:sz w:val="22"/>
          <w:szCs w:val="22"/>
        </w:rPr>
      </w:pPr>
    </w:p>
    <w:p w14:paraId="067F6FD7" w14:textId="77777777" w:rsidR="00F16943" w:rsidRDefault="00F24CA1" w:rsidP="00595D16">
      <w:pPr>
        <w:pStyle w:val="DeptBullets"/>
        <w:numPr>
          <w:ilvl w:val="1"/>
          <w:numId w:val="5"/>
        </w:numPr>
        <w:spacing w:after="0"/>
        <w:ind w:left="993" w:right="84" w:hanging="425"/>
        <w:rPr>
          <w:rFonts w:cs="Arial"/>
          <w:sz w:val="22"/>
          <w:szCs w:val="22"/>
        </w:rPr>
      </w:pPr>
      <w:r w:rsidRPr="00F2025C">
        <w:rPr>
          <w:rFonts w:cs="Arial"/>
          <w:sz w:val="22"/>
          <w:szCs w:val="22"/>
        </w:rPr>
        <w:t>The</w:t>
      </w:r>
      <w:r w:rsidR="00C93317" w:rsidRPr="00F2025C">
        <w:rPr>
          <w:rFonts w:cs="Arial"/>
          <w:sz w:val="22"/>
          <w:szCs w:val="22"/>
        </w:rPr>
        <w:t xml:space="preserve"> breakdown by sector shows </w:t>
      </w:r>
      <w:r w:rsidR="0000336A" w:rsidRPr="00F2025C">
        <w:rPr>
          <w:rFonts w:cs="Arial"/>
          <w:sz w:val="22"/>
          <w:szCs w:val="22"/>
        </w:rPr>
        <w:t xml:space="preserve">the majority is attributable to the following areas - </w:t>
      </w:r>
      <w:r w:rsidR="00AF6EAC" w:rsidRPr="00F2025C">
        <w:rPr>
          <w:rFonts w:cs="Arial"/>
          <w:sz w:val="22"/>
          <w:szCs w:val="22"/>
        </w:rPr>
        <w:t>£</w:t>
      </w:r>
      <w:r w:rsidR="00786C18">
        <w:rPr>
          <w:rFonts w:cs="Arial"/>
          <w:sz w:val="22"/>
          <w:szCs w:val="22"/>
        </w:rPr>
        <w:t>34.2</w:t>
      </w:r>
      <w:r w:rsidR="00FE1E27" w:rsidRPr="00F2025C">
        <w:rPr>
          <w:rFonts w:cs="Arial"/>
          <w:sz w:val="22"/>
          <w:szCs w:val="22"/>
        </w:rPr>
        <w:t xml:space="preserve">m </w:t>
      </w:r>
      <w:r w:rsidR="00AF6EAC" w:rsidRPr="00F2025C">
        <w:rPr>
          <w:rFonts w:cs="Arial"/>
          <w:sz w:val="22"/>
          <w:szCs w:val="22"/>
        </w:rPr>
        <w:t xml:space="preserve">to Local Authorities </w:t>
      </w:r>
      <w:r w:rsidR="00786C18">
        <w:rPr>
          <w:rFonts w:cs="Arial"/>
          <w:sz w:val="22"/>
          <w:szCs w:val="22"/>
        </w:rPr>
        <w:t>(up from £32.8</w:t>
      </w:r>
      <w:r w:rsidR="00FE1E27" w:rsidRPr="00F2025C">
        <w:rPr>
          <w:rFonts w:cs="Arial"/>
          <w:sz w:val="22"/>
          <w:szCs w:val="22"/>
        </w:rPr>
        <w:t xml:space="preserve">m last quarter) </w:t>
      </w:r>
      <w:r w:rsidR="00AF6EAC" w:rsidRPr="00F2025C">
        <w:rPr>
          <w:rFonts w:cs="Arial"/>
          <w:sz w:val="22"/>
          <w:szCs w:val="22"/>
        </w:rPr>
        <w:t>and £</w:t>
      </w:r>
      <w:r w:rsidR="00786C18">
        <w:rPr>
          <w:rFonts w:cs="Arial"/>
          <w:sz w:val="22"/>
          <w:szCs w:val="22"/>
        </w:rPr>
        <w:t>16.6</w:t>
      </w:r>
      <w:r w:rsidR="00FE1E27" w:rsidRPr="00F2025C">
        <w:rPr>
          <w:rFonts w:cs="Arial"/>
          <w:sz w:val="22"/>
          <w:szCs w:val="22"/>
        </w:rPr>
        <w:t xml:space="preserve">m </w:t>
      </w:r>
      <w:r w:rsidR="00595D16" w:rsidRPr="00F2025C">
        <w:rPr>
          <w:rFonts w:cs="Arial"/>
          <w:sz w:val="22"/>
          <w:szCs w:val="22"/>
        </w:rPr>
        <w:t>to A</w:t>
      </w:r>
      <w:r w:rsidR="00B77083" w:rsidRPr="00F2025C">
        <w:rPr>
          <w:rFonts w:cs="Arial"/>
          <w:sz w:val="22"/>
          <w:szCs w:val="22"/>
        </w:rPr>
        <w:t>cade</w:t>
      </w:r>
      <w:r w:rsidR="00C93317" w:rsidRPr="00F2025C">
        <w:rPr>
          <w:rFonts w:cs="Arial"/>
          <w:sz w:val="22"/>
          <w:szCs w:val="22"/>
        </w:rPr>
        <w:t>mies</w:t>
      </w:r>
      <w:r w:rsidR="00786C18">
        <w:rPr>
          <w:rFonts w:cs="Arial"/>
          <w:sz w:val="22"/>
          <w:szCs w:val="22"/>
        </w:rPr>
        <w:t xml:space="preserve"> (down from £20.4</w:t>
      </w:r>
      <w:r w:rsidR="00FE1E27" w:rsidRPr="00F2025C">
        <w:rPr>
          <w:rFonts w:cs="Arial"/>
          <w:sz w:val="22"/>
          <w:szCs w:val="22"/>
        </w:rPr>
        <w:t>m).</w:t>
      </w:r>
      <w:r w:rsidR="00701181" w:rsidRPr="00F2025C">
        <w:rPr>
          <w:rFonts w:cs="Arial"/>
          <w:sz w:val="22"/>
          <w:szCs w:val="22"/>
        </w:rPr>
        <w:t xml:space="preserve"> </w:t>
      </w:r>
      <w:r w:rsidRPr="00F2025C">
        <w:rPr>
          <w:rFonts w:cs="Arial"/>
          <w:sz w:val="22"/>
          <w:szCs w:val="22"/>
        </w:rPr>
        <w:t xml:space="preserve">  </w:t>
      </w:r>
    </w:p>
    <w:p w14:paraId="61F2360A" w14:textId="77777777" w:rsidR="00205ED4" w:rsidRPr="00205ED4" w:rsidRDefault="00205ED4" w:rsidP="00E352B2">
      <w:pPr>
        <w:pStyle w:val="DeptBullets"/>
        <w:numPr>
          <w:ilvl w:val="0"/>
          <w:numId w:val="0"/>
        </w:numPr>
        <w:spacing w:after="0"/>
        <w:ind w:left="360"/>
        <w:rPr>
          <w:rFonts w:cs="Arial"/>
          <w:sz w:val="22"/>
          <w:szCs w:val="22"/>
        </w:rPr>
      </w:pPr>
    </w:p>
    <w:p w14:paraId="240FFA8C" w14:textId="19E43F40" w:rsidR="00F24CA1" w:rsidRPr="00F2025C" w:rsidRDefault="00F24CA1" w:rsidP="00255605">
      <w:pPr>
        <w:pStyle w:val="DeptBullets"/>
        <w:numPr>
          <w:ilvl w:val="0"/>
          <w:numId w:val="5"/>
        </w:numPr>
        <w:spacing w:after="0"/>
        <w:rPr>
          <w:rFonts w:cs="Arial"/>
          <w:b/>
          <w:sz w:val="22"/>
          <w:szCs w:val="22"/>
        </w:rPr>
      </w:pPr>
      <w:r w:rsidRPr="00F2025C">
        <w:rPr>
          <w:rFonts w:cs="Arial"/>
          <w:b/>
          <w:sz w:val="22"/>
          <w:szCs w:val="22"/>
        </w:rPr>
        <w:t>End of Year Certificates (EOYC)</w:t>
      </w:r>
      <w:r w:rsidRPr="00F2025C">
        <w:rPr>
          <w:rFonts w:cs="Arial"/>
          <w:sz w:val="22"/>
          <w:szCs w:val="22"/>
        </w:rPr>
        <w:t xml:space="preserve"> – </w:t>
      </w:r>
      <w:r w:rsidR="00BA2AD8" w:rsidRPr="00F2025C">
        <w:rPr>
          <w:rFonts w:cs="Arial"/>
          <w:sz w:val="22"/>
          <w:szCs w:val="22"/>
        </w:rPr>
        <w:t xml:space="preserve">The number of outstanding 2015-16 </w:t>
      </w:r>
      <w:r w:rsidR="00255605">
        <w:rPr>
          <w:rFonts w:cs="Arial"/>
          <w:sz w:val="22"/>
          <w:szCs w:val="22"/>
        </w:rPr>
        <w:t xml:space="preserve">returns has       </w:t>
      </w:r>
      <w:r w:rsidR="00347B5A">
        <w:rPr>
          <w:rFonts w:cs="Arial"/>
          <w:sz w:val="22"/>
          <w:szCs w:val="22"/>
        </w:rPr>
        <w:t xml:space="preserve">been reduced </w:t>
      </w:r>
      <w:r w:rsidR="00255605">
        <w:rPr>
          <w:rFonts w:cs="Arial"/>
          <w:sz w:val="22"/>
          <w:szCs w:val="22"/>
        </w:rPr>
        <w:t>to five from twelve</w:t>
      </w:r>
      <w:r w:rsidR="00347B5A">
        <w:rPr>
          <w:rFonts w:cs="Arial"/>
          <w:sz w:val="22"/>
          <w:szCs w:val="22"/>
        </w:rPr>
        <w:t xml:space="preserve"> at the end of October</w:t>
      </w:r>
      <w:r w:rsidR="00AF6EAC" w:rsidRPr="00F2025C">
        <w:rPr>
          <w:rFonts w:cs="Arial"/>
          <w:sz w:val="22"/>
          <w:szCs w:val="22"/>
        </w:rPr>
        <w:t xml:space="preserve">. </w:t>
      </w:r>
      <w:r w:rsidR="00AC04F9" w:rsidRPr="00F2025C">
        <w:rPr>
          <w:rFonts w:cs="Arial"/>
          <w:sz w:val="22"/>
          <w:szCs w:val="22"/>
        </w:rPr>
        <w:t xml:space="preserve">The </w:t>
      </w:r>
      <w:r w:rsidR="00255605">
        <w:rPr>
          <w:rFonts w:cs="Arial"/>
          <w:sz w:val="22"/>
          <w:szCs w:val="22"/>
        </w:rPr>
        <w:t>five</w:t>
      </w:r>
      <w:r w:rsidR="00347B5A">
        <w:rPr>
          <w:rFonts w:cs="Arial"/>
          <w:sz w:val="22"/>
          <w:szCs w:val="22"/>
        </w:rPr>
        <w:t xml:space="preserve"> consist of </w:t>
      </w:r>
      <w:r w:rsidR="00255605">
        <w:rPr>
          <w:rFonts w:cs="Arial"/>
          <w:sz w:val="22"/>
          <w:szCs w:val="22"/>
        </w:rPr>
        <w:t>one</w:t>
      </w:r>
      <w:r w:rsidR="00347B5A">
        <w:rPr>
          <w:rFonts w:cs="Arial"/>
          <w:sz w:val="22"/>
          <w:szCs w:val="22"/>
        </w:rPr>
        <w:t xml:space="preserve"> </w:t>
      </w:r>
      <w:r w:rsidR="008C4DBB">
        <w:rPr>
          <w:rFonts w:cs="Arial"/>
          <w:sz w:val="22"/>
          <w:szCs w:val="22"/>
        </w:rPr>
        <w:t>a</w:t>
      </w:r>
      <w:r w:rsidR="00255605">
        <w:rPr>
          <w:rFonts w:cs="Arial"/>
          <w:sz w:val="22"/>
          <w:szCs w:val="22"/>
        </w:rPr>
        <w:t>cademy</w:t>
      </w:r>
      <w:r w:rsidR="00347B5A">
        <w:rPr>
          <w:rFonts w:cs="Arial"/>
          <w:sz w:val="22"/>
          <w:szCs w:val="22"/>
        </w:rPr>
        <w:t xml:space="preserve">, </w:t>
      </w:r>
      <w:r w:rsidR="00255605">
        <w:rPr>
          <w:rFonts w:cs="Arial"/>
          <w:sz w:val="22"/>
          <w:szCs w:val="22"/>
        </w:rPr>
        <w:t>three</w:t>
      </w:r>
      <w:r w:rsidR="00AF6EAC" w:rsidRPr="00F2025C">
        <w:rPr>
          <w:rFonts w:cs="Arial"/>
          <w:sz w:val="22"/>
          <w:szCs w:val="22"/>
        </w:rPr>
        <w:t xml:space="preserve"> </w:t>
      </w:r>
      <w:r w:rsidR="008C4DBB">
        <w:rPr>
          <w:rFonts w:cs="Arial"/>
          <w:sz w:val="22"/>
          <w:szCs w:val="22"/>
        </w:rPr>
        <w:t>i</w:t>
      </w:r>
      <w:r w:rsidR="00AF6EAC" w:rsidRPr="00F2025C">
        <w:rPr>
          <w:rFonts w:cs="Arial"/>
          <w:sz w:val="22"/>
          <w:szCs w:val="22"/>
        </w:rPr>
        <w:t>ndepende</w:t>
      </w:r>
      <w:r w:rsidR="00BA2AD8" w:rsidRPr="00F2025C">
        <w:rPr>
          <w:rFonts w:cs="Arial"/>
          <w:sz w:val="22"/>
          <w:szCs w:val="22"/>
        </w:rPr>
        <w:t xml:space="preserve">nts, </w:t>
      </w:r>
      <w:r w:rsidR="00277343">
        <w:rPr>
          <w:rFonts w:cs="Arial"/>
          <w:sz w:val="22"/>
          <w:szCs w:val="22"/>
        </w:rPr>
        <w:t>one</w:t>
      </w:r>
      <w:r w:rsidR="00255605">
        <w:rPr>
          <w:rFonts w:cs="Arial"/>
          <w:sz w:val="22"/>
          <w:szCs w:val="22"/>
        </w:rPr>
        <w:t xml:space="preserve"> higher education (HE) establishment</w:t>
      </w:r>
      <w:r w:rsidR="00AF6EAC" w:rsidRPr="00F2025C">
        <w:rPr>
          <w:rFonts w:cs="Arial"/>
          <w:sz w:val="22"/>
          <w:szCs w:val="22"/>
        </w:rPr>
        <w:t>.</w:t>
      </w:r>
      <w:r w:rsidR="00347B5A">
        <w:rPr>
          <w:rFonts w:cs="Arial"/>
          <w:sz w:val="22"/>
          <w:szCs w:val="22"/>
        </w:rPr>
        <w:t xml:space="preserve"> </w:t>
      </w:r>
      <w:r w:rsidR="00255605">
        <w:rPr>
          <w:rFonts w:cs="Arial"/>
          <w:sz w:val="22"/>
          <w:szCs w:val="22"/>
        </w:rPr>
        <w:t>The Regulator has</w:t>
      </w:r>
      <w:r w:rsidR="007E24C3">
        <w:rPr>
          <w:rFonts w:cs="Arial"/>
          <w:sz w:val="22"/>
          <w:szCs w:val="22"/>
        </w:rPr>
        <w:t xml:space="preserve"> been informed and</w:t>
      </w:r>
      <w:r w:rsidR="00255605">
        <w:rPr>
          <w:rFonts w:cs="Arial"/>
          <w:sz w:val="22"/>
          <w:szCs w:val="22"/>
        </w:rPr>
        <w:t xml:space="preserve"> recently agre</w:t>
      </w:r>
      <w:r w:rsidR="007E24C3">
        <w:rPr>
          <w:rFonts w:cs="Arial"/>
          <w:sz w:val="22"/>
          <w:szCs w:val="22"/>
        </w:rPr>
        <w:t>ed to contact these</w:t>
      </w:r>
      <w:r w:rsidR="00255605">
        <w:rPr>
          <w:rFonts w:cs="Arial"/>
          <w:sz w:val="22"/>
          <w:szCs w:val="22"/>
        </w:rPr>
        <w:t xml:space="preserve"> remaining employers. Following the passing of the </w:t>
      </w:r>
      <w:r w:rsidR="00BE1424">
        <w:rPr>
          <w:rFonts w:cs="Arial"/>
          <w:sz w:val="22"/>
          <w:szCs w:val="22"/>
        </w:rPr>
        <w:t xml:space="preserve">2016-17 </w:t>
      </w:r>
      <w:r w:rsidR="00255605">
        <w:rPr>
          <w:rFonts w:cs="Arial"/>
          <w:sz w:val="22"/>
          <w:szCs w:val="22"/>
        </w:rPr>
        <w:t xml:space="preserve">deadline (30 November) 94% of </w:t>
      </w:r>
      <w:r w:rsidR="00BE1424">
        <w:rPr>
          <w:rFonts w:cs="Arial"/>
          <w:sz w:val="22"/>
          <w:szCs w:val="22"/>
        </w:rPr>
        <w:t xml:space="preserve">audited returns </w:t>
      </w:r>
      <w:r w:rsidR="00255605">
        <w:rPr>
          <w:rFonts w:cs="Arial"/>
          <w:sz w:val="22"/>
          <w:szCs w:val="22"/>
        </w:rPr>
        <w:t xml:space="preserve">have now been received (7,221 of 7,718 issued). This leaves less than 500 outstanding with the third escalated reminder to be issued on 9 February. </w:t>
      </w:r>
    </w:p>
    <w:p w14:paraId="140B8954" w14:textId="77777777" w:rsidR="00282909" w:rsidRPr="00F2025C" w:rsidRDefault="00282909" w:rsidP="00F16943">
      <w:pPr>
        <w:pStyle w:val="DeptBullets"/>
        <w:numPr>
          <w:ilvl w:val="0"/>
          <w:numId w:val="0"/>
        </w:numPr>
        <w:spacing w:after="0"/>
        <w:rPr>
          <w:rFonts w:cs="Arial"/>
          <w:b/>
          <w:sz w:val="22"/>
          <w:szCs w:val="22"/>
        </w:rPr>
      </w:pPr>
    </w:p>
    <w:p w14:paraId="19A02566" w14:textId="77777777" w:rsidR="00997AAF" w:rsidRDefault="00F24CA1" w:rsidP="0050165A">
      <w:pPr>
        <w:pStyle w:val="DeptBullets"/>
        <w:numPr>
          <w:ilvl w:val="0"/>
          <w:numId w:val="5"/>
        </w:numPr>
        <w:spacing w:after="0"/>
        <w:rPr>
          <w:sz w:val="22"/>
          <w:szCs w:val="22"/>
        </w:rPr>
      </w:pPr>
      <w:r w:rsidRPr="00F2025C">
        <w:rPr>
          <w:rFonts w:cs="Arial"/>
          <w:b/>
          <w:sz w:val="22"/>
          <w:szCs w:val="22"/>
        </w:rPr>
        <w:t>Pension</w:t>
      </w:r>
      <w:r w:rsidR="00805A2C" w:rsidRPr="00F2025C">
        <w:rPr>
          <w:rFonts w:cs="Arial"/>
          <w:b/>
          <w:sz w:val="22"/>
          <w:szCs w:val="22"/>
        </w:rPr>
        <w:t>s</w:t>
      </w:r>
      <w:r w:rsidRPr="00F2025C">
        <w:rPr>
          <w:rFonts w:cs="Arial"/>
          <w:b/>
          <w:sz w:val="22"/>
          <w:szCs w:val="22"/>
        </w:rPr>
        <w:t xml:space="preserve"> Regulator Reporting – </w:t>
      </w:r>
      <w:r w:rsidR="007E24C3">
        <w:rPr>
          <w:rFonts w:cs="Arial"/>
          <w:sz w:val="22"/>
          <w:szCs w:val="22"/>
        </w:rPr>
        <w:t>Following discussions with DfE, TP adjusted it’s reporting to the regulator in</w:t>
      </w:r>
      <w:r w:rsidR="00255605">
        <w:rPr>
          <w:rFonts w:cs="Arial"/>
          <w:sz w:val="22"/>
          <w:szCs w:val="22"/>
        </w:rPr>
        <w:t xml:space="preserve"> </w:t>
      </w:r>
      <w:r w:rsidR="00997AAF">
        <w:rPr>
          <w:rFonts w:cs="Arial"/>
          <w:sz w:val="22"/>
          <w:szCs w:val="22"/>
        </w:rPr>
        <w:t xml:space="preserve">December in order to report all </w:t>
      </w:r>
      <w:r w:rsidR="00255605">
        <w:rPr>
          <w:rFonts w:cs="Arial"/>
          <w:sz w:val="22"/>
          <w:szCs w:val="22"/>
        </w:rPr>
        <w:t xml:space="preserve">employer with </w:t>
      </w:r>
      <w:r w:rsidR="00997AAF">
        <w:rPr>
          <w:rFonts w:cs="Arial"/>
          <w:sz w:val="22"/>
          <w:szCs w:val="22"/>
        </w:rPr>
        <w:t xml:space="preserve">any </w:t>
      </w:r>
      <w:r w:rsidR="00255605">
        <w:rPr>
          <w:rFonts w:cs="Arial"/>
          <w:sz w:val="22"/>
          <w:szCs w:val="22"/>
        </w:rPr>
        <w:t xml:space="preserve">contributions over 90 </w:t>
      </w:r>
      <w:r w:rsidR="00997AAF">
        <w:rPr>
          <w:rFonts w:cs="Arial"/>
          <w:sz w:val="22"/>
          <w:szCs w:val="22"/>
        </w:rPr>
        <w:t>days old outstanding (previous</w:t>
      </w:r>
      <w:r w:rsidR="00255605">
        <w:rPr>
          <w:rFonts w:cs="Arial"/>
          <w:sz w:val="22"/>
          <w:szCs w:val="22"/>
        </w:rPr>
        <w:t xml:space="preserve"> reporting had concentrated o</w:t>
      </w:r>
      <w:r w:rsidR="00997AAF">
        <w:rPr>
          <w:rFonts w:cs="Arial"/>
          <w:sz w:val="22"/>
          <w:szCs w:val="22"/>
        </w:rPr>
        <w:t>n a fourth month outstanding being the trigger for the ‘over 90 days’ criteria</w:t>
      </w:r>
      <w:r w:rsidR="00255605">
        <w:rPr>
          <w:rFonts w:cs="Arial"/>
          <w:sz w:val="22"/>
          <w:szCs w:val="22"/>
        </w:rPr>
        <w:t>)</w:t>
      </w:r>
      <w:r w:rsidR="00997AAF">
        <w:rPr>
          <w:rFonts w:cs="Arial"/>
          <w:sz w:val="22"/>
          <w:szCs w:val="22"/>
        </w:rPr>
        <w:t xml:space="preserve">. As a result the volume of employers reported increased initially, however this was reduced from 28 in December to 16 for January. The latter consisted of five employers with multiple months outstanding and eleven with only one month. </w:t>
      </w:r>
      <w:r w:rsidR="00997AAF">
        <w:rPr>
          <w:sz w:val="22"/>
          <w:szCs w:val="22"/>
        </w:rPr>
        <w:t xml:space="preserve">Enhancements to the late/non-payers/insolvency/write-off procedures have further increased the oversight of employers in this area. </w:t>
      </w:r>
      <w:r w:rsidR="00997AAF" w:rsidRPr="00F2025C">
        <w:rPr>
          <w:sz w:val="22"/>
          <w:szCs w:val="22"/>
        </w:rPr>
        <w:t>All employers with an outstanding</w:t>
      </w:r>
      <w:r w:rsidR="00997AAF">
        <w:rPr>
          <w:sz w:val="22"/>
          <w:szCs w:val="22"/>
        </w:rPr>
        <w:t xml:space="preserve"> EOYC for 2015-16, per section 10</w:t>
      </w:r>
      <w:r w:rsidR="00997AAF" w:rsidRPr="00F2025C">
        <w:rPr>
          <w:sz w:val="22"/>
          <w:szCs w:val="22"/>
        </w:rPr>
        <w:t xml:space="preserve"> above, continue </w:t>
      </w:r>
      <w:r w:rsidR="00997AAF">
        <w:rPr>
          <w:sz w:val="22"/>
          <w:szCs w:val="22"/>
        </w:rPr>
        <w:t>to be reported.</w:t>
      </w:r>
    </w:p>
    <w:p w14:paraId="2FC77147" w14:textId="77777777" w:rsidR="00AF559D" w:rsidRDefault="00AF559D" w:rsidP="00AF559D">
      <w:pPr>
        <w:pStyle w:val="ListParagraph"/>
        <w:rPr>
          <w:sz w:val="22"/>
          <w:szCs w:val="22"/>
        </w:rPr>
      </w:pPr>
    </w:p>
    <w:p w14:paraId="1151859D" w14:textId="77777777" w:rsidR="00E352B2" w:rsidRPr="00E352B2" w:rsidRDefault="00E352B2" w:rsidP="00E352B2">
      <w:pPr>
        <w:pStyle w:val="ListParagraph"/>
        <w:numPr>
          <w:ilvl w:val="0"/>
          <w:numId w:val="5"/>
        </w:numPr>
        <w:rPr>
          <w:rFonts w:cs="Arial"/>
          <w:sz w:val="22"/>
          <w:szCs w:val="22"/>
          <w:lang w:eastAsia="en-GB"/>
        </w:rPr>
      </w:pPr>
      <w:r w:rsidRPr="00E352B2">
        <w:rPr>
          <w:b/>
          <w:sz w:val="22"/>
          <w:szCs w:val="22"/>
        </w:rPr>
        <w:t>Member Benefits Quantification-</w:t>
      </w:r>
      <w:r w:rsidR="00AF559D" w:rsidRPr="00E352B2">
        <w:rPr>
          <w:sz w:val="22"/>
          <w:szCs w:val="22"/>
        </w:rPr>
        <w:t xml:space="preserve"> </w:t>
      </w:r>
      <w:r w:rsidRPr="00E352B2">
        <w:rPr>
          <w:rFonts w:cs="Arial"/>
          <w:sz w:val="22"/>
          <w:szCs w:val="22"/>
        </w:rPr>
        <w:t xml:space="preserve">Member benefits are quantified utilising service and salary information from employers followed by annual membership reconciliations to ensure this correlates to total contributions received. TP are constantly monitoring unallocated contributions, which happens when employers fail to submit monthly breakdown slips. TP performance in this area has improved year on year, culminating last year in a £45m balance at the year-end, prompting Deloitte/NAO to agree a 1% tolerance. The tolerance equates to roughly £60m on £6bn total contributions. DfE continue to challenge allocations on a monthly basis and TP undertake regular monthly chaser and bulk reminder activities, as part of the EOYC exercise residual amounts are then cleared down as far as possible before being allocated within the scheme accounts following DfE approval. </w:t>
      </w:r>
    </w:p>
    <w:p w14:paraId="7F7FA32F" w14:textId="77777777" w:rsidR="00E352B2" w:rsidRPr="00E352B2" w:rsidRDefault="00E352B2" w:rsidP="00E352B2">
      <w:pPr>
        <w:pStyle w:val="ListParagraph"/>
        <w:rPr>
          <w:rFonts w:cs="Arial"/>
          <w:szCs w:val="24"/>
        </w:rPr>
      </w:pPr>
    </w:p>
    <w:p w14:paraId="5EA44965" w14:textId="77777777" w:rsidR="00E352B2" w:rsidRPr="00E352B2" w:rsidRDefault="00E352B2" w:rsidP="00E352B2">
      <w:pPr>
        <w:pStyle w:val="ListParagraph"/>
        <w:numPr>
          <w:ilvl w:val="0"/>
          <w:numId w:val="5"/>
        </w:numPr>
        <w:rPr>
          <w:rFonts w:cs="Arial"/>
          <w:sz w:val="22"/>
          <w:szCs w:val="24"/>
          <w:lang w:eastAsia="en-GB"/>
        </w:rPr>
      </w:pPr>
      <w:r w:rsidRPr="00E352B2">
        <w:rPr>
          <w:rFonts w:cs="Arial"/>
          <w:b/>
          <w:sz w:val="22"/>
          <w:szCs w:val="24"/>
        </w:rPr>
        <w:t>Monthly Data Collection (MDC2)-</w:t>
      </w:r>
      <w:r w:rsidRPr="00E352B2">
        <w:rPr>
          <w:rFonts w:cs="Arial"/>
          <w:sz w:val="22"/>
          <w:szCs w:val="24"/>
        </w:rPr>
        <w:t xml:space="preserve"> MDC2 is now underway to strengthen this area yet further. It is envisaged this will bring additional control measures; the first a direct debit scheme that will seek to eradicate the current reliance on an independent payment and breakdown slip process (ensuring accurate information is supplied in advance and eradicating the risk of mismatches). There is potential to devise incentives to encourage employers to on-board to direct debit and tackle the remainder via an exercise akin to ‘cheque to BACS’. The second measure is a risk assurance approach to replace the current EOYC. This will seek to </w:t>
      </w:r>
      <w:r w:rsidR="009457D7" w:rsidRPr="00E352B2">
        <w:rPr>
          <w:rFonts w:cs="Arial"/>
          <w:sz w:val="22"/>
          <w:szCs w:val="24"/>
        </w:rPr>
        <w:t>g</w:t>
      </w:r>
      <w:r w:rsidR="009457D7">
        <w:rPr>
          <w:rFonts w:cs="Arial"/>
          <w:sz w:val="22"/>
          <w:szCs w:val="24"/>
        </w:rPr>
        <w:t>a</w:t>
      </w:r>
      <w:r w:rsidR="009457D7" w:rsidRPr="00E352B2">
        <w:rPr>
          <w:rFonts w:cs="Arial"/>
          <w:sz w:val="22"/>
          <w:szCs w:val="24"/>
        </w:rPr>
        <w:t>uge</w:t>
      </w:r>
      <w:r w:rsidRPr="00E352B2">
        <w:rPr>
          <w:rFonts w:cs="Arial"/>
          <w:sz w:val="22"/>
          <w:szCs w:val="24"/>
        </w:rPr>
        <w:t xml:space="preserve"> employer’s administrative performance via a number of key measures such as timeliness of file and payment submissions (thus being on direct debit will be an advantage), subsequent accuracy of submissions and even non-financial measures such as % of members with an MPO account. Employers will be encouraged to achieve a ‘low risk rating’ by the promise of light touch audits and reduced costs for those exhibiting the correct behaviours. Effort can then be focused on tackling any higher risk employers.  </w:t>
      </w:r>
    </w:p>
    <w:p w14:paraId="5FA08354" w14:textId="77777777" w:rsidR="00AF559D" w:rsidRPr="00997AAF" w:rsidRDefault="00AF559D" w:rsidP="00E352B2">
      <w:pPr>
        <w:pStyle w:val="DeptBullets"/>
        <w:numPr>
          <w:ilvl w:val="0"/>
          <w:numId w:val="0"/>
        </w:numPr>
        <w:spacing w:after="0"/>
        <w:rPr>
          <w:sz w:val="22"/>
          <w:szCs w:val="22"/>
        </w:rPr>
      </w:pPr>
    </w:p>
    <w:p w14:paraId="2BDB0CFA" w14:textId="77777777" w:rsidR="00F24CA1" w:rsidRDefault="00F24CA1" w:rsidP="00BE1424">
      <w:pPr>
        <w:pStyle w:val="ListParagraph"/>
        <w:widowControl/>
        <w:overflowPunct/>
        <w:autoSpaceDE/>
        <w:autoSpaceDN/>
        <w:adjustRightInd/>
        <w:textAlignment w:val="auto"/>
        <w:rPr>
          <w:sz w:val="22"/>
          <w:szCs w:val="22"/>
        </w:rPr>
      </w:pPr>
    </w:p>
    <w:tbl>
      <w:tblPr>
        <w:tblStyle w:val="TableGrid"/>
        <w:tblW w:w="0" w:type="auto"/>
        <w:tblInd w:w="108" w:type="dxa"/>
        <w:tblLook w:val="04A0" w:firstRow="1" w:lastRow="0" w:firstColumn="1" w:lastColumn="0" w:noHBand="0" w:noVBand="1"/>
      </w:tblPr>
      <w:tblGrid>
        <w:gridCol w:w="7230"/>
        <w:gridCol w:w="1134"/>
      </w:tblGrid>
      <w:tr w:rsidR="00F24CA1" w:rsidRPr="00F2025C" w14:paraId="4F8BFBB7" w14:textId="77777777" w:rsidTr="00640638">
        <w:tc>
          <w:tcPr>
            <w:tcW w:w="7230" w:type="dxa"/>
          </w:tcPr>
          <w:p w14:paraId="0D8D9609" w14:textId="77777777" w:rsidR="00F24CA1" w:rsidRPr="00F2025C" w:rsidRDefault="00F24CA1" w:rsidP="00077322">
            <w:pPr>
              <w:rPr>
                <w:rFonts w:cs="Arial"/>
                <w:b/>
                <w:sz w:val="22"/>
                <w:szCs w:val="22"/>
                <w:lang w:eastAsia="en-GB"/>
              </w:rPr>
            </w:pPr>
          </w:p>
          <w:p w14:paraId="0BC18820" w14:textId="77777777" w:rsidR="00F24CA1" w:rsidRPr="00F2025C" w:rsidRDefault="00F24CA1" w:rsidP="00077322">
            <w:pPr>
              <w:rPr>
                <w:rFonts w:cs="Arial"/>
                <w:b/>
                <w:sz w:val="22"/>
                <w:szCs w:val="22"/>
                <w:lang w:eastAsia="en-GB"/>
              </w:rPr>
            </w:pPr>
            <w:r w:rsidRPr="00F2025C">
              <w:rPr>
                <w:rFonts w:cs="Arial"/>
                <w:b/>
                <w:sz w:val="22"/>
                <w:szCs w:val="22"/>
                <w:lang w:eastAsia="en-GB"/>
              </w:rPr>
              <w:t>Debt</w:t>
            </w:r>
          </w:p>
          <w:p w14:paraId="1A8FF796" w14:textId="77777777" w:rsidR="00F2025C" w:rsidRPr="00F2025C" w:rsidRDefault="00F2025C" w:rsidP="00077322">
            <w:pPr>
              <w:rPr>
                <w:rFonts w:cs="Arial"/>
                <w:b/>
                <w:sz w:val="22"/>
                <w:szCs w:val="22"/>
                <w:lang w:eastAsia="en-GB"/>
              </w:rPr>
            </w:pPr>
          </w:p>
        </w:tc>
        <w:tc>
          <w:tcPr>
            <w:tcW w:w="1134" w:type="dxa"/>
            <w:shd w:val="clear" w:color="auto" w:fill="00B050"/>
          </w:tcPr>
          <w:p w14:paraId="201A05AB" w14:textId="77777777" w:rsidR="00F24CA1" w:rsidRPr="00F2025C" w:rsidRDefault="00F24CA1" w:rsidP="00077322">
            <w:pPr>
              <w:rPr>
                <w:rFonts w:cs="Arial"/>
                <w:sz w:val="22"/>
                <w:szCs w:val="22"/>
              </w:rPr>
            </w:pPr>
            <w:r w:rsidRPr="00F2025C">
              <w:rPr>
                <w:rFonts w:cs="Arial"/>
                <w:sz w:val="22"/>
                <w:szCs w:val="22"/>
              </w:rPr>
              <w:t xml:space="preserve">                        </w:t>
            </w:r>
          </w:p>
          <w:p w14:paraId="2158323C" w14:textId="77777777" w:rsidR="00F24CA1" w:rsidRPr="00F2025C" w:rsidRDefault="00174F49" w:rsidP="00077322">
            <w:pPr>
              <w:rPr>
                <w:rFonts w:cs="Arial"/>
                <w:sz w:val="22"/>
                <w:szCs w:val="22"/>
              </w:rPr>
            </w:pPr>
            <w:r>
              <w:rPr>
                <w:rFonts w:cs="Arial"/>
                <w:noProof/>
                <w:szCs w:val="24"/>
                <w:lang w:eastAsia="en-GB"/>
              </w:rPr>
              <mc:AlternateContent>
                <mc:Choice Requires="wps">
                  <w:drawing>
                    <wp:anchor distT="4294967293" distB="4294967293" distL="114300" distR="114300" simplePos="0" relativeHeight="251686912" behindDoc="0" locked="0" layoutInCell="1" allowOverlap="1" wp14:anchorId="3C931B94" wp14:editId="7295E118">
                      <wp:simplePos x="0" y="0"/>
                      <wp:positionH relativeFrom="column">
                        <wp:posOffset>140970</wp:posOffset>
                      </wp:positionH>
                      <wp:positionV relativeFrom="paragraph">
                        <wp:posOffset>63499</wp:posOffset>
                      </wp:positionV>
                      <wp:extent cx="350520" cy="0"/>
                      <wp:effectExtent l="0" t="76200" r="30480" b="152400"/>
                      <wp:wrapNone/>
                      <wp:docPr id="1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935B708" id="Straight Arrow Connector 1" o:spid="_x0000_s1026" type="#_x0000_t32" style="position:absolute;margin-left:11.1pt;margin-top:5pt;width:27.6pt;height:0;z-index:251686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i9LgIAAFkEAAAOAAAAZHJzL2Uyb0RvYy54bWysVE2P0zAQvSPxHyzfadouRauo6Qq1LJcV&#10;VHQR56njJBaOxxq7TfvvGTtt2YUbIgfL4/nwe2/GWT6ceiuOmoJBV8nZZCqFdgpr49pKfn9+fHcv&#10;RYjgarDodCXPOsiH1ds3y8GXeo4d2lqT4CIulIOvZBejL4siqE73ECbotWNng9RDZJPaoiYYuHpv&#10;i/l0+qEYkGpPqHQIfLoZnXKV6zeNVvFr0wQdha0kY4t5pbzu01qsllC2BL4z6gID/gFFD8bxpbdS&#10;G4ggDmT+KtUbRRiwiROFfYFNY5TOHJjNbPoHm10HXmcuLE7wN5nC/yurvhy3JEzNvZtJ4aDnHu0i&#10;gWm7KD4S4SDW6BzriCRmSa7Bh5Kz1m5LibA6uZ1/QvUzsK945UxG8GPYqaE+hTNjccryn2/y61MU&#10;ig/vFtPFnJukrq4CymuepxA/a+xF2lQyXCDesM2y+nB8CjHhgPKakC51+Gisza22TgyVnC/eT9NF&#10;wBPXWIi87T1rEFwrBdiWR1lFyiUDWlOn9FQonMPakjgCTxMPYY3DM4OXwkKI7GBG+UsyMYRXqQnP&#10;BkI3JmfXOHwRjP3kahHPnrWHJPkl37p0p85TzLyyfIeoadfVg9jbA30DxsxMEpfaJF34SYwGY0kc&#10;s0UYf5jY5WlKomcm1O5vVHLceA7WdzBivLtP2RcqY3imhVcM2XoBL3d/bHhq/R7r85ZSfrJ4fnP8&#10;5a2lB/LSzlG//wirXwAAAP//AwBQSwMEFAAGAAgAAAAhAHbqQVXaAAAABwEAAA8AAABkcnMvZG93&#10;bnJldi54bWxMj81OwzAQhO9IvIO1SNyoTQQNSuNU/EtckAg8gBtvk9B4HcXOT3l6FnGA4+yMZr/J&#10;t4vrxIRDaD1puFwpEEiVty3VGj7eny5uQIRoyJrOE2o4YoBtcXqSm8z6md5wKmMtuIRCZjQ0MfaZ&#10;lKFq0Jmw8j0Se3s/OBNZDrW0g5m53HUyUWotnWmJPzSmx/sGq0M5Og1f7oEe3XT9PH5O65f59e6o&#10;Dmmp9fnZcrsBEXGJf2H4wWd0KJhp50eyQXQakiThJN8VT2I/Ta9A7H61LHL5n7/4BgAA//8DAFBL&#10;AQItABQABgAIAAAAIQC2gziS/gAAAOEBAAATAAAAAAAAAAAAAAAAAAAAAABbQ29udGVudF9UeXBl&#10;c10ueG1sUEsBAi0AFAAGAAgAAAAhADj9If/WAAAAlAEAAAsAAAAAAAAAAAAAAAAALwEAAF9yZWxz&#10;Ly5yZWxzUEsBAi0AFAAGAAgAAAAhAOIFuL0uAgAAWQQAAA4AAAAAAAAAAAAAAAAALgIAAGRycy9l&#10;Mm9Eb2MueG1sUEsBAi0AFAAGAAgAAAAhAHbqQVXaAAAABwEAAA8AAAAAAAAAAAAAAAAAiAQAAGRy&#10;cy9kb3ducmV2LnhtbFBLBQYAAAAABAAEAPMAAACPBQAAAAA=&#10;" strokecolor="windowText" strokeweight="2pt">
                      <v:stroke endarrow="open"/>
                      <v:shadow on="t" color="black" opacity="24903f" origin=",.5" offset="0,.55556mm"/>
                      <o:lock v:ext="edit" shapetype="f"/>
                    </v:shape>
                  </w:pict>
                </mc:Fallback>
              </mc:AlternateContent>
            </w:r>
          </w:p>
        </w:tc>
      </w:tr>
    </w:tbl>
    <w:p w14:paraId="4844861A" w14:textId="77777777" w:rsidR="00A60331" w:rsidRPr="00F2025C" w:rsidRDefault="00A60331" w:rsidP="00F16943">
      <w:pPr>
        <w:pStyle w:val="DeptBullets"/>
        <w:numPr>
          <w:ilvl w:val="0"/>
          <w:numId w:val="0"/>
        </w:numPr>
        <w:tabs>
          <w:tab w:val="left" w:pos="8364"/>
        </w:tabs>
        <w:spacing w:after="0"/>
        <w:ind w:left="426" w:hanging="426"/>
        <w:rPr>
          <w:rFonts w:cs="Arial"/>
          <w:sz w:val="22"/>
          <w:szCs w:val="22"/>
        </w:rPr>
      </w:pPr>
    </w:p>
    <w:p w14:paraId="07D97F7F" w14:textId="77777777" w:rsidR="00F24CA1" w:rsidRPr="0050165A" w:rsidRDefault="00F24CA1" w:rsidP="0050165A">
      <w:pPr>
        <w:pStyle w:val="DeptBullets"/>
        <w:numPr>
          <w:ilvl w:val="0"/>
          <w:numId w:val="5"/>
        </w:numPr>
        <w:tabs>
          <w:tab w:val="left" w:pos="8364"/>
        </w:tabs>
        <w:spacing w:after="0"/>
        <w:rPr>
          <w:rFonts w:cs="Arial"/>
          <w:sz w:val="22"/>
          <w:szCs w:val="22"/>
        </w:rPr>
      </w:pPr>
      <w:r w:rsidRPr="00F2025C">
        <w:rPr>
          <w:rFonts w:cs="Arial"/>
          <w:b/>
          <w:sz w:val="22"/>
          <w:szCs w:val="22"/>
        </w:rPr>
        <w:t>Member Overpayments</w:t>
      </w:r>
      <w:r w:rsidRPr="00F2025C">
        <w:rPr>
          <w:rFonts w:cs="Arial"/>
          <w:sz w:val="22"/>
          <w:szCs w:val="22"/>
        </w:rPr>
        <w:t xml:space="preserve"> –</w:t>
      </w:r>
      <w:r w:rsidR="00F65907" w:rsidRPr="00F2025C">
        <w:rPr>
          <w:rFonts w:cs="Arial"/>
          <w:sz w:val="22"/>
          <w:szCs w:val="22"/>
        </w:rPr>
        <w:t xml:space="preserve"> The outstanding balance </w:t>
      </w:r>
      <w:r w:rsidR="00064652" w:rsidRPr="00F2025C">
        <w:rPr>
          <w:rFonts w:cs="Arial"/>
          <w:sz w:val="22"/>
          <w:szCs w:val="22"/>
        </w:rPr>
        <w:t xml:space="preserve">at </w:t>
      </w:r>
      <w:r w:rsidR="0050165A">
        <w:rPr>
          <w:rFonts w:cs="Arial"/>
          <w:sz w:val="22"/>
          <w:szCs w:val="22"/>
        </w:rPr>
        <w:t xml:space="preserve">January was £11.95m, down from the </w:t>
      </w:r>
      <w:r w:rsidR="007865B1">
        <w:rPr>
          <w:rFonts w:cs="Arial"/>
          <w:sz w:val="22"/>
          <w:szCs w:val="22"/>
        </w:rPr>
        <w:t xml:space="preserve">£12.3m </w:t>
      </w:r>
      <w:r w:rsidR="0050165A">
        <w:rPr>
          <w:rFonts w:cs="Arial"/>
          <w:sz w:val="22"/>
          <w:szCs w:val="22"/>
        </w:rPr>
        <w:t xml:space="preserve">reported in October. </w:t>
      </w:r>
      <w:r w:rsidR="00347B5A">
        <w:rPr>
          <w:rFonts w:cs="Arial"/>
          <w:sz w:val="22"/>
          <w:szCs w:val="22"/>
        </w:rPr>
        <w:t xml:space="preserve">Across the </w:t>
      </w:r>
      <w:r w:rsidR="00022806">
        <w:rPr>
          <w:rFonts w:cs="Arial"/>
          <w:sz w:val="22"/>
          <w:szCs w:val="22"/>
        </w:rPr>
        <w:t>quarter,</w:t>
      </w:r>
      <w:r w:rsidR="0050165A">
        <w:rPr>
          <w:rFonts w:cs="Arial"/>
          <w:sz w:val="22"/>
          <w:szCs w:val="22"/>
        </w:rPr>
        <w:t xml:space="preserve"> 2,475</w:t>
      </w:r>
      <w:r w:rsidR="00064652" w:rsidRPr="00F2025C">
        <w:rPr>
          <w:rFonts w:cs="Arial"/>
          <w:sz w:val="22"/>
          <w:szCs w:val="22"/>
        </w:rPr>
        <w:t xml:space="preserve"> invoices were raised totalling £</w:t>
      </w:r>
      <w:r w:rsidR="0050165A">
        <w:rPr>
          <w:rFonts w:cs="Arial"/>
          <w:sz w:val="22"/>
          <w:szCs w:val="22"/>
        </w:rPr>
        <w:t>2.592</w:t>
      </w:r>
      <w:r w:rsidR="00064652" w:rsidRPr="00F2025C">
        <w:rPr>
          <w:rFonts w:cs="Arial"/>
          <w:sz w:val="22"/>
          <w:szCs w:val="22"/>
        </w:rPr>
        <w:t>m with an</w:t>
      </w:r>
      <w:r w:rsidR="00347B5A">
        <w:rPr>
          <w:rFonts w:cs="Arial"/>
          <w:sz w:val="22"/>
          <w:szCs w:val="22"/>
        </w:rPr>
        <w:t xml:space="preserve"> average cost per case of £</w:t>
      </w:r>
      <w:r w:rsidR="0050165A">
        <w:rPr>
          <w:rFonts w:cs="Arial"/>
          <w:sz w:val="22"/>
          <w:szCs w:val="22"/>
        </w:rPr>
        <w:t>1,047 (previously £</w:t>
      </w:r>
      <w:r w:rsidR="00347B5A">
        <w:rPr>
          <w:rFonts w:cs="Arial"/>
          <w:sz w:val="22"/>
          <w:szCs w:val="22"/>
        </w:rPr>
        <w:t>1,116</w:t>
      </w:r>
      <w:r w:rsidR="0050165A">
        <w:rPr>
          <w:rFonts w:cs="Arial"/>
          <w:sz w:val="22"/>
          <w:szCs w:val="22"/>
        </w:rPr>
        <w:t>)</w:t>
      </w:r>
      <w:r w:rsidR="00064652" w:rsidRPr="00F2025C">
        <w:rPr>
          <w:rFonts w:cs="Arial"/>
          <w:sz w:val="22"/>
          <w:szCs w:val="22"/>
        </w:rPr>
        <w:t>.</w:t>
      </w:r>
      <w:r w:rsidR="0050165A">
        <w:rPr>
          <w:rFonts w:cs="Arial"/>
          <w:sz w:val="22"/>
          <w:szCs w:val="22"/>
        </w:rPr>
        <w:t xml:space="preserve"> The balance consists of £5.7m from re-marriage (of which £3.4m, 60%, is in recovery), £1.9m from re-employment, £1.5m from lump sums and £1.3m from death. Overall £6.5m of this balance is in recovery. </w:t>
      </w:r>
      <w:r w:rsidR="00064652" w:rsidRPr="0050165A">
        <w:rPr>
          <w:rFonts w:cs="Arial"/>
          <w:sz w:val="22"/>
          <w:szCs w:val="22"/>
        </w:rPr>
        <w:t xml:space="preserve"> </w:t>
      </w:r>
      <w:r w:rsidRPr="0050165A">
        <w:rPr>
          <w:rFonts w:cs="Arial"/>
          <w:sz w:val="22"/>
          <w:szCs w:val="22"/>
        </w:rPr>
        <w:t xml:space="preserve"> </w:t>
      </w:r>
    </w:p>
    <w:p w14:paraId="3DFCDBC4" w14:textId="77777777" w:rsidR="00F16943" w:rsidRPr="00F2025C" w:rsidRDefault="00F16943" w:rsidP="00F16943">
      <w:pPr>
        <w:pStyle w:val="DeptBullets"/>
        <w:numPr>
          <w:ilvl w:val="0"/>
          <w:numId w:val="0"/>
        </w:numPr>
        <w:tabs>
          <w:tab w:val="left" w:pos="8364"/>
        </w:tabs>
        <w:spacing w:after="0"/>
        <w:ind w:left="426" w:hanging="426"/>
        <w:rPr>
          <w:rFonts w:cs="Arial"/>
          <w:sz w:val="22"/>
          <w:szCs w:val="22"/>
        </w:rPr>
      </w:pPr>
    </w:p>
    <w:p w14:paraId="2887C3A0" w14:textId="77777777" w:rsidR="0050165A" w:rsidRDefault="00F24CA1" w:rsidP="009457D7">
      <w:pPr>
        <w:pStyle w:val="DeptBullets"/>
        <w:numPr>
          <w:ilvl w:val="0"/>
          <w:numId w:val="0"/>
        </w:numPr>
        <w:spacing w:after="0"/>
        <w:ind w:left="360" w:right="-58"/>
        <w:rPr>
          <w:rFonts w:cs="Arial"/>
          <w:sz w:val="22"/>
          <w:szCs w:val="22"/>
        </w:rPr>
      </w:pPr>
      <w:r w:rsidRPr="00257808">
        <w:rPr>
          <w:rFonts w:cs="Arial"/>
          <w:b/>
          <w:sz w:val="22"/>
          <w:szCs w:val="22"/>
        </w:rPr>
        <w:t>Arrears of Contributions</w:t>
      </w:r>
      <w:r w:rsidRPr="00257808">
        <w:rPr>
          <w:rFonts w:cs="Arial"/>
          <w:sz w:val="22"/>
          <w:szCs w:val="22"/>
        </w:rPr>
        <w:t xml:space="preserve"> – The outstanding balance of member and employer </w:t>
      </w:r>
      <w:r w:rsidR="00A7099C" w:rsidRPr="00257808">
        <w:rPr>
          <w:rFonts w:cs="Arial"/>
          <w:sz w:val="22"/>
          <w:szCs w:val="22"/>
        </w:rPr>
        <w:t xml:space="preserve">arrears debt was </w:t>
      </w:r>
      <w:r w:rsidR="007865B1" w:rsidRPr="00257808">
        <w:rPr>
          <w:rFonts w:cs="Arial"/>
          <w:sz w:val="22"/>
          <w:szCs w:val="22"/>
        </w:rPr>
        <w:t>£</w:t>
      </w:r>
      <w:r w:rsidR="0050165A" w:rsidRPr="00257808">
        <w:rPr>
          <w:rFonts w:cs="Arial"/>
          <w:sz w:val="22"/>
          <w:szCs w:val="22"/>
        </w:rPr>
        <w:t>3.97m, down from £4.3m at October</w:t>
      </w:r>
      <w:r w:rsidRPr="00257808">
        <w:rPr>
          <w:rFonts w:cs="Arial"/>
          <w:sz w:val="22"/>
          <w:szCs w:val="22"/>
        </w:rPr>
        <w:t xml:space="preserve">. </w:t>
      </w:r>
      <w:r w:rsidR="007865B1" w:rsidRPr="00257808">
        <w:rPr>
          <w:rFonts w:cs="Arial"/>
          <w:sz w:val="22"/>
          <w:szCs w:val="22"/>
        </w:rPr>
        <w:t>Over the quarter</w:t>
      </w:r>
      <w:r w:rsidR="00E8026D" w:rsidRPr="00257808">
        <w:rPr>
          <w:rFonts w:cs="Arial"/>
          <w:sz w:val="22"/>
          <w:szCs w:val="22"/>
        </w:rPr>
        <w:t xml:space="preserve"> 166 invoices were raised worth £1</w:t>
      </w:r>
      <w:r w:rsidR="00064652" w:rsidRPr="00257808">
        <w:rPr>
          <w:rFonts w:cs="Arial"/>
          <w:sz w:val="22"/>
          <w:szCs w:val="22"/>
        </w:rPr>
        <w:t xml:space="preserve">m with an average cost per case of </w:t>
      </w:r>
      <w:r w:rsidR="00E8026D" w:rsidRPr="00257808">
        <w:rPr>
          <w:rFonts w:cs="Arial"/>
          <w:sz w:val="22"/>
          <w:szCs w:val="22"/>
        </w:rPr>
        <w:t xml:space="preserve">£6.1k (previously </w:t>
      </w:r>
      <w:r w:rsidR="007865B1" w:rsidRPr="00257808">
        <w:rPr>
          <w:rFonts w:cs="Arial"/>
          <w:sz w:val="22"/>
          <w:szCs w:val="22"/>
        </w:rPr>
        <w:t>£5.3k</w:t>
      </w:r>
      <w:r w:rsidR="006172D2" w:rsidRPr="00257808">
        <w:rPr>
          <w:rFonts w:cs="Arial"/>
          <w:sz w:val="22"/>
          <w:szCs w:val="22"/>
        </w:rPr>
        <w:t>)</w:t>
      </w:r>
      <w:r w:rsidR="007865B1" w:rsidRPr="00257808">
        <w:rPr>
          <w:rFonts w:cs="Arial"/>
          <w:sz w:val="22"/>
          <w:szCs w:val="22"/>
        </w:rPr>
        <w:t>.</w:t>
      </w:r>
      <w:r w:rsidR="00E8026D" w:rsidRPr="00257808">
        <w:rPr>
          <w:rFonts w:cs="Arial"/>
          <w:sz w:val="22"/>
          <w:szCs w:val="22"/>
        </w:rPr>
        <w:t xml:space="preserve"> </w:t>
      </w:r>
    </w:p>
    <w:p w14:paraId="7B68874B" w14:textId="77777777" w:rsidR="009457D7" w:rsidRPr="00257808" w:rsidRDefault="009457D7" w:rsidP="009457D7">
      <w:pPr>
        <w:pStyle w:val="DeptBullets"/>
        <w:numPr>
          <w:ilvl w:val="0"/>
          <w:numId w:val="0"/>
        </w:numPr>
        <w:spacing w:after="0"/>
        <w:ind w:left="360" w:right="-58"/>
        <w:rPr>
          <w:rFonts w:cs="Arial"/>
          <w:sz w:val="22"/>
          <w:szCs w:val="22"/>
        </w:rPr>
      </w:pPr>
    </w:p>
    <w:p w14:paraId="741B54F5" w14:textId="77777777" w:rsidR="007865B1" w:rsidRDefault="00022806" w:rsidP="0050165A">
      <w:pPr>
        <w:pStyle w:val="DeptBullets"/>
        <w:numPr>
          <w:ilvl w:val="0"/>
          <w:numId w:val="5"/>
        </w:numPr>
        <w:spacing w:after="0"/>
        <w:ind w:right="-58"/>
        <w:rPr>
          <w:rFonts w:cs="Arial"/>
          <w:sz w:val="22"/>
          <w:szCs w:val="22"/>
        </w:rPr>
      </w:pPr>
      <w:r>
        <w:rPr>
          <w:rFonts w:cs="Arial"/>
          <w:sz w:val="22"/>
          <w:szCs w:val="22"/>
        </w:rPr>
        <w:t xml:space="preserve">Although </w:t>
      </w:r>
      <w:r w:rsidR="004766A0">
        <w:rPr>
          <w:rFonts w:cs="Arial"/>
          <w:sz w:val="22"/>
          <w:szCs w:val="22"/>
        </w:rPr>
        <w:t xml:space="preserve">the amount of </w:t>
      </w:r>
      <w:r>
        <w:rPr>
          <w:rFonts w:cs="Arial"/>
          <w:sz w:val="22"/>
          <w:szCs w:val="22"/>
        </w:rPr>
        <w:t xml:space="preserve">employer debt is </w:t>
      </w:r>
      <w:r w:rsidR="004766A0">
        <w:rPr>
          <w:rFonts w:cs="Arial"/>
          <w:sz w:val="22"/>
          <w:szCs w:val="22"/>
        </w:rPr>
        <w:t xml:space="preserve">comparatively low, </w:t>
      </w:r>
      <w:r w:rsidR="006172D2">
        <w:rPr>
          <w:rFonts w:cs="Arial"/>
          <w:sz w:val="22"/>
          <w:szCs w:val="22"/>
        </w:rPr>
        <w:t>DfE continue to</w:t>
      </w:r>
      <w:r w:rsidR="005060CE">
        <w:rPr>
          <w:rFonts w:cs="Arial"/>
          <w:sz w:val="22"/>
          <w:szCs w:val="22"/>
        </w:rPr>
        <w:t xml:space="preserve"> actively re</w:t>
      </w:r>
      <w:r w:rsidR="006172D2">
        <w:rPr>
          <w:rFonts w:cs="Arial"/>
          <w:sz w:val="22"/>
          <w:szCs w:val="22"/>
        </w:rPr>
        <w:t>view</w:t>
      </w:r>
      <w:r w:rsidR="00D46F5A">
        <w:rPr>
          <w:rFonts w:cs="Arial"/>
          <w:sz w:val="22"/>
          <w:szCs w:val="22"/>
        </w:rPr>
        <w:t xml:space="preserve"> and challenge</w:t>
      </w:r>
      <w:r w:rsidR="005060CE">
        <w:rPr>
          <w:rFonts w:cs="Arial"/>
          <w:sz w:val="22"/>
          <w:szCs w:val="22"/>
        </w:rPr>
        <w:t xml:space="preserve"> TP’s management of</w:t>
      </w:r>
      <w:r w:rsidR="006172D2">
        <w:rPr>
          <w:rFonts w:cs="Arial"/>
          <w:sz w:val="22"/>
          <w:szCs w:val="22"/>
        </w:rPr>
        <w:t xml:space="preserve"> the cases </w:t>
      </w:r>
      <w:r>
        <w:rPr>
          <w:rFonts w:cs="Arial"/>
          <w:sz w:val="22"/>
          <w:szCs w:val="22"/>
        </w:rPr>
        <w:t xml:space="preserve">as part of </w:t>
      </w:r>
      <w:r w:rsidR="005060CE">
        <w:rPr>
          <w:rFonts w:cs="Arial"/>
          <w:sz w:val="22"/>
          <w:szCs w:val="22"/>
        </w:rPr>
        <w:t xml:space="preserve">the </w:t>
      </w:r>
      <w:r w:rsidR="0068595C">
        <w:rPr>
          <w:rFonts w:cs="Arial"/>
          <w:sz w:val="22"/>
          <w:szCs w:val="22"/>
        </w:rPr>
        <w:t>monthly</w:t>
      </w:r>
      <w:r>
        <w:rPr>
          <w:rFonts w:cs="Arial"/>
          <w:sz w:val="22"/>
          <w:szCs w:val="22"/>
        </w:rPr>
        <w:t xml:space="preserve"> debt review </w:t>
      </w:r>
      <w:r w:rsidR="005060CE">
        <w:rPr>
          <w:rFonts w:cs="Arial"/>
          <w:sz w:val="22"/>
          <w:szCs w:val="22"/>
        </w:rPr>
        <w:t xml:space="preserve">meetings </w:t>
      </w:r>
      <w:r>
        <w:rPr>
          <w:rFonts w:cs="Arial"/>
          <w:sz w:val="22"/>
          <w:szCs w:val="22"/>
        </w:rPr>
        <w:t xml:space="preserve">and </w:t>
      </w:r>
      <w:r w:rsidR="005060CE">
        <w:rPr>
          <w:rFonts w:cs="Arial"/>
          <w:sz w:val="22"/>
          <w:szCs w:val="22"/>
        </w:rPr>
        <w:t xml:space="preserve">in line with </w:t>
      </w:r>
      <w:r>
        <w:rPr>
          <w:rFonts w:cs="Arial"/>
          <w:sz w:val="22"/>
          <w:szCs w:val="22"/>
        </w:rPr>
        <w:t xml:space="preserve">the </w:t>
      </w:r>
      <w:r w:rsidR="0068595C">
        <w:rPr>
          <w:rFonts w:cs="Arial"/>
          <w:sz w:val="22"/>
          <w:szCs w:val="22"/>
        </w:rPr>
        <w:t>enhanced</w:t>
      </w:r>
      <w:r>
        <w:rPr>
          <w:rFonts w:cs="Arial"/>
          <w:sz w:val="22"/>
          <w:szCs w:val="22"/>
        </w:rPr>
        <w:t xml:space="preserve"> </w:t>
      </w:r>
      <w:r w:rsidR="0068595C">
        <w:rPr>
          <w:rFonts w:cs="Arial"/>
          <w:sz w:val="22"/>
          <w:szCs w:val="22"/>
        </w:rPr>
        <w:t>procedures</w:t>
      </w:r>
      <w:r w:rsidR="006172D2">
        <w:rPr>
          <w:rFonts w:cs="Arial"/>
          <w:sz w:val="22"/>
          <w:szCs w:val="22"/>
        </w:rPr>
        <w:t xml:space="preserve"> outlined in para 11</w:t>
      </w:r>
      <w:r>
        <w:rPr>
          <w:rFonts w:cs="Arial"/>
          <w:sz w:val="22"/>
          <w:szCs w:val="22"/>
        </w:rPr>
        <w:t xml:space="preserve"> above. </w:t>
      </w:r>
    </w:p>
    <w:p w14:paraId="57974000" w14:textId="77777777" w:rsidR="0050165A" w:rsidRPr="0050165A" w:rsidRDefault="0050165A" w:rsidP="0050165A">
      <w:pPr>
        <w:pStyle w:val="DeptBullets"/>
        <w:numPr>
          <w:ilvl w:val="0"/>
          <w:numId w:val="0"/>
        </w:numPr>
        <w:spacing w:after="0"/>
        <w:ind w:left="360" w:right="-58"/>
        <w:rPr>
          <w:rFonts w:cs="Arial"/>
          <w:sz w:val="22"/>
          <w:szCs w:val="22"/>
        </w:rPr>
      </w:pPr>
    </w:p>
    <w:tbl>
      <w:tblPr>
        <w:tblStyle w:val="TableGrid"/>
        <w:tblW w:w="0" w:type="auto"/>
        <w:tblInd w:w="108" w:type="dxa"/>
        <w:tblLook w:val="04A0" w:firstRow="1" w:lastRow="0" w:firstColumn="1" w:lastColumn="0" w:noHBand="0" w:noVBand="1"/>
      </w:tblPr>
      <w:tblGrid>
        <w:gridCol w:w="7230"/>
        <w:gridCol w:w="1134"/>
      </w:tblGrid>
      <w:tr w:rsidR="00DC6BD2" w:rsidRPr="00F2025C" w14:paraId="57104273" w14:textId="77777777" w:rsidTr="00F22F63">
        <w:tc>
          <w:tcPr>
            <w:tcW w:w="7230" w:type="dxa"/>
          </w:tcPr>
          <w:p w14:paraId="607F29B9" w14:textId="77777777" w:rsidR="00DC6BD2" w:rsidRPr="006172D2" w:rsidRDefault="00DC6BD2" w:rsidP="00311C8A">
            <w:pPr>
              <w:rPr>
                <w:rFonts w:cs="Arial"/>
                <w:b/>
                <w:color w:val="FF0000"/>
                <w:sz w:val="22"/>
                <w:szCs w:val="22"/>
                <w:lang w:eastAsia="en-GB"/>
              </w:rPr>
            </w:pPr>
          </w:p>
          <w:p w14:paraId="0970835D" w14:textId="77777777" w:rsidR="00DC6BD2" w:rsidRPr="00D46F5A" w:rsidRDefault="00580DCC" w:rsidP="00F2025C">
            <w:pPr>
              <w:rPr>
                <w:rFonts w:cs="Arial"/>
                <w:b/>
                <w:sz w:val="22"/>
                <w:szCs w:val="22"/>
                <w:lang w:eastAsia="en-GB"/>
              </w:rPr>
            </w:pPr>
            <w:r w:rsidRPr="00D46F5A">
              <w:rPr>
                <w:rFonts w:cs="Arial"/>
                <w:b/>
                <w:sz w:val="22"/>
                <w:szCs w:val="22"/>
                <w:lang w:eastAsia="en-GB"/>
              </w:rPr>
              <w:t xml:space="preserve">Contractor &amp; </w:t>
            </w:r>
            <w:r w:rsidR="005060CE" w:rsidRPr="00D46F5A">
              <w:rPr>
                <w:rFonts w:cs="Arial"/>
                <w:b/>
                <w:sz w:val="22"/>
                <w:szCs w:val="22"/>
                <w:lang w:eastAsia="en-GB"/>
              </w:rPr>
              <w:t>DfE</w:t>
            </w:r>
            <w:r w:rsidRPr="00D46F5A">
              <w:rPr>
                <w:rFonts w:cs="Arial"/>
                <w:b/>
                <w:sz w:val="22"/>
                <w:szCs w:val="22"/>
                <w:lang w:eastAsia="en-GB"/>
              </w:rPr>
              <w:t xml:space="preserve"> Costs</w:t>
            </w:r>
            <w:r w:rsidR="006172D2" w:rsidRPr="00D46F5A">
              <w:rPr>
                <w:rFonts w:cs="Arial"/>
                <w:b/>
                <w:sz w:val="22"/>
                <w:szCs w:val="22"/>
                <w:lang w:eastAsia="en-GB"/>
              </w:rPr>
              <w:t xml:space="preserve"> </w:t>
            </w:r>
          </w:p>
          <w:p w14:paraId="3C6C4281" w14:textId="77777777" w:rsidR="00F2025C" w:rsidRPr="006172D2" w:rsidRDefault="00F2025C" w:rsidP="00F2025C">
            <w:pPr>
              <w:rPr>
                <w:rFonts w:cs="Arial"/>
                <w:b/>
                <w:color w:val="FF0000"/>
                <w:sz w:val="22"/>
                <w:szCs w:val="22"/>
              </w:rPr>
            </w:pPr>
          </w:p>
        </w:tc>
        <w:tc>
          <w:tcPr>
            <w:tcW w:w="1134" w:type="dxa"/>
            <w:shd w:val="clear" w:color="auto" w:fill="00B050"/>
          </w:tcPr>
          <w:p w14:paraId="20401FCA" w14:textId="77777777" w:rsidR="00DC6BD2" w:rsidRPr="00F2025C" w:rsidRDefault="00174F49" w:rsidP="00311C8A">
            <w:pPr>
              <w:rPr>
                <w:rFonts w:cs="Arial"/>
                <w:sz w:val="22"/>
                <w:szCs w:val="22"/>
              </w:rPr>
            </w:pPr>
            <w:r>
              <w:rPr>
                <w:rFonts w:cs="Arial"/>
                <w:noProof/>
                <w:szCs w:val="24"/>
                <w:lang w:eastAsia="en-GB"/>
              </w:rPr>
              <mc:AlternateContent>
                <mc:Choice Requires="wps">
                  <w:drawing>
                    <wp:anchor distT="4294967293" distB="4294967293" distL="114300" distR="114300" simplePos="0" relativeHeight="251679744" behindDoc="0" locked="0" layoutInCell="1" allowOverlap="1" wp14:anchorId="7AE937DF" wp14:editId="6011646A">
                      <wp:simplePos x="0" y="0"/>
                      <wp:positionH relativeFrom="column">
                        <wp:posOffset>148590</wp:posOffset>
                      </wp:positionH>
                      <wp:positionV relativeFrom="paragraph">
                        <wp:posOffset>161289</wp:posOffset>
                      </wp:positionV>
                      <wp:extent cx="350520" cy="0"/>
                      <wp:effectExtent l="0" t="76200" r="30480" b="1524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827C9AF" id="Straight Arrow Connector 10" o:spid="_x0000_s1026" type="#_x0000_t32" style="position:absolute;margin-left:11.7pt;margin-top:12.7pt;width:27.6pt;height:0;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5LaLgIAAFoEAAAOAAAAZHJzL2Uyb0RvYy54bWysVE2P0zAQvSPxHyzfadouRauo6Qq1LJcV&#10;VHQR56njJBaObc24TfvvGTtt2YUbIgfL4/nwe2/GWT6ceiuOGsl4V8nZZCqFdsrXxrWV/P78+O5e&#10;CorgarDe6UqeNcmH1ds3yyGUeu47b2uNgos4KodQyS7GUBYFqU73QBMftGNn47GHyCa2RY0wcPXe&#10;FvPp9EMxeKwDeqWJ+HQzOuUq128areLXpiEdha0kY4t5xbzu01qsllC2CKEz6gID/gFFD8bxpbdS&#10;G4ggDmj+KtUbhZ58EyfK94VvGqN05sBsZtM/2Ow6CDpzYXEo3GSi/1dWfTluUZiae8fyOOi5R7uI&#10;YNouio+IfhBr7xzr6FFwCOs1BCo5be22mBirk9uFJ69+EvuKV85kUBjDTg32KZwpi1PW/3zTX5+i&#10;UHx4t5gu5gxDXV0FlNe8gBQ/a9+LtKkkXTDewM2y/HB8ophwQHlNSJc6/2iszb22TgyVnC/eT9NF&#10;wCPXWIi87QOLQK6VAmzLs6wi5pLkralTeipEZ1pbFEfgceIprP3wzOClsECRHcwof0kmhvAqNeHZ&#10;AHVjcnaN0xfB2E+uFvEcWHxIml/yrUt36jzGzCvLd4gad109iL094DdgzMwkcalN0oXfxGgwlsQx&#10;W+jjDxO7PE5J9MwE2/2NSo4bz8GGDkaMd/cp+0JlDM+0/BVDtl7Ay90fG55av/f1eYspP1k8wDn+&#10;8tjSC3lp56jfv4TVLwAAAP//AwBQSwMEFAAGAAgAAAAhAKhw6STbAAAABwEAAA8AAABkcnMvZG93&#10;bnJldi54bWxMjs1OwzAQhO9IfQdrK3GjDoWmVYhTtfxJvSAReAA3XpLQeB3Fzk95ehZxgNNoNKOZ&#10;L91OthEDdr52pOB6EYFAKpypqVTw/vZ0tQHhgyajG0eo4IwettnsItWJcSO94pCHUvAI+UQrqEJo&#10;Eyl9UaHVfuFaJM4+XGd1YNuV0nR65HHbyGUUxdLqmvih0i3eV1ic8t4q+LIP9GiH1XP/OcSH8WV/&#10;jk7rXKnL+bS7AxFwCn9l+MFndMiY6eh6Ml40CpY3t9xkXbFyvt7EII6/Xmap/M+ffQMAAP//AwBQ&#10;SwECLQAUAAYACAAAACEAtoM4kv4AAADhAQAAEwAAAAAAAAAAAAAAAAAAAAAAW0NvbnRlbnRfVHlw&#10;ZXNdLnhtbFBLAQItABQABgAIAAAAIQA4/SH/1gAAAJQBAAALAAAAAAAAAAAAAAAAAC8BAABfcmVs&#10;cy8ucmVsc1BLAQItABQABgAIAAAAIQDvy5LaLgIAAFoEAAAOAAAAAAAAAAAAAAAAAC4CAABkcnMv&#10;ZTJvRG9jLnhtbFBLAQItABQABgAIAAAAIQCocOkk2wAAAAcBAAAPAAAAAAAAAAAAAAAAAIgEAABk&#10;cnMvZG93bnJldi54bWxQSwUGAAAAAAQABADzAAAAkAUAAAAA&#10;" strokecolor="windowText" strokeweight="2pt">
                      <v:stroke endarrow="open"/>
                      <v:shadow on="t" color="black" opacity="24903f" origin=",.5" offset="0,.55556mm"/>
                      <o:lock v:ext="edit" shapetype="f"/>
                    </v:shape>
                  </w:pict>
                </mc:Fallback>
              </mc:AlternateContent>
            </w:r>
            <w:r w:rsidR="00F22F63" w:rsidRPr="00F2025C">
              <w:rPr>
                <w:rFonts w:cs="Arial"/>
                <w:sz w:val="22"/>
                <w:szCs w:val="22"/>
              </w:rPr>
              <w:t xml:space="preserve"> </w:t>
            </w:r>
          </w:p>
        </w:tc>
      </w:tr>
    </w:tbl>
    <w:p w14:paraId="25D22D37" w14:textId="77777777" w:rsidR="002F6007" w:rsidRPr="00F2025C" w:rsidRDefault="002F6007" w:rsidP="002F6007">
      <w:pPr>
        <w:rPr>
          <w:rFonts w:cs="Arial"/>
          <w:b/>
          <w:sz w:val="22"/>
          <w:szCs w:val="22"/>
          <w:u w:val="single"/>
          <w:lang w:eastAsia="en-GB"/>
        </w:rPr>
      </w:pPr>
    </w:p>
    <w:p w14:paraId="0B1D5EFD" w14:textId="77777777" w:rsidR="00A52519" w:rsidRPr="00D46F5A" w:rsidRDefault="00A52519" w:rsidP="00510D3B">
      <w:pPr>
        <w:pStyle w:val="ListParagraph"/>
        <w:numPr>
          <w:ilvl w:val="0"/>
          <w:numId w:val="5"/>
        </w:numPr>
        <w:rPr>
          <w:rFonts w:cs="Arial"/>
          <w:sz w:val="22"/>
          <w:szCs w:val="22"/>
          <w:lang w:eastAsia="en-GB"/>
        </w:rPr>
      </w:pPr>
      <w:r w:rsidRPr="00D46F5A">
        <w:rPr>
          <w:rFonts w:cs="Arial"/>
          <w:sz w:val="22"/>
          <w:szCs w:val="22"/>
          <w:lang w:eastAsia="en-GB"/>
        </w:rPr>
        <w:t>The administrative levy (0.08% of employer contributions) has been in place from September 2015.  For th</w:t>
      </w:r>
      <w:r w:rsidR="001A0684" w:rsidRPr="00D46F5A">
        <w:rPr>
          <w:rFonts w:cs="Arial"/>
          <w:sz w:val="22"/>
          <w:szCs w:val="22"/>
          <w:lang w:eastAsia="en-GB"/>
        </w:rPr>
        <w:t>e period of this report January 2018 (ten</w:t>
      </w:r>
      <w:r w:rsidRPr="00D46F5A">
        <w:rPr>
          <w:rFonts w:cs="Arial"/>
          <w:sz w:val="22"/>
          <w:szCs w:val="22"/>
          <w:lang w:eastAsia="en-GB"/>
        </w:rPr>
        <w:t xml:space="preserve"> months), the amount coll</w:t>
      </w:r>
      <w:r w:rsidR="00510D3B" w:rsidRPr="00D46F5A">
        <w:rPr>
          <w:rFonts w:cs="Arial"/>
          <w:sz w:val="22"/>
          <w:szCs w:val="22"/>
          <w:lang w:eastAsia="en-GB"/>
        </w:rPr>
        <w:t>ected from the levy totalled £15.7</w:t>
      </w:r>
      <w:r w:rsidRPr="00D46F5A">
        <w:rPr>
          <w:rFonts w:cs="Arial"/>
          <w:sz w:val="22"/>
          <w:szCs w:val="22"/>
          <w:lang w:eastAsia="en-GB"/>
        </w:rPr>
        <w:t>m.</w:t>
      </w:r>
    </w:p>
    <w:p w14:paraId="00D1D8BF" w14:textId="77777777" w:rsidR="00510D3B" w:rsidRPr="00D46F5A" w:rsidRDefault="00510D3B" w:rsidP="00510D3B">
      <w:pPr>
        <w:rPr>
          <w:rFonts w:cs="Arial"/>
          <w:sz w:val="22"/>
          <w:szCs w:val="22"/>
          <w:lang w:eastAsia="en-GB"/>
        </w:rPr>
      </w:pPr>
    </w:p>
    <w:p w14:paraId="0D74B9C8" w14:textId="77777777" w:rsidR="00A52519" w:rsidRPr="00D46F5A" w:rsidRDefault="00510D3B" w:rsidP="00510D3B">
      <w:pPr>
        <w:pStyle w:val="ListParagraph"/>
        <w:numPr>
          <w:ilvl w:val="0"/>
          <w:numId w:val="5"/>
        </w:numPr>
        <w:rPr>
          <w:rFonts w:cs="Arial"/>
          <w:sz w:val="22"/>
          <w:szCs w:val="22"/>
          <w:lang w:eastAsia="en-GB"/>
        </w:rPr>
      </w:pPr>
      <w:r w:rsidRPr="00D46F5A">
        <w:rPr>
          <w:rFonts w:cs="Arial"/>
          <w:sz w:val="22"/>
          <w:szCs w:val="22"/>
          <w:lang w:eastAsia="en-GB"/>
        </w:rPr>
        <w:t>The figures below represent the spend to date in the current financial year (ten months).</w:t>
      </w:r>
    </w:p>
    <w:p w14:paraId="5207EF72" w14:textId="77777777" w:rsidR="00A52519" w:rsidRPr="00D46F5A" w:rsidRDefault="00A52519" w:rsidP="00A52519">
      <w:pPr>
        <w:rPr>
          <w:rFonts w:cs="Arial"/>
          <w:sz w:val="22"/>
          <w:szCs w:val="22"/>
          <w:lang w:eastAsia="en-GB"/>
        </w:rPr>
      </w:pPr>
    </w:p>
    <w:tbl>
      <w:tblPr>
        <w:tblStyle w:val="TableGrid"/>
        <w:tblW w:w="8505" w:type="dxa"/>
        <w:tblInd w:w="108" w:type="dxa"/>
        <w:tblLayout w:type="fixed"/>
        <w:tblLook w:val="04A0" w:firstRow="1" w:lastRow="0" w:firstColumn="1" w:lastColumn="0" w:noHBand="0" w:noVBand="1"/>
      </w:tblPr>
      <w:tblGrid>
        <w:gridCol w:w="1276"/>
        <w:gridCol w:w="1446"/>
        <w:gridCol w:w="1560"/>
        <w:gridCol w:w="1417"/>
        <w:gridCol w:w="2806"/>
      </w:tblGrid>
      <w:tr w:rsidR="00A52519" w:rsidRPr="00D46F5A" w14:paraId="5390F5C8" w14:textId="77777777" w:rsidTr="008E18A0">
        <w:tc>
          <w:tcPr>
            <w:tcW w:w="1276" w:type="dxa"/>
            <w:shd w:val="clear" w:color="auto" w:fill="D9D9D9" w:themeFill="background1" w:themeFillShade="D9"/>
          </w:tcPr>
          <w:p w14:paraId="1579B9D4" w14:textId="77777777" w:rsidR="00A52519" w:rsidRPr="00D46F5A" w:rsidRDefault="00A52519" w:rsidP="00022806">
            <w:pPr>
              <w:rPr>
                <w:rFonts w:cs="Arial"/>
                <w:b/>
              </w:rPr>
            </w:pPr>
          </w:p>
        </w:tc>
        <w:tc>
          <w:tcPr>
            <w:tcW w:w="1446" w:type="dxa"/>
            <w:tcBorders>
              <w:bottom w:val="single" w:sz="4" w:space="0" w:color="auto"/>
            </w:tcBorders>
            <w:shd w:val="clear" w:color="auto" w:fill="D9D9D9" w:themeFill="background1" w:themeFillShade="D9"/>
            <w:vAlign w:val="bottom"/>
          </w:tcPr>
          <w:p w14:paraId="79DAA7DE" w14:textId="77777777" w:rsidR="00A52519" w:rsidRPr="00D46F5A" w:rsidRDefault="00A52519" w:rsidP="00022806">
            <w:pPr>
              <w:jc w:val="center"/>
              <w:rPr>
                <w:rFonts w:cs="Arial"/>
                <w:b/>
                <w:sz w:val="22"/>
                <w:szCs w:val="22"/>
                <w:lang w:eastAsia="en-GB"/>
              </w:rPr>
            </w:pPr>
            <w:r w:rsidRPr="00D46F5A">
              <w:rPr>
                <w:rFonts w:cs="Arial"/>
                <w:b/>
                <w:sz w:val="22"/>
                <w:szCs w:val="22"/>
                <w:lang w:eastAsia="en-GB"/>
              </w:rPr>
              <w:t>YTD Profile</w:t>
            </w:r>
          </w:p>
        </w:tc>
        <w:tc>
          <w:tcPr>
            <w:tcW w:w="1560" w:type="dxa"/>
            <w:tcBorders>
              <w:bottom w:val="single" w:sz="4" w:space="0" w:color="auto"/>
            </w:tcBorders>
            <w:shd w:val="clear" w:color="auto" w:fill="D9D9D9" w:themeFill="background1" w:themeFillShade="D9"/>
            <w:vAlign w:val="bottom"/>
          </w:tcPr>
          <w:p w14:paraId="5466F625" w14:textId="77777777" w:rsidR="00A52519" w:rsidRPr="00D46F5A" w:rsidRDefault="00A52519" w:rsidP="00022806">
            <w:pPr>
              <w:jc w:val="center"/>
              <w:rPr>
                <w:rFonts w:cs="Arial"/>
                <w:b/>
                <w:sz w:val="22"/>
                <w:szCs w:val="22"/>
                <w:lang w:eastAsia="en-GB"/>
              </w:rPr>
            </w:pPr>
            <w:r w:rsidRPr="00D46F5A">
              <w:rPr>
                <w:rFonts w:cs="Arial"/>
                <w:b/>
                <w:sz w:val="22"/>
                <w:szCs w:val="22"/>
                <w:lang w:eastAsia="en-GB"/>
              </w:rPr>
              <w:t>YTD actual</w:t>
            </w:r>
          </w:p>
        </w:tc>
        <w:tc>
          <w:tcPr>
            <w:tcW w:w="1417" w:type="dxa"/>
            <w:tcBorders>
              <w:bottom w:val="single" w:sz="4" w:space="0" w:color="auto"/>
            </w:tcBorders>
            <w:shd w:val="clear" w:color="auto" w:fill="D9D9D9" w:themeFill="background1" w:themeFillShade="D9"/>
          </w:tcPr>
          <w:p w14:paraId="0CFDC515" w14:textId="77777777" w:rsidR="00A52519" w:rsidRPr="00D46F5A" w:rsidRDefault="00A52519" w:rsidP="00022806">
            <w:pPr>
              <w:rPr>
                <w:rFonts w:cs="Arial"/>
                <w:b/>
              </w:rPr>
            </w:pPr>
            <w:r w:rsidRPr="00D46F5A">
              <w:rPr>
                <w:rFonts w:cs="Arial"/>
                <w:b/>
                <w:sz w:val="22"/>
                <w:szCs w:val="22"/>
                <w:lang w:eastAsia="en-GB"/>
              </w:rPr>
              <w:t>Variance</w:t>
            </w:r>
          </w:p>
        </w:tc>
        <w:tc>
          <w:tcPr>
            <w:tcW w:w="2806" w:type="dxa"/>
            <w:shd w:val="clear" w:color="auto" w:fill="D9D9D9" w:themeFill="background1" w:themeFillShade="D9"/>
          </w:tcPr>
          <w:p w14:paraId="7E7E6FB9" w14:textId="77777777" w:rsidR="00A52519" w:rsidRPr="00D46F5A" w:rsidRDefault="00A52519" w:rsidP="00022806">
            <w:pPr>
              <w:rPr>
                <w:rFonts w:cs="Arial"/>
                <w:b/>
                <w:sz w:val="22"/>
                <w:szCs w:val="22"/>
              </w:rPr>
            </w:pPr>
            <w:r w:rsidRPr="00D46F5A">
              <w:rPr>
                <w:rFonts w:cs="Arial"/>
                <w:b/>
                <w:sz w:val="22"/>
                <w:szCs w:val="22"/>
              </w:rPr>
              <w:t>Narrative</w:t>
            </w:r>
          </w:p>
        </w:tc>
      </w:tr>
      <w:tr w:rsidR="00A52519" w:rsidRPr="00D46F5A" w14:paraId="484E39B7" w14:textId="77777777" w:rsidTr="008E18A0">
        <w:tc>
          <w:tcPr>
            <w:tcW w:w="1276" w:type="dxa"/>
          </w:tcPr>
          <w:p w14:paraId="7B31D0F2" w14:textId="77777777" w:rsidR="00A52519" w:rsidRPr="00D46F5A" w:rsidRDefault="00A52519" w:rsidP="00022806">
            <w:pPr>
              <w:rPr>
                <w:rFonts w:cs="Arial"/>
                <w:sz w:val="22"/>
                <w:szCs w:val="22"/>
                <w:lang w:eastAsia="en-GB"/>
              </w:rPr>
            </w:pPr>
            <w:r w:rsidRPr="00D46F5A">
              <w:rPr>
                <w:rFonts w:cs="Arial"/>
                <w:sz w:val="22"/>
                <w:szCs w:val="22"/>
                <w:lang w:eastAsia="en-GB"/>
              </w:rPr>
              <w:t>Capita</w:t>
            </w:r>
          </w:p>
        </w:tc>
        <w:tc>
          <w:tcPr>
            <w:tcW w:w="1446" w:type="dxa"/>
            <w:tcBorders>
              <w:bottom w:val="single" w:sz="4" w:space="0" w:color="auto"/>
            </w:tcBorders>
            <w:shd w:val="clear" w:color="auto" w:fill="FFFFFF" w:themeFill="background1"/>
          </w:tcPr>
          <w:p w14:paraId="4129C535" w14:textId="112E0146" w:rsidR="006F62B1" w:rsidRPr="00D46F5A" w:rsidRDefault="00A52519" w:rsidP="008E18A0">
            <w:pPr>
              <w:jc w:val="right"/>
              <w:rPr>
                <w:rFonts w:cs="Arial"/>
                <w:sz w:val="22"/>
                <w:szCs w:val="22"/>
                <w:lang w:eastAsia="en-GB"/>
              </w:rPr>
            </w:pPr>
            <w:r w:rsidRPr="00D46F5A">
              <w:rPr>
                <w:rFonts w:cs="Arial"/>
                <w:sz w:val="22"/>
                <w:szCs w:val="22"/>
                <w:lang w:eastAsia="en-GB"/>
              </w:rPr>
              <w:t>£</w:t>
            </w:r>
            <w:r w:rsidR="009A0EF4" w:rsidRPr="009A0EF4">
              <w:rPr>
                <w:rFonts w:cs="Arial"/>
                <w:sz w:val="22"/>
                <w:szCs w:val="22"/>
                <w:highlight w:val="black"/>
                <w:lang w:eastAsia="en-GB"/>
              </w:rPr>
              <w:t>redacted</w:t>
            </w:r>
          </w:p>
          <w:p w14:paraId="7A7F4E4E" w14:textId="77777777" w:rsidR="00A52519" w:rsidRPr="00D46F5A" w:rsidRDefault="00A52519" w:rsidP="006F62B1">
            <w:pPr>
              <w:jc w:val="center"/>
              <w:rPr>
                <w:rFonts w:cs="Arial"/>
                <w:sz w:val="22"/>
                <w:szCs w:val="22"/>
                <w:lang w:eastAsia="en-GB"/>
              </w:rPr>
            </w:pPr>
          </w:p>
        </w:tc>
        <w:tc>
          <w:tcPr>
            <w:tcW w:w="1560" w:type="dxa"/>
            <w:tcBorders>
              <w:bottom w:val="single" w:sz="4" w:space="0" w:color="auto"/>
            </w:tcBorders>
            <w:shd w:val="clear" w:color="auto" w:fill="FFFFFF" w:themeFill="background1"/>
          </w:tcPr>
          <w:p w14:paraId="00EBEE31" w14:textId="75BFB930" w:rsidR="00A52519" w:rsidRPr="00D46F5A" w:rsidRDefault="00A52519" w:rsidP="009A0EF4">
            <w:pPr>
              <w:jc w:val="right"/>
              <w:rPr>
                <w:rFonts w:cs="Arial"/>
                <w:sz w:val="22"/>
                <w:szCs w:val="22"/>
                <w:lang w:eastAsia="en-GB"/>
              </w:rPr>
            </w:pPr>
            <w:r w:rsidRPr="00D46F5A">
              <w:rPr>
                <w:rFonts w:cs="Arial"/>
                <w:sz w:val="22"/>
                <w:szCs w:val="22"/>
                <w:lang w:eastAsia="en-GB"/>
              </w:rPr>
              <w:t>£</w:t>
            </w:r>
            <w:r w:rsidR="009A0EF4" w:rsidRPr="009A0EF4">
              <w:rPr>
                <w:rFonts w:cs="Arial"/>
                <w:sz w:val="22"/>
                <w:szCs w:val="22"/>
                <w:highlight w:val="black"/>
                <w:lang w:eastAsia="en-GB"/>
              </w:rPr>
              <w:t>redacted</w:t>
            </w:r>
          </w:p>
        </w:tc>
        <w:tc>
          <w:tcPr>
            <w:tcW w:w="1417" w:type="dxa"/>
            <w:shd w:val="clear" w:color="auto" w:fill="FFFFFF" w:themeFill="background1"/>
          </w:tcPr>
          <w:p w14:paraId="761D77FC" w14:textId="34FE801B" w:rsidR="00A52519" w:rsidRPr="00D46F5A" w:rsidRDefault="006E596F" w:rsidP="009A0EF4">
            <w:pPr>
              <w:jc w:val="right"/>
              <w:rPr>
                <w:rFonts w:cs="Arial"/>
                <w:sz w:val="22"/>
                <w:szCs w:val="22"/>
                <w:lang w:eastAsia="en-GB"/>
              </w:rPr>
            </w:pPr>
            <w:r w:rsidRPr="00D46F5A">
              <w:rPr>
                <w:rFonts w:cs="Arial"/>
                <w:sz w:val="22"/>
                <w:szCs w:val="22"/>
                <w:lang w:eastAsia="en-GB"/>
              </w:rPr>
              <w:t>-£</w:t>
            </w:r>
            <w:r w:rsidR="009A0EF4" w:rsidRPr="009A0EF4">
              <w:rPr>
                <w:rFonts w:cs="Arial"/>
                <w:sz w:val="22"/>
                <w:szCs w:val="22"/>
                <w:highlight w:val="black"/>
                <w:lang w:eastAsia="en-GB"/>
              </w:rPr>
              <w:t>redacted</w:t>
            </w:r>
          </w:p>
        </w:tc>
        <w:tc>
          <w:tcPr>
            <w:tcW w:w="2806" w:type="dxa"/>
          </w:tcPr>
          <w:p w14:paraId="6390E280" w14:textId="77777777" w:rsidR="00A52519" w:rsidRPr="00D46F5A" w:rsidRDefault="00A52519" w:rsidP="006E596F">
            <w:pPr>
              <w:rPr>
                <w:rFonts w:cs="Arial"/>
                <w:sz w:val="22"/>
                <w:szCs w:val="22"/>
                <w:lang w:eastAsia="en-GB"/>
              </w:rPr>
            </w:pPr>
            <w:r w:rsidRPr="00D46F5A">
              <w:rPr>
                <w:rFonts w:cs="Arial"/>
                <w:sz w:val="22"/>
                <w:szCs w:val="22"/>
                <w:lang w:eastAsia="en-GB"/>
              </w:rPr>
              <w:t>Capita Contract Spend.  Capita's base charge has been less than originally profiled.  We have re</w:t>
            </w:r>
            <w:r w:rsidR="006E596F" w:rsidRPr="00D46F5A">
              <w:rPr>
                <w:rFonts w:cs="Arial"/>
                <w:sz w:val="22"/>
                <w:szCs w:val="22"/>
                <w:lang w:eastAsia="en-GB"/>
              </w:rPr>
              <w:t>-profiled costs from October.</w:t>
            </w:r>
          </w:p>
        </w:tc>
      </w:tr>
      <w:tr w:rsidR="00A52519" w:rsidRPr="00D46F5A" w14:paraId="3F9E6B5B" w14:textId="77777777" w:rsidTr="008E18A0">
        <w:tc>
          <w:tcPr>
            <w:tcW w:w="1276" w:type="dxa"/>
          </w:tcPr>
          <w:p w14:paraId="7C090CED" w14:textId="77777777" w:rsidR="00A52519" w:rsidRPr="00D46F5A" w:rsidRDefault="00A52519" w:rsidP="00022806">
            <w:pPr>
              <w:rPr>
                <w:rFonts w:cs="Arial"/>
                <w:sz w:val="22"/>
                <w:szCs w:val="22"/>
                <w:lang w:eastAsia="en-GB"/>
              </w:rPr>
            </w:pPr>
            <w:r w:rsidRPr="00D46F5A">
              <w:rPr>
                <w:rFonts w:cs="Arial"/>
                <w:sz w:val="22"/>
                <w:szCs w:val="22"/>
                <w:lang w:eastAsia="en-GB"/>
              </w:rPr>
              <w:t>TPSPB</w:t>
            </w:r>
          </w:p>
        </w:tc>
        <w:tc>
          <w:tcPr>
            <w:tcW w:w="1446" w:type="dxa"/>
            <w:tcBorders>
              <w:bottom w:val="single" w:sz="4" w:space="0" w:color="auto"/>
            </w:tcBorders>
            <w:shd w:val="clear" w:color="auto" w:fill="FFFFFF" w:themeFill="background1"/>
          </w:tcPr>
          <w:p w14:paraId="0241CC13" w14:textId="69D2DEBD" w:rsidR="00A52519" w:rsidRPr="00D46F5A" w:rsidRDefault="006E596F" w:rsidP="009A0EF4">
            <w:pPr>
              <w:jc w:val="right"/>
              <w:rPr>
                <w:rFonts w:cs="Arial"/>
                <w:sz w:val="22"/>
                <w:szCs w:val="22"/>
                <w:lang w:eastAsia="en-GB"/>
              </w:rPr>
            </w:pPr>
            <w:r w:rsidRPr="00D46F5A">
              <w:rPr>
                <w:rFonts w:cs="Arial"/>
                <w:sz w:val="22"/>
                <w:szCs w:val="22"/>
                <w:lang w:eastAsia="en-GB"/>
              </w:rPr>
              <w:t>£</w:t>
            </w:r>
            <w:r w:rsidR="009A0EF4" w:rsidRPr="009A0EF4">
              <w:rPr>
                <w:rFonts w:cs="Arial"/>
                <w:sz w:val="22"/>
                <w:szCs w:val="22"/>
                <w:highlight w:val="black"/>
                <w:lang w:eastAsia="en-GB"/>
              </w:rPr>
              <w:t>redacted</w:t>
            </w:r>
          </w:p>
        </w:tc>
        <w:tc>
          <w:tcPr>
            <w:tcW w:w="1560" w:type="dxa"/>
            <w:tcBorders>
              <w:bottom w:val="single" w:sz="4" w:space="0" w:color="auto"/>
            </w:tcBorders>
            <w:shd w:val="clear" w:color="auto" w:fill="FFFFFF" w:themeFill="background1"/>
          </w:tcPr>
          <w:p w14:paraId="313E9EA3" w14:textId="2CAC79C0" w:rsidR="00A52519" w:rsidRPr="00D46F5A" w:rsidRDefault="006E596F" w:rsidP="009A0EF4">
            <w:pPr>
              <w:jc w:val="center"/>
              <w:rPr>
                <w:rFonts w:cs="Arial"/>
                <w:sz w:val="22"/>
                <w:szCs w:val="22"/>
                <w:lang w:eastAsia="en-GB"/>
              </w:rPr>
            </w:pPr>
            <w:r w:rsidRPr="00D46F5A">
              <w:rPr>
                <w:rFonts w:cs="Arial"/>
                <w:sz w:val="22"/>
                <w:szCs w:val="22"/>
                <w:lang w:eastAsia="en-GB"/>
              </w:rPr>
              <w:t>£</w:t>
            </w:r>
            <w:r w:rsidR="009A0EF4" w:rsidRPr="009A0EF4">
              <w:rPr>
                <w:rFonts w:cs="Arial"/>
                <w:sz w:val="22"/>
                <w:szCs w:val="22"/>
                <w:highlight w:val="black"/>
                <w:lang w:eastAsia="en-GB"/>
              </w:rPr>
              <w:t>redacted</w:t>
            </w:r>
          </w:p>
        </w:tc>
        <w:tc>
          <w:tcPr>
            <w:tcW w:w="1417" w:type="dxa"/>
            <w:shd w:val="clear" w:color="auto" w:fill="FFFFFF" w:themeFill="background1"/>
          </w:tcPr>
          <w:p w14:paraId="4A58B3B9" w14:textId="3BA87FAD" w:rsidR="00A52519" w:rsidRPr="00D46F5A" w:rsidRDefault="00655C9C" w:rsidP="009A0EF4">
            <w:pPr>
              <w:jc w:val="right"/>
              <w:rPr>
                <w:rFonts w:cs="Arial"/>
                <w:sz w:val="22"/>
                <w:szCs w:val="22"/>
                <w:lang w:eastAsia="en-GB"/>
              </w:rPr>
            </w:pPr>
            <w:r w:rsidRPr="00D46F5A">
              <w:rPr>
                <w:rFonts w:cs="Arial"/>
                <w:sz w:val="22"/>
                <w:szCs w:val="22"/>
                <w:lang w:eastAsia="en-GB"/>
              </w:rPr>
              <w:t>-£</w:t>
            </w:r>
            <w:r w:rsidR="009A0EF4" w:rsidRPr="009A0EF4">
              <w:rPr>
                <w:rFonts w:cs="Arial"/>
                <w:sz w:val="22"/>
                <w:szCs w:val="22"/>
                <w:highlight w:val="black"/>
                <w:lang w:eastAsia="en-GB"/>
              </w:rPr>
              <w:t>redacted</w:t>
            </w:r>
          </w:p>
        </w:tc>
        <w:tc>
          <w:tcPr>
            <w:tcW w:w="2806" w:type="dxa"/>
          </w:tcPr>
          <w:p w14:paraId="47F3AF40" w14:textId="77777777" w:rsidR="00A52519" w:rsidRPr="00D46F5A" w:rsidRDefault="00A52519" w:rsidP="00022806">
            <w:pPr>
              <w:rPr>
                <w:rFonts w:cs="Arial"/>
                <w:sz w:val="22"/>
                <w:szCs w:val="22"/>
                <w:lang w:eastAsia="en-GB"/>
              </w:rPr>
            </w:pPr>
            <w:r w:rsidRPr="00D46F5A">
              <w:rPr>
                <w:rFonts w:cs="Arial"/>
                <w:sz w:val="22"/>
                <w:szCs w:val="22"/>
                <w:lang w:eastAsia="en-GB"/>
              </w:rPr>
              <w:t>Fees, travel and expenses and pension specialist.</w:t>
            </w:r>
          </w:p>
          <w:p w14:paraId="6A970B6E" w14:textId="77777777" w:rsidR="00A52519" w:rsidRPr="00D46F5A" w:rsidRDefault="00A52519" w:rsidP="00655C9C">
            <w:pPr>
              <w:rPr>
                <w:rFonts w:cs="Arial"/>
                <w:sz w:val="22"/>
                <w:szCs w:val="22"/>
                <w:lang w:eastAsia="en-GB"/>
              </w:rPr>
            </w:pPr>
            <w:r w:rsidRPr="00D46F5A">
              <w:rPr>
                <w:rFonts w:cs="Arial"/>
                <w:sz w:val="22"/>
                <w:szCs w:val="22"/>
                <w:lang w:eastAsia="en-GB"/>
              </w:rPr>
              <w:t xml:space="preserve">Fees for Board Chair </w:t>
            </w:r>
            <w:r w:rsidR="00655C9C" w:rsidRPr="00D46F5A">
              <w:rPr>
                <w:rFonts w:cs="Arial"/>
                <w:sz w:val="22"/>
                <w:szCs w:val="22"/>
                <w:lang w:eastAsia="en-GB"/>
              </w:rPr>
              <w:t xml:space="preserve">have been less than profiled.  </w:t>
            </w:r>
          </w:p>
        </w:tc>
      </w:tr>
      <w:tr w:rsidR="00A52519" w:rsidRPr="00D46F5A" w14:paraId="2916CEC2" w14:textId="77777777" w:rsidTr="008E18A0">
        <w:tc>
          <w:tcPr>
            <w:tcW w:w="1276" w:type="dxa"/>
          </w:tcPr>
          <w:p w14:paraId="3B894738" w14:textId="77777777" w:rsidR="00A52519" w:rsidRPr="00D46F5A" w:rsidRDefault="00A52519" w:rsidP="00022806">
            <w:pPr>
              <w:rPr>
                <w:rFonts w:cs="Arial"/>
                <w:sz w:val="22"/>
                <w:szCs w:val="22"/>
                <w:lang w:eastAsia="en-GB"/>
              </w:rPr>
            </w:pPr>
            <w:r w:rsidRPr="00D46F5A">
              <w:rPr>
                <w:rFonts w:cs="Arial"/>
                <w:sz w:val="22"/>
                <w:szCs w:val="22"/>
                <w:lang w:eastAsia="en-GB"/>
              </w:rPr>
              <w:t>GAD</w:t>
            </w:r>
          </w:p>
        </w:tc>
        <w:tc>
          <w:tcPr>
            <w:tcW w:w="1446" w:type="dxa"/>
            <w:shd w:val="clear" w:color="auto" w:fill="FFFFFF" w:themeFill="background1"/>
          </w:tcPr>
          <w:p w14:paraId="1C7DFBEC" w14:textId="078F8439" w:rsidR="00A52519" w:rsidRPr="00D46F5A" w:rsidRDefault="00655C9C" w:rsidP="009A0EF4">
            <w:pPr>
              <w:jc w:val="right"/>
              <w:rPr>
                <w:rFonts w:cs="Arial"/>
                <w:sz w:val="22"/>
                <w:szCs w:val="22"/>
                <w:lang w:eastAsia="en-GB"/>
              </w:rPr>
            </w:pPr>
            <w:r w:rsidRPr="00D46F5A">
              <w:rPr>
                <w:rFonts w:cs="Arial"/>
                <w:sz w:val="22"/>
                <w:szCs w:val="22"/>
                <w:lang w:eastAsia="en-GB"/>
              </w:rPr>
              <w:t>£</w:t>
            </w:r>
            <w:r w:rsidR="009A0EF4" w:rsidRPr="009A0EF4">
              <w:rPr>
                <w:rFonts w:cs="Arial"/>
                <w:sz w:val="22"/>
                <w:szCs w:val="22"/>
                <w:highlight w:val="black"/>
                <w:lang w:eastAsia="en-GB"/>
              </w:rPr>
              <w:t>redacted</w:t>
            </w:r>
          </w:p>
        </w:tc>
        <w:tc>
          <w:tcPr>
            <w:tcW w:w="1560" w:type="dxa"/>
            <w:shd w:val="clear" w:color="auto" w:fill="FFFFFF" w:themeFill="background1"/>
          </w:tcPr>
          <w:p w14:paraId="283658A3" w14:textId="0636CB73" w:rsidR="00A52519" w:rsidRPr="00D46F5A" w:rsidRDefault="00655C9C" w:rsidP="009A0EF4">
            <w:pPr>
              <w:jc w:val="right"/>
              <w:rPr>
                <w:rFonts w:cs="Arial"/>
                <w:sz w:val="22"/>
                <w:szCs w:val="22"/>
                <w:lang w:eastAsia="en-GB"/>
              </w:rPr>
            </w:pPr>
            <w:r w:rsidRPr="00D46F5A">
              <w:rPr>
                <w:rFonts w:cs="Arial"/>
                <w:sz w:val="22"/>
                <w:szCs w:val="22"/>
                <w:lang w:eastAsia="en-GB"/>
              </w:rPr>
              <w:t>£</w:t>
            </w:r>
            <w:r w:rsidR="009A0EF4" w:rsidRPr="009A0EF4">
              <w:rPr>
                <w:rFonts w:cs="Arial"/>
                <w:sz w:val="22"/>
                <w:szCs w:val="22"/>
                <w:highlight w:val="black"/>
                <w:lang w:eastAsia="en-GB"/>
              </w:rPr>
              <w:t>redacted</w:t>
            </w:r>
          </w:p>
        </w:tc>
        <w:tc>
          <w:tcPr>
            <w:tcW w:w="1417" w:type="dxa"/>
            <w:shd w:val="clear" w:color="auto" w:fill="FFFFFF" w:themeFill="background1"/>
          </w:tcPr>
          <w:p w14:paraId="47F33F21" w14:textId="11B6F929" w:rsidR="00A52519" w:rsidRPr="00D46F5A" w:rsidRDefault="00A52519" w:rsidP="009A0EF4">
            <w:pPr>
              <w:jc w:val="right"/>
              <w:rPr>
                <w:rFonts w:cs="Arial"/>
                <w:sz w:val="22"/>
                <w:szCs w:val="22"/>
                <w:lang w:eastAsia="en-GB"/>
              </w:rPr>
            </w:pPr>
            <w:r w:rsidRPr="00D46F5A">
              <w:rPr>
                <w:rFonts w:cs="Arial"/>
                <w:sz w:val="22"/>
                <w:szCs w:val="22"/>
                <w:lang w:eastAsia="en-GB"/>
              </w:rPr>
              <w:t>-£</w:t>
            </w:r>
            <w:r w:rsidR="009A0EF4" w:rsidRPr="009A0EF4">
              <w:rPr>
                <w:rFonts w:cs="Arial"/>
                <w:sz w:val="22"/>
                <w:szCs w:val="22"/>
                <w:highlight w:val="black"/>
                <w:lang w:eastAsia="en-GB"/>
              </w:rPr>
              <w:t>redacted</w:t>
            </w:r>
          </w:p>
        </w:tc>
        <w:tc>
          <w:tcPr>
            <w:tcW w:w="2806" w:type="dxa"/>
          </w:tcPr>
          <w:p w14:paraId="59C9ADA1" w14:textId="77777777" w:rsidR="00A52519" w:rsidRPr="00D46F5A" w:rsidRDefault="00A52519" w:rsidP="00655C9C">
            <w:pPr>
              <w:rPr>
                <w:rFonts w:cs="Arial"/>
                <w:sz w:val="22"/>
                <w:szCs w:val="22"/>
                <w:lang w:eastAsia="en-GB"/>
              </w:rPr>
            </w:pPr>
            <w:r w:rsidRPr="00D46F5A">
              <w:rPr>
                <w:rFonts w:cs="Arial"/>
                <w:sz w:val="22"/>
                <w:szCs w:val="22"/>
                <w:lang w:eastAsia="en-GB"/>
              </w:rPr>
              <w:t>Invoices have b</w:t>
            </w:r>
            <w:r w:rsidR="00655C9C" w:rsidRPr="00D46F5A">
              <w:rPr>
                <w:rFonts w:cs="Arial"/>
                <w:sz w:val="22"/>
                <w:szCs w:val="22"/>
                <w:lang w:eastAsia="en-GB"/>
              </w:rPr>
              <w:t>een less than profiled.  Invoice for January services has not been received yet.</w:t>
            </w:r>
          </w:p>
        </w:tc>
      </w:tr>
      <w:tr w:rsidR="00A52519" w:rsidRPr="00D46F5A" w14:paraId="0FBA8BEC" w14:textId="77777777" w:rsidTr="008E18A0">
        <w:tc>
          <w:tcPr>
            <w:tcW w:w="1276" w:type="dxa"/>
          </w:tcPr>
          <w:p w14:paraId="6B06B713" w14:textId="77777777" w:rsidR="00A52519" w:rsidRPr="00D46F5A" w:rsidRDefault="00A52519" w:rsidP="00022806">
            <w:pPr>
              <w:rPr>
                <w:rFonts w:cs="Arial"/>
                <w:sz w:val="22"/>
                <w:szCs w:val="22"/>
                <w:lang w:eastAsia="en-GB"/>
              </w:rPr>
            </w:pPr>
            <w:r w:rsidRPr="00D46F5A">
              <w:rPr>
                <w:rFonts w:cs="Arial"/>
                <w:sz w:val="22"/>
                <w:szCs w:val="22"/>
                <w:lang w:eastAsia="en-GB"/>
              </w:rPr>
              <w:t>OH Assist</w:t>
            </w:r>
          </w:p>
        </w:tc>
        <w:tc>
          <w:tcPr>
            <w:tcW w:w="1446" w:type="dxa"/>
            <w:shd w:val="clear" w:color="auto" w:fill="FFFFFF" w:themeFill="background1"/>
          </w:tcPr>
          <w:p w14:paraId="7BAA427E" w14:textId="0D0E7A99" w:rsidR="00A52519" w:rsidRPr="00D46F5A" w:rsidRDefault="00655C9C" w:rsidP="009A0EF4">
            <w:pPr>
              <w:jc w:val="right"/>
              <w:rPr>
                <w:rFonts w:cs="Arial"/>
                <w:sz w:val="22"/>
                <w:szCs w:val="22"/>
                <w:lang w:eastAsia="en-GB"/>
              </w:rPr>
            </w:pPr>
            <w:r w:rsidRPr="00D46F5A">
              <w:rPr>
                <w:rFonts w:cs="Arial"/>
                <w:sz w:val="22"/>
                <w:szCs w:val="22"/>
                <w:lang w:eastAsia="en-GB"/>
              </w:rPr>
              <w:t>£</w:t>
            </w:r>
            <w:r w:rsidR="009A0EF4" w:rsidRPr="009A0EF4">
              <w:rPr>
                <w:rFonts w:cs="Arial"/>
                <w:sz w:val="22"/>
                <w:szCs w:val="22"/>
                <w:highlight w:val="black"/>
                <w:lang w:eastAsia="en-GB"/>
              </w:rPr>
              <w:t>redacted</w:t>
            </w:r>
          </w:p>
        </w:tc>
        <w:tc>
          <w:tcPr>
            <w:tcW w:w="1560" w:type="dxa"/>
            <w:shd w:val="clear" w:color="auto" w:fill="FFFFFF" w:themeFill="background1"/>
          </w:tcPr>
          <w:p w14:paraId="4DC5DFDF" w14:textId="62B8AE75" w:rsidR="00A52519" w:rsidRPr="00D46F5A" w:rsidRDefault="00655C9C" w:rsidP="009A0EF4">
            <w:pPr>
              <w:jc w:val="right"/>
              <w:rPr>
                <w:rFonts w:cs="Arial"/>
                <w:sz w:val="22"/>
                <w:szCs w:val="22"/>
                <w:lang w:eastAsia="en-GB"/>
              </w:rPr>
            </w:pPr>
            <w:r w:rsidRPr="00D46F5A">
              <w:rPr>
                <w:rFonts w:cs="Arial"/>
                <w:sz w:val="22"/>
                <w:szCs w:val="22"/>
                <w:lang w:eastAsia="en-GB"/>
              </w:rPr>
              <w:t>£</w:t>
            </w:r>
            <w:r w:rsidR="009A0EF4" w:rsidRPr="009A0EF4">
              <w:rPr>
                <w:rFonts w:cs="Arial"/>
                <w:sz w:val="22"/>
                <w:szCs w:val="22"/>
                <w:highlight w:val="black"/>
                <w:lang w:eastAsia="en-GB"/>
              </w:rPr>
              <w:t>redacted</w:t>
            </w:r>
          </w:p>
        </w:tc>
        <w:tc>
          <w:tcPr>
            <w:tcW w:w="1417" w:type="dxa"/>
            <w:shd w:val="clear" w:color="auto" w:fill="FFFFFF" w:themeFill="background1"/>
          </w:tcPr>
          <w:p w14:paraId="3B2A50D8" w14:textId="2EF9084F" w:rsidR="00A52519" w:rsidRPr="00D46F5A" w:rsidRDefault="00A52519" w:rsidP="009A0EF4">
            <w:pPr>
              <w:jc w:val="right"/>
              <w:rPr>
                <w:rFonts w:cs="Arial"/>
                <w:sz w:val="22"/>
                <w:szCs w:val="22"/>
                <w:lang w:eastAsia="en-GB"/>
              </w:rPr>
            </w:pPr>
            <w:r w:rsidRPr="00D46F5A">
              <w:rPr>
                <w:rFonts w:cs="Arial"/>
                <w:sz w:val="22"/>
                <w:szCs w:val="22"/>
                <w:lang w:eastAsia="en-GB"/>
              </w:rPr>
              <w:t>-£</w:t>
            </w:r>
            <w:r w:rsidR="009A0EF4" w:rsidRPr="009A0EF4">
              <w:rPr>
                <w:rFonts w:cs="Arial"/>
                <w:sz w:val="22"/>
                <w:szCs w:val="22"/>
                <w:highlight w:val="black"/>
                <w:lang w:eastAsia="en-GB"/>
              </w:rPr>
              <w:t>redacted</w:t>
            </w:r>
          </w:p>
        </w:tc>
        <w:tc>
          <w:tcPr>
            <w:tcW w:w="2806" w:type="dxa"/>
          </w:tcPr>
          <w:p w14:paraId="616C3859" w14:textId="77777777" w:rsidR="00A52519" w:rsidRPr="00D46F5A" w:rsidRDefault="00A52519" w:rsidP="001620B0">
            <w:pPr>
              <w:rPr>
                <w:rFonts w:cs="Arial"/>
                <w:sz w:val="22"/>
                <w:szCs w:val="22"/>
                <w:lang w:eastAsia="en-GB"/>
              </w:rPr>
            </w:pPr>
            <w:r w:rsidRPr="00D46F5A">
              <w:rPr>
                <w:rFonts w:cs="Arial"/>
                <w:sz w:val="22"/>
                <w:szCs w:val="22"/>
                <w:lang w:eastAsia="en-GB"/>
              </w:rPr>
              <w:t xml:space="preserve">Medical services contract.  </w:t>
            </w:r>
            <w:r w:rsidR="00D025F1" w:rsidRPr="00D46F5A">
              <w:rPr>
                <w:rFonts w:cs="Arial"/>
                <w:sz w:val="22"/>
                <w:szCs w:val="22"/>
                <w:lang w:eastAsia="en-GB"/>
              </w:rPr>
              <w:t xml:space="preserve">January invoice not due until </w:t>
            </w:r>
            <w:r w:rsidR="001620B0">
              <w:rPr>
                <w:rFonts w:cs="Arial"/>
                <w:sz w:val="22"/>
                <w:szCs w:val="22"/>
                <w:lang w:eastAsia="en-GB"/>
              </w:rPr>
              <w:t>March</w:t>
            </w:r>
            <w:r w:rsidR="00D025F1" w:rsidRPr="00D46F5A">
              <w:rPr>
                <w:rFonts w:cs="Arial"/>
                <w:sz w:val="22"/>
                <w:szCs w:val="22"/>
                <w:lang w:eastAsia="en-GB"/>
              </w:rPr>
              <w:t>.</w:t>
            </w:r>
          </w:p>
        </w:tc>
      </w:tr>
      <w:tr w:rsidR="00A52519" w:rsidRPr="00D46F5A" w14:paraId="5B0898B3" w14:textId="77777777" w:rsidTr="008E18A0">
        <w:trPr>
          <w:trHeight w:val="261"/>
        </w:trPr>
        <w:tc>
          <w:tcPr>
            <w:tcW w:w="1276" w:type="dxa"/>
          </w:tcPr>
          <w:p w14:paraId="02968B32" w14:textId="77777777" w:rsidR="00A52519" w:rsidRPr="00D46F5A" w:rsidRDefault="005060CE" w:rsidP="00022806">
            <w:pPr>
              <w:rPr>
                <w:rFonts w:cs="Arial"/>
                <w:sz w:val="22"/>
                <w:szCs w:val="22"/>
                <w:lang w:eastAsia="en-GB"/>
              </w:rPr>
            </w:pPr>
            <w:r w:rsidRPr="00D46F5A">
              <w:rPr>
                <w:rFonts w:cs="Arial"/>
                <w:sz w:val="22"/>
                <w:szCs w:val="22"/>
                <w:lang w:eastAsia="en-GB"/>
              </w:rPr>
              <w:t>DfE</w:t>
            </w:r>
          </w:p>
        </w:tc>
        <w:tc>
          <w:tcPr>
            <w:tcW w:w="1446" w:type="dxa"/>
            <w:shd w:val="clear" w:color="auto" w:fill="FFFFFF" w:themeFill="background1"/>
          </w:tcPr>
          <w:p w14:paraId="6466A1F4" w14:textId="1B025FC7" w:rsidR="00A52519" w:rsidRPr="00D46F5A" w:rsidRDefault="005606DD" w:rsidP="009A0EF4">
            <w:pPr>
              <w:jc w:val="right"/>
              <w:rPr>
                <w:rFonts w:cs="Arial"/>
                <w:sz w:val="22"/>
                <w:szCs w:val="22"/>
                <w:lang w:eastAsia="en-GB"/>
              </w:rPr>
            </w:pPr>
            <w:r w:rsidRPr="00D46F5A">
              <w:rPr>
                <w:rFonts w:cs="Arial"/>
                <w:sz w:val="22"/>
                <w:szCs w:val="22"/>
                <w:lang w:eastAsia="en-GB"/>
              </w:rPr>
              <w:t>£</w:t>
            </w:r>
            <w:r w:rsidR="009A0EF4" w:rsidRPr="009A0EF4">
              <w:rPr>
                <w:rFonts w:cs="Arial"/>
                <w:sz w:val="22"/>
                <w:szCs w:val="22"/>
                <w:highlight w:val="black"/>
                <w:lang w:eastAsia="en-GB"/>
              </w:rPr>
              <w:t>redacted</w:t>
            </w:r>
          </w:p>
        </w:tc>
        <w:tc>
          <w:tcPr>
            <w:tcW w:w="1560" w:type="dxa"/>
            <w:shd w:val="clear" w:color="auto" w:fill="FFFFFF" w:themeFill="background1"/>
          </w:tcPr>
          <w:p w14:paraId="505FEE99" w14:textId="1C595AAD" w:rsidR="00A52519" w:rsidRPr="00D46F5A" w:rsidRDefault="005606DD" w:rsidP="009A0EF4">
            <w:pPr>
              <w:jc w:val="right"/>
              <w:rPr>
                <w:rFonts w:cs="Arial"/>
                <w:sz w:val="22"/>
                <w:szCs w:val="22"/>
                <w:lang w:eastAsia="en-GB"/>
              </w:rPr>
            </w:pPr>
            <w:r w:rsidRPr="00D46F5A">
              <w:rPr>
                <w:rFonts w:cs="Arial"/>
                <w:sz w:val="22"/>
                <w:szCs w:val="22"/>
                <w:lang w:eastAsia="en-GB"/>
              </w:rPr>
              <w:t>£</w:t>
            </w:r>
            <w:r w:rsidR="009A0EF4" w:rsidRPr="009A0EF4">
              <w:rPr>
                <w:rFonts w:cs="Arial"/>
                <w:sz w:val="22"/>
                <w:szCs w:val="22"/>
                <w:highlight w:val="black"/>
                <w:lang w:eastAsia="en-GB"/>
              </w:rPr>
              <w:t>redacted</w:t>
            </w:r>
          </w:p>
        </w:tc>
        <w:tc>
          <w:tcPr>
            <w:tcW w:w="1417" w:type="dxa"/>
            <w:shd w:val="clear" w:color="auto" w:fill="FFFFFF" w:themeFill="background1"/>
          </w:tcPr>
          <w:p w14:paraId="0B515613" w14:textId="4BBC18EA" w:rsidR="00A52519" w:rsidRPr="00D46F5A" w:rsidRDefault="005606DD" w:rsidP="009A0EF4">
            <w:pPr>
              <w:jc w:val="right"/>
              <w:rPr>
                <w:rFonts w:cs="Arial"/>
                <w:sz w:val="22"/>
                <w:szCs w:val="22"/>
                <w:lang w:eastAsia="en-GB"/>
              </w:rPr>
            </w:pPr>
            <w:r w:rsidRPr="00D46F5A">
              <w:rPr>
                <w:rFonts w:cs="Arial"/>
                <w:sz w:val="22"/>
                <w:szCs w:val="22"/>
                <w:lang w:eastAsia="en-GB"/>
              </w:rPr>
              <w:t>-£</w:t>
            </w:r>
            <w:r w:rsidR="009A0EF4" w:rsidRPr="009A0EF4">
              <w:rPr>
                <w:rFonts w:cs="Arial"/>
                <w:sz w:val="22"/>
                <w:szCs w:val="22"/>
                <w:highlight w:val="black"/>
                <w:lang w:eastAsia="en-GB"/>
              </w:rPr>
              <w:t>redacted</w:t>
            </w:r>
            <w:bookmarkStart w:id="0" w:name="_GoBack"/>
            <w:bookmarkEnd w:id="0"/>
          </w:p>
        </w:tc>
        <w:tc>
          <w:tcPr>
            <w:tcW w:w="2806" w:type="dxa"/>
          </w:tcPr>
          <w:p w14:paraId="4A5FDF5C" w14:textId="77777777" w:rsidR="00A52519" w:rsidRPr="00D46F5A" w:rsidRDefault="00A52519" w:rsidP="00022806">
            <w:pPr>
              <w:rPr>
                <w:rFonts w:cs="Arial"/>
                <w:sz w:val="22"/>
                <w:szCs w:val="22"/>
              </w:rPr>
            </w:pPr>
            <w:r w:rsidRPr="00D46F5A">
              <w:rPr>
                <w:rFonts w:cs="Arial"/>
                <w:sz w:val="22"/>
                <w:szCs w:val="22"/>
              </w:rPr>
              <w:t>Pensions Team and Finance costs</w:t>
            </w:r>
            <w:r w:rsidR="00C6585F" w:rsidRPr="00D46F5A">
              <w:rPr>
                <w:rFonts w:cs="Arial"/>
                <w:sz w:val="22"/>
                <w:szCs w:val="22"/>
              </w:rPr>
              <w:t>.</w:t>
            </w:r>
          </w:p>
        </w:tc>
      </w:tr>
    </w:tbl>
    <w:p w14:paraId="73D6E16B" w14:textId="77777777" w:rsidR="00F2025C" w:rsidRPr="00D46F5A" w:rsidRDefault="00F2025C" w:rsidP="00F2025C">
      <w:pPr>
        <w:rPr>
          <w:rFonts w:cs="Arial"/>
          <w:sz w:val="22"/>
          <w:szCs w:val="22"/>
          <w:lang w:eastAsia="en-GB"/>
        </w:rPr>
      </w:pPr>
    </w:p>
    <w:p w14:paraId="1592B046" w14:textId="77777777" w:rsidR="00F2025C" w:rsidRPr="00F2025C" w:rsidRDefault="00F2025C" w:rsidP="00F2025C">
      <w:pPr>
        <w:rPr>
          <w:rFonts w:cs="Arial"/>
          <w:sz w:val="22"/>
          <w:szCs w:val="22"/>
          <w:lang w:eastAsia="en-GB"/>
        </w:rPr>
      </w:pPr>
    </w:p>
    <w:p w14:paraId="37811E35" w14:textId="77777777" w:rsidR="00461F38" w:rsidRPr="007123B9" w:rsidRDefault="00461F38" w:rsidP="0060766E">
      <w:pPr>
        <w:rPr>
          <w:rFonts w:cs="Arial"/>
          <w:b/>
          <w:sz w:val="22"/>
          <w:szCs w:val="22"/>
          <w:lang w:eastAsia="en-GB"/>
        </w:rPr>
      </w:pPr>
      <w:r w:rsidRPr="007123B9">
        <w:rPr>
          <w:rFonts w:cs="Arial"/>
          <w:b/>
          <w:sz w:val="22"/>
          <w:szCs w:val="22"/>
          <w:lang w:eastAsia="en-GB"/>
        </w:rPr>
        <w:t>Risk Update</w:t>
      </w:r>
    </w:p>
    <w:p w14:paraId="6F70BA9B" w14:textId="77777777" w:rsidR="00461F38" w:rsidRPr="00F2025C" w:rsidRDefault="00461F38" w:rsidP="00461F38">
      <w:pPr>
        <w:jc w:val="center"/>
        <w:rPr>
          <w:rFonts w:cs="Arial"/>
          <w:b/>
          <w:szCs w:val="24"/>
        </w:rPr>
      </w:pPr>
    </w:p>
    <w:p w14:paraId="52B3C6F7" w14:textId="77777777" w:rsidR="00461F38" w:rsidRDefault="00461F38" w:rsidP="00461F38">
      <w:pPr>
        <w:pStyle w:val="ListParagraph"/>
        <w:numPr>
          <w:ilvl w:val="0"/>
          <w:numId w:val="7"/>
        </w:numPr>
        <w:ind w:left="426" w:hanging="426"/>
        <w:rPr>
          <w:rFonts w:cs="Arial"/>
          <w:sz w:val="22"/>
          <w:szCs w:val="22"/>
          <w:lang w:eastAsia="en-GB"/>
        </w:rPr>
      </w:pPr>
      <w:r w:rsidRPr="00F2025C">
        <w:rPr>
          <w:rFonts w:cs="Arial"/>
          <w:sz w:val="22"/>
          <w:szCs w:val="22"/>
          <w:lang w:eastAsia="en-GB"/>
        </w:rPr>
        <w:t xml:space="preserve">The risk management process remains robust, with regular monthly meetings held between key members of </w:t>
      </w:r>
      <w:r w:rsidR="005060CE">
        <w:rPr>
          <w:rFonts w:cs="Arial"/>
          <w:sz w:val="22"/>
          <w:szCs w:val="22"/>
          <w:lang w:eastAsia="en-GB"/>
        </w:rPr>
        <w:t>DfE</w:t>
      </w:r>
      <w:r w:rsidRPr="00F2025C">
        <w:rPr>
          <w:rFonts w:cs="Arial"/>
          <w:sz w:val="22"/>
          <w:szCs w:val="22"/>
          <w:lang w:eastAsia="en-GB"/>
        </w:rPr>
        <w:t xml:space="preserve"> and TP</w:t>
      </w:r>
      <w:r w:rsidR="00CB4447">
        <w:rPr>
          <w:rFonts w:cs="Arial"/>
          <w:sz w:val="22"/>
          <w:szCs w:val="22"/>
          <w:lang w:eastAsia="en-GB"/>
        </w:rPr>
        <w:t xml:space="preserve"> managers</w:t>
      </w:r>
      <w:r w:rsidRPr="00F2025C">
        <w:rPr>
          <w:rFonts w:cs="Arial"/>
          <w:sz w:val="22"/>
          <w:szCs w:val="22"/>
          <w:lang w:eastAsia="en-GB"/>
        </w:rPr>
        <w:t xml:space="preserve"> to assess the level and status of active risks and</w:t>
      </w:r>
      <w:r w:rsidR="00CB4447">
        <w:rPr>
          <w:rFonts w:cs="Arial"/>
          <w:sz w:val="22"/>
          <w:szCs w:val="22"/>
          <w:lang w:eastAsia="en-GB"/>
        </w:rPr>
        <w:t xml:space="preserve"> to</w:t>
      </w:r>
      <w:r w:rsidRPr="00F2025C">
        <w:rPr>
          <w:rFonts w:cs="Arial"/>
          <w:sz w:val="22"/>
          <w:szCs w:val="22"/>
          <w:lang w:eastAsia="en-GB"/>
        </w:rPr>
        <w:t xml:space="preserve"> discuss potential emerging risks. TP can supplement this process by calling upon wider Capita Group expertise where required. </w:t>
      </w:r>
    </w:p>
    <w:p w14:paraId="55E4D8E8" w14:textId="77777777" w:rsidR="009E1850" w:rsidRPr="00F2025C" w:rsidRDefault="009E1850" w:rsidP="009E1850">
      <w:pPr>
        <w:pStyle w:val="ListParagraph"/>
        <w:ind w:left="426"/>
        <w:rPr>
          <w:rFonts w:cs="Arial"/>
          <w:sz w:val="22"/>
          <w:szCs w:val="22"/>
          <w:lang w:eastAsia="en-GB"/>
        </w:rPr>
      </w:pPr>
    </w:p>
    <w:p w14:paraId="47621AB1" w14:textId="77777777" w:rsidR="007123B9" w:rsidRDefault="009E1850" w:rsidP="00D46F5A">
      <w:pPr>
        <w:pStyle w:val="ListParagraph"/>
        <w:numPr>
          <w:ilvl w:val="0"/>
          <w:numId w:val="7"/>
        </w:numPr>
        <w:ind w:left="426" w:hanging="426"/>
        <w:rPr>
          <w:rFonts w:cs="Arial"/>
          <w:sz w:val="22"/>
          <w:szCs w:val="22"/>
          <w:lang w:eastAsia="en-GB"/>
        </w:rPr>
      </w:pPr>
      <w:r w:rsidRPr="00225DE6">
        <w:rPr>
          <w:rFonts w:cs="Arial"/>
          <w:sz w:val="22"/>
          <w:szCs w:val="22"/>
          <w:lang w:eastAsia="en-GB"/>
        </w:rPr>
        <w:t>During</w:t>
      </w:r>
      <w:r w:rsidR="00D46F5A">
        <w:rPr>
          <w:rFonts w:cs="Arial"/>
          <w:sz w:val="22"/>
          <w:szCs w:val="22"/>
          <w:lang w:eastAsia="en-GB"/>
        </w:rPr>
        <w:t xml:space="preserve"> the period,</w:t>
      </w:r>
      <w:r>
        <w:rPr>
          <w:rFonts w:cs="Arial"/>
          <w:sz w:val="22"/>
          <w:szCs w:val="22"/>
          <w:lang w:eastAsia="en-GB"/>
        </w:rPr>
        <w:t xml:space="preserve"> the</w:t>
      </w:r>
      <w:r w:rsidR="00D46F5A">
        <w:rPr>
          <w:rFonts w:cs="Arial"/>
          <w:sz w:val="22"/>
          <w:szCs w:val="22"/>
          <w:lang w:eastAsia="en-GB"/>
        </w:rPr>
        <w:t xml:space="preserve"> TP</w:t>
      </w:r>
      <w:r>
        <w:rPr>
          <w:rFonts w:cs="Arial"/>
          <w:sz w:val="22"/>
          <w:szCs w:val="22"/>
          <w:lang w:eastAsia="en-GB"/>
        </w:rPr>
        <w:t xml:space="preserve"> </w:t>
      </w:r>
      <w:r w:rsidR="007123B9">
        <w:rPr>
          <w:rFonts w:cs="Arial"/>
          <w:sz w:val="22"/>
          <w:szCs w:val="22"/>
          <w:lang w:eastAsia="en-GB"/>
        </w:rPr>
        <w:t xml:space="preserve">Analytics and Risk Manager reviewed the </w:t>
      </w:r>
      <w:r w:rsidR="00BF2424">
        <w:rPr>
          <w:rFonts w:cs="Arial"/>
          <w:sz w:val="22"/>
          <w:szCs w:val="22"/>
          <w:lang w:eastAsia="en-GB"/>
        </w:rPr>
        <w:t>Strategic Risk R</w:t>
      </w:r>
      <w:r w:rsidR="007123B9">
        <w:rPr>
          <w:rFonts w:cs="Arial"/>
          <w:sz w:val="22"/>
          <w:szCs w:val="22"/>
          <w:lang w:eastAsia="en-GB"/>
        </w:rPr>
        <w:t>egister with TP managers in detail, updating a number of risks and mitigating controls. The format of the risk registers</w:t>
      </w:r>
      <w:r w:rsidR="00D46F5A">
        <w:rPr>
          <w:rFonts w:cs="Arial"/>
          <w:sz w:val="22"/>
          <w:szCs w:val="22"/>
          <w:lang w:eastAsia="en-GB"/>
        </w:rPr>
        <w:t>, as recommended by DfE,</w:t>
      </w:r>
      <w:r w:rsidR="007123B9">
        <w:rPr>
          <w:rFonts w:cs="Arial"/>
          <w:sz w:val="22"/>
          <w:szCs w:val="22"/>
          <w:lang w:eastAsia="en-GB"/>
        </w:rPr>
        <w:t xml:space="preserve"> was updated to drive the focus of the Committee towards specific functions/business areas and to further enable early identification of any additional risks.</w:t>
      </w:r>
    </w:p>
    <w:p w14:paraId="19A6CD0C" w14:textId="77777777" w:rsidR="009457D7" w:rsidRPr="00F62147" w:rsidRDefault="009457D7" w:rsidP="00F62147">
      <w:pPr>
        <w:pStyle w:val="ListParagraph"/>
        <w:rPr>
          <w:rFonts w:cs="Arial"/>
          <w:sz w:val="22"/>
          <w:szCs w:val="22"/>
          <w:lang w:eastAsia="en-GB"/>
        </w:rPr>
      </w:pPr>
    </w:p>
    <w:p w14:paraId="2F15098C" w14:textId="77777777" w:rsidR="007123B9" w:rsidRDefault="007123B9" w:rsidP="007123B9">
      <w:pPr>
        <w:pStyle w:val="ListParagraph"/>
        <w:numPr>
          <w:ilvl w:val="0"/>
          <w:numId w:val="7"/>
        </w:numPr>
        <w:ind w:left="426" w:hanging="426"/>
        <w:rPr>
          <w:rFonts w:cs="Arial"/>
          <w:sz w:val="22"/>
          <w:szCs w:val="22"/>
          <w:lang w:eastAsia="en-GB"/>
        </w:rPr>
      </w:pPr>
      <w:r>
        <w:rPr>
          <w:rFonts w:cs="Arial"/>
          <w:sz w:val="22"/>
          <w:szCs w:val="22"/>
          <w:lang w:eastAsia="en-GB"/>
        </w:rPr>
        <w:t>The Group continues to identify and record emerging risks</w:t>
      </w:r>
      <w:r w:rsidR="00BF2424">
        <w:rPr>
          <w:rFonts w:cs="Arial"/>
          <w:sz w:val="22"/>
          <w:szCs w:val="22"/>
          <w:lang w:eastAsia="en-GB"/>
        </w:rPr>
        <w:t xml:space="preserve"> through performance monitoring, management meetings,</w:t>
      </w:r>
      <w:r w:rsidR="00D46F5A">
        <w:rPr>
          <w:rFonts w:cs="Arial"/>
          <w:sz w:val="22"/>
          <w:szCs w:val="22"/>
          <w:lang w:eastAsia="en-GB"/>
        </w:rPr>
        <w:t xml:space="preserve"> management information,</w:t>
      </w:r>
      <w:r w:rsidR="00BF2424">
        <w:rPr>
          <w:rFonts w:cs="Arial"/>
          <w:sz w:val="22"/>
          <w:szCs w:val="22"/>
          <w:lang w:eastAsia="en-GB"/>
        </w:rPr>
        <w:t xml:space="preserve"> key project board meetings and horizon scanning</w:t>
      </w:r>
      <w:r>
        <w:rPr>
          <w:rFonts w:cs="Arial"/>
          <w:sz w:val="22"/>
          <w:szCs w:val="22"/>
          <w:lang w:eastAsia="en-GB"/>
        </w:rPr>
        <w:t xml:space="preserve">. The Emerging Risk Log has been reviewed in detail by the Head of the TP Policy and Technical team and the </w:t>
      </w:r>
      <w:r w:rsidR="00BF2424">
        <w:rPr>
          <w:rFonts w:cs="Arial"/>
          <w:sz w:val="22"/>
          <w:szCs w:val="22"/>
          <w:lang w:eastAsia="en-GB"/>
        </w:rPr>
        <w:t>TP Analytics and Risk Manager,</w:t>
      </w:r>
      <w:r>
        <w:rPr>
          <w:rFonts w:cs="Arial"/>
          <w:sz w:val="22"/>
          <w:szCs w:val="22"/>
          <w:lang w:eastAsia="en-GB"/>
        </w:rPr>
        <w:t xml:space="preserve"> record</w:t>
      </w:r>
      <w:r w:rsidR="00BF2424">
        <w:rPr>
          <w:rFonts w:cs="Arial"/>
          <w:sz w:val="22"/>
          <w:szCs w:val="22"/>
          <w:lang w:eastAsia="en-GB"/>
        </w:rPr>
        <w:t>ing</w:t>
      </w:r>
      <w:r>
        <w:rPr>
          <w:rFonts w:cs="Arial"/>
          <w:sz w:val="22"/>
          <w:szCs w:val="22"/>
          <w:lang w:eastAsia="en-GB"/>
        </w:rPr>
        <w:t xml:space="preserve"> the impact assessments undertaken and current treatment of emerging risks or legal cases.  </w:t>
      </w:r>
    </w:p>
    <w:p w14:paraId="551BFE93" w14:textId="77777777" w:rsidR="007123B9" w:rsidRPr="007123B9" w:rsidRDefault="007123B9" w:rsidP="007123B9">
      <w:pPr>
        <w:pStyle w:val="ListParagraph"/>
        <w:rPr>
          <w:rFonts w:cs="Arial"/>
          <w:sz w:val="22"/>
          <w:szCs w:val="22"/>
          <w:lang w:eastAsia="en-GB"/>
        </w:rPr>
      </w:pPr>
    </w:p>
    <w:p w14:paraId="2E022884" w14:textId="77777777" w:rsidR="007123B9" w:rsidRDefault="007123B9" w:rsidP="007123B9">
      <w:pPr>
        <w:pStyle w:val="ListParagraph"/>
        <w:numPr>
          <w:ilvl w:val="0"/>
          <w:numId w:val="7"/>
        </w:numPr>
        <w:ind w:left="426" w:hanging="426"/>
        <w:rPr>
          <w:rFonts w:cs="Arial"/>
          <w:sz w:val="22"/>
          <w:szCs w:val="22"/>
          <w:lang w:eastAsia="en-GB"/>
        </w:rPr>
      </w:pPr>
      <w:r>
        <w:rPr>
          <w:rFonts w:cs="Arial"/>
          <w:sz w:val="22"/>
          <w:szCs w:val="22"/>
          <w:lang w:eastAsia="en-GB"/>
        </w:rPr>
        <w:t xml:space="preserve">Formal monthly Risk ‘Keep-in-Touch’ (KiT) meetings have been introduced between the DfE </w:t>
      </w:r>
      <w:r w:rsidR="00257808">
        <w:rPr>
          <w:rFonts w:cs="Arial"/>
          <w:sz w:val="22"/>
          <w:szCs w:val="22"/>
          <w:lang w:eastAsia="en-GB"/>
        </w:rPr>
        <w:t>Senior Risk and</w:t>
      </w:r>
      <w:r w:rsidRPr="007123B9">
        <w:rPr>
          <w:rFonts w:cs="Arial"/>
          <w:sz w:val="22"/>
          <w:szCs w:val="22"/>
          <w:lang w:eastAsia="en-GB"/>
        </w:rPr>
        <w:t xml:space="preserve"> Finance</w:t>
      </w:r>
      <w:r w:rsidR="00257808">
        <w:rPr>
          <w:rFonts w:cs="Arial"/>
          <w:sz w:val="22"/>
          <w:szCs w:val="22"/>
          <w:lang w:eastAsia="en-GB"/>
        </w:rPr>
        <w:t xml:space="preserve"> Manager</w:t>
      </w:r>
      <w:r w:rsidR="001434FB">
        <w:rPr>
          <w:rFonts w:cs="Arial"/>
          <w:sz w:val="22"/>
          <w:szCs w:val="22"/>
          <w:lang w:eastAsia="en-GB"/>
        </w:rPr>
        <w:t>; the DfE</w:t>
      </w:r>
      <w:r>
        <w:rPr>
          <w:rFonts w:cs="Arial"/>
          <w:sz w:val="22"/>
          <w:szCs w:val="22"/>
          <w:lang w:eastAsia="en-GB"/>
        </w:rPr>
        <w:t xml:space="preserve"> Contract Manager; and the </w:t>
      </w:r>
      <w:r w:rsidR="001434FB">
        <w:rPr>
          <w:rFonts w:cs="Arial"/>
          <w:sz w:val="22"/>
          <w:szCs w:val="22"/>
          <w:lang w:eastAsia="en-GB"/>
        </w:rPr>
        <w:t xml:space="preserve">TP Analytics and Risk Manager to review risk actions, review all Risks </w:t>
      </w:r>
      <w:r w:rsidR="00BF2424">
        <w:rPr>
          <w:rFonts w:cs="Arial"/>
          <w:sz w:val="22"/>
          <w:szCs w:val="22"/>
          <w:lang w:eastAsia="en-GB"/>
        </w:rPr>
        <w:t>and escalate to the Risk Committee where changes are advised.</w:t>
      </w:r>
    </w:p>
    <w:p w14:paraId="23D92500" w14:textId="77777777" w:rsidR="00BF2424" w:rsidRPr="00BF2424" w:rsidRDefault="00BF2424" w:rsidP="00BF2424">
      <w:pPr>
        <w:pStyle w:val="ListParagraph"/>
        <w:rPr>
          <w:rFonts w:cs="Arial"/>
          <w:sz w:val="22"/>
          <w:szCs w:val="22"/>
          <w:lang w:eastAsia="en-GB"/>
        </w:rPr>
      </w:pPr>
    </w:p>
    <w:p w14:paraId="5C6D2AB2" w14:textId="77777777" w:rsidR="00BF2424" w:rsidRPr="007123B9" w:rsidRDefault="00BF2424" w:rsidP="007123B9">
      <w:pPr>
        <w:pStyle w:val="ListParagraph"/>
        <w:numPr>
          <w:ilvl w:val="0"/>
          <w:numId w:val="7"/>
        </w:numPr>
        <w:ind w:left="426" w:hanging="426"/>
        <w:rPr>
          <w:rFonts w:cs="Arial"/>
          <w:sz w:val="22"/>
          <w:szCs w:val="22"/>
          <w:lang w:eastAsia="en-GB"/>
        </w:rPr>
      </w:pPr>
      <w:r>
        <w:rPr>
          <w:rFonts w:cs="Arial"/>
          <w:sz w:val="22"/>
          <w:szCs w:val="22"/>
          <w:lang w:eastAsia="en-GB"/>
        </w:rPr>
        <w:t xml:space="preserve">A revised Risk Matrix was developed by TP during the period to support the Risk Management Framework and facilitate the assessment of risk by providing clear guidelines to the Committee </w:t>
      </w:r>
      <w:r w:rsidR="003374D8">
        <w:rPr>
          <w:rFonts w:cs="Arial"/>
          <w:sz w:val="22"/>
          <w:szCs w:val="22"/>
          <w:lang w:eastAsia="en-GB"/>
        </w:rPr>
        <w:t xml:space="preserve">about how the risk should be assessed. </w:t>
      </w:r>
    </w:p>
    <w:p w14:paraId="630BC342" w14:textId="77777777" w:rsidR="00461F38" w:rsidRPr="00F2025C" w:rsidRDefault="00461F38" w:rsidP="00461F38">
      <w:pPr>
        <w:ind w:left="426" w:hanging="284"/>
        <w:rPr>
          <w:rFonts w:cs="Arial"/>
          <w:sz w:val="22"/>
          <w:szCs w:val="22"/>
          <w:lang w:eastAsia="en-GB"/>
        </w:rPr>
      </w:pPr>
    </w:p>
    <w:p w14:paraId="554E9796" w14:textId="77777777" w:rsidR="00461F38" w:rsidRPr="00BF2424" w:rsidRDefault="00461F38" w:rsidP="00461F38">
      <w:pPr>
        <w:pStyle w:val="ListParagraph"/>
        <w:numPr>
          <w:ilvl w:val="0"/>
          <w:numId w:val="7"/>
        </w:numPr>
        <w:ind w:left="426" w:hanging="426"/>
        <w:rPr>
          <w:rFonts w:cs="Arial"/>
          <w:sz w:val="22"/>
          <w:szCs w:val="22"/>
          <w:lang w:eastAsia="en-GB"/>
        </w:rPr>
      </w:pPr>
      <w:r w:rsidRPr="00BF2424">
        <w:rPr>
          <w:rFonts w:cs="Arial"/>
          <w:sz w:val="22"/>
          <w:szCs w:val="22"/>
          <w:lang w:eastAsia="en-GB"/>
        </w:rPr>
        <w:t>The Strategic Risk Register is provided to the Pension Board Sub-Committee. Below are the current key risks from an operational perspective for reference.</w:t>
      </w:r>
    </w:p>
    <w:p w14:paraId="431A42D0" w14:textId="77777777" w:rsidR="00461F38" w:rsidRPr="00F2025C" w:rsidRDefault="00461F38" w:rsidP="00461F38">
      <w:pPr>
        <w:rPr>
          <w:rFonts w:cs="Arial"/>
          <w:b/>
          <w:sz w:val="22"/>
          <w:szCs w:val="22"/>
          <w:lang w:eastAsia="en-GB"/>
        </w:rPr>
      </w:pPr>
    </w:p>
    <w:p w14:paraId="6181FFED" w14:textId="77777777" w:rsidR="00461F38" w:rsidRPr="00F2025C" w:rsidRDefault="00461F38" w:rsidP="00461F38">
      <w:pPr>
        <w:rPr>
          <w:rFonts w:cs="Arial"/>
          <w:b/>
          <w:sz w:val="22"/>
          <w:szCs w:val="22"/>
          <w:lang w:eastAsia="en-GB"/>
        </w:rPr>
      </w:pPr>
      <w:r w:rsidRPr="00F2025C">
        <w:rPr>
          <w:rFonts w:cs="Arial"/>
          <w:b/>
          <w:sz w:val="22"/>
          <w:szCs w:val="22"/>
          <w:lang w:eastAsia="en-GB"/>
        </w:rPr>
        <w:t>Key Risk Updates</w:t>
      </w:r>
    </w:p>
    <w:p w14:paraId="5344032F" w14:textId="77777777" w:rsidR="00461F38" w:rsidRDefault="00461F38" w:rsidP="00225DE6">
      <w:pPr>
        <w:rPr>
          <w:rFonts w:cs="Arial"/>
          <w:b/>
          <w:sz w:val="22"/>
          <w:szCs w:val="22"/>
          <w:lang w:eastAsia="en-GB"/>
        </w:rPr>
      </w:pPr>
    </w:p>
    <w:p w14:paraId="733B04FA" w14:textId="77777777" w:rsidR="00461F38" w:rsidRDefault="003374D8" w:rsidP="00461F38">
      <w:pPr>
        <w:rPr>
          <w:rFonts w:cs="Arial"/>
          <w:b/>
          <w:sz w:val="22"/>
          <w:szCs w:val="22"/>
          <w:lang w:eastAsia="en-GB"/>
        </w:rPr>
      </w:pPr>
      <w:r>
        <w:rPr>
          <w:rFonts w:cs="Arial"/>
          <w:b/>
          <w:sz w:val="22"/>
          <w:szCs w:val="22"/>
          <w:lang w:eastAsia="en-GB"/>
        </w:rPr>
        <w:t>Strategic Risks</w:t>
      </w:r>
    </w:p>
    <w:p w14:paraId="3A3AE208" w14:textId="77777777" w:rsidR="00461F38" w:rsidRPr="00F2025C" w:rsidRDefault="00461F38" w:rsidP="00461F38">
      <w:pPr>
        <w:rPr>
          <w:rFonts w:cs="Arial"/>
          <w:b/>
          <w:sz w:val="22"/>
          <w:szCs w:val="22"/>
          <w:lang w:eastAsia="en-GB"/>
        </w:rPr>
      </w:pPr>
    </w:p>
    <w:p w14:paraId="7FFE2671" w14:textId="77777777" w:rsidR="00B25DAE" w:rsidRDefault="003374D8" w:rsidP="00461F38">
      <w:pPr>
        <w:pStyle w:val="ListParagraph"/>
        <w:numPr>
          <w:ilvl w:val="0"/>
          <w:numId w:val="7"/>
        </w:numPr>
        <w:ind w:left="426" w:hanging="426"/>
        <w:rPr>
          <w:rFonts w:cs="Arial"/>
          <w:sz w:val="22"/>
          <w:szCs w:val="22"/>
          <w:lang w:eastAsia="en-GB"/>
        </w:rPr>
      </w:pPr>
      <w:r>
        <w:rPr>
          <w:rFonts w:cs="Arial"/>
          <w:sz w:val="22"/>
          <w:szCs w:val="22"/>
          <w:lang w:eastAsia="en-GB"/>
        </w:rPr>
        <w:t xml:space="preserve">Following the recent update to Capita shareholders </w:t>
      </w:r>
      <w:r w:rsidRPr="003374D8">
        <w:rPr>
          <w:rFonts w:cs="Arial"/>
          <w:sz w:val="22"/>
          <w:szCs w:val="22"/>
          <w:lang w:eastAsia="en-GB"/>
        </w:rPr>
        <w:t>and customers on the outlook for trading</w:t>
      </w:r>
      <w:r>
        <w:rPr>
          <w:rFonts w:cs="Arial"/>
          <w:sz w:val="22"/>
          <w:szCs w:val="22"/>
          <w:lang w:eastAsia="en-GB"/>
        </w:rPr>
        <w:t>;</w:t>
      </w:r>
      <w:r w:rsidRPr="003374D8">
        <w:rPr>
          <w:rFonts w:cs="Arial"/>
          <w:sz w:val="22"/>
          <w:szCs w:val="22"/>
          <w:lang w:eastAsia="en-GB"/>
        </w:rPr>
        <w:t xml:space="preserve"> dividend policy</w:t>
      </w:r>
      <w:r>
        <w:rPr>
          <w:rFonts w:cs="Arial"/>
          <w:sz w:val="22"/>
          <w:szCs w:val="22"/>
          <w:lang w:eastAsia="en-GB"/>
        </w:rPr>
        <w:t>; and</w:t>
      </w:r>
      <w:r w:rsidRPr="003374D8">
        <w:rPr>
          <w:rFonts w:cs="Arial"/>
          <w:sz w:val="22"/>
          <w:szCs w:val="22"/>
          <w:lang w:eastAsia="en-GB"/>
        </w:rPr>
        <w:t xml:space="preserve"> funding </w:t>
      </w:r>
      <w:r>
        <w:rPr>
          <w:rFonts w:cs="Arial"/>
          <w:sz w:val="22"/>
          <w:szCs w:val="22"/>
          <w:lang w:eastAsia="en-GB"/>
        </w:rPr>
        <w:t xml:space="preserve">arrangements, the Committee reviewed the risk on the Strategic Risk Register about the potential impact of the market landscape on impact on the Capita’s viability. There are a number of robust mitigating controls in place that </w:t>
      </w:r>
      <w:r w:rsidR="00BF3CA1">
        <w:rPr>
          <w:rFonts w:cs="Arial"/>
          <w:sz w:val="22"/>
          <w:szCs w:val="22"/>
          <w:lang w:eastAsia="en-GB"/>
        </w:rPr>
        <w:t>maintain the net risk score at LOW</w:t>
      </w:r>
      <w:r>
        <w:rPr>
          <w:rFonts w:cs="Arial"/>
          <w:sz w:val="22"/>
          <w:szCs w:val="22"/>
          <w:lang w:eastAsia="en-GB"/>
        </w:rPr>
        <w:t>. Existing controls about monitoring of financial risk indicators and liquidity measures have been added to the Risk Register to further outline the level of control in place.</w:t>
      </w:r>
    </w:p>
    <w:p w14:paraId="5415BF93" w14:textId="77777777" w:rsidR="00BF3CA1" w:rsidRDefault="00BF3CA1" w:rsidP="00BF3CA1">
      <w:pPr>
        <w:pStyle w:val="ListParagraph"/>
        <w:ind w:left="426"/>
        <w:rPr>
          <w:rFonts w:cs="Arial"/>
          <w:sz w:val="22"/>
          <w:szCs w:val="22"/>
          <w:lang w:eastAsia="en-GB"/>
        </w:rPr>
      </w:pPr>
    </w:p>
    <w:p w14:paraId="6163546D" w14:textId="77777777" w:rsidR="00BF3CA1" w:rsidRDefault="00BF3CA1" w:rsidP="00461F38">
      <w:pPr>
        <w:pStyle w:val="ListParagraph"/>
        <w:numPr>
          <w:ilvl w:val="0"/>
          <w:numId w:val="7"/>
        </w:numPr>
        <w:ind w:left="426" w:hanging="426"/>
        <w:rPr>
          <w:rFonts w:cs="Arial"/>
          <w:sz w:val="22"/>
          <w:szCs w:val="22"/>
          <w:lang w:eastAsia="en-GB"/>
        </w:rPr>
      </w:pPr>
      <w:r>
        <w:rPr>
          <w:rFonts w:cs="Arial"/>
          <w:sz w:val="22"/>
          <w:szCs w:val="22"/>
          <w:lang w:eastAsia="en-GB"/>
        </w:rPr>
        <w:t xml:space="preserve">An additional risk was added to the Risk Register during the period around the adequacy of the Risk Management process. This has driven the Committee to discuss the existing controls and methodology </w:t>
      </w:r>
      <w:r w:rsidR="00507E25">
        <w:rPr>
          <w:rFonts w:cs="Arial"/>
          <w:sz w:val="22"/>
          <w:szCs w:val="22"/>
          <w:lang w:eastAsia="en-GB"/>
        </w:rPr>
        <w:t>and identify the various sources of risk identification.</w:t>
      </w:r>
      <w:r>
        <w:rPr>
          <w:rFonts w:cs="Arial"/>
          <w:sz w:val="22"/>
          <w:szCs w:val="22"/>
          <w:lang w:eastAsia="en-GB"/>
        </w:rPr>
        <w:t xml:space="preserve"> Escalation to the risk Committee from strategic project meetings has been formalised through addition of a standard agenda item on project board meetings.</w:t>
      </w:r>
    </w:p>
    <w:p w14:paraId="3AAAB443" w14:textId="77777777" w:rsidR="003374D8" w:rsidRPr="003374D8" w:rsidRDefault="003374D8" w:rsidP="003374D8">
      <w:pPr>
        <w:rPr>
          <w:rFonts w:cs="Arial"/>
          <w:sz w:val="22"/>
          <w:szCs w:val="22"/>
          <w:lang w:eastAsia="en-GB"/>
        </w:rPr>
      </w:pPr>
    </w:p>
    <w:p w14:paraId="41D23FF0" w14:textId="77777777" w:rsidR="004D6026" w:rsidRDefault="004D6026" w:rsidP="003374D8">
      <w:pPr>
        <w:rPr>
          <w:rFonts w:cs="Arial"/>
          <w:b/>
          <w:sz w:val="22"/>
          <w:szCs w:val="22"/>
          <w:lang w:eastAsia="en-GB"/>
        </w:rPr>
      </w:pPr>
      <w:r>
        <w:rPr>
          <w:rFonts w:cs="Arial"/>
          <w:b/>
          <w:sz w:val="22"/>
          <w:szCs w:val="22"/>
          <w:lang w:eastAsia="en-GB"/>
        </w:rPr>
        <w:t>Financial and Planning Risks</w:t>
      </w:r>
    </w:p>
    <w:p w14:paraId="39EBAC9C" w14:textId="77777777" w:rsidR="004D6026" w:rsidRPr="004D6026" w:rsidRDefault="004D6026" w:rsidP="003374D8">
      <w:pPr>
        <w:rPr>
          <w:rFonts w:cs="Arial"/>
          <w:b/>
          <w:sz w:val="22"/>
          <w:szCs w:val="22"/>
          <w:lang w:eastAsia="en-GB"/>
        </w:rPr>
      </w:pPr>
    </w:p>
    <w:p w14:paraId="2149AF05" w14:textId="77777777" w:rsidR="004D6026" w:rsidRPr="004D6026" w:rsidRDefault="004D6026" w:rsidP="004D6026">
      <w:pPr>
        <w:pStyle w:val="ListParagraph"/>
        <w:numPr>
          <w:ilvl w:val="0"/>
          <w:numId w:val="7"/>
        </w:numPr>
        <w:ind w:left="426" w:hanging="426"/>
        <w:rPr>
          <w:rFonts w:cs="Arial"/>
          <w:b/>
          <w:sz w:val="22"/>
          <w:szCs w:val="22"/>
          <w:lang w:eastAsia="en-GB"/>
        </w:rPr>
      </w:pPr>
      <w:r>
        <w:rPr>
          <w:rFonts w:cs="Arial"/>
          <w:sz w:val="22"/>
          <w:szCs w:val="22"/>
          <w:lang w:eastAsia="en-GB"/>
        </w:rPr>
        <w:t xml:space="preserve">The GAD valuation project is progressing well and </w:t>
      </w:r>
      <w:r w:rsidR="00913843">
        <w:rPr>
          <w:rFonts w:cs="Arial"/>
          <w:sz w:val="22"/>
          <w:szCs w:val="22"/>
          <w:lang w:eastAsia="en-GB"/>
        </w:rPr>
        <w:t xml:space="preserve">progress </w:t>
      </w:r>
      <w:r>
        <w:rPr>
          <w:rFonts w:cs="Arial"/>
          <w:sz w:val="22"/>
          <w:szCs w:val="22"/>
          <w:lang w:eastAsia="en-GB"/>
        </w:rPr>
        <w:t>is also monitored via the Service Delivery Board and the Valuation Project Board. During the period, the risk wording and controls were reviewed and updated to outline the</w:t>
      </w:r>
      <w:r w:rsidR="00913843">
        <w:rPr>
          <w:rFonts w:cs="Arial"/>
          <w:sz w:val="22"/>
          <w:szCs w:val="22"/>
          <w:lang w:eastAsia="en-GB"/>
        </w:rPr>
        <w:t xml:space="preserve"> potential impact of changes to assumptions or methodology and to include the</w:t>
      </w:r>
      <w:r>
        <w:rPr>
          <w:rFonts w:cs="Arial"/>
          <w:sz w:val="22"/>
          <w:szCs w:val="22"/>
          <w:lang w:eastAsia="en-GB"/>
        </w:rPr>
        <w:t xml:space="preserve"> robust controls in place.</w:t>
      </w:r>
    </w:p>
    <w:p w14:paraId="22CC1E32" w14:textId="77777777" w:rsidR="004D6026" w:rsidRDefault="004D6026" w:rsidP="003374D8">
      <w:pPr>
        <w:rPr>
          <w:rFonts w:cs="Arial"/>
          <w:b/>
          <w:sz w:val="22"/>
          <w:szCs w:val="22"/>
          <w:lang w:eastAsia="en-GB"/>
        </w:rPr>
      </w:pPr>
    </w:p>
    <w:p w14:paraId="0BAF33AB" w14:textId="77777777" w:rsidR="00913843" w:rsidRDefault="00913843" w:rsidP="003374D8">
      <w:pPr>
        <w:rPr>
          <w:rFonts w:cs="Arial"/>
          <w:b/>
          <w:sz w:val="22"/>
          <w:szCs w:val="22"/>
          <w:lang w:eastAsia="en-GB"/>
        </w:rPr>
      </w:pPr>
      <w:r>
        <w:rPr>
          <w:rFonts w:cs="Arial"/>
          <w:b/>
          <w:sz w:val="22"/>
          <w:szCs w:val="22"/>
          <w:lang w:eastAsia="en-GB"/>
        </w:rPr>
        <w:t>Operational Risks</w:t>
      </w:r>
    </w:p>
    <w:p w14:paraId="5B5DCFE1" w14:textId="77777777" w:rsidR="00913843" w:rsidRDefault="00913843" w:rsidP="003374D8">
      <w:pPr>
        <w:rPr>
          <w:rFonts w:cs="Arial"/>
          <w:b/>
          <w:sz w:val="22"/>
          <w:szCs w:val="22"/>
          <w:lang w:eastAsia="en-GB"/>
        </w:rPr>
      </w:pPr>
    </w:p>
    <w:p w14:paraId="38FCE3C0" w14:textId="77777777" w:rsidR="00913843" w:rsidRPr="00913843" w:rsidRDefault="00913843" w:rsidP="00913843">
      <w:pPr>
        <w:pStyle w:val="ListParagraph"/>
        <w:numPr>
          <w:ilvl w:val="0"/>
          <w:numId w:val="7"/>
        </w:numPr>
        <w:ind w:left="426" w:hanging="426"/>
        <w:rPr>
          <w:rFonts w:cs="Arial"/>
          <w:sz w:val="22"/>
          <w:szCs w:val="22"/>
          <w:lang w:eastAsia="en-GB"/>
        </w:rPr>
      </w:pPr>
      <w:r w:rsidRPr="00913843">
        <w:rPr>
          <w:rFonts w:cs="Arial"/>
          <w:sz w:val="22"/>
          <w:szCs w:val="22"/>
          <w:lang w:eastAsia="en-GB"/>
        </w:rPr>
        <w:t xml:space="preserve">Business Continuity and Disaster Recovery </w:t>
      </w:r>
      <w:r>
        <w:rPr>
          <w:rFonts w:cs="Arial"/>
          <w:sz w:val="22"/>
          <w:szCs w:val="22"/>
          <w:lang w:eastAsia="en-GB"/>
        </w:rPr>
        <w:t>continues to be reviewed monthly by the Risk Committee and a number of actions have been closed and added to the Risk Register as mitigating controls. A disaster recovery test report was issued during December with no arising actions outstanding. Capita Group Internal Audit will be reviewing Business Continuity and Disaster Recovery as part of their 2018 assurance plan.</w:t>
      </w:r>
    </w:p>
    <w:p w14:paraId="58B9FDA3" w14:textId="77777777" w:rsidR="00913843" w:rsidRDefault="00913843" w:rsidP="003374D8">
      <w:pPr>
        <w:rPr>
          <w:rFonts w:cs="Arial"/>
          <w:b/>
          <w:sz w:val="22"/>
          <w:szCs w:val="22"/>
          <w:lang w:eastAsia="en-GB"/>
        </w:rPr>
      </w:pPr>
    </w:p>
    <w:p w14:paraId="72443B97" w14:textId="77777777" w:rsidR="003374D8" w:rsidRPr="003374D8" w:rsidRDefault="00913843" w:rsidP="003374D8">
      <w:pPr>
        <w:rPr>
          <w:rFonts w:cs="Arial"/>
          <w:b/>
          <w:sz w:val="22"/>
          <w:szCs w:val="22"/>
          <w:lang w:eastAsia="en-GB"/>
        </w:rPr>
      </w:pPr>
      <w:r>
        <w:rPr>
          <w:rFonts w:cs="Arial"/>
          <w:b/>
          <w:sz w:val="22"/>
          <w:szCs w:val="22"/>
          <w:lang w:eastAsia="en-GB"/>
        </w:rPr>
        <w:t>Governance</w:t>
      </w:r>
    </w:p>
    <w:p w14:paraId="3EAF06D8" w14:textId="77777777" w:rsidR="003374D8" w:rsidRPr="002A793D" w:rsidRDefault="003374D8" w:rsidP="002A793D">
      <w:pPr>
        <w:pStyle w:val="ListParagraph"/>
        <w:ind w:left="426"/>
        <w:rPr>
          <w:sz w:val="22"/>
          <w:szCs w:val="22"/>
        </w:rPr>
      </w:pPr>
    </w:p>
    <w:p w14:paraId="5BA65107" w14:textId="77777777" w:rsidR="00461F38" w:rsidRPr="002A793D" w:rsidRDefault="00913843" w:rsidP="002A793D">
      <w:pPr>
        <w:pStyle w:val="ListParagraph"/>
        <w:numPr>
          <w:ilvl w:val="0"/>
          <w:numId w:val="7"/>
        </w:numPr>
        <w:ind w:left="426" w:hanging="426"/>
        <w:rPr>
          <w:sz w:val="22"/>
          <w:szCs w:val="22"/>
        </w:rPr>
      </w:pPr>
      <w:r w:rsidRPr="002A793D">
        <w:rPr>
          <w:sz w:val="22"/>
          <w:szCs w:val="22"/>
        </w:rPr>
        <w:t>Progress continues with the accreditation of the core IT ‘RMH’ environment</w:t>
      </w:r>
      <w:r w:rsidR="002A793D" w:rsidRPr="002A793D">
        <w:rPr>
          <w:sz w:val="22"/>
          <w:szCs w:val="22"/>
        </w:rPr>
        <w:t xml:space="preserve"> with updates </w:t>
      </w:r>
      <w:r w:rsidR="002A793D">
        <w:rPr>
          <w:sz w:val="22"/>
          <w:szCs w:val="22"/>
        </w:rPr>
        <w:t>via the m</w:t>
      </w:r>
      <w:r w:rsidR="002A793D" w:rsidRPr="002A793D">
        <w:rPr>
          <w:sz w:val="22"/>
          <w:szCs w:val="22"/>
        </w:rPr>
        <w:t xml:space="preserve">onthly Security Working Group attended by TP, Capita IT, and </w:t>
      </w:r>
      <w:r w:rsidR="002A793D">
        <w:rPr>
          <w:sz w:val="22"/>
          <w:szCs w:val="22"/>
        </w:rPr>
        <w:t xml:space="preserve">the </w:t>
      </w:r>
      <w:r w:rsidR="002A793D" w:rsidRPr="002A793D">
        <w:rPr>
          <w:sz w:val="22"/>
          <w:szCs w:val="22"/>
        </w:rPr>
        <w:t>DfE IT Systems Assurance Advisor.</w:t>
      </w:r>
      <w:r w:rsidR="002A793D">
        <w:rPr>
          <w:sz w:val="22"/>
          <w:szCs w:val="22"/>
        </w:rPr>
        <w:t xml:space="preserve"> An IT Health Check was carried out on the environment during November and a remediation plan is being progressed with oversight from the DfE</w:t>
      </w:r>
      <w:r w:rsidR="002A793D" w:rsidRPr="002A793D">
        <w:rPr>
          <w:sz w:val="22"/>
          <w:szCs w:val="22"/>
        </w:rPr>
        <w:t xml:space="preserve"> IT Systems Assurance Advisor</w:t>
      </w:r>
      <w:r w:rsidR="002A793D">
        <w:rPr>
          <w:sz w:val="22"/>
          <w:szCs w:val="22"/>
        </w:rPr>
        <w:t>.</w:t>
      </w:r>
    </w:p>
    <w:p w14:paraId="167F5B1A" w14:textId="77777777" w:rsidR="00913843" w:rsidRPr="00913843" w:rsidRDefault="00913843" w:rsidP="00913843">
      <w:pPr>
        <w:pStyle w:val="ListParagraph"/>
        <w:ind w:left="426"/>
        <w:rPr>
          <w:rFonts w:cs="Arial"/>
          <w:b/>
          <w:sz w:val="22"/>
          <w:szCs w:val="22"/>
          <w:lang w:eastAsia="en-GB"/>
        </w:rPr>
      </w:pPr>
    </w:p>
    <w:p w14:paraId="2ED6BAF4" w14:textId="77777777" w:rsidR="00461F38" w:rsidRPr="00F2025C" w:rsidRDefault="002A793D" w:rsidP="00461F38">
      <w:pPr>
        <w:rPr>
          <w:rFonts w:cs="Arial"/>
          <w:b/>
          <w:sz w:val="22"/>
          <w:szCs w:val="22"/>
          <w:lang w:eastAsia="en-GB"/>
        </w:rPr>
      </w:pPr>
      <w:r>
        <w:rPr>
          <w:rFonts w:cs="Arial"/>
          <w:b/>
          <w:sz w:val="22"/>
          <w:szCs w:val="22"/>
          <w:lang w:eastAsia="en-GB"/>
        </w:rPr>
        <w:t>Compliance</w:t>
      </w:r>
    </w:p>
    <w:p w14:paraId="7ECEF98E" w14:textId="77777777" w:rsidR="00461F38" w:rsidRPr="00F2025C" w:rsidRDefault="00461F38" w:rsidP="00461F38">
      <w:pPr>
        <w:rPr>
          <w:rFonts w:cs="Arial"/>
          <w:b/>
          <w:sz w:val="22"/>
          <w:szCs w:val="22"/>
          <w:lang w:eastAsia="en-GB"/>
        </w:rPr>
      </w:pPr>
    </w:p>
    <w:p w14:paraId="6548B166" w14:textId="77777777" w:rsidR="00461F38" w:rsidRDefault="00461F38" w:rsidP="00461F38">
      <w:pPr>
        <w:pStyle w:val="ListParagraph"/>
        <w:numPr>
          <w:ilvl w:val="0"/>
          <w:numId w:val="7"/>
        </w:numPr>
        <w:ind w:left="426" w:hanging="426"/>
        <w:rPr>
          <w:sz w:val="22"/>
          <w:szCs w:val="22"/>
        </w:rPr>
      </w:pPr>
      <w:r w:rsidRPr="002A793D">
        <w:rPr>
          <w:sz w:val="22"/>
          <w:szCs w:val="22"/>
        </w:rPr>
        <w:t>Good progress continues to be made from a TP perspecti</w:t>
      </w:r>
      <w:r w:rsidR="009D4489" w:rsidRPr="002A793D">
        <w:rPr>
          <w:sz w:val="22"/>
          <w:szCs w:val="22"/>
        </w:rPr>
        <w:t xml:space="preserve">ve on the GMP reconciliation. </w:t>
      </w:r>
      <w:r w:rsidR="002A793D" w:rsidRPr="002A793D">
        <w:rPr>
          <w:sz w:val="22"/>
          <w:szCs w:val="22"/>
        </w:rPr>
        <w:t xml:space="preserve">The government response to the GMP consultation on equalisation and indexation was published in January, confirming their response. The outcome is in line with TP’s preferred solution as outlined in their consultation response. </w:t>
      </w:r>
      <w:r w:rsidR="002A793D">
        <w:rPr>
          <w:sz w:val="22"/>
          <w:szCs w:val="22"/>
        </w:rPr>
        <w:t>As a result of this, t</w:t>
      </w:r>
      <w:r w:rsidRPr="002A793D">
        <w:rPr>
          <w:sz w:val="22"/>
          <w:szCs w:val="22"/>
        </w:rPr>
        <w:t xml:space="preserve">he net risk for the project </w:t>
      </w:r>
      <w:r w:rsidR="002A793D">
        <w:rPr>
          <w:sz w:val="22"/>
          <w:szCs w:val="22"/>
        </w:rPr>
        <w:t>was reduced to MEDIUM.</w:t>
      </w:r>
    </w:p>
    <w:p w14:paraId="30CA76CA" w14:textId="77777777" w:rsidR="002A793D" w:rsidRPr="002A793D" w:rsidRDefault="002A793D" w:rsidP="002A793D">
      <w:pPr>
        <w:pStyle w:val="ListParagraph"/>
        <w:ind w:left="426"/>
        <w:rPr>
          <w:sz w:val="22"/>
          <w:szCs w:val="22"/>
        </w:rPr>
      </w:pPr>
    </w:p>
    <w:p w14:paraId="623BE9F7" w14:textId="77777777" w:rsidR="00461F38" w:rsidRPr="00F2025C" w:rsidRDefault="00461F38" w:rsidP="00461F38">
      <w:pPr>
        <w:pStyle w:val="ListParagraph"/>
        <w:numPr>
          <w:ilvl w:val="0"/>
          <w:numId w:val="7"/>
        </w:numPr>
        <w:ind w:left="426" w:hanging="426"/>
        <w:rPr>
          <w:sz w:val="22"/>
          <w:szCs w:val="22"/>
        </w:rPr>
      </w:pPr>
      <w:r w:rsidRPr="00F2025C">
        <w:rPr>
          <w:sz w:val="22"/>
          <w:szCs w:val="22"/>
        </w:rPr>
        <w:t>Progress continues to be reported to the GMP project Board and the Service Delivery Board on a monthly basis.</w:t>
      </w:r>
    </w:p>
    <w:p w14:paraId="2F8B869E" w14:textId="77777777" w:rsidR="00461F38" w:rsidRPr="00F2025C" w:rsidRDefault="00461F38" w:rsidP="00461F38">
      <w:pPr>
        <w:rPr>
          <w:rFonts w:cs="Arial"/>
          <w:sz w:val="22"/>
          <w:szCs w:val="22"/>
          <w:lang w:eastAsia="en-GB"/>
        </w:rPr>
      </w:pPr>
    </w:p>
    <w:p w14:paraId="16B825BB" w14:textId="77777777" w:rsidR="00461F38" w:rsidRPr="00F2025C" w:rsidRDefault="00461F38" w:rsidP="00461F38">
      <w:pPr>
        <w:rPr>
          <w:rFonts w:cs="Arial"/>
          <w:b/>
          <w:sz w:val="22"/>
          <w:szCs w:val="22"/>
          <w:lang w:eastAsia="en-GB"/>
        </w:rPr>
      </w:pPr>
      <w:r w:rsidRPr="00F2025C">
        <w:rPr>
          <w:rFonts w:cs="Arial"/>
          <w:b/>
          <w:sz w:val="22"/>
          <w:szCs w:val="22"/>
          <w:lang w:eastAsia="en-GB"/>
        </w:rPr>
        <w:t>Overview of all Risks</w:t>
      </w:r>
    </w:p>
    <w:p w14:paraId="318C319B" w14:textId="77777777" w:rsidR="00461F38" w:rsidRPr="00F2025C" w:rsidRDefault="00461F38" w:rsidP="00461F38">
      <w:pPr>
        <w:rPr>
          <w:rFonts w:cs="Arial"/>
          <w:b/>
          <w:sz w:val="22"/>
          <w:szCs w:val="22"/>
          <w:lang w:eastAsia="en-GB"/>
        </w:rPr>
      </w:pPr>
    </w:p>
    <w:p w14:paraId="6A57C366" w14:textId="77777777" w:rsidR="00461F38" w:rsidRPr="002A793D" w:rsidRDefault="00461F38" w:rsidP="0060766E">
      <w:pPr>
        <w:pStyle w:val="ListParagraph"/>
        <w:numPr>
          <w:ilvl w:val="0"/>
          <w:numId w:val="7"/>
        </w:numPr>
        <w:ind w:left="426" w:hanging="426"/>
        <w:rPr>
          <w:sz w:val="22"/>
          <w:szCs w:val="22"/>
        </w:rPr>
      </w:pPr>
      <w:r w:rsidRPr="002A793D">
        <w:rPr>
          <w:sz w:val="22"/>
          <w:szCs w:val="22"/>
        </w:rPr>
        <w:t>There are currently 2</w:t>
      </w:r>
      <w:r w:rsidR="002A793D" w:rsidRPr="002A793D">
        <w:rPr>
          <w:sz w:val="22"/>
          <w:szCs w:val="22"/>
        </w:rPr>
        <w:t>6</w:t>
      </w:r>
      <w:r w:rsidRPr="002A793D">
        <w:rPr>
          <w:sz w:val="22"/>
          <w:szCs w:val="22"/>
        </w:rPr>
        <w:t xml:space="preserve"> Strategic Risks under management (</w:t>
      </w:r>
      <w:r w:rsidR="00B25DAE" w:rsidRPr="002A793D">
        <w:rPr>
          <w:sz w:val="22"/>
          <w:szCs w:val="22"/>
        </w:rPr>
        <w:t>24 at</w:t>
      </w:r>
      <w:r w:rsidRPr="002A793D">
        <w:rPr>
          <w:sz w:val="22"/>
          <w:szCs w:val="22"/>
        </w:rPr>
        <w:t xml:space="preserve"> last reporting period). </w:t>
      </w:r>
      <w:r w:rsidR="006941C3">
        <w:rPr>
          <w:sz w:val="22"/>
          <w:szCs w:val="22"/>
        </w:rPr>
        <w:t>Seven of the</w:t>
      </w:r>
      <w:r w:rsidRPr="002A793D">
        <w:rPr>
          <w:sz w:val="22"/>
          <w:szCs w:val="22"/>
        </w:rPr>
        <w:t xml:space="preserve"> risks </w:t>
      </w:r>
      <w:r w:rsidR="006941C3">
        <w:rPr>
          <w:sz w:val="22"/>
          <w:szCs w:val="22"/>
        </w:rPr>
        <w:t>have</w:t>
      </w:r>
      <w:r w:rsidRPr="002A793D">
        <w:rPr>
          <w:sz w:val="22"/>
          <w:szCs w:val="22"/>
        </w:rPr>
        <w:t xml:space="preserve"> MEDIUM net risk scores and the remaining 19 are LOW. All have a number of existing controls in place and continue to be actively monitored and mitigated.</w:t>
      </w:r>
    </w:p>
    <w:p w14:paraId="43F013D2" w14:textId="77777777" w:rsidR="00461F38" w:rsidRPr="0060766E" w:rsidRDefault="00461F38" w:rsidP="0060766E">
      <w:pPr>
        <w:pStyle w:val="ListParagraph"/>
        <w:ind w:left="426"/>
        <w:rPr>
          <w:sz w:val="22"/>
          <w:szCs w:val="22"/>
        </w:rPr>
      </w:pPr>
    </w:p>
    <w:p w14:paraId="6C352B1D" w14:textId="77777777" w:rsidR="00461F38" w:rsidRPr="003D2273" w:rsidRDefault="00461F38" w:rsidP="0060766E">
      <w:pPr>
        <w:pStyle w:val="ListParagraph"/>
        <w:numPr>
          <w:ilvl w:val="0"/>
          <w:numId w:val="7"/>
        </w:numPr>
        <w:ind w:left="426" w:hanging="426"/>
        <w:rPr>
          <w:sz w:val="22"/>
          <w:szCs w:val="22"/>
        </w:rPr>
      </w:pPr>
      <w:r w:rsidRPr="003D2273">
        <w:rPr>
          <w:sz w:val="22"/>
          <w:szCs w:val="22"/>
        </w:rPr>
        <w:t>In addition</w:t>
      </w:r>
      <w:r w:rsidR="00B25DAE" w:rsidRPr="003D2273">
        <w:rPr>
          <w:sz w:val="22"/>
          <w:szCs w:val="22"/>
        </w:rPr>
        <w:t>,</w:t>
      </w:r>
      <w:r w:rsidRPr="003D2273">
        <w:rPr>
          <w:sz w:val="22"/>
          <w:szCs w:val="22"/>
        </w:rPr>
        <w:t xml:space="preserve"> there are a further 2</w:t>
      </w:r>
      <w:r w:rsidR="00B25DAE" w:rsidRPr="003D2273">
        <w:rPr>
          <w:sz w:val="22"/>
          <w:szCs w:val="22"/>
        </w:rPr>
        <w:t>1</w:t>
      </w:r>
      <w:r w:rsidRPr="003D2273">
        <w:rPr>
          <w:sz w:val="22"/>
          <w:szCs w:val="22"/>
        </w:rPr>
        <w:t xml:space="preserve"> Service Delivery Risks under management (</w:t>
      </w:r>
      <w:r w:rsidR="00B25DAE" w:rsidRPr="003D2273">
        <w:rPr>
          <w:sz w:val="22"/>
          <w:szCs w:val="22"/>
        </w:rPr>
        <w:t>2</w:t>
      </w:r>
      <w:r w:rsidR="006941C3" w:rsidRPr="003D2273">
        <w:rPr>
          <w:sz w:val="22"/>
          <w:szCs w:val="22"/>
        </w:rPr>
        <w:t>1</w:t>
      </w:r>
      <w:r w:rsidR="00B25DAE" w:rsidRPr="003D2273">
        <w:rPr>
          <w:sz w:val="22"/>
          <w:szCs w:val="22"/>
        </w:rPr>
        <w:t xml:space="preserve"> at</w:t>
      </w:r>
      <w:r w:rsidRPr="003D2273">
        <w:rPr>
          <w:sz w:val="22"/>
          <w:szCs w:val="22"/>
        </w:rPr>
        <w:t xml:space="preserve"> last </w:t>
      </w:r>
      <w:r w:rsidR="00B25DAE" w:rsidRPr="003D2273">
        <w:rPr>
          <w:sz w:val="22"/>
          <w:szCs w:val="22"/>
        </w:rPr>
        <w:t xml:space="preserve">reporting </w:t>
      </w:r>
      <w:r w:rsidRPr="003D2273">
        <w:rPr>
          <w:sz w:val="22"/>
          <w:szCs w:val="22"/>
        </w:rPr>
        <w:t xml:space="preserve">period). </w:t>
      </w:r>
      <w:r w:rsidR="003D2273" w:rsidRPr="003D2273">
        <w:rPr>
          <w:sz w:val="22"/>
          <w:szCs w:val="22"/>
        </w:rPr>
        <w:t>One</w:t>
      </w:r>
      <w:r w:rsidRPr="003D2273">
        <w:rPr>
          <w:sz w:val="22"/>
          <w:szCs w:val="22"/>
        </w:rPr>
        <w:t xml:space="preserve"> risk</w:t>
      </w:r>
      <w:r w:rsidR="003D2273" w:rsidRPr="003D2273">
        <w:rPr>
          <w:sz w:val="22"/>
          <w:szCs w:val="22"/>
        </w:rPr>
        <w:t xml:space="preserve"> i</w:t>
      </w:r>
      <w:r w:rsidRPr="003D2273">
        <w:rPr>
          <w:sz w:val="22"/>
          <w:szCs w:val="22"/>
        </w:rPr>
        <w:t xml:space="preserve">s rated as HIGH. </w:t>
      </w:r>
      <w:r w:rsidR="003D2273" w:rsidRPr="003D2273">
        <w:rPr>
          <w:sz w:val="22"/>
          <w:szCs w:val="22"/>
        </w:rPr>
        <w:t>This</w:t>
      </w:r>
      <w:r w:rsidRPr="003D2273">
        <w:rPr>
          <w:sz w:val="22"/>
          <w:szCs w:val="22"/>
        </w:rPr>
        <w:t xml:space="preserve"> relates to the complexities and specialist IT resource requirements for the core IT environment. Ongoing monitoring of the IT service delivery continues. The remaining risks are rate</w:t>
      </w:r>
      <w:r w:rsidR="003D2273" w:rsidRPr="003D2273">
        <w:rPr>
          <w:sz w:val="22"/>
          <w:szCs w:val="22"/>
        </w:rPr>
        <w:t>d MEDIUM (5) and</w:t>
      </w:r>
      <w:r w:rsidR="00B25DAE" w:rsidRPr="003D2273">
        <w:rPr>
          <w:sz w:val="22"/>
          <w:szCs w:val="22"/>
        </w:rPr>
        <w:t xml:space="preserve"> LOW (1</w:t>
      </w:r>
      <w:r w:rsidR="003D2273" w:rsidRPr="003D2273">
        <w:rPr>
          <w:sz w:val="22"/>
          <w:szCs w:val="22"/>
        </w:rPr>
        <w:t>5</w:t>
      </w:r>
      <w:r w:rsidRPr="003D2273">
        <w:rPr>
          <w:sz w:val="22"/>
          <w:szCs w:val="22"/>
        </w:rPr>
        <w:t>).</w:t>
      </w:r>
    </w:p>
    <w:p w14:paraId="4EC3F0D8" w14:textId="6BF263DD" w:rsidR="001A03D6" w:rsidRDefault="001A03D6" w:rsidP="00257808">
      <w:pPr>
        <w:rPr>
          <w:rFonts w:cs="Arial"/>
          <w:color w:val="000000"/>
          <w:sz w:val="22"/>
          <w:szCs w:val="22"/>
          <w:lang w:eastAsia="en-GB"/>
        </w:rPr>
      </w:pPr>
    </w:p>
    <w:p w14:paraId="273B5E61" w14:textId="77777777" w:rsidR="00A45FAC" w:rsidRDefault="00A45FAC" w:rsidP="00257808">
      <w:pPr>
        <w:rPr>
          <w:rFonts w:cs="Arial"/>
          <w:color w:val="000000"/>
          <w:sz w:val="22"/>
          <w:szCs w:val="22"/>
          <w:lang w:eastAsia="en-GB"/>
        </w:rPr>
      </w:pPr>
    </w:p>
    <w:p w14:paraId="4CEE188F" w14:textId="542EECB2" w:rsidR="00A45FAC" w:rsidRDefault="00A45FAC" w:rsidP="00257808">
      <w:pPr>
        <w:rPr>
          <w:rFonts w:cs="Arial"/>
          <w:color w:val="000000"/>
          <w:sz w:val="22"/>
          <w:szCs w:val="22"/>
          <w:lang w:eastAsia="en-GB"/>
        </w:rPr>
      </w:pPr>
      <w:r>
        <w:rPr>
          <w:rFonts w:cs="Arial"/>
          <w:color w:val="000000"/>
          <w:sz w:val="22"/>
          <w:szCs w:val="22"/>
          <w:lang w:eastAsia="en-GB"/>
        </w:rPr>
        <w:t>Acronyms used within this report:</w:t>
      </w:r>
    </w:p>
    <w:p w14:paraId="4E2685D9" w14:textId="77777777" w:rsidR="00A45FAC" w:rsidRDefault="00A45FAC" w:rsidP="00257808">
      <w:pPr>
        <w:rPr>
          <w:rFonts w:cs="Arial"/>
          <w:color w:val="000000"/>
          <w:sz w:val="22"/>
          <w:szCs w:val="22"/>
          <w:lang w:eastAsia="en-GB"/>
        </w:rPr>
      </w:pPr>
    </w:p>
    <w:tbl>
      <w:tblPr>
        <w:tblStyle w:val="TableGrid"/>
        <w:tblW w:w="0" w:type="auto"/>
        <w:tblLook w:val="04A0" w:firstRow="1" w:lastRow="0" w:firstColumn="1" w:lastColumn="0" w:noHBand="0" w:noVBand="1"/>
      </w:tblPr>
      <w:tblGrid>
        <w:gridCol w:w="988"/>
        <w:gridCol w:w="3520"/>
        <w:gridCol w:w="874"/>
        <w:gridCol w:w="3634"/>
      </w:tblGrid>
      <w:tr w:rsidR="00A45FAC" w14:paraId="5B84AA95" w14:textId="77777777" w:rsidTr="00A45FAC">
        <w:tc>
          <w:tcPr>
            <w:tcW w:w="988" w:type="dxa"/>
          </w:tcPr>
          <w:p w14:paraId="2F533C2B" w14:textId="6789EB23" w:rsidR="00A45FAC" w:rsidRDefault="00A45FAC" w:rsidP="00257808">
            <w:pPr>
              <w:rPr>
                <w:rFonts w:cs="Arial"/>
                <w:color w:val="000000"/>
                <w:sz w:val="22"/>
                <w:szCs w:val="22"/>
                <w:lang w:eastAsia="en-GB"/>
              </w:rPr>
            </w:pPr>
            <w:r>
              <w:rPr>
                <w:rFonts w:cs="Arial"/>
                <w:color w:val="000000"/>
                <w:sz w:val="22"/>
                <w:szCs w:val="22"/>
                <w:lang w:eastAsia="en-GB"/>
              </w:rPr>
              <w:t>OBR</w:t>
            </w:r>
          </w:p>
        </w:tc>
        <w:tc>
          <w:tcPr>
            <w:tcW w:w="3520" w:type="dxa"/>
          </w:tcPr>
          <w:p w14:paraId="2738094D" w14:textId="3945F239" w:rsidR="00A45FAC" w:rsidRDefault="00A45FAC" w:rsidP="00257808">
            <w:pPr>
              <w:rPr>
                <w:rFonts w:cs="Arial"/>
                <w:color w:val="000000"/>
                <w:sz w:val="22"/>
                <w:szCs w:val="22"/>
                <w:lang w:eastAsia="en-GB"/>
              </w:rPr>
            </w:pPr>
            <w:r>
              <w:rPr>
                <w:rFonts w:cs="Arial"/>
                <w:color w:val="000000"/>
                <w:sz w:val="22"/>
                <w:szCs w:val="22"/>
                <w:lang w:eastAsia="en-GB"/>
              </w:rPr>
              <w:t>Office of Budgetary Responsibility</w:t>
            </w:r>
          </w:p>
        </w:tc>
        <w:tc>
          <w:tcPr>
            <w:tcW w:w="874" w:type="dxa"/>
          </w:tcPr>
          <w:p w14:paraId="2BC993FC" w14:textId="21B1FB89" w:rsidR="00A45FAC" w:rsidRDefault="00A45FAC" w:rsidP="00257808">
            <w:pPr>
              <w:rPr>
                <w:rFonts w:cs="Arial"/>
                <w:color w:val="000000"/>
                <w:sz w:val="22"/>
                <w:szCs w:val="22"/>
                <w:lang w:eastAsia="en-GB"/>
              </w:rPr>
            </w:pPr>
            <w:r>
              <w:rPr>
                <w:rFonts w:cs="Arial"/>
                <w:color w:val="000000"/>
                <w:sz w:val="22"/>
                <w:szCs w:val="22"/>
                <w:lang w:eastAsia="en-GB"/>
              </w:rPr>
              <w:t>EOYC</w:t>
            </w:r>
          </w:p>
        </w:tc>
        <w:tc>
          <w:tcPr>
            <w:tcW w:w="3634" w:type="dxa"/>
          </w:tcPr>
          <w:p w14:paraId="6F3EE92F" w14:textId="61A87E82" w:rsidR="00A45FAC" w:rsidRDefault="00A45FAC" w:rsidP="00A45FAC">
            <w:pPr>
              <w:rPr>
                <w:rFonts w:cs="Arial"/>
                <w:color w:val="000000"/>
                <w:sz w:val="22"/>
                <w:szCs w:val="22"/>
                <w:lang w:eastAsia="en-GB"/>
              </w:rPr>
            </w:pPr>
            <w:r>
              <w:rPr>
                <w:rFonts w:cs="Arial"/>
                <w:color w:val="000000"/>
                <w:sz w:val="22"/>
                <w:szCs w:val="22"/>
                <w:lang w:eastAsia="en-GB"/>
              </w:rPr>
              <w:t>End of Year Certificates</w:t>
            </w:r>
          </w:p>
        </w:tc>
      </w:tr>
      <w:tr w:rsidR="00A45FAC" w14:paraId="682E4536" w14:textId="77777777" w:rsidTr="00A45FAC">
        <w:tc>
          <w:tcPr>
            <w:tcW w:w="988" w:type="dxa"/>
          </w:tcPr>
          <w:p w14:paraId="0B90EF5F" w14:textId="36A62497" w:rsidR="00A45FAC" w:rsidRDefault="00A45FAC" w:rsidP="00257808">
            <w:pPr>
              <w:rPr>
                <w:rFonts w:cs="Arial"/>
                <w:color w:val="000000"/>
                <w:sz w:val="22"/>
                <w:szCs w:val="22"/>
                <w:lang w:eastAsia="en-GB"/>
              </w:rPr>
            </w:pPr>
            <w:r>
              <w:rPr>
                <w:rFonts w:cs="Arial"/>
                <w:color w:val="000000"/>
                <w:sz w:val="22"/>
                <w:szCs w:val="22"/>
                <w:lang w:eastAsia="en-GB"/>
              </w:rPr>
              <w:t>NAO</w:t>
            </w:r>
          </w:p>
        </w:tc>
        <w:tc>
          <w:tcPr>
            <w:tcW w:w="3520" w:type="dxa"/>
          </w:tcPr>
          <w:p w14:paraId="523BCFCD" w14:textId="70339A97" w:rsidR="00A45FAC" w:rsidRDefault="00A45FAC" w:rsidP="00257808">
            <w:pPr>
              <w:rPr>
                <w:rFonts w:cs="Arial"/>
                <w:color w:val="000000"/>
                <w:sz w:val="22"/>
                <w:szCs w:val="22"/>
                <w:lang w:eastAsia="en-GB"/>
              </w:rPr>
            </w:pPr>
            <w:r>
              <w:rPr>
                <w:rFonts w:cs="Arial"/>
                <w:color w:val="000000"/>
                <w:sz w:val="22"/>
                <w:szCs w:val="22"/>
                <w:lang w:eastAsia="en-GB"/>
              </w:rPr>
              <w:t>National Audit Office</w:t>
            </w:r>
          </w:p>
        </w:tc>
        <w:tc>
          <w:tcPr>
            <w:tcW w:w="874" w:type="dxa"/>
          </w:tcPr>
          <w:p w14:paraId="5B9FBF77" w14:textId="41A8499A" w:rsidR="00A45FAC" w:rsidRDefault="00A45FAC" w:rsidP="00257808">
            <w:pPr>
              <w:rPr>
                <w:rFonts w:cs="Arial"/>
                <w:color w:val="000000"/>
                <w:sz w:val="22"/>
                <w:szCs w:val="22"/>
                <w:lang w:eastAsia="en-GB"/>
              </w:rPr>
            </w:pPr>
            <w:r>
              <w:rPr>
                <w:rFonts w:cs="Arial"/>
                <w:color w:val="000000"/>
                <w:sz w:val="22"/>
                <w:szCs w:val="22"/>
                <w:lang w:eastAsia="en-GB"/>
              </w:rPr>
              <w:t>HE</w:t>
            </w:r>
          </w:p>
        </w:tc>
        <w:tc>
          <w:tcPr>
            <w:tcW w:w="3634" w:type="dxa"/>
          </w:tcPr>
          <w:p w14:paraId="1A8129D3" w14:textId="7AE1E137" w:rsidR="00A45FAC" w:rsidRDefault="00A45FAC" w:rsidP="00257808">
            <w:pPr>
              <w:rPr>
                <w:rFonts w:cs="Arial"/>
                <w:color w:val="000000"/>
                <w:sz w:val="22"/>
                <w:szCs w:val="22"/>
                <w:lang w:eastAsia="en-GB"/>
              </w:rPr>
            </w:pPr>
            <w:r>
              <w:rPr>
                <w:rFonts w:cs="Arial"/>
                <w:color w:val="000000"/>
                <w:sz w:val="22"/>
                <w:szCs w:val="22"/>
                <w:lang w:eastAsia="en-GB"/>
              </w:rPr>
              <w:t>Higher Education</w:t>
            </w:r>
          </w:p>
        </w:tc>
      </w:tr>
      <w:tr w:rsidR="00A45FAC" w14:paraId="452873F8" w14:textId="77777777" w:rsidTr="00A45FAC">
        <w:tc>
          <w:tcPr>
            <w:tcW w:w="988" w:type="dxa"/>
          </w:tcPr>
          <w:p w14:paraId="52222659" w14:textId="06B6A82E" w:rsidR="00A45FAC" w:rsidRDefault="00A45FAC" w:rsidP="00257808">
            <w:pPr>
              <w:rPr>
                <w:rFonts w:cs="Arial"/>
                <w:color w:val="000000"/>
                <w:sz w:val="22"/>
                <w:szCs w:val="22"/>
                <w:lang w:eastAsia="en-GB"/>
              </w:rPr>
            </w:pPr>
            <w:r>
              <w:rPr>
                <w:rFonts w:cs="Arial"/>
                <w:color w:val="000000"/>
                <w:sz w:val="22"/>
                <w:szCs w:val="22"/>
                <w:lang w:eastAsia="en-GB"/>
              </w:rPr>
              <w:t>GAD</w:t>
            </w:r>
          </w:p>
        </w:tc>
        <w:tc>
          <w:tcPr>
            <w:tcW w:w="3520" w:type="dxa"/>
          </w:tcPr>
          <w:p w14:paraId="0325F63C" w14:textId="7D5A5E77" w:rsidR="00A45FAC" w:rsidRDefault="00A45FAC" w:rsidP="00257808">
            <w:pPr>
              <w:rPr>
                <w:rFonts w:cs="Arial"/>
                <w:color w:val="000000"/>
                <w:sz w:val="22"/>
                <w:szCs w:val="22"/>
                <w:lang w:eastAsia="en-GB"/>
              </w:rPr>
            </w:pPr>
            <w:r>
              <w:rPr>
                <w:rFonts w:cs="Arial"/>
                <w:color w:val="000000"/>
                <w:sz w:val="22"/>
                <w:szCs w:val="22"/>
                <w:lang w:eastAsia="en-GB"/>
              </w:rPr>
              <w:t>Government Audit Department</w:t>
            </w:r>
          </w:p>
        </w:tc>
        <w:tc>
          <w:tcPr>
            <w:tcW w:w="874" w:type="dxa"/>
          </w:tcPr>
          <w:p w14:paraId="6263FD5D" w14:textId="1BD1CA09" w:rsidR="00A45FAC" w:rsidRDefault="00A45FAC" w:rsidP="00257808">
            <w:pPr>
              <w:rPr>
                <w:rFonts w:cs="Arial"/>
                <w:color w:val="000000"/>
                <w:sz w:val="22"/>
                <w:szCs w:val="22"/>
                <w:lang w:eastAsia="en-GB"/>
              </w:rPr>
            </w:pPr>
            <w:r>
              <w:rPr>
                <w:rFonts w:cs="Arial"/>
                <w:color w:val="000000"/>
                <w:sz w:val="22"/>
                <w:szCs w:val="22"/>
                <w:lang w:eastAsia="en-GB"/>
              </w:rPr>
              <w:t>RMH</w:t>
            </w:r>
          </w:p>
        </w:tc>
        <w:tc>
          <w:tcPr>
            <w:tcW w:w="3634" w:type="dxa"/>
          </w:tcPr>
          <w:p w14:paraId="30FBC104" w14:textId="03843CF2" w:rsidR="00A45FAC" w:rsidRDefault="00A45FAC" w:rsidP="00257808">
            <w:pPr>
              <w:rPr>
                <w:rFonts w:cs="Arial"/>
                <w:color w:val="000000"/>
                <w:sz w:val="22"/>
                <w:szCs w:val="22"/>
                <w:lang w:eastAsia="en-GB"/>
              </w:rPr>
            </w:pPr>
            <w:r>
              <w:rPr>
                <w:rFonts w:cs="Arial"/>
                <w:color w:val="000000"/>
                <w:sz w:val="22"/>
                <w:szCs w:val="22"/>
                <w:lang w:eastAsia="en-GB"/>
              </w:rPr>
              <w:t>Restricted, Managed, Hosted (Secure IT environment)</w:t>
            </w:r>
          </w:p>
        </w:tc>
      </w:tr>
      <w:tr w:rsidR="00A45FAC" w14:paraId="64DBD3E0" w14:textId="77777777" w:rsidTr="00A45FAC">
        <w:tc>
          <w:tcPr>
            <w:tcW w:w="988" w:type="dxa"/>
          </w:tcPr>
          <w:p w14:paraId="3BF5CFCE" w14:textId="4D21358C" w:rsidR="00A45FAC" w:rsidRDefault="00A45FAC" w:rsidP="00257808">
            <w:pPr>
              <w:rPr>
                <w:rFonts w:cs="Arial"/>
                <w:color w:val="000000"/>
                <w:sz w:val="22"/>
                <w:szCs w:val="22"/>
                <w:lang w:eastAsia="en-GB"/>
              </w:rPr>
            </w:pPr>
            <w:r>
              <w:rPr>
                <w:rFonts w:cs="Arial"/>
                <w:color w:val="000000"/>
                <w:sz w:val="22"/>
                <w:szCs w:val="22"/>
                <w:lang w:eastAsia="en-GB"/>
              </w:rPr>
              <w:t>GMP</w:t>
            </w:r>
          </w:p>
        </w:tc>
        <w:tc>
          <w:tcPr>
            <w:tcW w:w="3520" w:type="dxa"/>
          </w:tcPr>
          <w:p w14:paraId="6031DC17" w14:textId="373B9E3E" w:rsidR="00A45FAC" w:rsidRDefault="00A45FAC" w:rsidP="00257808">
            <w:pPr>
              <w:rPr>
                <w:rFonts w:cs="Arial"/>
                <w:color w:val="000000"/>
                <w:sz w:val="22"/>
                <w:szCs w:val="22"/>
                <w:lang w:eastAsia="en-GB"/>
              </w:rPr>
            </w:pPr>
            <w:r>
              <w:rPr>
                <w:rFonts w:cs="Arial"/>
                <w:color w:val="000000"/>
                <w:sz w:val="22"/>
                <w:szCs w:val="22"/>
                <w:lang w:eastAsia="en-GB"/>
              </w:rPr>
              <w:t>Guaranteed Minimum Pension</w:t>
            </w:r>
          </w:p>
        </w:tc>
        <w:tc>
          <w:tcPr>
            <w:tcW w:w="874" w:type="dxa"/>
          </w:tcPr>
          <w:p w14:paraId="73D5386B" w14:textId="09FFE8D1" w:rsidR="00A45FAC" w:rsidRDefault="00A45FAC" w:rsidP="00257808">
            <w:pPr>
              <w:rPr>
                <w:rFonts w:cs="Arial"/>
                <w:color w:val="000000"/>
                <w:sz w:val="22"/>
                <w:szCs w:val="22"/>
                <w:lang w:eastAsia="en-GB"/>
              </w:rPr>
            </w:pPr>
            <w:r>
              <w:rPr>
                <w:rFonts w:cs="Arial"/>
                <w:color w:val="000000"/>
                <w:sz w:val="22"/>
                <w:szCs w:val="22"/>
                <w:lang w:eastAsia="en-GB"/>
              </w:rPr>
              <w:t>MDC</w:t>
            </w:r>
          </w:p>
        </w:tc>
        <w:tc>
          <w:tcPr>
            <w:tcW w:w="3634" w:type="dxa"/>
          </w:tcPr>
          <w:p w14:paraId="55E24772" w14:textId="387D80F5" w:rsidR="00A45FAC" w:rsidRDefault="00A45FAC" w:rsidP="00257808">
            <w:pPr>
              <w:rPr>
                <w:rFonts w:cs="Arial"/>
                <w:color w:val="000000"/>
                <w:sz w:val="22"/>
                <w:szCs w:val="22"/>
                <w:lang w:eastAsia="en-GB"/>
              </w:rPr>
            </w:pPr>
            <w:r>
              <w:rPr>
                <w:rFonts w:cs="Arial"/>
                <w:color w:val="000000"/>
                <w:sz w:val="22"/>
                <w:szCs w:val="22"/>
                <w:lang w:eastAsia="en-GB"/>
              </w:rPr>
              <w:t>Monthly Data Collection</w:t>
            </w:r>
          </w:p>
        </w:tc>
      </w:tr>
      <w:tr w:rsidR="00A45FAC" w14:paraId="6B5A8141" w14:textId="77777777" w:rsidTr="00A45FAC">
        <w:tc>
          <w:tcPr>
            <w:tcW w:w="988" w:type="dxa"/>
          </w:tcPr>
          <w:p w14:paraId="605C350E" w14:textId="182061AC" w:rsidR="00A45FAC" w:rsidRDefault="00A45FAC" w:rsidP="00257808">
            <w:pPr>
              <w:rPr>
                <w:rFonts w:cs="Arial"/>
                <w:color w:val="000000"/>
                <w:sz w:val="22"/>
                <w:szCs w:val="22"/>
                <w:lang w:eastAsia="en-GB"/>
              </w:rPr>
            </w:pPr>
            <w:r>
              <w:rPr>
                <w:rFonts w:cs="Arial"/>
                <w:color w:val="000000"/>
                <w:sz w:val="22"/>
                <w:szCs w:val="22"/>
                <w:lang w:eastAsia="en-GB"/>
              </w:rPr>
              <w:t>MPO</w:t>
            </w:r>
          </w:p>
        </w:tc>
        <w:tc>
          <w:tcPr>
            <w:tcW w:w="3520" w:type="dxa"/>
          </w:tcPr>
          <w:p w14:paraId="4C6C3D84" w14:textId="7DB4230A" w:rsidR="00A45FAC" w:rsidRDefault="00A45FAC" w:rsidP="00257808">
            <w:pPr>
              <w:rPr>
                <w:rFonts w:cs="Arial"/>
                <w:color w:val="000000"/>
                <w:sz w:val="22"/>
                <w:szCs w:val="22"/>
                <w:lang w:eastAsia="en-GB"/>
              </w:rPr>
            </w:pPr>
            <w:r>
              <w:rPr>
                <w:rFonts w:cs="Arial"/>
                <w:color w:val="000000"/>
                <w:sz w:val="22"/>
                <w:szCs w:val="22"/>
                <w:lang w:eastAsia="en-GB"/>
              </w:rPr>
              <w:t>My Pension Online</w:t>
            </w:r>
          </w:p>
        </w:tc>
        <w:tc>
          <w:tcPr>
            <w:tcW w:w="874" w:type="dxa"/>
          </w:tcPr>
          <w:p w14:paraId="6F80CC37" w14:textId="77777777" w:rsidR="00A45FAC" w:rsidRDefault="00A45FAC" w:rsidP="00257808">
            <w:pPr>
              <w:rPr>
                <w:rFonts w:cs="Arial"/>
                <w:color w:val="000000"/>
                <w:sz w:val="22"/>
                <w:szCs w:val="22"/>
                <w:lang w:eastAsia="en-GB"/>
              </w:rPr>
            </w:pPr>
          </w:p>
        </w:tc>
        <w:tc>
          <w:tcPr>
            <w:tcW w:w="3634" w:type="dxa"/>
          </w:tcPr>
          <w:p w14:paraId="3B273CF6" w14:textId="77777777" w:rsidR="00A45FAC" w:rsidRDefault="00A45FAC" w:rsidP="00257808">
            <w:pPr>
              <w:rPr>
                <w:rFonts w:cs="Arial"/>
                <w:color w:val="000000"/>
                <w:sz w:val="22"/>
                <w:szCs w:val="22"/>
                <w:lang w:eastAsia="en-GB"/>
              </w:rPr>
            </w:pPr>
          </w:p>
        </w:tc>
      </w:tr>
    </w:tbl>
    <w:p w14:paraId="451DC83D" w14:textId="29341B0A" w:rsidR="00A45FAC" w:rsidRDefault="00A45FAC" w:rsidP="00257808">
      <w:pPr>
        <w:rPr>
          <w:rFonts w:cs="Arial"/>
          <w:color w:val="000000"/>
          <w:sz w:val="22"/>
          <w:szCs w:val="22"/>
          <w:lang w:eastAsia="en-GB"/>
        </w:rPr>
      </w:pPr>
    </w:p>
    <w:p w14:paraId="4EFE20FB" w14:textId="771842DA" w:rsidR="00A45FAC" w:rsidRDefault="00A45FAC" w:rsidP="00A45FAC">
      <w:pPr>
        <w:rPr>
          <w:rFonts w:cs="Arial"/>
          <w:sz w:val="22"/>
          <w:szCs w:val="22"/>
          <w:lang w:eastAsia="en-GB"/>
        </w:rPr>
      </w:pPr>
    </w:p>
    <w:p w14:paraId="2617C476" w14:textId="2C2F0229" w:rsidR="00A45FAC" w:rsidRPr="00A45FAC" w:rsidRDefault="00A45FAC" w:rsidP="00A45FAC">
      <w:pPr>
        <w:tabs>
          <w:tab w:val="left" w:pos="6087"/>
        </w:tabs>
        <w:rPr>
          <w:rFonts w:cs="Arial"/>
          <w:sz w:val="22"/>
          <w:szCs w:val="22"/>
          <w:lang w:eastAsia="en-GB"/>
        </w:rPr>
        <w:sectPr w:rsidR="00A45FAC" w:rsidRPr="00A45FAC" w:rsidSect="008255C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Pr>
          <w:rFonts w:cs="Arial"/>
          <w:sz w:val="22"/>
          <w:szCs w:val="22"/>
          <w:lang w:eastAsia="en-GB"/>
        </w:rPr>
        <w:tab/>
      </w:r>
    </w:p>
    <w:p w14:paraId="4DFB6B4E" w14:textId="77777777" w:rsidR="00461F38" w:rsidRDefault="00461F38" w:rsidP="00461F38">
      <w:pPr>
        <w:rPr>
          <w:rFonts w:cs="Arial"/>
          <w:b/>
          <w:color w:val="FF0000"/>
          <w:sz w:val="22"/>
          <w:szCs w:val="22"/>
        </w:rPr>
      </w:pPr>
      <w:r w:rsidRPr="00E1383D">
        <w:rPr>
          <w:rFonts w:cs="Arial"/>
          <w:b/>
          <w:color w:val="000000"/>
          <w:sz w:val="22"/>
          <w:szCs w:val="22"/>
          <w:lang w:eastAsia="en-GB"/>
        </w:rPr>
        <w:t>Group Internal Audit (GIA) Update</w:t>
      </w:r>
    </w:p>
    <w:p w14:paraId="41506B33" w14:textId="77777777" w:rsidR="00461F38" w:rsidRPr="009E19F7" w:rsidRDefault="00461F38" w:rsidP="00461F38">
      <w:pPr>
        <w:rPr>
          <w:rFonts w:cs="Arial"/>
          <w:sz w:val="22"/>
          <w:szCs w:val="22"/>
          <w:lang w:val="en-US"/>
        </w:rPr>
      </w:pPr>
    </w:p>
    <w:p w14:paraId="452D5187" w14:textId="77777777" w:rsidR="003D2273" w:rsidRDefault="003D2273" w:rsidP="003D2273">
      <w:pPr>
        <w:widowControl/>
        <w:overflowPunct/>
        <w:autoSpaceDE/>
        <w:autoSpaceDN/>
        <w:adjustRightInd/>
        <w:ind w:left="15"/>
        <w:textAlignment w:val="auto"/>
        <w:rPr>
          <w:rFonts w:cstheme="minorHAnsi"/>
        </w:rPr>
      </w:pPr>
      <w:r w:rsidRPr="003D2273">
        <w:rPr>
          <w:rFonts w:cstheme="minorHAnsi"/>
        </w:rPr>
        <w:t xml:space="preserve">The main focus of activity during the month has been the progression of 2017 Assurance plan reviews and commencing the 2018 Assurance plan. </w:t>
      </w:r>
    </w:p>
    <w:p w14:paraId="769D8540" w14:textId="77777777" w:rsidR="003D2273" w:rsidRPr="003D2273" w:rsidRDefault="003D2273" w:rsidP="003D2273">
      <w:pPr>
        <w:widowControl/>
        <w:overflowPunct/>
        <w:autoSpaceDE/>
        <w:autoSpaceDN/>
        <w:adjustRightInd/>
        <w:ind w:left="15"/>
        <w:textAlignment w:val="auto"/>
        <w:rPr>
          <w:rFonts w:cstheme="minorHAnsi"/>
        </w:rPr>
      </w:pPr>
    </w:p>
    <w:p w14:paraId="140DE6F5" w14:textId="77777777" w:rsidR="003D2273" w:rsidRPr="003D2273" w:rsidRDefault="003D2273" w:rsidP="003D2273">
      <w:pPr>
        <w:widowControl/>
        <w:overflowPunct/>
        <w:autoSpaceDE/>
        <w:autoSpaceDN/>
        <w:adjustRightInd/>
        <w:ind w:left="15"/>
        <w:textAlignment w:val="auto"/>
        <w:rPr>
          <w:rFonts w:cstheme="minorHAnsi"/>
        </w:rPr>
      </w:pPr>
      <w:r w:rsidRPr="003D2273">
        <w:rPr>
          <w:rFonts w:cstheme="minorHAnsi"/>
        </w:rPr>
        <w:t>There was one report issued in ‘Final’ during the period:</w:t>
      </w:r>
    </w:p>
    <w:p w14:paraId="7461FE79" w14:textId="77777777" w:rsidR="003D2273" w:rsidRDefault="003D2273" w:rsidP="003D2273">
      <w:pPr>
        <w:pStyle w:val="ListParagraph"/>
        <w:widowControl/>
        <w:numPr>
          <w:ilvl w:val="0"/>
          <w:numId w:val="29"/>
        </w:numPr>
        <w:overflowPunct/>
        <w:autoSpaceDE/>
        <w:autoSpaceDN/>
        <w:adjustRightInd/>
        <w:textAlignment w:val="auto"/>
        <w:rPr>
          <w:rFonts w:cstheme="minorHAnsi"/>
        </w:rPr>
      </w:pPr>
      <w:r w:rsidRPr="003D2273">
        <w:rPr>
          <w:rFonts w:cstheme="minorHAnsi"/>
        </w:rPr>
        <w:t>Business Assurance</w:t>
      </w:r>
      <w:r>
        <w:rPr>
          <w:rFonts w:cstheme="minorHAnsi"/>
        </w:rPr>
        <w:t xml:space="preserve"> Review – TPS Contract Outcomes.</w:t>
      </w:r>
    </w:p>
    <w:p w14:paraId="6E6C4E02" w14:textId="77777777" w:rsidR="003D2273" w:rsidRPr="003D2273" w:rsidRDefault="003D2273" w:rsidP="003D2273">
      <w:pPr>
        <w:pStyle w:val="ListParagraph"/>
        <w:widowControl/>
        <w:overflowPunct/>
        <w:autoSpaceDE/>
        <w:autoSpaceDN/>
        <w:adjustRightInd/>
        <w:ind w:left="735"/>
        <w:textAlignment w:val="auto"/>
        <w:rPr>
          <w:rFonts w:cstheme="minorHAnsi"/>
        </w:rPr>
      </w:pPr>
    </w:p>
    <w:p w14:paraId="4BF98BDA" w14:textId="77777777" w:rsidR="003D2273" w:rsidRDefault="003D2273" w:rsidP="003D2273">
      <w:pPr>
        <w:widowControl/>
        <w:overflowPunct/>
        <w:autoSpaceDE/>
        <w:autoSpaceDN/>
        <w:adjustRightInd/>
        <w:ind w:left="15"/>
        <w:textAlignment w:val="auto"/>
        <w:rPr>
          <w:rFonts w:cstheme="minorHAnsi"/>
        </w:rPr>
      </w:pPr>
      <w:r w:rsidRPr="003D2273">
        <w:rPr>
          <w:rFonts w:cstheme="minorHAnsi"/>
        </w:rPr>
        <w:t xml:space="preserve">The review confirmed that appropriate control processes have been implemented across the TP operation to support the collation and reporting of Contract Outcome Measures in line with contractual requirements. Control walkthrough testing against each Outcome Measure confirmed that key control mechanisms are in place to support the extraction and reporting of data. In addition, it was confirmed that suitable processes were in place to source both employer / member feedback on a timely basis via the use of ‘Survey Monkey’ and ‘Mail Chimp’, and that appropriate tools have been developed by the Engagement Team to capture and report survey results. The review confirmed that September (Contract Year 6) data was accurately captured and reported and underlying audit trails maintained. Recommendations to strengthen the control framework have been agreed surrounding Contact Centre processes, End User Computing controls and integrity checking that underpin reporting, and by fully documenting end to end reporting procedures. </w:t>
      </w:r>
    </w:p>
    <w:p w14:paraId="3F76FE0A" w14:textId="77777777" w:rsidR="003D2273" w:rsidRPr="003D2273" w:rsidRDefault="003D2273" w:rsidP="003D2273">
      <w:pPr>
        <w:widowControl/>
        <w:overflowPunct/>
        <w:autoSpaceDE/>
        <w:autoSpaceDN/>
        <w:adjustRightInd/>
        <w:ind w:left="15"/>
        <w:textAlignment w:val="auto"/>
        <w:rPr>
          <w:rFonts w:cstheme="minorHAnsi"/>
        </w:rPr>
      </w:pPr>
    </w:p>
    <w:p w14:paraId="52FCA949" w14:textId="77777777" w:rsidR="003D2273" w:rsidRDefault="003D2273" w:rsidP="003D2273">
      <w:pPr>
        <w:widowControl/>
        <w:overflowPunct/>
        <w:autoSpaceDE/>
        <w:autoSpaceDN/>
        <w:adjustRightInd/>
        <w:ind w:left="15"/>
        <w:textAlignment w:val="auto"/>
        <w:rPr>
          <w:rFonts w:cstheme="minorHAnsi"/>
        </w:rPr>
      </w:pPr>
      <w:r w:rsidRPr="003D2273">
        <w:rPr>
          <w:rFonts w:cstheme="minorHAnsi"/>
        </w:rPr>
        <w:t xml:space="preserve">Fieldwork remains in progress for the GIA reviews of Staff Vetting, GDPR and Payment Out Controls. The Business Assurance review of Second Bite PI Remediation is at ‘Draft’ report stage, and planning is in progress for the review of Quality Framework &amp; Reporting. The plan remains on track. </w:t>
      </w:r>
    </w:p>
    <w:p w14:paraId="41F745B0" w14:textId="77777777" w:rsidR="003D2273" w:rsidRPr="003D2273" w:rsidRDefault="003D2273" w:rsidP="003D2273">
      <w:pPr>
        <w:widowControl/>
        <w:overflowPunct/>
        <w:autoSpaceDE/>
        <w:autoSpaceDN/>
        <w:adjustRightInd/>
        <w:ind w:left="15"/>
        <w:textAlignment w:val="auto"/>
        <w:rPr>
          <w:rFonts w:cstheme="minorHAnsi"/>
        </w:rPr>
      </w:pPr>
    </w:p>
    <w:p w14:paraId="4639478E" w14:textId="77777777" w:rsidR="003D2273" w:rsidRDefault="003D2273" w:rsidP="003D2273">
      <w:pPr>
        <w:widowControl/>
        <w:overflowPunct/>
        <w:autoSpaceDE/>
        <w:autoSpaceDN/>
        <w:adjustRightInd/>
        <w:ind w:left="15"/>
        <w:textAlignment w:val="auto"/>
        <w:rPr>
          <w:rFonts w:cstheme="minorHAnsi"/>
        </w:rPr>
      </w:pPr>
      <w:r w:rsidRPr="003D2273">
        <w:rPr>
          <w:rFonts w:cstheme="minorHAnsi"/>
        </w:rPr>
        <w:t>There are no overdue actions to report, and actions are being managed in accordance with agreed remedial timescales.</w:t>
      </w:r>
    </w:p>
    <w:p w14:paraId="1E7AEB87" w14:textId="77777777" w:rsidR="003D2273" w:rsidRPr="003D2273" w:rsidRDefault="003D2273" w:rsidP="003D2273">
      <w:pPr>
        <w:widowControl/>
        <w:overflowPunct/>
        <w:autoSpaceDE/>
        <w:autoSpaceDN/>
        <w:adjustRightInd/>
        <w:ind w:left="15"/>
        <w:textAlignment w:val="auto"/>
        <w:rPr>
          <w:rFonts w:cstheme="minorHAnsi"/>
        </w:rPr>
      </w:pPr>
    </w:p>
    <w:p w14:paraId="6CAA64D2" w14:textId="77777777" w:rsidR="00461F38" w:rsidRDefault="00461F38" w:rsidP="003D2273">
      <w:pPr>
        <w:widowControl/>
        <w:overflowPunct/>
        <w:autoSpaceDE/>
        <w:autoSpaceDN/>
        <w:adjustRightInd/>
        <w:ind w:left="15"/>
        <w:textAlignment w:val="auto"/>
        <w:rPr>
          <w:rFonts w:cs="Arial"/>
          <w:b/>
          <w:lang w:eastAsia="en-GB"/>
        </w:rPr>
      </w:pPr>
      <w:r w:rsidRPr="00363983">
        <w:rPr>
          <w:rFonts w:cs="Arial"/>
          <w:b/>
          <w:lang w:eastAsia="en-GB"/>
        </w:rPr>
        <w:t>Outstanding Issues</w:t>
      </w:r>
    </w:p>
    <w:p w14:paraId="5FEAB0C4" w14:textId="77777777" w:rsidR="003D2273" w:rsidRDefault="003D2273" w:rsidP="003D2273">
      <w:pPr>
        <w:widowControl/>
        <w:overflowPunct/>
        <w:autoSpaceDE/>
        <w:autoSpaceDN/>
        <w:adjustRightInd/>
        <w:ind w:left="15"/>
        <w:textAlignment w:val="auto"/>
        <w:rPr>
          <w:rFonts w:cs="Arial"/>
          <w:b/>
          <w:lang w:eastAsia="en-GB"/>
        </w:rPr>
      </w:pPr>
    </w:p>
    <w:tbl>
      <w:tblPr>
        <w:tblW w:w="5000" w:type="pct"/>
        <w:tblLook w:val="0000" w:firstRow="0" w:lastRow="0" w:firstColumn="0" w:lastColumn="0" w:noHBand="0" w:noVBand="0"/>
      </w:tblPr>
      <w:tblGrid>
        <w:gridCol w:w="3012"/>
        <w:gridCol w:w="582"/>
        <w:gridCol w:w="582"/>
        <w:gridCol w:w="621"/>
        <w:gridCol w:w="541"/>
        <w:gridCol w:w="594"/>
        <w:gridCol w:w="594"/>
        <w:gridCol w:w="636"/>
        <w:gridCol w:w="552"/>
        <w:gridCol w:w="644"/>
        <w:gridCol w:w="644"/>
        <w:gridCol w:w="686"/>
        <w:gridCol w:w="602"/>
        <w:gridCol w:w="583"/>
        <w:gridCol w:w="583"/>
        <w:gridCol w:w="622"/>
        <w:gridCol w:w="541"/>
        <w:gridCol w:w="1319"/>
      </w:tblGrid>
      <w:tr w:rsidR="003D2273" w:rsidRPr="0071762D" w14:paraId="2467F621" w14:textId="77777777" w:rsidTr="003D2273">
        <w:trPr>
          <w:trHeight w:val="330"/>
        </w:trPr>
        <w:tc>
          <w:tcPr>
            <w:tcW w:w="5000" w:type="pct"/>
            <w:gridSpan w:val="18"/>
            <w:tcBorders>
              <w:top w:val="single" w:sz="8" w:space="0" w:color="auto"/>
              <w:left w:val="single" w:sz="8" w:space="0" w:color="auto"/>
              <w:bottom w:val="single" w:sz="8" w:space="0" w:color="auto"/>
              <w:right w:val="single" w:sz="8" w:space="0" w:color="000000"/>
            </w:tcBorders>
            <w:shd w:val="clear" w:color="auto" w:fill="969696"/>
            <w:vAlign w:val="bottom"/>
          </w:tcPr>
          <w:p w14:paraId="498C3F5F" w14:textId="77777777" w:rsidR="003D2273" w:rsidRPr="0071762D" w:rsidRDefault="003D2273" w:rsidP="003D2273">
            <w:pPr>
              <w:rPr>
                <w:rFonts w:cs="Arial"/>
                <w:b/>
                <w:bCs/>
                <w:color w:val="FFFFFF"/>
                <w:szCs w:val="24"/>
                <w:lang w:eastAsia="en-GB"/>
              </w:rPr>
            </w:pPr>
            <w:r w:rsidRPr="0071762D">
              <w:rPr>
                <w:rFonts w:cs="Arial"/>
                <w:b/>
                <w:bCs/>
                <w:color w:val="FFFFFF"/>
                <w:szCs w:val="24"/>
                <w:lang w:eastAsia="en-GB"/>
              </w:rPr>
              <w:t>Overdue 1-30 days: Green; 31-60 days: Amber; 60 days plus: Red</w:t>
            </w:r>
          </w:p>
        </w:tc>
      </w:tr>
      <w:tr w:rsidR="003D2273" w:rsidRPr="0071762D" w14:paraId="595B1630" w14:textId="77777777" w:rsidTr="003D2273">
        <w:trPr>
          <w:trHeight w:val="315"/>
        </w:trPr>
        <w:tc>
          <w:tcPr>
            <w:tcW w:w="1081" w:type="pct"/>
            <w:vMerge w:val="restart"/>
            <w:tcBorders>
              <w:top w:val="nil"/>
              <w:left w:val="single" w:sz="8" w:space="0" w:color="auto"/>
              <w:bottom w:val="single" w:sz="8" w:space="0" w:color="000000"/>
              <w:right w:val="single" w:sz="8" w:space="0" w:color="auto"/>
            </w:tcBorders>
            <w:shd w:val="clear" w:color="auto" w:fill="C0C0C0"/>
            <w:vAlign w:val="bottom"/>
          </w:tcPr>
          <w:p w14:paraId="435A28EE" w14:textId="77777777" w:rsidR="003D2273" w:rsidRPr="0071762D" w:rsidRDefault="003D2273" w:rsidP="003D2273">
            <w:pPr>
              <w:rPr>
                <w:rFonts w:cs="Arial"/>
                <w:b/>
                <w:bCs/>
                <w:color w:val="FFFFFF"/>
                <w:lang w:eastAsia="en-GB"/>
              </w:rPr>
            </w:pPr>
            <w:r w:rsidRPr="0071762D">
              <w:rPr>
                <w:rFonts w:cs="Arial"/>
                <w:b/>
                <w:bCs/>
                <w:color w:val="FFFFFF"/>
                <w:lang w:eastAsia="en-GB"/>
              </w:rPr>
              <w:t>Source</w:t>
            </w:r>
          </w:p>
        </w:tc>
        <w:tc>
          <w:tcPr>
            <w:tcW w:w="835" w:type="pct"/>
            <w:gridSpan w:val="4"/>
            <w:tcBorders>
              <w:top w:val="single" w:sz="8" w:space="0" w:color="auto"/>
              <w:left w:val="nil"/>
              <w:bottom w:val="single" w:sz="8" w:space="0" w:color="auto"/>
              <w:right w:val="single" w:sz="8" w:space="0" w:color="000000"/>
            </w:tcBorders>
            <w:shd w:val="clear" w:color="auto" w:fill="C0C0C0"/>
            <w:vAlign w:val="bottom"/>
          </w:tcPr>
          <w:p w14:paraId="74E0FD3D" w14:textId="77777777" w:rsidR="003D2273" w:rsidRPr="0071762D" w:rsidRDefault="003D2273" w:rsidP="003D2273">
            <w:pPr>
              <w:jc w:val="center"/>
              <w:rPr>
                <w:rFonts w:cs="Arial"/>
                <w:b/>
                <w:bCs/>
                <w:color w:val="FFFFFF"/>
                <w:lang w:eastAsia="en-GB"/>
              </w:rPr>
            </w:pPr>
            <w:r w:rsidRPr="0071762D">
              <w:rPr>
                <w:rFonts w:cs="Arial"/>
                <w:b/>
                <w:bCs/>
                <w:color w:val="FFFFFF"/>
                <w:lang w:eastAsia="en-GB"/>
              </w:rPr>
              <w:t>Total Open</w:t>
            </w:r>
          </w:p>
        </w:tc>
        <w:tc>
          <w:tcPr>
            <w:tcW w:w="852" w:type="pct"/>
            <w:gridSpan w:val="4"/>
            <w:tcBorders>
              <w:top w:val="single" w:sz="8" w:space="0" w:color="auto"/>
              <w:left w:val="nil"/>
              <w:bottom w:val="single" w:sz="8" w:space="0" w:color="auto"/>
              <w:right w:val="single" w:sz="8" w:space="0" w:color="000000"/>
            </w:tcBorders>
            <w:shd w:val="clear" w:color="auto" w:fill="C0C0C0"/>
            <w:vAlign w:val="bottom"/>
          </w:tcPr>
          <w:p w14:paraId="765FF1A3" w14:textId="77777777" w:rsidR="003D2273" w:rsidRPr="0071762D" w:rsidRDefault="003D2273" w:rsidP="003D2273">
            <w:pPr>
              <w:jc w:val="center"/>
              <w:rPr>
                <w:rFonts w:cs="Arial"/>
                <w:b/>
                <w:bCs/>
                <w:color w:val="FFFFFF"/>
                <w:lang w:eastAsia="en-GB"/>
              </w:rPr>
            </w:pPr>
            <w:r>
              <w:rPr>
                <w:rFonts w:cs="Arial"/>
                <w:b/>
                <w:bCs/>
                <w:color w:val="FFFFFF"/>
                <w:lang w:eastAsia="en-GB"/>
              </w:rPr>
              <w:t>0</w:t>
            </w:r>
            <w:r w:rsidRPr="0071762D">
              <w:rPr>
                <w:rFonts w:cs="Arial"/>
                <w:b/>
                <w:bCs/>
                <w:color w:val="FFFFFF"/>
                <w:lang w:eastAsia="en-GB"/>
              </w:rPr>
              <w:t xml:space="preserve"> to 30 days </w:t>
            </w:r>
          </w:p>
        </w:tc>
        <w:tc>
          <w:tcPr>
            <w:tcW w:w="924" w:type="pct"/>
            <w:gridSpan w:val="4"/>
            <w:tcBorders>
              <w:top w:val="single" w:sz="8" w:space="0" w:color="auto"/>
              <w:left w:val="nil"/>
              <w:bottom w:val="single" w:sz="8" w:space="0" w:color="auto"/>
              <w:right w:val="single" w:sz="8" w:space="0" w:color="000000"/>
            </w:tcBorders>
            <w:shd w:val="clear" w:color="auto" w:fill="C0C0C0"/>
            <w:vAlign w:val="bottom"/>
          </w:tcPr>
          <w:p w14:paraId="59C5EA62" w14:textId="77777777" w:rsidR="003D2273" w:rsidRPr="0071762D" w:rsidRDefault="003D2273" w:rsidP="003D2273">
            <w:pPr>
              <w:jc w:val="center"/>
              <w:rPr>
                <w:rFonts w:cs="Arial"/>
                <w:b/>
                <w:bCs/>
                <w:color w:val="FFFFFF"/>
                <w:lang w:eastAsia="en-GB"/>
              </w:rPr>
            </w:pPr>
            <w:r w:rsidRPr="0071762D">
              <w:rPr>
                <w:rFonts w:cs="Arial"/>
                <w:b/>
                <w:bCs/>
                <w:color w:val="FFFFFF"/>
                <w:lang w:eastAsia="en-GB"/>
              </w:rPr>
              <w:t>31 to 60 days</w:t>
            </w:r>
          </w:p>
        </w:tc>
        <w:tc>
          <w:tcPr>
            <w:tcW w:w="835" w:type="pct"/>
            <w:gridSpan w:val="4"/>
            <w:tcBorders>
              <w:top w:val="single" w:sz="8" w:space="0" w:color="auto"/>
              <w:left w:val="nil"/>
              <w:bottom w:val="single" w:sz="8" w:space="0" w:color="auto"/>
              <w:right w:val="single" w:sz="8" w:space="0" w:color="000000"/>
            </w:tcBorders>
            <w:shd w:val="clear" w:color="auto" w:fill="C0C0C0"/>
            <w:vAlign w:val="bottom"/>
          </w:tcPr>
          <w:p w14:paraId="18BD884C" w14:textId="77777777" w:rsidR="003D2273" w:rsidRPr="0071762D" w:rsidRDefault="003D2273" w:rsidP="003D2273">
            <w:pPr>
              <w:jc w:val="center"/>
              <w:rPr>
                <w:rFonts w:cs="Arial"/>
                <w:b/>
                <w:bCs/>
                <w:color w:val="FFFFFF"/>
                <w:lang w:eastAsia="en-GB"/>
              </w:rPr>
            </w:pPr>
            <w:r w:rsidRPr="0071762D">
              <w:rPr>
                <w:rFonts w:cs="Arial"/>
                <w:b/>
                <w:bCs/>
                <w:color w:val="FFFFFF"/>
                <w:lang w:eastAsia="en-GB"/>
              </w:rPr>
              <w:t>60 days +</w:t>
            </w:r>
          </w:p>
        </w:tc>
        <w:tc>
          <w:tcPr>
            <w:tcW w:w="473" w:type="pct"/>
            <w:vMerge w:val="restart"/>
            <w:tcBorders>
              <w:top w:val="nil"/>
              <w:left w:val="single" w:sz="8" w:space="0" w:color="auto"/>
              <w:bottom w:val="single" w:sz="8" w:space="0" w:color="000000"/>
              <w:right w:val="single" w:sz="8" w:space="0" w:color="auto"/>
            </w:tcBorders>
            <w:shd w:val="clear" w:color="auto" w:fill="C0C0C0"/>
            <w:vAlign w:val="bottom"/>
          </w:tcPr>
          <w:p w14:paraId="3A228528" w14:textId="77777777" w:rsidR="003D2273" w:rsidRPr="0071762D" w:rsidRDefault="003D2273" w:rsidP="003D2273">
            <w:pPr>
              <w:jc w:val="center"/>
              <w:rPr>
                <w:rFonts w:cs="Arial"/>
                <w:b/>
                <w:bCs/>
                <w:color w:val="FFFFFF"/>
                <w:lang w:eastAsia="en-GB"/>
              </w:rPr>
            </w:pPr>
            <w:r w:rsidRPr="0071762D">
              <w:rPr>
                <w:rFonts w:cs="Arial"/>
                <w:b/>
                <w:bCs/>
                <w:color w:val="FFFFFF"/>
                <w:lang w:eastAsia="en-GB"/>
              </w:rPr>
              <w:t>Trend</w:t>
            </w:r>
          </w:p>
        </w:tc>
      </w:tr>
      <w:tr w:rsidR="003D2273" w:rsidRPr="0071762D" w14:paraId="01DEC388" w14:textId="77777777" w:rsidTr="003D2273">
        <w:trPr>
          <w:trHeight w:val="315"/>
        </w:trPr>
        <w:tc>
          <w:tcPr>
            <w:tcW w:w="1081" w:type="pct"/>
            <w:vMerge/>
            <w:tcBorders>
              <w:top w:val="nil"/>
              <w:left w:val="single" w:sz="8" w:space="0" w:color="auto"/>
              <w:bottom w:val="single" w:sz="8" w:space="0" w:color="000000"/>
              <w:right w:val="single" w:sz="8" w:space="0" w:color="auto"/>
            </w:tcBorders>
            <w:vAlign w:val="center"/>
          </w:tcPr>
          <w:p w14:paraId="166F144B" w14:textId="77777777" w:rsidR="003D2273" w:rsidRPr="0071762D" w:rsidRDefault="003D2273" w:rsidP="003D2273">
            <w:pPr>
              <w:rPr>
                <w:rFonts w:cs="Arial"/>
                <w:b/>
                <w:bCs/>
                <w:color w:val="FFFFFF"/>
                <w:lang w:eastAsia="en-GB"/>
              </w:rPr>
            </w:pPr>
          </w:p>
        </w:tc>
        <w:tc>
          <w:tcPr>
            <w:tcW w:w="209" w:type="pct"/>
            <w:tcBorders>
              <w:top w:val="nil"/>
              <w:left w:val="nil"/>
              <w:bottom w:val="single" w:sz="8" w:space="0" w:color="auto"/>
              <w:right w:val="single" w:sz="8" w:space="0" w:color="auto"/>
            </w:tcBorders>
            <w:shd w:val="clear" w:color="auto" w:fill="C0C0C0"/>
            <w:vAlign w:val="bottom"/>
          </w:tcPr>
          <w:p w14:paraId="3E6A4774" w14:textId="77777777" w:rsidR="003D2273" w:rsidRPr="0071762D" w:rsidRDefault="003D2273" w:rsidP="003D2273">
            <w:pPr>
              <w:jc w:val="center"/>
              <w:rPr>
                <w:rFonts w:cs="Arial"/>
                <w:b/>
                <w:bCs/>
                <w:color w:val="FFFFFF"/>
                <w:lang w:eastAsia="en-GB"/>
              </w:rPr>
            </w:pPr>
            <w:r w:rsidRPr="0071762D">
              <w:rPr>
                <w:rFonts w:cs="Arial"/>
                <w:b/>
                <w:bCs/>
                <w:color w:val="FFFFFF"/>
                <w:lang w:eastAsia="en-GB"/>
              </w:rPr>
              <w:t>C</w:t>
            </w:r>
          </w:p>
        </w:tc>
        <w:tc>
          <w:tcPr>
            <w:tcW w:w="209" w:type="pct"/>
            <w:tcBorders>
              <w:top w:val="nil"/>
              <w:left w:val="nil"/>
              <w:bottom w:val="single" w:sz="8" w:space="0" w:color="auto"/>
              <w:right w:val="single" w:sz="8" w:space="0" w:color="auto"/>
            </w:tcBorders>
            <w:shd w:val="clear" w:color="auto" w:fill="C0C0C0"/>
            <w:vAlign w:val="bottom"/>
          </w:tcPr>
          <w:p w14:paraId="0E440E8D" w14:textId="77777777" w:rsidR="003D2273" w:rsidRPr="0071762D" w:rsidRDefault="003D2273" w:rsidP="003D2273">
            <w:pPr>
              <w:jc w:val="center"/>
              <w:rPr>
                <w:rFonts w:cs="Arial"/>
                <w:b/>
                <w:bCs/>
                <w:color w:val="FFFFFF"/>
                <w:lang w:eastAsia="en-GB"/>
              </w:rPr>
            </w:pPr>
            <w:r w:rsidRPr="0071762D">
              <w:rPr>
                <w:rFonts w:cs="Arial"/>
                <w:b/>
                <w:bCs/>
                <w:color w:val="FFFFFF"/>
                <w:lang w:eastAsia="en-GB"/>
              </w:rPr>
              <w:t>H</w:t>
            </w:r>
          </w:p>
        </w:tc>
        <w:tc>
          <w:tcPr>
            <w:tcW w:w="223" w:type="pct"/>
            <w:tcBorders>
              <w:top w:val="nil"/>
              <w:left w:val="nil"/>
              <w:bottom w:val="single" w:sz="8" w:space="0" w:color="auto"/>
              <w:right w:val="single" w:sz="8" w:space="0" w:color="auto"/>
            </w:tcBorders>
            <w:shd w:val="clear" w:color="auto" w:fill="C0C0C0"/>
            <w:vAlign w:val="bottom"/>
          </w:tcPr>
          <w:p w14:paraId="63EEEFCB" w14:textId="77777777" w:rsidR="003D2273" w:rsidRPr="0071762D" w:rsidRDefault="003D2273" w:rsidP="003D2273">
            <w:pPr>
              <w:jc w:val="center"/>
              <w:rPr>
                <w:rFonts w:cs="Arial"/>
                <w:b/>
                <w:bCs/>
                <w:color w:val="FFFFFF"/>
                <w:lang w:eastAsia="en-GB"/>
              </w:rPr>
            </w:pPr>
            <w:r w:rsidRPr="0071762D">
              <w:rPr>
                <w:rFonts w:cs="Arial"/>
                <w:b/>
                <w:bCs/>
                <w:color w:val="FFFFFF"/>
                <w:lang w:eastAsia="en-GB"/>
              </w:rPr>
              <w:t>M</w:t>
            </w:r>
          </w:p>
        </w:tc>
        <w:tc>
          <w:tcPr>
            <w:tcW w:w="194" w:type="pct"/>
            <w:tcBorders>
              <w:top w:val="nil"/>
              <w:left w:val="nil"/>
              <w:bottom w:val="single" w:sz="8" w:space="0" w:color="auto"/>
              <w:right w:val="single" w:sz="8" w:space="0" w:color="auto"/>
            </w:tcBorders>
            <w:shd w:val="clear" w:color="auto" w:fill="C0C0C0"/>
            <w:vAlign w:val="bottom"/>
          </w:tcPr>
          <w:p w14:paraId="60721DE7" w14:textId="77777777" w:rsidR="003D2273" w:rsidRPr="0071762D" w:rsidRDefault="003D2273" w:rsidP="003D2273">
            <w:pPr>
              <w:jc w:val="center"/>
              <w:rPr>
                <w:rFonts w:cs="Arial"/>
                <w:b/>
                <w:bCs/>
                <w:color w:val="FFFFFF"/>
                <w:lang w:eastAsia="en-GB"/>
              </w:rPr>
            </w:pPr>
            <w:r w:rsidRPr="0071762D">
              <w:rPr>
                <w:rFonts w:cs="Arial"/>
                <w:b/>
                <w:bCs/>
                <w:color w:val="FFFFFF"/>
                <w:lang w:eastAsia="en-GB"/>
              </w:rPr>
              <w:t>L</w:t>
            </w:r>
          </w:p>
        </w:tc>
        <w:tc>
          <w:tcPr>
            <w:tcW w:w="213" w:type="pct"/>
            <w:tcBorders>
              <w:top w:val="nil"/>
              <w:left w:val="nil"/>
              <w:bottom w:val="single" w:sz="8" w:space="0" w:color="auto"/>
              <w:right w:val="single" w:sz="8" w:space="0" w:color="auto"/>
            </w:tcBorders>
            <w:shd w:val="clear" w:color="auto" w:fill="C0C0C0"/>
            <w:vAlign w:val="bottom"/>
          </w:tcPr>
          <w:p w14:paraId="14F21AFC" w14:textId="77777777" w:rsidR="003D2273" w:rsidRPr="0071762D" w:rsidRDefault="003D2273" w:rsidP="003D2273">
            <w:pPr>
              <w:jc w:val="center"/>
              <w:rPr>
                <w:rFonts w:cs="Arial"/>
                <w:b/>
                <w:bCs/>
                <w:color w:val="FFFFFF"/>
                <w:lang w:eastAsia="en-GB"/>
              </w:rPr>
            </w:pPr>
            <w:r w:rsidRPr="0071762D">
              <w:rPr>
                <w:rFonts w:cs="Arial"/>
                <w:b/>
                <w:bCs/>
                <w:color w:val="FFFFFF"/>
                <w:lang w:eastAsia="en-GB"/>
              </w:rPr>
              <w:t>C</w:t>
            </w:r>
          </w:p>
        </w:tc>
        <w:tc>
          <w:tcPr>
            <w:tcW w:w="213" w:type="pct"/>
            <w:tcBorders>
              <w:top w:val="nil"/>
              <w:left w:val="nil"/>
              <w:bottom w:val="single" w:sz="8" w:space="0" w:color="auto"/>
              <w:right w:val="single" w:sz="8" w:space="0" w:color="auto"/>
            </w:tcBorders>
            <w:shd w:val="clear" w:color="auto" w:fill="C0C0C0"/>
            <w:vAlign w:val="bottom"/>
          </w:tcPr>
          <w:p w14:paraId="2701F6E3" w14:textId="77777777" w:rsidR="003D2273" w:rsidRPr="0071762D" w:rsidRDefault="003D2273" w:rsidP="003D2273">
            <w:pPr>
              <w:jc w:val="center"/>
              <w:rPr>
                <w:rFonts w:cs="Arial"/>
                <w:b/>
                <w:bCs/>
                <w:color w:val="FFFFFF"/>
                <w:lang w:eastAsia="en-GB"/>
              </w:rPr>
            </w:pPr>
            <w:r w:rsidRPr="0071762D">
              <w:rPr>
                <w:rFonts w:cs="Arial"/>
                <w:b/>
                <w:bCs/>
                <w:color w:val="FFFFFF"/>
                <w:lang w:eastAsia="en-GB"/>
              </w:rPr>
              <w:t>H</w:t>
            </w:r>
          </w:p>
        </w:tc>
        <w:tc>
          <w:tcPr>
            <w:tcW w:w="228" w:type="pct"/>
            <w:tcBorders>
              <w:top w:val="nil"/>
              <w:left w:val="nil"/>
              <w:bottom w:val="single" w:sz="8" w:space="0" w:color="auto"/>
              <w:right w:val="single" w:sz="8" w:space="0" w:color="auto"/>
            </w:tcBorders>
            <w:shd w:val="clear" w:color="auto" w:fill="C0C0C0"/>
            <w:vAlign w:val="bottom"/>
          </w:tcPr>
          <w:p w14:paraId="116924EE" w14:textId="77777777" w:rsidR="003D2273" w:rsidRPr="0071762D" w:rsidRDefault="003D2273" w:rsidP="003D2273">
            <w:pPr>
              <w:jc w:val="center"/>
              <w:rPr>
                <w:rFonts w:cs="Arial"/>
                <w:b/>
                <w:bCs/>
                <w:color w:val="FFFFFF"/>
                <w:lang w:eastAsia="en-GB"/>
              </w:rPr>
            </w:pPr>
            <w:r w:rsidRPr="0071762D">
              <w:rPr>
                <w:rFonts w:cs="Arial"/>
                <w:b/>
                <w:bCs/>
                <w:color w:val="FFFFFF"/>
                <w:lang w:eastAsia="en-GB"/>
              </w:rPr>
              <w:t>M</w:t>
            </w:r>
          </w:p>
        </w:tc>
        <w:tc>
          <w:tcPr>
            <w:tcW w:w="198" w:type="pct"/>
            <w:tcBorders>
              <w:top w:val="nil"/>
              <w:left w:val="nil"/>
              <w:bottom w:val="single" w:sz="8" w:space="0" w:color="auto"/>
              <w:right w:val="single" w:sz="8" w:space="0" w:color="auto"/>
            </w:tcBorders>
            <w:shd w:val="clear" w:color="auto" w:fill="C0C0C0"/>
            <w:vAlign w:val="bottom"/>
          </w:tcPr>
          <w:p w14:paraId="09BA765C" w14:textId="77777777" w:rsidR="003D2273" w:rsidRPr="0071762D" w:rsidRDefault="003D2273" w:rsidP="003D2273">
            <w:pPr>
              <w:jc w:val="center"/>
              <w:rPr>
                <w:rFonts w:cs="Arial"/>
                <w:b/>
                <w:bCs/>
                <w:color w:val="FFFFFF"/>
                <w:lang w:eastAsia="en-GB"/>
              </w:rPr>
            </w:pPr>
            <w:r w:rsidRPr="0071762D">
              <w:rPr>
                <w:rFonts w:cs="Arial"/>
                <w:b/>
                <w:bCs/>
                <w:color w:val="FFFFFF"/>
                <w:lang w:eastAsia="en-GB"/>
              </w:rPr>
              <w:t>L</w:t>
            </w:r>
          </w:p>
        </w:tc>
        <w:tc>
          <w:tcPr>
            <w:tcW w:w="231" w:type="pct"/>
            <w:tcBorders>
              <w:top w:val="nil"/>
              <w:left w:val="nil"/>
              <w:bottom w:val="single" w:sz="8" w:space="0" w:color="auto"/>
              <w:right w:val="single" w:sz="8" w:space="0" w:color="auto"/>
            </w:tcBorders>
            <w:shd w:val="clear" w:color="auto" w:fill="C0C0C0"/>
            <w:vAlign w:val="bottom"/>
          </w:tcPr>
          <w:p w14:paraId="515B6E3A" w14:textId="77777777" w:rsidR="003D2273" w:rsidRPr="0071762D" w:rsidRDefault="003D2273" w:rsidP="003D2273">
            <w:pPr>
              <w:jc w:val="center"/>
              <w:rPr>
                <w:rFonts w:cs="Arial"/>
                <w:b/>
                <w:bCs/>
                <w:color w:val="FFFFFF"/>
                <w:lang w:eastAsia="en-GB"/>
              </w:rPr>
            </w:pPr>
            <w:r w:rsidRPr="0071762D">
              <w:rPr>
                <w:rFonts w:cs="Arial"/>
                <w:b/>
                <w:bCs/>
                <w:color w:val="FFFFFF"/>
                <w:lang w:eastAsia="en-GB"/>
              </w:rPr>
              <w:t>C</w:t>
            </w:r>
          </w:p>
        </w:tc>
        <w:tc>
          <w:tcPr>
            <w:tcW w:w="231" w:type="pct"/>
            <w:tcBorders>
              <w:top w:val="nil"/>
              <w:left w:val="nil"/>
              <w:bottom w:val="single" w:sz="8" w:space="0" w:color="auto"/>
              <w:right w:val="single" w:sz="8" w:space="0" w:color="auto"/>
            </w:tcBorders>
            <w:shd w:val="clear" w:color="auto" w:fill="C0C0C0"/>
            <w:vAlign w:val="bottom"/>
          </w:tcPr>
          <w:p w14:paraId="3BA099DC" w14:textId="77777777" w:rsidR="003D2273" w:rsidRPr="0071762D" w:rsidRDefault="003D2273" w:rsidP="003D2273">
            <w:pPr>
              <w:jc w:val="center"/>
              <w:rPr>
                <w:rFonts w:cs="Arial"/>
                <w:b/>
                <w:bCs/>
                <w:color w:val="FFFFFF"/>
                <w:lang w:eastAsia="en-GB"/>
              </w:rPr>
            </w:pPr>
            <w:r w:rsidRPr="0071762D">
              <w:rPr>
                <w:rFonts w:cs="Arial"/>
                <w:b/>
                <w:bCs/>
                <w:color w:val="FFFFFF"/>
                <w:lang w:eastAsia="en-GB"/>
              </w:rPr>
              <w:t>H</w:t>
            </w:r>
          </w:p>
        </w:tc>
        <w:tc>
          <w:tcPr>
            <w:tcW w:w="246" w:type="pct"/>
            <w:tcBorders>
              <w:top w:val="nil"/>
              <w:left w:val="nil"/>
              <w:bottom w:val="single" w:sz="8" w:space="0" w:color="auto"/>
              <w:right w:val="single" w:sz="8" w:space="0" w:color="auto"/>
            </w:tcBorders>
            <w:shd w:val="clear" w:color="auto" w:fill="C0C0C0"/>
            <w:vAlign w:val="bottom"/>
          </w:tcPr>
          <w:p w14:paraId="1B3B7141" w14:textId="77777777" w:rsidR="003D2273" w:rsidRPr="0071762D" w:rsidRDefault="003D2273" w:rsidP="003D2273">
            <w:pPr>
              <w:jc w:val="center"/>
              <w:rPr>
                <w:rFonts w:cs="Arial"/>
                <w:b/>
                <w:bCs/>
                <w:color w:val="FFFFFF"/>
                <w:lang w:eastAsia="en-GB"/>
              </w:rPr>
            </w:pPr>
            <w:r w:rsidRPr="0071762D">
              <w:rPr>
                <w:rFonts w:cs="Arial"/>
                <w:b/>
                <w:bCs/>
                <w:color w:val="FFFFFF"/>
                <w:lang w:eastAsia="en-GB"/>
              </w:rPr>
              <w:t>M</w:t>
            </w:r>
          </w:p>
        </w:tc>
        <w:tc>
          <w:tcPr>
            <w:tcW w:w="215" w:type="pct"/>
            <w:tcBorders>
              <w:top w:val="nil"/>
              <w:left w:val="nil"/>
              <w:bottom w:val="single" w:sz="8" w:space="0" w:color="auto"/>
              <w:right w:val="single" w:sz="8" w:space="0" w:color="auto"/>
            </w:tcBorders>
            <w:shd w:val="clear" w:color="auto" w:fill="C0C0C0"/>
            <w:vAlign w:val="bottom"/>
          </w:tcPr>
          <w:p w14:paraId="52748668" w14:textId="77777777" w:rsidR="003D2273" w:rsidRPr="0071762D" w:rsidRDefault="003D2273" w:rsidP="003D2273">
            <w:pPr>
              <w:jc w:val="center"/>
              <w:rPr>
                <w:rFonts w:cs="Arial"/>
                <w:b/>
                <w:bCs/>
                <w:color w:val="FFFFFF"/>
                <w:lang w:eastAsia="en-GB"/>
              </w:rPr>
            </w:pPr>
            <w:r w:rsidRPr="0071762D">
              <w:rPr>
                <w:rFonts w:cs="Arial"/>
                <w:b/>
                <w:bCs/>
                <w:color w:val="FFFFFF"/>
                <w:lang w:eastAsia="en-GB"/>
              </w:rPr>
              <w:t>L</w:t>
            </w:r>
          </w:p>
        </w:tc>
        <w:tc>
          <w:tcPr>
            <w:tcW w:w="209" w:type="pct"/>
            <w:tcBorders>
              <w:top w:val="nil"/>
              <w:left w:val="nil"/>
              <w:bottom w:val="single" w:sz="8" w:space="0" w:color="auto"/>
              <w:right w:val="single" w:sz="8" w:space="0" w:color="auto"/>
            </w:tcBorders>
            <w:shd w:val="clear" w:color="auto" w:fill="C0C0C0"/>
            <w:vAlign w:val="bottom"/>
          </w:tcPr>
          <w:p w14:paraId="5B551BAC" w14:textId="77777777" w:rsidR="003D2273" w:rsidRPr="0071762D" w:rsidRDefault="003D2273" w:rsidP="003D2273">
            <w:pPr>
              <w:jc w:val="center"/>
              <w:rPr>
                <w:rFonts w:cs="Arial"/>
                <w:b/>
                <w:bCs/>
                <w:color w:val="FFFFFF"/>
                <w:lang w:eastAsia="en-GB"/>
              </w:rPr>
            </w:pPr>
            <w:r w:rsidRPr="0071762D">
              <w:rPr>
                <w:rFonts w:cs="Arial"/>
                <w:b/>
                <w:bCs/>
                <w:color w:val="FFFFFF"/>
                <w:lang w:eastAsia="en-GB"/>
              </w:rPr>
              <w:t>C</w:t>
            </w:r>
          </w:p>
        </w:tc>
        <w:tc>
          <w:tcPr>
            <w:tcW w:w="209" w:type="pct"/>
            <w:tcBorders>
              <w:top w:val="nil"/>
              <w:left w:val="nil"/>
              <w:bottom w:val="single" w:sz="8" w:space="0" w:color="auto"/>
              <w:right w:val="single" w:sz="8" w:space="0" w:color="auto"/>
            </w:tcBorders>
            <w:shd w:val="clear" w:color="auto" w:fill="C0C0C0"/>
            <w:vAlign w:val="bottom"/>
          </w:tcPr>
          <w:p w14:paraId="6B1371CB" w14:textId="77777777" w:rsidR="003D2273" w:rsidRPr="0071762D" w:rsidRDefault="003D2273" w:rsidP="003D2273">
            <w:pPr>
              <w:jc w:val="center"/>
              <w:rPr>
                <w:rFonts w:cs="Arial"/>
                <w:b/>
                <w:bCs/>
                <w:color w:val="FFFFFF"/>
                <w:lang w:eastAsia="en-GB"/>
              </w:rPr>
            </w:pPr>
            <w:r w:rsidRPr="0071762D">
              <w:rPr>
                <w:rFonts w:cs="Arial"/>
                <w:b/>
                <w:bCs/>
                <w:color w:val="FFFFFF"/>
                <w:lang w:eastAsia="en-GB"/>
              </w:rPr>
              <w:t>H</w:t>
            </w:r>
          </w:p>
        </w:tc>
        <w:tc>
          <w:tcPr>
            <w:tcW w:w="223" w:type="pct"/>
            <w:tcBorders>
              <w:top w:val="nil"/>
              <w:left w:val="nil"/>
              <w:bottom w:val="single" w:sz="8" w:space="0" w:color="auto"/>
              <w:right w:val="single" w:sz="8" w:space="0" w:color="auto"/>
            </w:tcBorders>
            <w:shd w:val="clear" w:color="auto" w:fill="C0C0C0"/>
            <w:vAlign w:val="bottom"/>
          </w:tcPr>
          <w:p w14:paraId="6401708E" w14:textId="77777777" w:rsidR="003D2273" w:rsidRPr="0071762D" w:rsidRDefault="003D2273" w:rsidP="003D2273">
            <w:pPr>
              <w:jc w:val="center"/>
              <w:rPr>
                <w:rFonts w:cs="Arial"/>
                <w:b/>
                <w:bCs/>
                <w:color w:val="FFFFFF"/>
                <w:lang w:eastAsia="en-GB"/>
              </w:rPr>
            </w:pPr>
            <w:r w:rsidRPr="0071762D">
              <w:rPr>
                <w:rFonts w:cs="Arial"/>
                <w:b/>
                <w:bCs/>
                <w:color w:val="FFFFFF"/>
                <w:lang w:eastAsia="en-GB"/>
              </w:rPr>
              <w:t>M</w:t>
            </w:r>
          </w:p>
        </w:tc>
        <w:tc>
          <w:tcPr>
            <w:tcW w:w="194" w:type="pct"/>
            <w:tcBorders>
              <w:top w:val="nil"/>
              <w:left w:val="nil"/>
              <w:bottom w:val="single" w:sz="8" w:space="0" w:color="auto"/>
              <w:right w:val="single" w:sz="8" w:space="0" w:color="auto"/>
            </w:tcBorders>
            <w:shd w:val="clear" w:color="auto" w:fill="C0C0C0"/>
            <w:vAlign w:val="bottom"/>
          </w:tcPr>
          <w:p w14:paraId="2647E283" w14:textId="77777777" w:rsidR="003D2273" w:rsidRPr="0071762D" w:rsidRDefault="003D2273" w:rsidP="003D2273">
            <w:pPr>
              <w:jc w:val="center"/>
              <w:rPr>
                <w:rFonts w:cs="Arial"/>
                <w:b/>
                <w:bCs/>
                <w:color w:val="FFFFFF"/>
                <w:lang w:eastAsia="en-GB"/>
              </w:rPr>
            </w:pPr>
            <w:r w:rsidRPr="0071762D">
              <w:rPr>
                <w:rFonts w:cs="Arial"/>
                <w:b/>
                <w:bCs/>
                <w:color w:val="FFFFFF"/>
                <w:lang w:eastAsia="en-GB"/>
              </w:rPr>
              <w:t>L</w:t>
            </w:r>
          </w:p>
        </w:tc>
        <w:tc>
          <w:tcPr>
            <w:tcW w:w="473" w:type="pct"/>
            <w:vMerge/>
            <w:tcBorders>
              <w:top w:val="nil"/>
              <w:left w:val="single" w:sz="8" w:space="0" w:color="auto"/>
              <w:bottom w:val="single" w:sz="8" w:space="0" w:color="000000"/>
              <w:right w:val="single" w:sz="8" w:space="0" w:color="auto"/>
            </w:tcBorders>
            <w:vAlign w:val="center"/>
          </w:tcPr>
          <w:p w14:paraId="2EC976C9" w14:textId="77777777" w:rsidR="003D2273" w:rsidRPr="0071762D" w:rsidRDefault="003D2273" w:rsidP="003D2273">
            <w:pPr>
              <w:rPr>
                <w:rFonts w:cs="Arial"/>
                <w:b/>
                <w:bCs/>
                <w:color w:val="FFFFFF"/>
                <w:lang w:eastAsia="en-GB"/>
              </w:rPr>
            </w:pPr>
          </w:p>
        </w:tc>
      </w:tr>
      <w:tr w:rsidR="003D2273" w:rsidRPr="0071762D" w14:paraId="16D27283" w14:textId="77777777" w:rsidTr="003D2273">
        <w:trPr>
          <w:trHeight w:val="315"/>
        </w:trPr>
        <w:tc>
          <w:tcPr>
            <w:tcW w:w="1081" w:type="pct"/>
            <w:tcBorders>
              <w:top w:val="nil"/>
              <w:left w:val="single" w:sz="8" w:space="0" w:color="auto"/>
              <w:bottom w:val="single" w:sz="8" w:space="0" w:color="auto"/>
              <w:right w:val="single" w:sz="8" w:space="0" w:color="auto"/>
            </w:tcBorders>
            <w:noWrap/>
            <w:vAlign w:val="bottom"/>
          </w:tcPr>
          <w:p w14:paraId="59FFE8F5" w14:textId="77777777" w:rsidR="003D2273" w:rsidRPr="0071762D" w:rsidRDefault="003D2273" w:rsidP="003D2273">
            <w:pPr>
              <w:rPr>
                <w:rFonts w:cs="Arial"/>
                <w:b/>
                <w:bCs/>
                <w:lang w:eastAsia="en-GB"/>
              </w:rPr>
            </w:pPr>
            <w:r w:rsidRPr="0071762D">
              <w:rPr>
                <w:rFonts w:cs="Arial"/>
                <w:b/>
                <w:bCs/>
                <w:lang w:eastAsia="en-GB"/>
              </w:rPr>
              <w:t>TPS Operations</w:t>
            </w:r>
          </w:p>
        </w:tc>
        <w:tc>
          <w:tcPr>
            <w:tcW w:w="209" w:type="pct"/>
            <w:tcBorders>
              <w:top w:val="nil"/>
              <w:left w:val="nil"/>
              <w:bottom w:val="single" w:sz="8" w:space="0" w:color="auto"/>
              <w:right w:val="single" w:sz="8" w:space="0" w:color="auto"/>
            </w:tcBorders>
            <w:noWrap/>
            <w:vAlign w:val="bottom"/>
          </w:tcPr>
          <w:p w14:paraId="4998F3D2" w14:textId="77777777" w:rsidR="003D2273" w:rsidRPr="0071762D" w:rsidRDefault="003D2273" w:rsidP="003D2273">
            <w:pPr>
              <w:jc w:val="center"/>
              <w:rPr>
                <w:rFonts w:cs="Arial"/>
                <w:lang w:eastAsia="en-GB"/>
              </w:rPr>
            </w:pPr>
            <w:r w:rsidRPr="0071762D">
              <w:rPr>
                <w:rFonts w:cs="Arial"/>
                <w:lang w:eastAsia="en-GB"/>
              </w:rPr>
              <w:t>0</w:t>
            </w:r>
          </w:p>
        </w:tc>
        <w:tc>
          <w:tcPr>
            <w:tcW w:w="209" w:type="pct"/>
            <w:tcBorders>
              <w:top w:val="nil"/>
              <w:left w:val="nil"/>
              <w:bottom w:val="single" w:sz="8" w:space="0" w:color="auto"/>
              <w:right w:val="single" w:sz="8" w:space="0" w:color="auto"/>
            </w:tcBorders>
            <w:noWrap/>
            <w:vAlign w:val="bottom"/>
          </w:tcPr>
          <w:p w14:paraId="0BCE9097" w14:textId="77777777" w:rsidR="003D2273" w:rsidRPr="0071762D" w:rsidRDefault="003D2273" w:rsidP="003D2273">
            <w:pPr>
              <w:jc w:val="center"/>
              <w:rPr>
                <w:rFonts w:cs="Arial"/>
                <w:lang w:eastAsia="en-GB"/>
              </w:rPr>
            </w:pPr>
            <w:r>
              <w:rPr>
                <w:rFonts w:cs="Arial"/>
                <w:lang w:eastAsia="en-GB"/>
              </w:rPr>
              <w:t>0</w:t>
            </w:r>
          </w:p>
        </w:tc>
        <w:tc>
          <w:tcPr>
            <w:tcW w:w="223" w:type="pct"/>
            <w:tcBorders>
              <w:top w:val="nil"/>
              <w:left w:val="nil"/>
              <w:bottom w:val="single" w:sz="8" w:space="0" w:color="auto"/>
              <w:right w:val="single" w:sz="8" w:space="0" w:color="auto"/>
            </w:tcBorders>
            <w:noWrap/>
            <w:vAlign w:val="bottom"/>
          </w:tcPr>
          <w:p w14:paraId="0E8DA768" w14:textId="77777777" w:rsidR="003D2273" w:rsidRPr="0071762D" w:rsidRDefault="003D2273" w:rsidP="003D2273">
            <w:pPr>
              <w:jc w:val="center"/>
              <w:rPr>
                <w:rFonts w:cs="Arial"/>
                <w:lang w:eastAsia="en-GB"/>
              </w:rPr>
            </w:pPr>
            <w:r>
              <w:rPr>
                <w:rFonts w:cs="Arial"/>
                <w:lang w:eastAsia="en-GB"/>
              </w:rPr>
              <w:t>5</w:t>
            </w:r>
          </w:p>
        </w:tc>
        <w:tc>
          <w:tcPr>
            <w:tcW w:w="194" w:type="pct"/>
            <w:tcBorders>
              <w:top w:val="nil"/>
              <w:left w:val="nil"/>
              <w:bottom w:val="single" w:sz="8" w:space="0" w:color="auto"/>
              <w:right w:val="single" w:sz="8" w:space="0" w:color="auto"/>
            </w:tcBorders>
            <w:noWrap/>
            <w:vAlign w:val="bottom"/>
          </w:tcPr>
          <w:p w14:paraId="6B5BFD3F" w14:textId="77777777" w:rsidR="003D2273" w:rsidRPr="0071762D" w:rsidRDefault="003D2273" w:rsidP="003D2273">
            <w:pPr>
              <w:jc w:val="center"/>
              <w:rPr>
                <w:rFonts w:cs="Arial"/>
                <w:lang w:eastAsia="en-GB"/>
              </w:rPr>
            </w:pPr>
            <w:r>
              <w:rPr>
                <w:rFonts w:cs="Arial"/>
                <w:lang w:eastAsia="en-GB"/>
              </w:rPr>
              <w:t>0</w:t>
            </w:r>
          </w:p>
        </w:tc>
        <w:tc>
          <w:tcPr>
            <w:tcW w:w="213" w:type="pct"/>
            <w:tcBorders>
              <w:top w:val="nil"/>
              <w:left w:val="nil"/>
              <w:bottom w:val="single" w:sz="8" w:space="0" w:color="auto"/>
              <w:right w:val="single" w:sz="8" w:space="0" w:color="auto"/>
            </w:tcBorders>
            <w:shd w:val="clear" w:color="auto" w:fill="00FF00"/>
            <w:noWrap/>
            <w:vAlign w:val="bottom"/>
          </w:tcPr>
          <w:p w14:paraId="430F4A21" w14:textId="77777777" w:rsidR="003D2273" w:rsidRPr="0071762D" w:rsidRDefault="003D2273" w:rsidP="003D2273">
            <w:pPr>
              <w:jc w:val="center"/>
              <w:rPr>
                <w:rFonts w:cs="Arial"/>
                <w:lang w:eastAsia="en-GB"/>
              </w:rPr>
            </w:pPr>
            <w:r w:rsidRPr="0071762D">
              <w:rPr>
                <w:rFonts w:cs="Arial"/>
                <w:lang w:eastAsia="en-GB"/>
              </w:rPr>
              <w:t>0</w:t>
            </w:r>
          </w:p>
        </w:tc>
        <w:tc>
          <w:tcPr>
            <w:tcW w:w="213" w:type="pct"/>
            <w:tcBorders>
              <w:top w:val="nil"/>
              <w:left w:val="nil"/>
              <w:bottom w:val="single" w:sz="8" w:space="0" w:color="auto"/>
              <w:right w:val="single" w:sz="8" w:space="0" w:color="auto"/>
            </w:tcBorders>
            <w:shd w:val="clear" w:color="auto" w:fill="00FF00"/>
            <w:noWrap/>
            <w:vAlign w:val="bottom"/>
          </w:tcPr>
          <w:p w14:paraId="3C9BB1B9" w14:textId="77777777" w:rsidR="003D2273" w:rsidRPr="0071762D" w:rsidRDefault="003D2273" w:rsidP="003D2273">
            <w:pPr>
              <w:jc w:val="center"/>
              <w:rPr>
                <w:rFonts w:cs="Arial"/>
                <w:lang w:eastAsia="en-GB"/>
              </w:rPr>
            </w:pPr>
            <w:r>
              <w:rPr>
                <w:rFonts w:cs="Arial"/>
                <w:lang w:eastAsia="en-GB"/>
              </w:rPr>
              <w:t>0</w:t>
            </w:r>
          </w:p>
        </w:tc>
        <w:tc>
          <w:tcPr>
            <w:tcW w:w="228" w:type="pct"/>
            <w:tcBorders>
              <w:top w:val="nil"/>
              <w:left w:val="nil"/>
              <w:bottom w:val="single" w:sz="8" w:space="0" w:color="auto"/>
              <w:right w:val="single" w:sz="8" w:space="0" w:color="auto"/>
            </w:tcBorders>
            <w:shd w:val="clear" w:color="auto" w:fill="00FF00"/>
            <w:noWrap/>
            <w:vAlign w:val="bottom"/>
          </w:tcPr>
          <w:p w14:paraId="3BFDE8F7" w14:textId="77777777" w:rsidR="003D2273" w:rsidRPr="0071762D" w:rsidRDefault="003D2273" w:rsidP="003D2273">
            <w:pPr>
              <w:jc w:val="center"/>
              <w:rPr>
                <w:rFonts w:cs="Arial"/>
                <w:lang w:eastAsia="en-GB"/>
              </w:rPr>
            </w:pPr>
            <w:r>
              <w:rPr>
                <w:rFonts w:cs="Arial"/>
                <w:lang w:eastAsia="en-GB"/>
              </w:rPr>
              <w:t>0</w:t>
            </w:r>
          </w:p>
        </w:tc>
        <w:tc>
          <w:tcPr>
            <w:tcW w:w="198" w:type="pct"/>
            <w:tcBorders>
              <w:top w:val="nil"/>
              <w:left w:val="nil"/>
              <w:bottom w:val="single" w:sz="8" w:space="0" w:color="auto"/>
              <w:right w:val="single" w:sz="8" w:space="0" w:color="auto"/>
            </w:tcBorders>
            <w:shd w:val="clear" w:color="auto" w:fill="00FF00"/>
            <w:noWrap/>
            <w:vAlign w:val="bottom"/>
          </w:tcPr>
          <w:p w14:paraId="16DF0EA5" w14:textId="77777777" w:rsidR="003D2273" w:rsidRPr="0071762D" w:rsidRDefault="003D2273" w:rsidP="003D2273">
            <w:pPr>
              <w:jc w:val="center"/>
              <w:rPr>
                <w:rFonts w:cs="Arial"/>
                <w:lang w:eastAsia="en-GB"/>
              </w:rPr>
            </w:pPr>
            <w:r>
              <w:rPr>
                <w:rFonts w:cs="Arial"/>
                <w:lang w:eastAsia="en-GB"/>
              </w:rPr>
              <w:t>0</w:t>
            </w:r>
          </w:p>
        </w:tc>
        <w:tc>
          <w:tcPr>
            <w:tcW w:w="231" w:type="pct"/>
            <w:tcBorders>
              <w:top w:val="nil"/>
              <w:left w:val="nil"/>
              <w:bottom w:val="single" w:sz="8" w:space="0" w:color="auto"/>
              <w:right w:val="single" w:sz="8" w:space="0" w:color="auto"/>
            </w:tcBorders>
            <w:shd w:val="clear" w:color="auto" w:fill="FFCC00"/>
            <w:vAlign w:val="bottom"/>
          </w:tcPr>
          <w:p w14:paraId="06418B4A" w14:textId="77777777" w:rsidR="003D2273" w:rsidRPr="0071762D" w:rsidRDefault="003D2273" w:rsidP="003D2273">
            <w:pPr>
              <w:jc w:val="center"/>
              <w:rPr>
                <w:rFonts w:cs="Arial"/>
                <w:lang w:eastAsia="en-GB"/>
              </w:rPr>
            </w:pPr>
            <w:r w:rsidRPr="0071762D">
              <w:rPr>
                <w:rFonts w:cs="Arial"/>
                <w:lang w:eastAsia="en-GB"/>
              </w:rPr>
              <w:t>0</w:t>
            </w:r>
          </w:p>
        </w:tc>
        <w:tc>
          <w:tcPr>
            <w:tcW w:w="231" w:type="pct"/>
            <w:tcBorders>
              <w:top w:val="nil"/>
              <w:left w:val="nil"/>
              <w:bottom w:val="single" w:sz="8" w:space="0" w:color="auto"/>
              <w:right w:val="single" w:sz="8" w:space="0" w:color="auto"/>
            </w:tcBorders>
            <w:shd w:val="clear" w:color="auto" w:fill="FFCC00"/>
            <w:vAlign w:val="bottom"/>
          </w:tcPr>
          <w:p w14:paraId="1B8943F7" w14:textId="77777777" w:rsidR="003D2273" w:rsidRPr="0071762D" w:rsidRDefault="003D2273" w:rsidP="003D2273">
            <w:pPr>
              <w:jc w:val="center"/>
              <w:rPr>
                <w:rFonts w:cs="Arial"/>
                <w:lang w:eastAsia="en-GB"/>
              </w:rPr>
            </w:pPr>
            <w:r w:rsidRPr="0071762D">
              <w:rPr>
                <w:rFonts w:cs="Arial"/>
                <w:lang w:eastAsia="en-GB"/>
              </w:rPr>
              <w:t>0</w:t>
            </w:r>
          </w:p>
        </w:tc>
        <w:tc>
          <w:tcPr>
            <w:tcW w:w="246" w:type="pct"/>
            <w:tcBorders>
              <w:top w:val="nil"/>
              <w:left w:val="nil"/>
              <w:bottom w:val="single" w:sz="8" w:space="0" w:color="auto"/>
              <w:right w:val="single" w:sz="8" w:space="0" w:color="auto"/>
            </w:tcBorders>
            <w:shd w:val="clear" w:color="auto" w:fill="FFCC00"/>
            <w:vAlign w:val="bottom"/>
          </w:tcPr>
          <w:p w14:paraId="7C012967" w14:textId="77777777" w:rsidR="003D2273" w:rsidRPr="0071762D" w:rsidRDefault="003D2273" w:rsidP="003D2273">
            <w:pPr>
              <w:jc w:val="center"/>
              <w:rPr>
                <w:rFonts w:cs="Arial"/>
                <w:lang w:eastAsia="en-GB"/>
              </w:rPr>
            </w:pPr>
            <w:r>
              <w:rPr>
                <w:rFonts w:cs="Arial"/>
                <w:lang w:eastAsia="en-GB"/>
              </w:rPr>
              <w:t>0</w:t>
            </w:r>
          </w:p>
        </w:tc>
        <w:tc>
          <w:tcPr>
            <w:tcW w:w="215" w:type="pct"/>
            <w:tcBorders>
              <w:top w:val="nil"/>
              <w:left w:val="nil"/>
              <w:bottom w:val="single" w:sz="8" w:space="0" w:color="auto"/>
              <w:right w:val="single" w:sz="8" w:space="0" w:color="auto"/>
            </w:tcBorders>
            <w:shd w:val="clear" w:color="auto" w:fill="FFCC00"/>
            <w:vAlign w:val="bottom"/>
          </w:tcPr>
          <w:p w14:paraId="539E49FB" w14:textId="77777777" w:rsidR="003D2273" w:rsidRPr="0071762D" w:rsidRDefault="003D2273" w:rsidP="003D2273">
            <w:pPr>
              <w:jc w:val="center"/>
              <w:rPr>
                <w:rFonts w:cs="Arial"/>
                <w:lang w:eastAsia="en-GB"/>
              </w:rPr>
            </w:pPr>
            <w:r>
              <w:rPr>
                <w:rFonts w:cs="Arial"/>
                <w:lang w:eastAsia="en-GB"/>
              </w:rPr>
              <w:t>0</w:t>
            </w:r>
          </w:p>
        </w:tc>
        <w:tc>
          <w:tcPr>
            <w:tcW w:w="209" w:type="pct"/>
            <w:tcBorders>
              <w:top w:val="nil"/>
              <w:left w:val="nil"/>
              <w:bottom w:val="single" w:sz="8" w:space="0" w:color="auto"/>
              <w:right w:val="single" w:sz="8" w:space="0" w:color="auto"/>
            </w:tcBorders>
            <w:shd w:val="clear" w:color="auto" w:fill="FF0000"/>
            <w:vAlign w:val="bottom"/>
          </w:tcPr>
          <w:p w14:paraId="7A88FBDF" w14:textId="77777777" w:rsidR="003D2273" w:rsidRPr="008A210F" w:rsidRDefault="003D2273" w:rsidP="003D2273">
            <w:pPr>
              <w:jc w:val="center"/>
              <w:rPr>
                <w:rFonts w:cs="Arial"/>
                <w:color w:val="FFFFFF" w:themeColor="background1"/>
                <w:lang w:eastAsia="en-GB"/>
              </w:rPr>
            </w:pPr>
            <w:r w:rsidRPr="008A210F">
              <w:rPr>
                <w:rFonts w:cs="Arial"/>
                <w:color w:val="FFFFFF" w:themeColor="background1"/>
                <w:lang w:eastAsia="en-GB"/>
              </w:rPr>
              <w:t>0</w:t>
            </w:r>
          </w:p>
        </w:tc>
        <w:tc>
          <w:tcPr>
            <w:tcW w:w="209" w:type="pct"/>
            <w:tcBorders>
              <w:top w:val="nil"/>
              <w:left w:val="nil"/>
              <w:bottom w:val="single" w:sz="8" w:space="0" w:color="auto"/>
              <w:right w:val="single" w:sz="8" w:space="0" w:color="auto"/>
            </w:tcBorders>
            <w:shd w:val="clear" w:color="auto" w:fill="FF0000"/>
            <w:vAlign w:val="bottom"/>
          </w:tcPr>
          <w:p w14:paraId="7433841B" w14:textId="77777777" w:rsidR="003D2273" w:rsidRPr="008A210F" w:rsidRDefault="003D2273" w:rsidP="003D2273">
            <w:pPr>
              <w:jc w:val="center"/>
              <w:rPr>
                <w:rFonts w:cs="Arial"/>
                <w:color w:val="FFFFFF" w:themeColor="background1"/>
                <w:lang w:eastAsia="en-GB"/>
              </w:rPr>
            </w:pPr>
            <w:r w:rsidRPr="008A210F">
              <w:rPr>
                <w:rFonts w:cs="Arial"/>
                <w:color w:val="FFFFFF" w:themeColor="background1"/>
                <w:lang w:eastAsia="en-GB"/>
              </w:rPr>
              <w:t>0</w:t>
            </w:r>
          </w:p>
        </w:tc>
        <w:tc>
          <w:tcPr>
            <w:tcW w:w="223" w:type="pct"/>
            <w:tcBorders>
              <w:top w:val="nil"/>
              <w:left w:val="nil"/>
              <w:bottom w:val="single" w:sz="8" w:space="0" w:color="auto"/>
              <w:right w:val="single" w:sz="8" w:space="0" w:color="auto"/>
            </w:tcBorders>
            <w:shd w:val="clear" w:color="auto" w:fill="FF0000"/>
            <w:vAlign w:val="bottom"/>
          </w:tcPr>
          <w:p w14:paraId="776007CD" w14:textId="77777777" w:rsidR="003D2273" w:rsidRPr="008A210F" w:rsidRDefault="003D2273" w:rsidP="003D2273">
            <w:pPr>
              <w:jc w:val="center"/>
              <w:rPr>
                <w:rFonts w:cs="Arial"/>
                <w:color w:val="FFFFFF" w:themeColor="background1"/>
                <w:lang w:eastAsia="en-GB"/>
              </w:rPr>
            </w:pPr>
            <w:r w:rsidRPr="008A210F">
              <w:rPr>
                <w:rFonts w:cs="Arial"/>
                <w:color w:val="FFFFFF" w:themeColor="background1"/>
                <w:lang w:eastAsia="en-GB"/>
              </w:rPr>
              <w:t>0</w:t>
            </w:r>
          </w:p>
        </w:tc>
        <w:tc>
          <w:tcPr>
            <w:tcW w:w="194" w:type="pct"/>
            <w:tcBorders>
              <w:top w:val="nil"/>
              <w:left w:val="nil"/>
              <w:bottom w:val="single" w:sz="8" w:space="0" w:color="auto"/>
              <w:right w:val="single" w:sz="8" w:space="0" w:color="auto"/>
            </w:tcBorders>
            <w:shd w:val="clear" w:color="auto" w:fill="FF0000"/>
            <w:vAlign w:val="bottom"/>
          </w:tcPr>
          <w:p w14:paraId="3A183763" w14:textId="77777777" w:rsidR="003D2273" w:rsidRPr="008A210F" w:rsidRDefault="003D2273" w:rsidP="003D2273">
            <w:pPr>
              <w:jc w:val="center"/>
              <w:rPr>
                <w:rFonts w:cs="Arial"/>
                <w:color w:val="FFFFFF" w:themeColor="background1"/>
                <w:lang w:eastAsia="en-GB"/>
              </w:rPr>
            </w:pPr>
            <w:r w:rsidRPr="008A210F">
              <w:rPr>
                <w:rFonts w:cs="Arial"/>
                <w:color w:val="FFFFFF" w:themeColor="background1"/>
                <w:lang w:eastAsia="en-GB"/>
              </w:rPr>
              <w:t>0</w:t>
            </w:r>
          </w:p>
        </w:tc>
        <w:tc>
          <w:tcPr>
            <w:tcW w:w="473" w:type="pct"/>
            <w:tcBorders>
              <w:top w:val="nil"/>
              <w:left w:val="nil"/>
              <w:bottom w:val="single" w:sz="8" w:space="0" w:color="auto"/>
              <w:right w:val="single" w:sz="8" w:space="0" w:color="auto"/>
            </w:tcBorders>
            <w:vAlign w:val="bottom"/>
          </w:tcPr>
          <w:p w14:paraId="4E11AACE" w14:textId="77777777" w:rsidR="003D2273" w:rsidRPr="00B60795" w:rsidRDefault="003D2273" w:rsidP="003D2273">
            <w:pPr>
              <w:jc w:val="center"/>
              <w:rPr>
                <w:color w:val="404040"/>
              </w:rPr>
            </w:pPr>
            <w:r>
              <w:rPr>
                <w:rFonts w:ascii="Wingdings 3" w:hAnsi="Wingdings 3" w:cs="Arial"/>
                <w:b/>
                <w:bCs/>
                <w:lang w:eastAsia="en-GB"/>
              </w:rPr>
              <w:t></w:t>
            </w:r>
          </w:p>
        </w:tc>
      </w:tr>
    </w:tbl>
    <w:p w14:paraId="227FBE9E" w14:textId="77777777" w:rsidR="00461F38" w:rsidRDefault="00461F38" w:rsidP="003D2273">
      <w:pPr>
        <w:widowControl/>
        <w:overflowPunct/>
        <w:autoSpaceDE/>
        <w:autoSpaceDN/>
        <w:adjustRightInd/>
        <w:textAlignment w:val="auto"/>
        <w:rPr>
          <w:rFonts w:cs="Arial"/>
          <w:b/>
          <w:lang w:eastAsia="en-GB"/>
        </w:rPr>
      </w:pPr>
    </w:p>
    <w:p w14:paraId="19C081A0" w14:textId="77777777" w:rsidR="00461F38" w:rsidRPr="00363983" w:rsidRDefault="00461F38" w:rsidP="00461F38">
      <w:pPr>
        <w:widowControl/>
        <w:overflowPunct/>
        <w:autoSpaceDE/>
        <w:autoSpaceDN/>
        <w:adjustRightInd/>
        <w:ind w:left="15"/>
        <w:jc w:val="center"/>
        <w:textAlignment w:val="auto"/>
        <w:rPr>
          <w:rFonts w:cs="Arial"/>
          <w:b/>
          <w:lang w:eastAsia="en-GB"/>
        </w:rPr>
      </w:pPr>
    </w:p>
    <w:p w14:paraId="0939A2E2" w14:textId="77777777" w:rsidR="00461F38" w:rsidRDefault="00461F38" w:rsidP="00461F38">
      <w:pPr>
        <w:rPr>
          <w:rFonts w:cs="Arial"/>
          <w:sz w:val="22"/>
          <w:szCs w:val="22"/>
          <w:lang w:eastAsia="en-GB"/>
        </w:rPr>
        <w:sectPr w:rsidR="00461F38" w:rsidSect="00022806">
          <w:headerReference w:type="default" r:id="rId18"/>
          <w:pgSz w:w="16838" w:h="11906" w:orient="landscape"/>
          <w:pgMar w:top="1135" w:right="1440" w:bottom="1558" w:left="1440" w:header="708" w:footer="708" w:gutter="0"/>
          <w:cols w:space="708"/>
          <w:docGrid w:linePitch="360"/>
        </w:sectPr>
      </w:pPr>
    </w:p>
    <w:p w14:paraId="032A5DB8" w14:textId="77777777" w:rsidR="00461F38" w:rsidRDefault="00461F38" w:rsidP="00461F38">
      <w:pPr>
        <w:pStyle w:val="Heading2"/>
        <w:spacing w:before="0"/>
        <w:rPr>
          <w:rFonts w:cs="Arial"/>
        </w:rPr>
      </w:pPr>
      <w:r w:rsidRPr="00363983">
        <w:rPr>
          <w:rFonts w:cs="Arial"/>
        </w:rPr>
        <w:t xml:space="preserve">Progress against </w:t>
      </w:r>
      <w:r>
        <w:rPr>
          <w:rFonts w:cs="Arial"/>
        </w:rPr>
        <w:t xml:space="preserve">2017 </w:t>
      </w:r>
      <w:r w:rsidRPr="00363983">
        <w:rPr>
          <w:rFonts w:cs="Arial"/>
        </w:rPr>
        <w:t>A</w:t>
      </w:r>
      <w:r>
        <w:rPr>
          <w:rFonts w:cs="Arial"/>
        </w:rPr>
        <w:t>ssurance Plan</w:t>
      </w:r>
    </w:p>
    <w:tbl>
      <w:tblPr>
        <w:tblW w:w="14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25"/>
        <w:gridCol w:w="500"/>
        <w:gridCol w:w="500"/>
        <w:gridCol w:w="500"/>
        <w:gridCol w:w="500"/>
        <w:gridCol w:w="1100"/>
        <w:gridCol w:w="19"/>
        <w:gridCol w:w="1081"/>
        <w:gridCol w:w="1000"/>
        <w:gridCol w:w="900"/>
        <w:gridCol w:w="1000"/>
        <w:gridCol w:w="1000"/>
        <w:gridCol w:w="965"/>
        <w:gridCol w:w="969"/>
        <w:gridCol w:w="500"/>
        <w:gridCol w:w="500"/>
        <w:gridCol w:w="500"/>
        <w:gridCol w:w="500"/>
      </w:tblGrid>
      <w:tr w:rsidR="003D2273" w:rsidRPr="00F2710F" w14:paraId="1769DF32" w14:textId="77777777" w:rsidTr="003D2273">
        <w:trPr>
          <w:tblHeader/>
        </w:trPr>
        <w:tc>
          <w:tcPr>
            <w:tcW w:w="2325" w:type="dxa"/>
            <w:tcBorders>
              <w:top w:val="single" w:sz="4" w:space="0" w:color="auto"/>
              <w:left w:val="single" w:sz="4" w:space="0" w:color="auto"/>
              <w:bottom w:val="single" w:sz="4" w:space="0" w:color="auto"/>
              <w:right w:val="single" w:sz="4" w:space="0" w:color="auto"/>
            </w:tcBorders>
            <w:shd w:val="clear" w:color="auto" w:fill="004E73"/>
          </w:tcPr>
          <w:p w14:paraId="0B5A165E" w14:textId="77777777" w:rsidR="003D2273" w:rsidRPr="00F2710F" w:rsidRDefault="003D2273" w:rsidP="00022806">
            <w:pPr>
              <w:pStyle w:val="TableHeading"/>
              <w:jc w:val="center"/>
              <w:rPr>
                <w:rFonts w:cs="Arial"/>
                <w:sz w:val="20"/>
                <w:szCs w:val="20"/>
              </w:rPr>
            </w:pPr>
            <w:r w:rsidRPr="00F2710F">
              <w:rPr>
                <w:sz w:val="20"/>
              </w:rPr>
              <w:t>Review Title</w:t>
            </w:r>
          </w:p>
        </w:tc>
        <w:tc>
          <w:tcPr>
            <w:tcW w:w="500" w:type="dxa"/>
            <w:tcBorders>
              <w:top w:val="single" w:sz="4" w:space="0" w:color="auto"/>
              <w:left w:val="single" w:sz="4" w:space="0" w:color="auto"/>
              <w:bottom w:val="single" w:sz="4" w:space="0" w:color="auto"/>
              <w:right w:val="single" w:sz="4" w:space="0" w:color="auto"/>
            </w:tcBorders>
            <w:shd w:val="clear" w:color="auto" w:fill="004E73"/>
          </w:tcPr>
          <w:p w14:paraId="1A18C24F" w14:textId="77777777" w:rsidR="003D2273" w:rsidRPr="00F2710F" w:rsidRDefault="003D2273" w:rsidP="00022806">
            <w:pPr>
              <w:pStyle w:val="TableHeading"/>
              <w:jc w:val="center"/>
              <w:rPr>
                <w:rFonts w:cs="Arial"/>
                <w:sz w:val="20"/>
                <w:szCs w:val="20"/>
              </w:rPr>
            </w:pPr>
            <w:r w:rsidRPr="00F2710F">
              <w:rPr>
                <w:sz w:val="20"/>
              </w:rPr>
              <w:t>Q1</w:t>
            </w:r>
          </w:p>
        </w:tc>
        <w:tc>
          <w:tcPr>
            <w:tcW w:w="500" w:type="dxa"/>
            <w:tcBorders>
              <w:top w:val="single" w:sz="4" w:space="0" w:color="auto"/>
              <w:left w:val="single" w:sz="4" w:space="0" w:color="auto"/>
              <w:bottom w:val="single" w:sz="4" w:space="0" w:color="auto"/>
              <w:right w:val="single" w:sz="4" w:space="0" w:color="auto"/>
            </w:tcBorders>
            <w:shd w:val="clear" w:color="auto" w:fill="004E73"/>
          </w:tcPr>
          <w:p w14:paraId="42E316F9" w14:textId="77777777" w:rsidR="003D2273" w:rsidRPr="00F2710F" w:rsidRDefault="003D2273" w:rsidP="00022806">
            <w:pPr>
              <w:pStyle w:val="TableHeading"/>
              <w:jc w:val="center"/>
              <w:rPr>
                <w:rFonts w:cs="Arial"/>
                <w:sz w:val="20"/>
                <w:szCs w:val="20"/>
              </w:rPr>
            </w:pPr>
            <w:r w:rsidRPr="00F2710F">
              <w:rPr>
                <w:sz w:val="20"/>
              </w:rPr>
              <w:t>Q2</w:t>
            </w:r>
          </w:p>
        </w:tc>
        <w:tc>
          <w:tcPr>
            <w:tcW w:w="500" w:type="dxa"/>
            <w:tcBorders>
              <w:top w:val="single" w:sz="4" w:space="0" w:color="auto"/>
              <w:left w:val="single" w:sz="4" w:space="0" w:color="auto"/>
              <w:bottom w:val="single" w:sz="4" w:space="0" w:color="auto"/>
              <w:right w:val="single" w:sz="4" w:space="0" w:color="auto"/>
            </w:tcBorders>
            <w:shd w:val="clear" w:color="auto" w:fill="004E73"/>
          </w:tcPr>
          <w:p w14:paraId="1CF52796" w14:textId="77777777" w:rsidR="003D2273" w:rsidRPr="00F2710F" w:rsidRDefault="003D2273" w:rsidP="00022806">
            <w:pPr>
              <w:pStyle w:val="TableHeading"/>
              <w:jc w:val="center"/>
              <w:rPr>
                <w:rFonts w:cs="Arial"/>
                <w:sz w:val="20"/>
                <w:szCs w:val="20"/>
              </w:rPr>
            </w:pPr>
            <w:r w:rsidRPr="00F2710F">
              <w:rPr>
                <w:sz w:val="20"/>
              </w:rPr>
              <w:t>Q3</w:t>
            </w:r>
          </w:p>
        </w:tc>
        <w:tc>
          <w:tcPr>
            <w:tcW w:w="500" w:type="dxa"/>
            <w:tcBorders>
              <w:top w:val="single" w:sz="4" w:space="0" w:color="auto"/>
              <w:left w:val="single" w:sz="4" w:space="0" w:color="auto"/>
              <w:bottom w:val="single" w:sz="4" w:space="0" w:color="auto"/>
              <w:right w:val="single" w:sz="4" w:space="0" w:color="auto"/>
            </w:tcBorders>
            <w:shd w:val="clear" w:color="auto" w:fill="004E73"/>
          </w:tcPr>
          <w:p w14:paraId="03FC6E7A" w14:textId="77777777" w:rsidR="003D2273" w:rsidRPr="00F2710F" w:rsidRDefault="003D2273" w:rsidP="00022806">
            <w:pPr>
              <w:pStyle w:val="TableHeading"/>
              <w:jc w:val="center"/>
              <w:rPr>
                <w:rFonts w:cs="Arial"/>
                <w:sz w:val="20"/>
                <w:szCs w:val="20"/>
              </w:rPr>
            </w:pPr>
            <w:r w:rsidRPr="00F2710F">
              <w:rPr>
                <w:sz w:val="20"/>
              </w:rPr>
              <w:t>Q4</w:t>
            </w:r>
          </w:p>
        </w:tc>
        <w:tc>
          <w:tcPr>
            <w:tcW w:w="1100" w:type="dxa"/>
            <w:tcBorders>
              <w:top w:val="single" w:sz="4" w:space="0" w:color="auto"/>
              <w:left w:val="single" w:sz="4" w:space="0" w:color="auto"/>
              <w:bottom w:val="single" w:sz="4" w:space="0" w:color="auto"/>
              <w:right w:val="single" w:sz="4" w:space="0" w:color="auto"/>
            </w:tcBorders>
            <w:shd w:val="clear" w:color="auto" w:fill="004E73"/>
            <w:tcMar>
              <w:left w:w="113" w:type="dxa"/>
              <w:right w:w="85" w:type="dxa"/>
            </w:tcMar>
          </w:tcPr>
          <w:p w14:paraId="0626EEA7" w14:textId="77777777" w:rsidR="003D2273" w:rsidRPr="00F2710F" w:rsidRDefault="003D2273" w:rsidP="00022806">
            <w:pPr>
              <w:pStyle w:val="TableHeading"/>
              <w:jc w:val="center"/>
              <w:rPr>
                <w:rFonts w:cs="Arial"/>
                <w:sz w:val="20"/>
                <w:szCs w:val="20"/>
              </w:rPr>
            </w:pPr>
            <w:r w:rsidRPr="00F2710F">
              <w:rPr>
                <w:sz w:val="20"/>
              </w:rPr>
              <w:t>Current Status</w:t>
            </w:r>
          </w:p>
        </w:tc>
        <w:tc>
          <w:tcPr>
            <w:tcW w:w="1100" w:type="dxa"/>
            <w:gridSpan w:val="2"/>
            <w:tcBorders>
              <w:top w:val="single" w:sz="4" w:space="0" w:color="auto"/>
              <w:left w:val="single" w:sz="4" w:space="0" w:color="auto"/>
              <w:bottom w:val="single" w:sz="4" w:space="0" w:color="auto"/>
              <w:right w:val="single" w:sz="4" w:space="0" w:color="auto"/>
            </w:tcBorders>
            <w:shd w:val="clear" w:color="auto" w:fill="004E73"/>
          </w:tcPr>
          <w:p w14:paraId="1E9E3637" w14:textId="77777777" w:rsidR="003D2273" w:rsidRPr="00F2710F" w:rsidRDefault="003D2273" w:rsidP="00022806">
            <w:pPr>
              <w:pStyle w:val="TableHeading"/>
              <w:jc w:val="center"/>
              <w:rPr>
                <w:rFonts w:cs="Arial"/>
                <w:sz w:val="20"/>
                <w:szCs w:val="20"/>
              </w:rPr>
            </w:pPr>
            <w:r w:rsidRPr="00F2710F">
              <w:rPr>
                <w:sz w:val="20"/>
              </w:rPr>
              <w:t>Target Final Draft ToR</w:t>
            </w:r>
          </w:p>
        </w:tc>
        <w:tc>
          <w:tcPr>
            <w:tcW w:w="1000" w:type="dxa"/>
            <w:tcBorders>
              <w:top w:val="single" w:sz="4" w:space="0" w:color="auto"/>
              <w:left w:val="single" w:sz="4" w:space="0" w:color="auto"/>
              <w:bottom w:val="single" w:sz="4" w:space="0" w:color="auto"/>
              <w:right w:val="single" w:sz="4" w:space="0" w:color="auto"/>
            </w:tcBorders>
            <w:shd w:val="clear" w:color="auto" w:fill="004E73"/>
          </w:tcPr>
          <w:p w14:paraId="3692A2A4" w14:textId="77777777" w:rsidR="003D2273" w:rsidRPr="00F2710F" w:rsidRDefault="003D2273" w:rsidP="00022806">
            <w:pPr>
              <w:pStyle w:val="TableHeading"/>
              <w:jc w:val="center"/>
              <w:rPr>
                <w:rFonts w:cs="Arial"/>
                <w:sz w:val="20"/>
                <w:szCs w:val="20"/>
              </w:rPr>
            </w:pPr>
            <w:r w:rsidRPr="00F2710F">
              <w:rPr>
                <w:sz w:val="20"/>
              </w:rPr>
              <w:t>Actual Final Draft ToR</w:t>
            </w:r>
          </w:p>
        </w:tc>
        <w:tc>
          <w:tcPr>
            <w:tcW w:w="900" w:type="dxa"/>
            <w:tcBorders>
              <w:top w:val="single" w:sz="4" w:space="0" w:color="auto"/>
              <w:left w:val="single" w:sz="4" w:space="0" w:color="auto"/>
              <w:bottom w:val="single" w:sz="4" w:space="0" w:color="auto"/>
              <w:right w:val="single" w:sz="4" w:space="0" w:color="auto"/>
            </w:tcBorders>
            <w:shd w:val="clear" w:color="auto" w:fill="004E73"/>
          </w:tcPr>
          <w:p w14:paraId="32762C12" w14:textId="77777777" w:rsidR="003D2273" w:rsidRPr="00F2710F" w:rsidRDefault="003D2273" w:rsidP="00022806">
            <w:pPr>
              <w:pStyle w:val="TableHeading"/>
              <w:jc w:val="center"/>
              <w:rPr>
                <w:rFonts w:cs="Arial"/>
                <w:sz w:val="20"/>
                <w:szCs w:val="20"/>
              </w:rPr>
            </w:pPr>
            <w:r w:rsidRPr="00F2710F">
              <w:rPr>
                <w:sz w:val="20"/>
              </w:rPr>
              <w:t>Final ToR</w:t>
            </w:r>
          </w:p>
        </w:tc>
        <w:tc>
          <w:tcPr>
            <w:tcW w:w="1000" w:type="dxa"/>
            <w:tcBorders>
              <w:top w:val="single" w:sz="4" w:space="0" w:color="auto"/>
              <w:left w:val="single" w:sz="4" w:space="0" w:color="auto"/>
              <w:bottom w:val="single" w:sz="4" w:space="0" w:color="auto"/>
              <w:right w:val="single" w:sz="4" w:space="0" w:color="auto"/>
            </w:tcBorders>
            <w:shd w:val="clear" w:color="auto" w:fill="004E73"/>
          </w:tcPr>
          <w:p w14:paraId="7A8574BE" w14:textId="77777777" w:rsidR="003D2273" w:rsidRPr="00F2710F" w:rsidRDefault="003D2273" w:rsidP="00022806">
            <w:pPr>
              <w:pStyle w:val="TableHeading"/>
              <w:jc w:val="center"/>
              <w:rPr>
                <w:rFonts w:cs="Arial"/>
                <w:sz w:val="20"/>
                <w:szCs w:val="20"/>
              </w:rPr>
            </w:pPr>
            <w:r w:rsidRPr="00F2710F">
              <w:rPr>
                <w:sz w:val="20"/>
              </w:rPr>
              <w:t>Target Final Draft Report</w:t>
            </w:r>
          </w:p>
        </w:tc>
        <w:tc>
          <w:tcPr>
            <w:tcW w:w="1000" w:type="dxa"/>
            <w:tcBorders>
              <w:top w:val="single" w:sz="4" w:space="0" w:color="auto"/>
              <w:left w:val="single" w:sz="4" w:space="0" w:color="auto"/>
              <w:bottom w:val="single" w:sz="4" w:space="0" w:color="auto"/>
              <w:right w:val="single" w:sz="4" w:space="0" w:color="auto"/>
            </w:tcBorders>
            <w:shd w:val="clear" w:color="auto" w:fill="004E73"/>
          </w:tcPr>
          <w:p w14:paraId="6CDCA4CB" w14:textId="77777777" w:rsidR="003D2273" w:rsidRPr="00F2710F" w:rsidRDefault="003D2273" w:rsidP="00022806">
            <w:pPr>
              <w:pStyle w:val="TableHeading"/>
              <w:jc w:val="center"/>
              <w:rPr>
                <w:rFonts w:cs="Arial"/>
                <w:sz w:val="20"/>
                <w:szCs w:val="20"/>
              </w:rPr>
            </w:pPr>
            <w:r w:rsidRPr="00F2710F">
              <w:rPr>
                <w:sz w:val="20"/>
              </w:rPr>
              <w:t>Actual Final Draft Report</w:t>
            </w:r>
          </w:p>
        </w:tc>
        <w:tc>
          <w:tcPr>
            <w:tcW w:w="965" w:type="dxa"/>
            <w:tcBorders>
              <w:top w:val="single" w:sz="4" w:space="0" w:color="auto"/>
              <w:left w:val="single" w:sz="4" w:space="0" w:color="auto"/>
              <w:bottom w:val="single" w:sz="4" w:space="0" w:color="auto"/>
              <w:right w:val="single" w:sz="4" w:space="0" w:color="auto"/>
            </w:tcBorders>
            <w:shd w:val="clear" w:color="auto" w:fill="004E73"/>
          </w:tcPr>
          <w:p w14:paraId="67AADEAE" w14:textId="77777777" w:rsidR="003D2273" w:rsidRPr="00F2710F" w:rsidRDefault="003D2273" w:rsidP="00022806">
            <w:pPr>
              <w:pStyle w:val="TableHeading"/>
              <w:jc w:val="center"/>
              <w:rPr>
                <w:rFonts w:cs="Arial"/>
                <w:sz w:val="20"/>
                <w:szCs w:val="20"/>
              </w:rPr>
            </w:pPr>
            <w:r w:rsidRPr="00F2710F">
              <w:rPr>
                <w:sz w:val="20"/>
              </w:rPr>
              <w:t>Final Report</w:t>
            </w:r>
          </w:p>
        </w:tc>
        <w:tc>
          <w:tcPr>
            <w:tcW w:w="969" w:type="dxa"/>
            <w:tcBorders>
              <w:top w:val="single" w:sz="4" w:space="0" w:color="auto"/>
              <w:left w:val="single" w:sz="4" w:space="0" w:color="auto"/>
              <w:bottom w:val="single" w:sz="4" w:space="0" w:color="auto"/>
              <w:right w:val="single" w:sz="4" w:space="0" w:color="auto"/>
            </w:tcBorders>
            <w:shd w:val="clear" w:color="auto" w:fill="004E73"/>
          </w:tcPr>
          <w:p w14:paraId="212D9872" w14:textId="77777777" w:rsidR="003D2273" w:rsidRPr="00F2710F" w:rsidRDefault="003D2273" w:rsidP="00022806">
            <w:pPr>
              <w:pStyle w:val="TableHeading"/>
              <w:jc w:val="center"/>
              <w:rPr>
                <w:rFonts w:cs="Arial"/>
                <w:sz w:val="20"/>
                <w:szCs w:val="20"/>
                <w:vertAlign w:val="superscript"/>
              </w:rPr>
            </w:pPr>
            <w:r w:rsidRPr="00F2710F">
              <w:rPr>
                <w:sz w:val="20"/>
              </w:rPr>
              <w:t>E/IR/ SIR/I2</w:t>
            </w:r>
          </w:p>
        </w:tc>
        <w:tc>
          <w:tcPr>
            <w:tcW w:w="500" w:type="dxa"/>
            <w:tcBorders>
              <w:top w:val="single" w:sz="4" w:space="0" w:color="auto"/>
              <w:left w:val="single" w:sz="4" w:space="0" w:color="auto"/>
              <w:bottom w:val="single" w:sz="4" w:space="0" w:color="auto"/>
              <w:right w:val="single" w:sz="4" w:space="0" w:color="auto"/>
            </w:tcBorders>
            <w:shd w:val="clear" w:color="auto" w:fill="004E73"/>
          </w:tcPr>
          <w:p w14:paraId="6D3E2215" w14:textId="77777777" w:rsidR="003D2273" w:rsidRPr="00F2710F" w:rsidRDefault="003D2273" w:rsidP="00022806">
            <w:pPr>
              <w:pStyle w:val="TableHeading"/>
              <w:jc w:val="center"/>
              <w:rPr>
                <w:rFonts w:cs="Arial"/>
                <w:sz w:val="20"/>
                <w:szCs w:val="20"/>
              </w:rPr>
            </w:pPr>
            <w:r w:rsidRPr="00F2710F">
              <w:rPr>
                <w:sz w:val="20"/>
              </w:rPr>
              <w:t>C</w:t>
            </w:r>
          </w:p>
        </w:tc>
        <w:tc>
          <w:tcPr>
            <w:tcW w:w="500" w:type="dxa"/>
            <w:tcBorders>
              <w:top w:val="single" w:sz="4" w:space="0" w:color="auto"/>
              <w:left w:val="single" w:sz="4" w:space="0" w:color="auto"/>
              <w:bottom w:val="single" w:sz="4" w:space="0" w:color="auto"/>
              <w:right w:val="single" w:sz="4" w:space="0" w:color="auto"/>
            </w:tcBorders>
            <w:shd w:val="clear" w:color="auto" w:fill="004E73"/>
          </w:tcPr>
          <w:p w14:paraId="03AE6336" w14:textId="77777777" w:rsidR="003D2273" w:rsidRPr="00F2710F" w:rsidRDefault="003D2273" w:rsidP="00022806">
            <w:pPr>
              <w:pStyle w:val="TableHeading"/>
              <w:jc w:val="center"/>
              <w:rPr>
                <w:rFonts w:cs="Arial"/>
                <w:sz w:val="20"/>
                <w:szCs w:val="20"/>
              </w:rPr>
            </w:pPr>
            <w:r w:rsidRPr="00F2710F">
              <w:rPr>
                <w:sz w:val="20"/>
              </w:rPr>
              <w:t>H</w:t>
            </w:r>
          </w:p>
        </w:tc>
        <w:tc>
          <w:tcPr>
            <w:tcW w:w="500" w:type="dxa"/>
            <w:tcBorders>
              <w:top w:val="single" w:sz="4" w:space="0" w:color="auto"/>
              <w:left w:val="single" w:sz="4" w:space="0" w:color="auto"/>
              <w:bottom w:val="single" w:sz="4" w:space="0" w:color="auto"/>
              <w:right w:val="single" w:sz="4" w:space="0" w:color="auto"/>
            </w:tcBorders>
            <w:shd w:val="clear" w:color="auto" w:fill="004E73"/>
          </w:tcPr>
          <w:p w14:paraId="5420D187" w14:textId="77777777" w:rsidR="003D2273" w:rsidRPr="00F2710F" w:rsidRDefault="003D2273" w:rsidP="00022806">
            <w:pPr>
              <w:pStyle w:val="TableHeading"/>
              <w:jc w:val="center"/>
              <w:rPr>
                <w:rFonts w:cs="Arial"/>
                <w:sz w:val="20"/>
                <w:szCs w:val="20"/>
              </w:rPr>
            </w:pPr>
            <w:r w:rsidRPr="00F2710F">
              <w:rPr>
                <w:sz w:val="20"/>
              </w:rPr>
              <w:t>M</w:t>
            </w:r>
          </w:p>
        </w:tc>
        <w:tc>
          <w:tcPr>
            <w:tcW w:w="500" w:type="dxa"/>
            <w:tcBorders>
              <w:top w:val="single" w:sz="4" w:space="0" w:color="auto"/>
              <w:left w:val="single" w:sz="4" w:space="0" w:color="auto"/>
              <w:bottom w:val="single" w:sz="4" w:space="0" w:color="auto"/>
              <w:right w:val="single" w:sz="4" w:space="0" w:color="auto"/>
            </w:tcBorders>
            <w:shd w:val="clear" w:color="auto" w:fill="004E73"/>
          </w:tcPr>
          <w:p w14:paraId="0A1309C1" w14:textId="77777777" w:rsidR="003D2273" w:rsidRPr="00F2710F" w:rsidRDefault="003D2273" w:rsidP="00022806">
            <w:pPr>
              <w:pStyle w:val="TableHeading"/>
              <w:jc w:val="center"/>
              <w:rPr>
                <w:rFonts w:cs="Arial"/>
                <w:sz w:val="20"/>
                <w:szCs w:val="20"/>
              </w:rPr>
            </w:pPr>
            <w:r w:rsidRPr="00F2710F">
              <w:rPr>
                <w:sz w:val="20"/>
              </w:rPr>
              <w:t>L</w:t>
            </w:r>
          </w:p>
        </w:tc>
      </w:tr>
      <w:tr w:rsidR="003D2273" w:rsidRPr="00F2710F" w14:paraId="6197BA4E" w14:textId="77777777" w:rsidTr="003D2273">
        <w:trPr>
          <w:trHeight w:val="454"/>
        </w:trPr>
        <w:tc>
          <w:tcPr>
            <w:tcW w:w="14359" w:type="dxa"/>
            <w:gridSpan w:val="18"/>
            <w:tcMar>
              <w:left w:w="85" w:type="dxa"/>
              <w:right w:w="85" w:type="dxa"/>
            </w:tcMar>
          </w:tcPr>
          <w:p w14:paraId="53A44FD7" w14:textId="77777777" w:rsidR="003D2273" w:rsidRPr="00F2710F" w:rsidRDefault="003D2273" w:rsidP="00022806">
            <w:pPr>
              <w:rPr>
                <w:rFonts w:cs="Arial"/>
                <w:sz w:val="20"/>
                <w:lang w:eastAsia="en-GB"/>
              </w:rPr>
            </w:pPr>
            <w:r w:rsidRPr="00F2710F">
              <w:rPr>
                <w:sz w:val="20"/>
              </w:rPr>
              <w:t>Capita Group Internal Audit (GIA)</w:t>
            </w:r>
          </w:p>
        </w:tc>
      </w:tr>
      <w:tr w:rsidR="00F2710F" w:rsidRPr="00F2710F" w14:paraId="1032AB42" w14:textId="77777777" w:rsidTr="008E18A0">
        <w:trPr>
          <w:trHeight w:val="454"/>
        </w:trPr>
        <w:tc>
          <w:tcPr>
            <w:tcW w:w="2325" w:type="dxa"/>
            <w:tcMar>
              <w:left w:w="85" w:type="dxa"/>
              <w:right w:w="85" w:type="dxa"/>
            </w:tcMar>
          </w:tcPr>
          <w:p w14:paraId="14D31BF4" w14:textId="77777777" w:rsidR="00F2710F" w:rsidRPr="00F2710F" w:rsidRDefault="00F2710F" w:rsidP="008C4DBB">
            <w:pPr>
              <w:rPr>
                <w:rFonts w:cs="Arial"/>
                <w:sz w:val="20"/>
                <w:lang w:eastAsia="en-GB"/>
              </w:rPr>
            </w:pPr>
            <w:r w:rsidRPr="00F2710F">
              <w:rPr>
                <w:sz w:val="20"/>
              </w:rPr>
              <w:t xml:space="preserve">TPS Change Management </w:t>
            </w:r>
          </w:p>
        </w:tc>
        <w:tc>
          <w:tcPr>
            <w:tcW w:w="500" w:type="dxa"/>
            <w:vAlign w:val="center"/>
          </w:tcPr>
          <w:p w14:paraId="01E41C69" w14:textId="77777777" w:rsidR="00F2710F" w:rsidRPr="00F2710F" w:rsidRDefault="00F2710F" w:rsidP="00022806">
            <w:pPr>
              <w:jc w:val="center"/>
              <w:rPr>
                <w:rFonts w:cs="Arial"/>
                <w:sz w:val="22"/>
                <w:szCs w:val="22"/>
                <w:lang w:eastAsia="en-GB"/>
              </w:rPr>
            </w:pPr>
            <w:r w:rsidRPr="00F2710F">
              <w:rPr>
                <w:rFonts w:cs="Arial"/>
                <w:sz w:val="22"/>
                <w:szCs w:val="22"/>
                <w:lang w:eastAsia="en-GB"/>
              </w:rPr>
              <w:sym w:font="Wingdings" w:char="F0FC"/>
            </w:r>
          </w:p>
        </w:tc>
        <w:tc>
          <w:tcPr>
            <w:tcW w:w="500" w:type="dxa"/>
            <w:vAlign w:val="center"/>
          </w:tcPr>
          <w:p w14:paraId="2722A789" w14:textId="77777777" w:rsidR="00F2710F" w:rsidRPr="00F2710F" w:rsidRDefault="00F2710F" w:rsidP="00022806">
            <w:pPr>
              <w:jc w:val="center"/>
              <w:rPr>
                <w:rFonts w:cs="Arial"/>
                <w:sz w:val="22"/>
                <w:szCs w:val="22"/>
                <w:lang w:eastAsia="en-GB"/>
              </w:rPr>
            </w:pPr>
          </w:p>
        </w:tc>
        <w:tc>
          <w:tcPr>
            <w:tcW w:w="500" w:type="dxa"/>
            <w:vAlign w:val="center"/>
          </w:tcPr>
          <w:p w14:paraId="7781FFDF" w14:textId="77777777" w:rsidR="00F2710F" w:rsidRPr="00F2710F" w:rsidRDefault="00F2710F" w:rsidP="00022806">
            <w:pPr>
              <w:jc w:val="center"/>
              <w:rPr>
                <w:rFonts w:cs="Arial"/>
                <w:sz w:val="22"/>
                <w:szCs w:val="22"/>
                <w:lang w:eastAsia="en-GB"/>
              </w:rPr>
            </w:pPr>
          </w:p>
        </w:tc>
        <w:tc>
          <w:tcPr>
            <w:tcW w:w="500" w:type="dxa"/>
            <w:vAlign w:val="center"/>
          </w:tcPr>
          <w:p w14:paraId="5141FB55" w14:textId="77777777" w:rsidR="00F2710F" w:rsidRPr="00F2710F" w:rsidRDefault="00F2710F" w:rsidP="00022806">
            <w:pPr>
              <w:jc w:val="center"/>
              <w:rPr>
                <w:rFonts w:cs="Arial"/>
                <w:sz w:val="22"/>
                <w:szCs w:val="22"/>
                <w:lang w:eastAsia="en-GB"/>
              </w:rPr>
            </w:pPr>
          </w:p>
        </w:tc>
        <w:tc>
          <w:tcPr>
            <w:tcW w:w="1119" w:type="dxa"/>
            <w:gridSpan w:val="2"/>
            <w:tcMar>
              <w:left w:w="113" w:type="dxa"/>
              <w:right w:w="85" w:type="dxa"/>
            </w:tcMar>
          </w:tcPr>
          <w:p w14:paraId="6B53C651" w14:textId="77777777" w:rsidR="00F2710F" w:rsidRPr="00F2710F" w:rsidRDefault="00F2710F" w:rsidP="00022806">
            <w:pPr>
              <w:ind w:left="-113" w:right="-85"/>
              <w:jc w:val="center"/>
              <w:rPr>
                <w:rFonts w:cs="Arial"/>
                <w:sz w:val="20"/>
                <w:lang w:eastAsia="en-GB"/>
              </w:rPr>
            </w:pPr>
            <w:r w:rsidRPr="00F2710F">
              <w:rPr>
                <w:sz w:val="20"/>
              </w:rPr>
              <w:t>Final Draft</w:t>
            </w:r>
          </w:p>
        </w:tc>
        <w:tc>
          <w:tcPr>
            <w:tcW w:w="1081" w:type="dxa"/>
          </w:tcPr>
          <w:p w14:paraId="07EBF47C" w14:textId="77777777" w:rsidR="00F2710F" w:rsidRPr="00F2710F" w:rsidRDefault="00F2710F" w:rsidP="00022806">
            <w:pPr>
              <w:jc w:val="center"/>
              <w:rPr>
                <w:rFonts w:cs="Arial"/>
                <w:color w:val="000000"/>
                <w:sz w:val="20"/>
                <w:lang w:eastAsia="en-GB"/>
              </w:rPr>
            </w:pPr>
            <w:r w:rsidRPr="00F2710F">
              <w:rPr>
                <w:sz w:val="20"/>
              </w:rPr>
              <w:t>Mar 2017</w:t>
            </w:r>
          </w:p>
        </w:tc>
        <w:tc>
          <w:tcPr>
            <w:tcW w:w="1000" w:type="dxa"/>
            <w:shd w:val="clear" w:color="auto" w:fill="00B050"/>
          </w:tcPr>
          <w:p w14:paraId="020EF19F" w14:textId="77777777" w:rsidR="00F2710F" w:rsidRPr="00F2710F" w:rsidRDefault="00F2710F" w:rsidP="00022806">
            <w:pPr>
              <w:jc w:val="center"/>
              <w:rPr>
                <w:rFonts w:cs="Arial"/>
                <w:sz w:val="20"/>
                <w:lang w:eastAsia="en-GB"/>
              </w:rPr>
            </w:pPr>
            <w:r w:rsidRPr="00F2710F">
              <w:rPr>
                <w:sz w:val="20"/>
              </w:rPr>
              <w:t>31/03/17</w:t>
            </w:r>
          </w:p>
        </w:tc>
        <w:tc>
          <w:tcPr>
            <w:tcW w:w="900" w:type="dxa"/>
            <w:shd w:val="clear" w:color="auto" w:fill="auto"/>
          </w:tcPr>
          <w:p w14:paraId="1258198F" w14:textId="77777777" w:rsidR="00F2710F" w:rsidRPr="00F2710F" w:rsidRDefault="00F2710F" w:rsidP="00022806">
            <w:pPr>
              <w:jc w:val="center"/>
              <w:rPr>
                <w:rFonts w:cs="Arial"/>
                <w:sz w:val="20"/>
                <w:lang w:eastAsia="en-GB"/>
              </w:rPr>
            </w:pPr>
            <w:r w:rsidRPr="00F2710F">
              <w:rPr>
                <w:sz w:val="20"/>
              </w:rPr>
              <w:t>08/05/17</w:t>
            </w:r>
          </w:p>
        </w:tc>
        <w:tc>
          <w:tcPr>
            <w:tcW w:w="1000" w:type="dxa"/>
            <w:shd w:val="clear" w:color="auto" w:fill="auto"/>
          </w:tcPr>
          <w:p w14:paraId="58D950A7" w14:textId="77777777" w:rsidR="00F2710F" w:rsidRPr="00F2710F" w:rsidRDefault="00F2710F" w:rsidP="00022806">
            <w:pPr>
              <w:jc w:val="center"/>
              <w:rPr>
                <w:rFonts w:cs="Arial"/>
                <w:sz w:val="20"/>
                <w:lang w:eastAsia="en-GB"/>
              </w:rPr>
            </w:pPr>
            <w:r w:rsidRPr="00F2710F">
              <w:rPr>
                <w:sz w:val="20"/>
              </w:rPr>
              <w:t>Jun 17</w:t>
            </w:r>
          </w:p>
        </w:tc>
        <w:tc>
          <w:tcPr>
            <w:tcW w:w="1000" w:type="dxa"/>
            <w:shd w:val="clear" w:color="auto" w:fill="FFC000"/>
          </w:tcPr>
          <w:p w14:paraId="23F7EF03" w14:textId="77777777" w:rsidR="00F2710F" w:rsidRPr="00F2710F" w:rsidRDefault="00F2710F" w:rsidP="00022806">
            <w:pPr>
              <w:jc w:val="center"/>
              <w:rPr>
                <w:rFonts w:cs="Arial"/>
                <w:sz w:val="20"/>
                <w:lang w:eastAsia="en-GB"/>
              </w:rPr>
            </w:pPr>
            <w:r w:rsidRPr="00F2710F">
              <w:rPr>
                <w:sz w:val="20"/>
              </w:rPr>
              <w:t>18/09/17</w:t>
            </w:r>
          </w:p>
        </w:tc>
        <w:tc>
          <w:tcPr>
            <w:tcW w:w="965" w:type="dxa"/>
            <w:shd w:val="clear" w:color="auto" w:fill="auto"/>
          </w:tcPr>
          <w:p w14:paraId="7998FF7B" w14:textId="77777777" w:rsidR="00F2710F" w:rsidRPr="00F2710F" w:rsidRDefault="00F2710F" w:rsidP="00022806">
            <w:pPr>
              <w:jc w:val="center"/>
              <w:rPr>
                <w:rFonts w:cs="Arial"/>
                <w:sz w:val="20"/>
                <w:lang w:eastAsia="en-GB"/>
              </w:rPr>
            </w:pPr>
            <w:r w:rsidRPr="00F2710F">
              <w:rPr>
                <w:sz w:val="20"/>
              </w:rPr>
              <w:t>05/10/17</w:t>
            </w:r>
          </w:p>
        </w:tc>
        <w:tc>
          <w:tcPr>
            <w:tcW w:w="969" w:type="dxa"/>
            <w:shd w:val="clear" w:color="auto" w:fill="auto"/>
          </w:tcPr>
          <w:p w14:paraId="7D8E1721" w14:textId="77777777" w:rsidR="00F2710F" w:rsidRPr="00F2710F" w:rsidRDefault="00F2710F" w:rsidP="00022806">
            <w:pPr>
              <w:jc w:val="center"/>
              <w:rPr>
                <w:rFonts w:cs="Arial"/>
                <w:sz w:val="20"/>
                <w:lang w:eastAsia="en-GB"/>
              </w:rPr>
            </w:pPr>
            <w:r w:rsidRPr="00F2710F">
              <w:rPr>
                <w:sz w:val="20"/>
              </w:rPr>
              <w:t>E</w:t>
            </w:r>
          </w:p>
        </w:tc>
        <w:tc>
          <w:tcPr>
            <w:tcW w:w="500" w:type="dxa"/>
            <w:shd w:val="clear" w:color="auto" w:fill="auto"/>
          </w:tcPr>
          <w:p w14:paraId="4F1A3A29" w14:textId="77777777" w:rsidR="00F2710F" w:rsidRPr="00F2710F" w:rsidRDefault="00F2710F" w:rsidP="00022806">
            <w:pPr>
              <w:jc w:val="center"/>
              <w:rPr>
                <w:rFonts w:cs="Arial"/>
                <w:sz w:val="20"/>
                <w:lang w:eastAsia="en-GB"/>
              </w:rPr>
            </w:pPr>
            <w:r w:rsidRPr="00F2710F">
              <w:rPr>
                <w:sz w:val="20"/>
              </w:rPr>
              <w:t>-</w:t>
            </w:r>
          </w:p>
        </w:tc>
        <w:tc>
          <w:tcPr>
            <w:tcW w:w="500" w:type="dxa"/>
            <w:shd w:val="clear" w:color="auto" w:fill="auto"/>
          </w:tcPr>
          <w:p w14:paraId="3C360366" w14:textId="77777777" w:rsidR="00F2710F" w:rsidRPr="00F2710F" w:rsidRDefault="00F2710F" w:rsidP="00022806">
            <w:pPr>
              <w:jc w:val="center"/>
              <w:rPr>
                <w:rFonts w:cs="Arial"/>
                <w:sz w:val="20"/>
                <w:lang w:eastAsia="en-GB"/>
              </w:rPr>
            </w:pPr>
            <w:r w:rsidRPr="00F2710F">
              <w:rPr>
                <w:sz w:val="20"/>
              </w:rPr>
              <w:t>-</w:t>
            </w:r>
          </w:p>
        </w:tc>
        <w:tc>
          <w:tcPr>
            <w:tcW w:w="500" w:type="dxa"/>
            <w:shd w:val="clear" w:color="auto" w:fill="auto"/>
          </w:tcPr>
          <w:p w14:paraId="7F2D24FC" w14:textId="77777777" w:rsidR="00F2710F" w:rsidRPr="00F2710F" w:rsidRDefault="00F2710F" w:rsidP="00022806">
            <w:pPr>
              <w:jc w:val="center"/>
              <w:rPr>
                <w:rFonts w:cs="Arial"/>
                <w:sz w:val="20"/>
                <w:lang w:eastAsia="en-GB"/>
              </w:rPr>
            </w:pPr>
            <w:r w:rsidRPr="00F2710F">
              <w:rPr>
                <w:sz w:val="20"/>
              </w:rPr>
              <w:t>-</w:t>
            </w:r>
          </w:p>
        </w:tc>
        <w:tc>
          <w:tcPr>
            <w:tcW w:w="500" w:type="dxa"/>
            <w:shd w:val="clear" w:color="auto" w:fill="auto"/>
          </w:tcPr>
          <w:p w14:paraId="01F0DBF3" w14:textId="77777777" w:rsidR="00F2710F" w:rsidRPr="00F2710F" w:rsidRDefault="00F2710F" w:rsidP="00022806">
            <w:pPr>
              <w:jc w:val="center"/>
              <w:rPr>
                <w:rFonts w:cs="Arial"/>
                <w:sz w:val="20"/>
                <w:lang w:eastAsia="en-GB"/>
              </w:rPr>
            </w:pPr>
            <w:r w:rsidRPr="00F2710F">
              <w:rPr>
                <w:sz w:val="20"/>
              </w:rPr>
              <w:t>1</w:t>
            </w:r>
          </w:p>
        </w:tc>
      </w:tr>
      <w:tr w:rsidR="00F2710F" w:rsidRPr="00F2710F" w14:paraId="691271A7" w14:textId="77777777" w:rsidTr="008E18A0">
        <w:trPr>
          <w:trHeight w:val="454"/>
        </w:trPr>
        <w:tc>
          <w:tcPr>
            <w:tcW w:w="2325" w:type="dxa"/>
            <w:tcMar>
              <w:left w:w="85" w:type="dxa"/>
              <w:right w:w="85" w:type="dxa"/>
            </w:tcMar>
          </w:tcPr>
          <w:p w14:paraId="02E0BC61" w14:textId="77777777" w:rsidR="00F2710F" w:rsidRPr="00F2710F" w:rsidRDefault="00F2710F" w:rsidP="008C4DBB">
            <w:pPr>
              <w:rPr>
                <w:rFonts w:cs="Arial"/>
                <w:sz w:val="20"/>
                <w:lang w:eastAsia="en-GB"/>
              </w:rPr>
            </w:pPr>
            <w:r w:rsidRPr="00F2710F">
              <w:rPr>
                <w:sz w:val="20"/>
              </w:rPr>
              <w:t>CIBS Customer Comms / Events</w:t>
            </w:r>
          </w:p>
        </w:tc>
        <w:tc>
          <w:tcPr>
            <w:tcW w:w="500" w:type="dxa"/>
            <w:vAlign w:val="center"/>
          </w:tcPr>
          <w:p w14:paraId="02A77E9A" w14:textId="77777777" w:rsidR="00F2710F" w:rsidRPr="00F2710F" w:rsidRDefault="00F2710F" w:rsidP="00022806">
            <w:pPr>
              <w:jc w:val="center"/>
              <w:rPr>
                <w:rFonts w:cs="Arial"/>
                <w:sz w:val="22"/>
                <w:szCs w:val="22"/>
                <w:lang w:eastAsia="en-GB"/>
              </w:rPr>
            </w:pPr>
          </w:p>
        </w:tc>
        <w:tc>
          <w:tcPr>
            <w:tcW w:w="500" w:type="dxa"/>
            <w:vAlign w:val="center"/>
          </w:tcPr>
          <w:p w14:paraId="6EB0979C" w14:textId="77777777" w:rsidR="00F2710F" w:rsidRPr="00F2710F" w:rsidRDefault="00F2710F" w:rsidP="00022806">
            <w:pPr>
              <w:jc w:val="center"/>
              <w:rPr>
                <w:rFonts w:cs="Arial"/>
                <w:sz w:val="22"/>
                <w:szCs w:val="22"/>
                <w:lang w:eastAsia="en-GB"/>
              </w:rPr>
            </w:pPr>
            <w:r w:rsidRPr="00F2710F">
              <w:rPr>
                <w:rFonts w:cs="Arial"/>
                <w:sz w:val="22"/>
                <w:szCs w:val="22"/>
                <w:lang w:eastAsia="en-GB"/>
              </w:rPr>
              <w:sym w:font="Wingdings" w:char="F0FC"/>
            </w:r>
          </w:p>
        </w:tc>
        <w:tc>
          <w:tcPr>
            <w:tcW w:w="500" w:type="dxa"/>
            <w:vAlign w:val="center"/>
          </w:tcPr>
          <w:p w14:paraId="07B53F52" w14:textId="77777777" w:rsidR="00F2710F" w:rsidRPr="00F2710F" w:rsidRDefault="00F2710F" w:rsidP="00022806">
            <w:pPr>
              <w:jc w:val="center"/>
              <w:rPr>
                <w:rFonts w:cs="Arial"/>
                <w:sz w:val="22"/>
                <w:szCs w:val="22"/>
                <w:lang w:eastAsia="en-GB"/>
              </w:rPr>
            </w:pPr>
          </w:p>
        </w:tc>
        <w:tc>
          <w:tcPr>
            <w:tcW w:w="500" w:type="dxa"/>
            <w:vAlign w:val="center"/>
          </w:tcPr>
          <w:p w14:paraId="4F4ADE2B" w14:textId="77777777" w:rsidR="00F2710F" w:rsidRPr="00F2710F" w:rsidRDefault="00F2710F" w:rsidP="00022806">
            <w:pPr>
              <w:jc w:val="center"/>
              <w:rPr>
                <w:rFonts w:cs="Arial"/>
                <w:sz w:val="22"/>
                <w:szCs w:val="22"/>
                <w:lang w:eastAsia="en-GB"/>
              </w:rPr>
            </w:pPr>
          </w:p>
        </w:tc>
        <w:tc>
          <w:tcPr>
            <w:tcW w:w="1119" w:type="dxa"/>
            <w:gridSpan w:val="2"/>
            <w:tcMar>
              <w:left w:w="113" w:type="dxa"/>
              <w:right w:w="85" w:type="dxa"/>
            </w:tcMar>
          </w:tcPr>
          <w:p w14:paraId="0639E600" w14:textId="77777777" w:rsidR="00F2710F" w:rsidRPr="00F2710F" w:rsidRDefault="00F2710F" w:rsidP="00022806">
            <w:pPr>
              <w:ind w:left="-113" w:right="-85"/>
              <w:jc w:val="center"/>
              <w:rPr>
                <w:rFonts w:cs="Arial"/>
                <w:sz w:val="20"/>
                <w:lang w:eastAsia="en-GB"/>
              </w:rPr>
            </w:pPr>
            <w:r w:rsidRPr="00F2710F">
              <w:rPr>
                <w:sz w:val="20"/>
              </w:rPr>
              <w:t>Final Report</w:t>
            </w:r>
          </w:p>
        </w:tc>
        <w:tc>
          <w:tcPr>
            <w:tcW w:w="1081" w:type="dxa"/>
          </w:tcPr>
          <w:p w14:paraId="76394153" w14:textId="77777777" w:rsidR="00F2710F" w:rsidRPr="00F2710F" w:rsidRDefault="00F2710F" w:rsidP="00022806">
            <w:pPr>
              <w:jc w:val="center"/>
              <w:rPr>
                <w:rFonts w:cs="Arial"/>
                <w:color w:val="000000"/>
                <w:sz w:val="20"/>
                <w:lang w:eastAsia="en-GB"/>
              </w:rPr>
            </w:pPr>
            <w:r w:rsidRPr="00F2710F">
              <w:rPr>
                <w:sz w:val="20"/>
              </w:rPr>
              <w:t>Mar 2017</w:t>
            </w:r>
          </w:p>
        </w:tc>
        <w:tc>
          <w:tcPr>
            <w:tcW w:w="1000" w:type="dxa"/>
            <w:shd w:val="clear" w:color="auto" w:fill="00B050"/>
          </w:tcPr>
          <w:p w14:paraId="0D8BF741" w14:textId="77777777" w:rsidR="00F2710F" w:rsidRPr="00F2710F" w:rsidRDefault="00F2710F" w:rsidP="00022806">
            <w:pPr>
              <w:jc w:val="center"/>
              <w:rPr>
                <w:rFonts w:cs="Arial"/>
                <w:sz w:val="20"/>
                <w:lang w:eastAsia="en-GB"/>
              </w:rPr>
            </w:pPr>
            <w:r w:rsidRPr="00F2710F">
              <w:rPr>
                <w:sz w:val="20"/>
              </w:rPr>
              <w:t>31/03/17</w:t>
            </w:r>
          </w:p>
        </w:tc>
        <w:tc>
          <w:tcPr>
            <w:tcW w:w="900" w:type="dxa"/>
            <w:shd w:val="clear" w:color="auto" w:fill="auto"/>
          </w:tcPr>
          <w:p w14:paraId="4D9933E2" w14:textId="77777777" w:rsidR="00F2710F" w:rsidRPr="00F2710F" w:rsidRDefault="00F2710F" w:rsidP="00022806">
            <w:pPr>
              <w:jc w:val="center"/>
              <w:rPr>
                <w:rFonts w:cs="Arial"/>
                <w:sz w:val="20"/>
                <w:lang w:eastAsia="en-GB"/>
              </w:rPr>
            </w:pPr>
            <w:r w:rsidRPr="00F2710F">
              <w:rPr>
                <w:sz w:val="20"/>
              </w:rPr>
              <w:t>18/05/17</w:t>
            </w:r>
          </w:p>
        </w:tc>
        <w:tc>
          <w:tcPr>
            <w:tcW w:w="1000" w:type="dxa"/>
            <w:shd w:val="clear" w:color="auto" w:fill="auto"/>
          </w:tcPr>
          <w:p w14:paraId="09683295" w14:textId="77777777" w:rsidR="00F2710F" w:rsidRPr="00F2710F" w:rsidRDefault="00F2710F" w:rsidP="00022806">
            <w:pPr>
              <w:jc w:val="center"/>
              <w:rPr>
                <w:rFonts w:cs="Arial"/>
                <w:sz w:val="20"/>
                <w:lang w:eastAsia="en-GB"/>
              </w:rPr>
            </w:pPr>
            <w:r w:rsidRPr="00F2710F">
              <w:rPr>
                <w:sz w:val="20"/>
              </w:rPr>
              <w:t>Jun 17</w:t>
            </w:r>
          </w:p>
        </w:tc>
        <w:tc>
          <w:tcPr>
            <w:tcW w:w="1000" w:type="dxa"/>
            <w:shd w:val="clear" w:color="auto" w:fill="FFC000"/>
          </w:tcPr>
          <w:p w14:paraId="7D692A8F" w14:textId="77777777" w:rsidR="00F2710F" w:rsidRPr="00F2710F" w:rsidRDefault="00F2710F" w:rsidP="00022806">
            <w:pPr>
              <w:jc w:val="center"/>
              <w:rPr>
                <w:rFonts w:cs="Arial"/>
                <w:sz w:val="20"/>
                <w:lang w:eastAsia="en-GB"/>
              </w:rPr>
            </w:pPr>
            <w:r w:rsidRPr="00F2710F">
              <w:rPr>
                <w:sz w:val="20"/>
              </w:rPr>
              <w:t>10/08/17</w:t>
            </w:r>
          </w:p>
        </w:tc>
        <w:tc>
          <w:tcPr>
            <w:tcW w:w="965" w:type="dxa"/>
            <w:shd w:val="clear" w:color="auto" w:fill="auto"/>
          </w:tcPr>
          <w:p w14:paraId="4692A523" w14:textId="77777777" w:rsidR="00F2710F" w:rsidRPr="00F2710F" w:rsidRDefault="00F2710F" w:rsidP="00022806">
            <w:pPr>
              <w:jc w:val="center"/>
              <w:rPr>
                <w:rFonts w:cs="Arial"/>
                <w:sz w:val="20"/>
                <w:lang w:eastAsia="en-GB"/>
              </w:rPr>
            </w:pPr>
            <w:r w:rsidRPr="00F2710F">
              <w:rPr>
                <w:sz w:val="20"/>
              </w:rPr>
              <w:t>05/09/17</w:t>
            </w:r>
          </w:p>
        </w:tc>
        <w:tc>
          <w:tcPr>
            <w:tcW w:w="969" w:type="dxa"/>
            <w:shd w:val="clear" w:color="auto" w:fill="auto"/>
          </w:tcPr>
          <w:p w14:paraId="02D60CDB" w14:textId="77777777" w:rsidR="00F2710F" w:rsidRPr="00F2710F" w:rsidRDefault="00F2710F" w:rsidP="00022806">
            <w:pPr>
              <w:jc w:val="center"/>
              <w:rPr>
                <w:rFonts w:cs="Arial"/>
                <w:sz w:val="20"/>
                <w:lang w:eastAsia="en-GB"/>
              </w:rPr>
            </w:pPr>
            <w:r w:rsidRPr="00F2710F">
              <w:rPr>
                <w:sz w:val="20"/>
              </w:rPr>
              <w:t>IR</w:t>
            </w:r>
          </w:p>
        </w:tc>
        <w:tc>
          <w:tcPr>
            <w:tcW w:w="500" w:type="dxa"/>
            <w:shd w:val="clear" w:color="auto" w:fill="auto"/>
          </w:tcPr>
          <w:p w14:paraId="68B7D891" w14:textId="77777777" w:rsidR="00F2710F" w:rsidRPr="00F2710F" w:rsidRDefault="00F2710F" w:rsidP="00022806">
            <w:pPr>
              <w:jc w:val="center"/>
              <w:rPr>
                <w:rFonts w:cs="Arial"/>
                <w:sz w:val="20"/>
                <w:lang w:eastAsia="en-GB"/>
              </w:rPr>
            </w:pPr>
            <w:r w:rsidRPr="00F2710F">
              <w:rPr>
                <w:sz w:val="20"/>
              </w:rPr>
              <w:t>-</w:t>
            </w:r>
          </w:p>
        </w:tc>
        <w:tc>
          <w:tcPr>
            <w:tcW w:w="500" w:type="dxa"/>
            <w:shd w:val="clear" w:color="auto" w:fill="auto"/>
          </w:tcPr>
          <w:p w14:paraId="6FFC168E" w14:textId="77777777" w:rsidR="00F2710F" w:rsidRPr="00F2710F" w:rsidRDefault="00F2710F" w:rsidP="00022806">
            <w:pPr>
              <w:jc w:val="center"/>
              <w:rPr>
                <w:rFonts w:cs="Arial"/>
                <w:sz w:val="20"/>
                <w:lang w:eastAsia="en-GB"/>
              </w:rPr>
            </w:pPr>
            <w:r w:rsidRPr="00F2710F">
              <w:rPr>
                <w:sz w:val="20"/>
              </w:rPr>
              <w:t>-</w:t>
            </w:r>
          </w:p>
        </w:tc>
        <w:tc>
          <w:tcPr>
            <w:tcW w:w="500" w:type="dxa"/>
            <w:shd w:val="clear" w:color="auto" w:fill="auto"/>
          </w:tcPr>
          <w:p w14:paraId="34FA3B4D" w14:textId="77777777" w:rsidR="00F2710F" w:rsidRPr="00F2710F" w:rsidRDefault="00F2710F" w:rsidP="00022806">
            <w:pPr>
              <w:jc w:val="center"/>
              <w:rPr>
                <w:rFonts w:cs="Arial"/>
                <w:sz w:val="20"/>
                <w:lang w:eastAsia="en-GB"/>
              </w:rPr>
            </w:pPr>
            <w:r w:rsidRPr="00F2710F">
              <w:rPr>
                <w:sz w:val="20"/>
              </w:rPr>
              <w:t>3</w:t>
            </w:r>
          </w:p>
        </w:tc>
        <w:tc>
          <w:tcPr>
            <w:tcW w:w="500" w:type="dxa"/>
            <w:shd w:val="clear" w:color="auto" w:fill="auto"/>
          </w:tcPr>
          <w:p w14:paraId="7EC1BA3B" w14:textId="77777777" w:rsidR="00F2710F" w:rsidRPr="00F2710F" w:rsidRDefault="00F2710F" w:rsidP="00022806">
            <w:pPr>
              <w:jc w:val="center"/>
              <w:rPr>
                <w:rFonts w:cs="Arial"/>
                <w:sz w:val="20"/>
                <w:lang w:eastAsia="en-GB"/>
              </w:rPr>
            </w:pPr>
            <w:r w:rsidRPr="00F2710F">
              <w:rPr>
                <w:sz w:val="20"/>
              </w:rPr>
              <w:t>-</w:t>
            </w:r>
          </w:p>
        </w:tc>
      </w:tr>
      <w:tr w:rsidR="00F2710F" w:rsidRPr="00F2710F" w14:paraId="68E90182" w14:textId="77777777" w:rsidTr="008E18A0">
        <w:trPr>
          <w:trHeight w:val="454"/>
        </w:trPr>
        <w:tc>
          <w:tcPr>
            <w:tcW w:w="2325" w:type="dxa"/>
            <w:tcMar>
              <w:left w:w="85" w:type="dxa"/>
              <w:right w:w="85" w:type="dxa"/>
            </w:tcMar>
          </w:tcPr>
          <w:p w14:paraId="039EF634" w14:textId="77777777" w:rsidR="00F2710F" w:rsidRPr="00F2710F" w:rsidRDefault="00F2710F" w:rsidP="008C4DBB">
            <w:pPr>
              <w:rPr>
                <w:rFonts w:cs="Arial"/>
                <w:sz w:val="20"/>
                <w:lang w:eastAsia="en-GB"/>
              </w:rPr>
            </w:pPr>
            <w:r w:rsidRPr="00F2710F">
              <w:rPr>
                <w:sz w:val="20"/>
              </w:rPr>
              <w:t>CIBS Staff Vetting</w:t>
            </w:r>
          </w:p>
        </w:tc>
        <w:tc>
          <w:tcPr>
            <w:tcW w:w="500" w:type="dxa"/>
            <w:vAlign w:val="center"/>
          </w:tcPr>
          <w:p w14:paraId="0457D6E7" w14:textId="77777777" w:rsidR="00F2710F" w:rsidRPr="00F2710F" w:rsidRDefault="00F2710F" w:rsidP="00022806">
            <w:pPr>
              <w:jc w:val="center"/>
              <w:rPr>
                <w:rFonts w:cs="Arial"/>
                <w:sz w:val="22"/>
                <w:szCs w:val="22"/>
                <w:lang w:eastAsia="en-GB"/>
              </w:rPr>
            </w:pPr>
          </w:p>
        </w:tc>
        <w:tc>
          <w:tcPr>
            <w:tcW w:w="500" w:type="dxa"/>
            <w:vAlign w:val="center"/>
          </w:tcPr>
          <w:p w14:paraId="38DBFD43" w14:textId="77777777" w:rsidR="00F2710F" w:rsidRPr="00F2710F" w:rsidRDefault="00F2710F" w:rsidP="00022806">
            <w:pPr>
              <w:jc w:val="center"/>
              <w:rPr>
                <w:rFonts w:cs="Arial"/>
                <w:sz w:val="22"/>
                <w:szCs w:val="22"/>
                <w:lang w:eastAsia="en-GB"/>
              </w:rPr>
            </w:pPr>
          </w:p>
        </w:tc>
        <w:tc>
          <w:tcPr>
            <w:tcW w:w="500" w:type="dxa"/>
            <w:vAlign w:val="center"/>
          </w:tcPr>
          <w:p w14:paraId="6A8FC6A8" w14:textId="77777777" w:rsidR="00F2710F" w:rsidRPr="00F2710F" w:rsidRDefault="00F2710F" w:rsidP="00022806">
            <w:pPr>
              <w:jc w:val="center"/>
              <w:rPr>
                <w:rFonts w:cs="Arial"/>
                <w:sz w:val="22"/>
                <w:szCs w:val="22"/>
                <w:lang w:eastAsia="en-GB"/>
              </w:rPr>
            </w:pPr>
            <w:r w:rsidRPr="00F2710F">
              <w:rPr>
                <w:rFonts w:cs="Arial"/>
                <w:sz w:val="22"/>
                <w:szCs w:val="22"/>
                <w:lang w:eastAsia="en-GB"/>
              </w:rPr>
              <w:sym w:font="Wingdings" w:char="F0FC"/>
            </w:r>
          </w:p>
        </w:tc>
        <w:tc>
          <w:tcPr>
            <w:tcW w:w="500" w:type="dxa"/>
            <w:vAlign w:val="center"/>
          </w:tcPr>
          <w:p w14:paraId="28C51AA3" w14:textId="77777777" w:rsidR="00F2710F" w:rsidRPr="00F2710F" w:rsidRDefault="00F2710F" w:rsidP="00022806">
            <w:pPr>
              <w:jc w:val="center"/>
              <w:rPr>
                <w:rFonts w:cs="Arial"/>
                <w:sz w:val="22"/>
                <w:szCs w:val="22"/>
                <w:lang w:eastAsia="en-GB"/>
              </w:rPr>
            </w:pPr>
          </w:p>
        </w:tc>
        <w:tc>
          <w:tcPr>
            <w:tcW w:w="1119" w:type="dxa"/>
            <w:gridSpan w:val="2"/>
            <w:tcMar>
              <w:left w:w="113" w:type="dxa"/>
              <w:right w:w="85" w:type="dxa"/>
            </w:tcMar>
          </w:tcPr>
          <w:p w14:paraId="2C9B9F81" w14:textId="77777777" w:rsidR="00F2710F" w:rsidRPr="00F2710F" w:rsidRDefault="00F2710F" w:rsidP="00022806">
            <w:pPr>
              <w:ind w:left="-113" w:right="-85"/>
              <w:jc w:val="center"/>
              <w:rPr>
                <w:rFonts w:cs="Arial"/>
                <w:sz w:val="20"/>
                <w:lang w:eastAsia="en-GB"/>
              </w:rPr>
            </w:pPr>
            <w:r w:rsidRPr="00F2710F">
              <w:rPr>
                <w:sz w:val="20"/>
              </w:rPr>
              <w:t xml:space="preserve">Fieldwork </w:t>
            </w:r>
          </w:p>
        </w:tc>
        <w:tc>
          <w:tcPr>
            <w:tcW w:w="1081" w:type="dxa"/>
          </w:tcPr>
          <w:p w14:paraId="6942EBDB" w14:textId="77777777" w:rsidR="00F2710F" w:rsidRPr="00F2710F" w:rsidRDefault="00F2710F" w:rsidP="00022806">
            <w:pPr>
              <w:jc w:val="center"/>
              <w:rPr>
                <w:rFonts w:cs="Arial"/>
                <w:color w:val="000000"/>
                <w:sz w:val="20"/>
                <w:lang w:eastAsia="en-GB"/>
              </w:rPr>
            </w:pPr>
            <w:r w:rsidRPr="00F2710F">
              <w:rPr>
                <w:sz w:val="20"/>
              </w:rPr>
              <w:t>Jul 2017</w:t>
            </w:r>
          </w:p>
        </w:tc>
        <w:tc>
          <w:tcPr>
            <w:tcW w:w="1000" w:type="dxa"/>
            <w:shd w:val="clear" w:color="auto" w:fill="00B050"/>
          </w:tcPr>
          <w:p w14:paraId="475F2226" w14:textId="77777777" w:rsidR="00F2710F" w:rsidRPr="00F2710F" w:rsidRDefault="00F2710F" w:rsidP="00022806">
            <w:pPr>
              <w:jc w:val="center"/>
              <w:rPr>
                <w:rFonts w:cs="Arial"/>
                <w:sz w:val="20"/>
                <w:lang w:eastAsia="en-GB"/>
              </w:rPr>
            </w:pPr>
            <w:r w:rsidRPr="00F2710F">
              <w:rPr>
                <w:sz w:val="20"/>
              </w:rPr>
              <w:t>26/07/17</w:t>
            </w:r>
          </w:p>
        </w:tc>
        <w:tc>
          <w:tcPr>
            <w:tcW w:w="900" w:type="dxa"/>
            <w:shd w:val="clear" w:color="auto" w:fill="auto"/>
          </w:tcPr>
          <w:p w14:paraId="27ADF3BB" w14:textId="77777777" w:rsidR="00F2710F" w:rsidRPr="00F2710F" w:rsidRDefault="00F2710F" w:rsidP="00022806">
            <w:pPr>
              <w:jc w:val="center"/>
              <w:rPr>
                <w:rFonts w:cs="Arial"/>
                <w:sz w:val="20"/>
                <w:lang w:eastAsia="en-GB"/>
              </w:rPr>
            </w:pPr>
            <w:r w:rsidRPr="00F2710F">
              <w:rPr>
                <w:sz w:val="20"/>
              </w:rPr>
              <w:t>05/09/17</w:t>
            </w:r>
          </w:p>
        </w:tc>
        <w:tc>
          <w:tcPr>
            <w:tcW w:w="1000" w:type="dxa"/>
            <w:shd w:val="clear" w:color="auto" w:fill="auto"/>
          </w:tcPr>
          <w:p w14:paraId="576C244D" w14:textId="77777777" w:rsidR="00F2710F" w:rsidRPr="00F2710F" w:rsidRDefault="00F2710F" w:rsidP="00022806">
            <w:pPr>
              <w:jc w:val="center"/>
              <w:rPr>
                <w:rFonts w:cs="Arial"/>
                <w:sz w:val="20"/>
                <w:lang w:eastAsia="en-GB"/>
              </w:rPr>
            </w:pPr>
            <w:r w:rsidRPr="00F2710F">
              <w:rPr>
                <w:sz w:val="20"/>
              </w:rPr>
              <w:t>Feb 18</w:t>
            </w:r>
          </w:p>
        </w:tc>
        <w:tc>
          <w:tcPr>
            <w:tcW w:w="1000" w:type="dxa"/>
            <w:shd w:val="clear" w:color="auto" w:fill="auto"/>
          </w:tcPr>
          <w:p w14:paraId="6AB96FDE" w14:textId="77777777" w:rsidR="00F2710F" w:rsidRPr="00F2710F" w:rsidRDefault="00F2710F" w:rsidP="00022806">
            <w:pPr>
              <w:jc w:val="center"/>
              <w:rPr>
                <w:rFonts w:cs="Arial"/>
                <w:sz w:val="20"/>
                <w:lang w:eastAsia="en-GB"/>
              </w:rPr>
            </w:pPr>
          </w:p>
        </w:tc>
        <w:tc>
          <w:tcPr>
            <w:tcW w:w="965" w:type="dxa"/>
            <w:shd w:val="clear" w:color="auto" w:fill="auto"/>
          </w:tcPr>
          <w:p w14:paraId="670585F1" w14:textId="77777777" w:rsidR="00F2710F" w:rsidRPr="00F2710F" w:rsidRDefault="00F2710F" w:rsidP="00022806">
            <w:pPr>
              <w:jc w:val="center"/>
              <w:rPr>
                <w:rFonts w:cs="Arial"/>
                <w:sz w:val="20"/>
                <w:lang w:eastAsia="en-GB"/>
              </w:rPr>
            </w:pPr>
          </w:p>
        </w:tc>
        <w:tc>
          <w:tcPr>
            <w:tcW w:w="969" w:type="dxa"/>
            <w:shd w:val="clear" w:color="auto" w:fill="auto"/>
          </w:tcPr>
          <w:p w14:paraId="59F056C6" w14:textId="77777777" w:rsidR="00F2710F" w:rsidRPr="00F2710F" w:rsidRDefault="00F2710F" w:rsidP="00022806">
            <w:pPr>
              <w:jc w:val="center"/>
              <w:rPr>
                <w:rFonts w:cs="Arial"/>
                <w:sz w:val="20"/>
                <w:lang w:eastAsia="en-GB"/>
              </w:rPr>
            </w:pPr>
          </w:p>
        </w:tc>
        <w:tc>
          <w:tcPr>
            <w:tcW w:w="500" w:type="dxa"/>
            <w:shd w:val="clear" w:color="auto" w:fill="auto"/>
          </w:tcPr>
          <w:p w14:paraId="743DDD2B" w14:textId="77777777" w:rsidR="00F2710F" w:rsidRPr="00F2710F" w:rsidRDefault="00F2710F" w:rsidP="00022806">
            <w:pPr>
              <w:jc w:val="center"/>
              <w:rPr>
                <w:rFonts w:cs="Arial"/>
                <w:sz w:val="20"/>
                <w:lang w:eastAsia="en-GB"/>
              </w:rPr>
            </w:pPr>
          </w:p>
        </w:tc>
        <w:tc>
          <w:tcPr>
            <w:tcW w:w="500" w:type="dxa"/>
            <w:shd w:val="clear" w:color="auto" w:fill="auto"/>
          </w:tcPr>
          <w:p w14:paraId="045AA267" w14:textId="77777777" w:rsidR="00F2710F" w:rsidRPr="00F2710F" w:rsidRDefault="00F2710F" w:rsidP="00022806">
            <w:pPr>
              <w:jc w:val="center"/>
              <w:rPr>
                <w:rFonts w:cs="Arial"/>
                <w:sz w:val="20"/>
                <w:lang w:eastAsia="en-GB"/>
              </w:rPr>
            </w:pPr>
          </w:p>
        </w:tc>
        <w:tc>
          <w:tcPr>
            <w:tcW w:w="500" w:type="dxa"/>
            <w:shd w:val="clear" w:color="auto" w:fill="auto"/>
          </w:tcPr>
          <w:p w14:paraId="2414EC90" w14:textId="77777777" w:rsidR="00F2710F" w:rsidRPr="00F2710F" w:rsidRDefault="00F2710F" w:rsidP="00022806">
            <w:pPr>
              <w:jc w:val="center"/>
              <w:rPr>
                <w:rFonts w:cs="Arial"/>
                <w:sz w:val="20"/>
                <w:lang w:eastAsia="en-GB"/>
              </w:rPr>
            </w:pPr>
          </w:p>
        </w:tc>
        <w:tc>
          <w:tcPr>
            <w:tcW w:w="500" w:type="dxa"/>
            <w:shd w:val="clear" w:color="auto" w:fill="auto"/>
          </w:tcPr>
          <w:p w14:paraId="51C40B0E" w14:textId="77777777" w:rsidR="00F2710F" w:rsidRPr="00F2710F" w:rsidRDefault="00F2710F" w:rsidP="00022806">
            <w:pPr>
              <w:jc w:val="center"/>
              <w:rPr>
                <w:rFonts w:cs="Arial"/>
                <w:sz w:val="20"/>
                <w:lang w:eastAsia="en-GB"/>
              </w:rPr>
            </w:pPr>
          </w:p>
        </w:tc>
      </w:tr>
      <w:tr w:rsidR="00F2710F" w:rsidRPr="00F2710F" w14:paraId="2220B8CE" w14:textId="77777777" w:rsidTr="00F2710F">
        <w:trPr>
          <w:trHeight w:val="454"/>
        </w:trPr>
        <w:tc>
          <w:tcPr>
            <w:tcW w:w="2325" w:type="dxa"/>
            <w:tcMar>
              <w:left w:w="85" w:type="dxa"/>
              <w:right w:w="85" w:type="dxa"/>
            </w:tcMar>
          </w:tcPr>
          <w:p w14:paraId="4DEBC7DF" w14:textId="77777777" w:rsidR="00F2710F" w:rsidRPr="00F2710F" w:rsidRDefault="00F2710F" w:rsidP="008C4DBB">
            <w:pPr>
              <w:rPr>
                <w:rFonts w:cs="Arial"/>
                <w:sz w:val="20"/>
                <w:lang w:eastAsia="en-GB"/>
              </w:rPr>
            </w:pPr>
            <w:r w:rsidRPr="00F2710F">
              <w:rPr>
                <w:sz w:val="20"/>
              </w:rPr>
              <w:t>CIBS Data Protection (EU Regulations)</w:t>
            </w:r>
          </w:p>
        </w:tc>
        <w:tc>
          <w:tcPr>
            <w:tcW w:w="500" w:type="dxa"/>
            <w:vAlign w:val="center"/>
          </w:tcPr>
          <w:p w14:paraId="695F8236" w14:textId="77777777" w:rsidR="00F2710F" w:rsidRPr="00F2710F" w:rsidRDefault="00F2710F" w:rsidP="00022806">
            <w:pPr>
              <w:jc w:val="center"/>
              <w:rPr>
                <w:rFonts w:cs="Arial"/>
                <w:sz w:val="22"/>
                <w:szCs w:val="22"/>
                <w:lang w:eastAsia="en-GB"/>
              </w:rPr>
            </w:pPr>
          </w:p>
        </w:tc>
        <w:tc>
          <w:tcPr>
            <w:tcW w:w="500" w:type="dxa"/>
            <w:vAlign w:val="center"/>
          </w:tcPr>
          <w:p w14:paraId="10134768" w14:textId="77777777" w:rsidR="00F2710F" w:rsidRPr="00F2710F" w:rsidRDefault="00F2710F" w:rsidP="00022806">
            <w:pPr>
              <w:jc w:val="center"/>
              <w:rPr>
                <w:rFonts w:cs="Arial"/>
                <w:sz w:val="22"/>
                <w:szCs w:val="22"/>
                <w:lang w:eastAsia="en-GB"/>
              </w:rPr>
            </w:pPr>
          </w:p>
        </w:tc>
        <w:tc>
          <w:tcPr>
            <w:tcW w:w="500" w:type="dxa"/>
            <w:vAlign w:val="center"/>
          </w:tcPr>
          <w:p w14:paraId="4EA728F0" w14:textId="77777777" w:rsidR="00F2710F" w:rsidRPr="00F2710F" w:rsidRDefault="00F2710F" w:rsidP="00022806">
            <w:pPr>
              <w:jc w:val="center"/>
              <w:rPr>
                <w:rFonts w:cs="Arial"/>
                <w:sz w:val="22"/>
                <w:szCs w:val="22"/>
                <w:lang w:eastAsia="en-GB"/>
              </w:rPr>
            </w:pPr>
          </w:p>
        </w:tc>
        <w:tc>
          <w:tcPr>
            <w:tcW w:w="500" w:type="dxa"/>
            <w:vAlign w:val="center"/>
          </w:tcPr>
          <w:p w14:paraId="7DDA55F3" w14:textId="77777777" w:rsidR="00F2710F" w:rsidRPr="00F2710F" w:rsidRDefault="00F2710F" w:rsidP="00022806">
            <w:pPr>
              <w:jc w:val="center"/>
              <w:rPr>
                <w:rFonts w:cs="Arial"/>
                <w:sz w:val="22"/>
                <w:szCs w:val="22"/>
                <w:lang w:eastAsia="en-GB"/>
              </w:rPr>
            </w:pPr>
            <w:r w:rsidRPr="00F2710F">
              <w:rPr>
                <w:rFonts w:cs="Arial"/>
                <w:sz w:val="22"/>
                <w:szCs w:val="22"/>
                <w:lang w:eastAsia="en-GB"/>
              </w:rPr>
              <w:sym w:font="Wingdings" w:char="F0FC"/>
            </w:r>
          </w:p>
        </w:tc>
        <w:tc>
          <w:tcPr>
            <w:tcW w:w="1119" w:type="dxa"/>
            <w:gridSpan w:val="2"/>
            <w:tcMar>
              <w:left w:w="113" w:type="dxa"/>
              <w:right w:w="85" w:type="dxa"/>
            </w:tcMar>
          </w:tcPr>
          <w:p w14:paraId="3C205885" w14:textId="77777777" w:rsidR="00F2710F" w:rsidRPr="00F2710F" w:rsidRDefault="00F2710F" w:rsidP="00022806">
            <w:pPr>
              <w:ind w:left="-113" w:right="-85"/>
              <w:jc w:val="center"/>
              <w:rPr>
                <w:rFonts w:cs="Arial"/>
                <w:sz w:val="20"/>
                <w:lang w:eastAsia="en-GB"/>
              </w:rPr>
            </w:pPr>
            <w:r w:rsidRPr="00F2710F">
              <w:rPr>
                <w:sz w:val="20"/>
              </w:rPr>
              <w:t>Fieldwork</w:t>
            </w:r>
          </w:p>
        </w:tc>
        <w:tc>
          <w:tcPr>
            <w:tcW w:w="1081" w:type="dxa"/>
          </w:tcPr>
          <w:p w14:paraId="3FF0A8EE" w14:textId="77777777" w:rsidR="00F2710F" w:rsidRPr="00F2710F" w:rsidRDefault="00F2710F" w:rsidP="00022806">
            <w:pPr>
              <w:jc w:val="center"/>
              <w:rPr>
                <w:rFonts w:cs="Arial"/>
                <w:color w:val="000000"/>
                <w:sz w:val="20"/>
                <w:lang w:eastAsia="en-GB"/>
              </w:rPr>
            </w:pPr>
            <w:r w:rsidRPr="00F2710F">
              <w:rPr>
                <w:sz w:val="20"/>
              </w:rPr>
              <w:t>Sep 2017</w:t>
            </w:r>
          </w:p>
        </w:tc>
        <w:tc>
          <w:tcPr>
            <w:tcW w:w="1000" w:type="dxa"/>
            <w:shd w:val="clear" w:color="auto" w:fill="FFC000"/>
          </w:tcPr>
          <w:p w14:paraId="0E8D784C" w14:textId="77777777" w:rsidR="00F2710F" w:rsidRPr="00F2710F" w:rsidRDefault="00F2710F" w:rsidP="00022806">
            <w:pPr>
              <w:jc w:val="center"/>
              <w:rPr>
                <w:rFonts w:cs="Arial"/>
                <w:sz w:val="20"/>
                <w:lang w:eastAsia="en-GB"/>
              </w:rPr>
            </w:pPr>
            <w:r w:rsidRPr="00F2710F">
              <w:rPr>
                <w:sz w:val="20"/>
              </w:rPr>
              <w:t>04/01/18</w:t>
            </w:r>
          </w:p>
        </w:tc>
        <w:tc>
          <w:tcPr>
            <w:tcW w:w="900" w:type="dxa"/>
            <w:shd w:val="clear" w:color="auto" w:fill="auto"/>
          </w:tcPr>
          <w:p w14:paraId="644CBA2C" w14:textId="77777777" w:rsidR="00F2710F" w:rsidRPr="00F2710F" w:rsidRDefault="00F2710F" w:rsidP="00022806">
            <w:pPr>
              <w:jc w:val="center"/>
              <w:rPr>
                <w:rFonts w:cs="Arial"/>
                <w:sz w:val="20"/>
                <w:lang w:eastAsia="en-GB"/>
              </w:rPr>
            </w:pPr>
            <w:r w:rsidRPr="00F2710F">
              <w:rPr>
                <w:sz w:val="20"/>
              </w:rPr>
              <w:t>15/01/18</w:t>
            </w:r>
          </w:p>
        </w:tc>
        <w:tc>
          <w:tcPr>
            <w:tcW w:w="1000" w:type="dxa"/>
            <w:shd w:val="clear" w:color="auto" w:fill="auto"/>
          </w:tcPr>
          <w:p w14:paraId="6E8F1D85" w14:textId="77777777" w:rsidR="00F2710F" w:rsidRPr="00F2710F" w:rsidRDefault="00F2710F" w:rsidP="00022806">
            <w:pPr>
              <w:jc w:val="center"/>
              <w:rPr>
                <w:rFonts w:cs="Arial"/>
                <w:sz w:val="20"/>
                <w:lang w:eastAsia="en-GB"/>
              </w:rPr>
            </w:pPr>
            <w:r w:rsidRPr="00F2710F">
              <w:rPr>
                <w:sz w:val="20"/>
              </w:rPr>
              <w:t>Feb 18</w:t>
            </w:r>
          </w:p>
        </w:tc>
        <w:tc>
          <w:tcPr>
            <w:tcW w:w="1000" w:type="dxa"/>
            <w:shd w:val="clear" w:color="auto" w:fill="auto"/>
          </w:tcPr>
          <w:p w14:paraId="036C7AF8" w14:textId="77777777" w:rsidR="00F2710F" w:rsidRPr="00F2710F" w:rsidRDefault="00F2710F" w:rsidP="00022806">
            <w:pPr>
              <w:jc w:val="center"/>
              <w:rPr>
                <w:rFonts w:cs="Arial"/>
                <w:sz w:val="20"/>
                <w:lang w:eastAsia="en-GB"/>
              </w:rPr>
            </w:pPr>
          </w:p>
        </w:tc>
        <w:tc>
          <w:tcPr>
            <w:tcW w:w="965" w:type="dxa"/>
            <w:shd w:val="clear" w:color="auto" w:fill="auto"/>
          </w:tcPr>
          <w:p w14:paraId="73B6351D" w14:textId="77777777" w:rsidR="00F2710F" w:rsidRPr="00F2710F" w:rsidRDefault="00F2710F" w:rsidP="00022806">
            <w:pPr>
              <w:jc w:val="center"/>
              <w:rPr>
                <w:rFonts w:cs="Arial"/>
                <w:sz w:val="20"/>
                <w:lang w:eastAsia="en-GB"/>
              </w:rPr>
            </w:pPr>
          </w:p>
        </w:tc>
        <w:tc>
          <w:tcPr>
            <w:tcW w:w="969" w:type="dxa"/>
            <w:shd w:val="clear" w:color="auto" w:fill="auto"/>
          </w:tcPr>
          <w:p w14:paraId="30207C24" w14:textId="77777777" w:rsidR="00F2710F" w:rsidRPr="00F2710F" w:rsidRDefault="00F2710F" w:rsidP="00022806">
            <w:pPr>
              <w:jc w:val="center"/>
              <w:rPr>
                <w:rFonts w:cs="Arial"/>
                <w:sz w:val="20"/>
                <w:lang w:eastAsia="en-GB"/>
              </w:rPr>
            </w:pPr>
          </w:p>
        </w:tc>
        <w:tc>
          <w:tcPr>
            <w:tcW w:w="500" w:type="dxa"/>
            <w:shd w:val="clear" w:color="auto" w:fill="auto"/>
          </w:tcPr>
          <w:p w14:paraId="69474C6A" w14:textId="77777777" w:rsidR="00F2710F" w:rsidRPr="00F2710F" w:rsidRDefault="00F2710F" w:rsidP="00022806">
            <w:pPr>
              <w:jc w:val="center"/>
              <w:rPr>
                <w:rFonts w:cs="Arial"/>
                <w:sz w:val="20"/>
                <w:lang w:eastAsia="en-GB"/>
              </w:rPr>
            </w:pPr>
          </w:p>
        </w:tc>
        <w:tc>
          <w:tcPr>
            <w:tcW w:w="500" w:type="dxa"/>
            <w:shd w:val="clear" w:color="auto" w:fill="auto"/>
          </w:tcPr>
          <w:p w14:paraId="6F4B6874" w14:textId="77777777" w:rsidR="00F2710F" w:rsidRPr="00F2710F" w:rsidRDefault="00F2710F" w:rsidP="00022806">
            <w:pPr>
              <w:jc w:val="center"/>
              <w:rPr>
                <w:rFonts w:cs="Arial"/>
                <w:sz w:val="20"/>
                <w:lang w:eastAsia="en-GB"/>
              </w:rPr>
            </w:pPr>
          </w:p>
        </w:tc>
        <w:tc>
          <w:tcPr>
            <w:tcW w:w="500" w:type="dxa"/>
            <w:shd w:val="clear" w:color="auto" w:fill="auto"/>
          </w:tcPr>
          <w:p w14:paraId="3AF32433" w14:textId="77777777" w:rsidR="00F2710F" w:rsidRPr="00F2710F" w:rsidRDefault="00F2710F" w:rsidP="00022806">
            <w:pPr>
              <w:jc w:val="center"/>
              <w:rPr>
                <w:rFonts w:cs="Arial"/>
                <w:sz w:val="20"/>
                <w:lang w:eastAsia="en-GB"/>
              </w:rPr>
            </w:pPr>
          </w:p>
        </w:tc>
        <w:tc>
          <w:tcPr>
            <w:tcW w:w="500" w:type="dxa"/>
            <w:shd w:val="clear" w:color="auto" w:fill="auto"/>
          </w:tcPr>
          <w:p w14:paraId="1CC08E53" w14:textId="77777777" w:rsidR="00F2710F" w:rsidRPr="00F2710F" w:rsidRDefault="00F2710F" w:rsidP="00022806">
            <w:pPr>
              <w:jc w:val="center"/>
              <w:rPr>
                <w:rFonts w:cs="Arial"/>
                <w:sz w:val="20"/>
                <w:lang w:eastAsia="en-GB"/>
              </w:rPr>
            </w:pPr>
          </w:p>
        </w:tc>
      </w:tr>
      <w:tr w:rsidR="00F2710F" w:rsidRPr="00F2710F" w14:paraId="32AA4609" w14:textId="77777777" w:rsidTr="008E18A0">
        <w:trPr>
          <w:trHeight w:val="454"/>
        </w:trPr>
        <w:tc>
          <w:tcPr>
            <w:tcW w:w="2325" w:type="dxa"/>
            <w:tcMar>
              <w:left w:w="85" w:type="dxa"/>
              <w:right w:w="85" w:type="dxa"/>
            </w:tcMar>
          </w:tcPr>
          <w:p w14:paraId="5C5E8895" w14:textId="77777777" w:rsidR="00F2710F" w:rsidRPr="00F2710F" w:rsidRDefault="00F2710F" w:rsidP="008C4DBB">
            <w:pPr>
              <w:rPr>
                <w:rFonts w:cs="Arial"/>
                <w:sz w:val="20"/>
                <w:lang w:eastAsia="en-GB"/>
              </w:rPr>
            </w:pPr>
            <w:r w:rsidRPr="00F2710F">
              <w:rPr>
                <w:sz w:val="20"/>
              </w:rPr>
              <w:t>GIA Annual Assurance Statement 2016 / 2017</w:t>
            </w:r>
          </w:p>
        </w:tc>
        <w:tc>
          <w:tcPr>
            <w:tcW w:w="500" w:type="dxa"/>
            <w:vAlign w:val="center"/>
          </w:tcPr>
          <w:p w14:paraId="31AA9C7D" w14:textId="77777777" w:rsidR="00F2710F" w:rsidRPr="00F2710F" w:rsidRDefault="00F2710F" w:rsidP="00022806">
            <w:pPr>
              <w:jc w:val="center"/>
              <w:rPr>
                <w:rFonts w:cs="Arial"/>
                <w:sz w:val="22"/>
                <w:szCs w:val="22"/>
                <w:lang w:eastAsia="en-GB"/>
              </w:rPr>
            </w:pPr>
            <w:r w:rsidRPr="00F2710F">
              <w:rPr>
                <w:rFonts w:cs="Arial"/>
                <w:sz w:val="22"/>
                <w:szCs w:val="22"/>
                <w:lang w:eastAsia="en-GB"/>
              </w:rPr>
              <w:sym w:font="Wingdings" w:char="F0FC"/>
            </w:r>
          </w:p>
        </w:tc>
        <w:tc>
          <w:tcPr>
            <w:tcW w:w="500" w:type="dxa"/>
            <w:vAlign w:val="center"/>
          </w:tcPr>
          <w:p w14:paraId="79423183" w14:textId="77777777" w:rsidR="00F2710F" w:rsidRPr="00F2710F" w:rsidRDefault="00F2710F" w:rsidP="00022806">
            <w:pPr>
              <w:jc w:val="center"/>
              <w:rPr>
                <w:rFonts w:cs="Arial"/>
                <w:sz w:val="22"/>
                <w:szCs w:val="22"/>
                <w:lang w:eastAsia="en-GB"/>
              </w:rPr>
            </w:pPr>
          </w:p>
        </w:tc>
        <w:tc>
          <w:tcPr>
            <w:tcW w:w="500" w:type="dxa"/>
            <w:vAlign w:val="center"/>
          </w:tcPr>
          <w:p w14:paraId="7B726114" w14:textId="77777777" w:rsidR="00F2710F" w:rsidRPr="00F2710F" w:rsidRDefault="00F2710F" w:rsidP="00022806">
            <w:pPr>
              <w:jc w:val="center"/>
              <w:rPr>
                <w:rFonts w:cs="Arial"/>
                <w:sz w:val="22"/>
                <w:szCs w:val="22"/>
                <w:lang w:eastAsia="en-GB"/>
              </w:rPr>
            </w:pPr>
          </w:p>
        </w:tc>
        <w:tc>
          <w:tcPr>
            <w:tcW w:w="500" w:type="dxa"/>
            <w:vAlign w:val="center"/>
          </w:tcPr>
          <w:p w14:paraId="6E032B15" w14:textId="77777777" w:rsidR="00F2710F" w:rsidRPr="00F2710F" w:rsidRDefault="00F2710F" w:rsidP="00022806">
            <w:pPr>
              <w:jc w:val="center"/>
              <w:rPr>
                <w:rFonts w:cs="Arial"/>
                <w:sz w:val="22"/>
                <w:szCs w:val="22"/>
                <w:lang w:eastAsia="en-GB"/>
              </w:rPr>
            </w:pPr>
          </w:p>
        </w:tc>
        <w:tc>
          <w:tcPr>
            <w:tcW w:w="1119" w:type="dxa"/>
            <w:gridSpan w:val="2"/>
            <w:tcMar>
              <w:left w:w="113" w:type="dxa"/>
              <w:right w:w="85" w:type="dxa"/>
            </w:tcMar>
          </w:tcPr>
          <w:p w14:paraId="0A98B759" w14:textId="77777777" w:rsidR="00F2710F" w:rsidRPr="00F2710F" w:rsidRDefault="00F2710F" w:rsidP="00022806">
            <w:pPr>
              <w:ind w:left="-113" w:right="-85"/>
              <w:jc w:val="center"/>
              <w:rPr>
                <w:rFonts w:cs="Arial"/>
                <w:sz w:val="20"/>
                <w:lang w:eastAsia="en-GB"/>
              </w:rPr>
            </w:pPr>
            <w:r w:rsidRPr="00F2710F">
              <w:rPr>
                <w:sz w:val="20"/>
              </w:rPr>
              <w:t xml:space="preserve">Final </w:t>
            </w:r>
          </w:p>
        </w:tc>
        <w:tc>
          <w:tcPr>
            <w:tcW w:w="1081" w:type="dxa"/>
          </w:tcPr>
          <w:p w14:paraId="1FBE8868" w14:textId="77777777" w:rsidR="00F2710F" w:rsidRPr="00F2710F" w:rsidRDefault="00F2710F" w:rsidP="00022806">
            <w:pPr>
              <w:jc w:val="center"/>
              <w:rPr>
                <w:rFonts w:cs="Arial"/>
                <w:color w:val="000000"/>
                <w:sz w:val="20"/>
                <w:lang w:eastAsia="en-GB"/>
              </w:rPr>
            </w:pPr>
            <w:r w:rsidRPr="00F2710F">
              <w:rPr>
                <w:sz w:val="20"/>
              </w:rPr>
              <w:t>N/A</w:t>
            </w:r>
          </w:p>
        </w:tc>
        <w:tc>
          <w:tcPr>
            <w:tcW w:w="1000" w:type="dxa"/>
            <w:shd w:val="clear" w:color="auto" w:fill="auto"/>
          </w:tcPr>
          <w:p w14:paraId="6B83C4A9" w14:textId="77777777" w:rsidR="00F2710F" w:rsidRPr="00F2710F" w:rsidRDefault="00F2710F" w:rsidP="00022806">
            <w:pPr>
              <w:jc w:val="center"/>
              <w:rPr>
                <w:rFonts w:cs="Arial"/>
                <w:sz w:val="20"/>
                <w:lang w:eastAsia="en-GB"/>
              </w:rPr>
            </w:pPr>
            <w:r w:rsidRPr="00F2710F">
              <w:rPr>
                <w:sz w:val="20"/>
              </w:rPr>
              <w:t>N/A</w:t>
            </w:r>
          </w:p>
        </w:tc>
        <w:tc>
          <w:tcPr>
            <w:tcW w:w="900" w:type="dxa"/>
            <w:shd w:val="clear" w:color="auto" w:fill="auto"/>
          </w:tcPr>
          <w:p w14:paraId="391C8127" w14:textId="77777777" w:rsidR="00F2710F" w:rsidRPr="00F2710F" w:rsidRDefault="00F2710F" w:rsidP="00022806">
            <w:pPr>
              <w:jc w:val="center"/>
              <w:rPr>
                <w:rFonts w:cs="Arial"/>
                <w:sz w:val="20"/>
                <w:lang w:eastAsia="en-GB"/>
              </w:rPr>
            </w:pPr>
            <w:r w:rsidRPr="00F2710F">
              <w:rPr>
                <w:sz w:val="20"/>
              </w:rPr>
              <w:t>N/A</w:t>
            </w:r>
          </w:p>
        </w:tc>
        <w:tc>
          <w:tcPr>
            <w:tcW w:w="1000" w:type="dxa"/>
            <w:shd w:val="clear" w:color="auto" w:fill="auto"/>
          </w:tcPr>
          <w:p w14:paraId="15939574" w14:textId="77777777" w:rsidR="00F2710F" w:rsidRPr="00F2710F" w:rsidRDefault="00F2710F" w:rsidP="00022806">
            <w:pPr>
              <w:jc w:val="center"/>
              <w:rPr>
                <w:rFonts w:cs="Arial"/>
                <w:sz w:val="20"/>
                <w:lang w:eastAsia="en-GB"/>
              </w:rPr>
            </w:pPr>
            <w:r w:rsidRPr="00F2710F">
              <w:rPr>
                <w:sz w:val="20"/>
              </w:rPr>
              <w:t>N/A</w:t>
            </w:r>
          </w:p>
        </w:tc>
        <w:tc>
          <w:tcPr>
            <w:tcW w:w="1000" w:type="dxa"/>
            <w:shd w:val="clear" w:color="auto" w:fill="auto"/>
          </w:tcPr>
          <w:p w14:paraId="59D94646" w14:textId="77777777" w:rsidR="00F2710F" w:rsidRPr="00F2710F" w:rsidRDefault="00F2710F" w:rsidP="00022806">
            <w:pPr>
              <w:jc w:val="center"/>
              <w:rPr>
                <w:rFonts w:cs="Arial"/>
                <w:sz w:val="20"/>
                <w:lang w:eastAsia="en-GB"/>
              </w:rPr>
            </w:pPr>
            <w:r w:rsidRPr="00F2710F">
              <w:rPr>
                <w:sz w:val="20"/>
              </w:rPr>
              <w:t>N/A</w:t>
            </w:r>
          </w:p>
        </w:tc>
        <w:tc>
          <w:tcPr>
            <w:tcW w:w="965" w:type="dxa"/>
            <w:shd w:val="clear" w:color="auto" w:fill="auto"/>
          </w:tcPr>
          <w:p w14:paraId="7F69E20A" w14:textId="77777777" w:rsidR="00F2710F" w:rsidRPr="00F2710F" w:rsidRDefault="00F2710F" w:rsidP="00022806">
            <w:pPr>
              <w:jc w:val="center"/>
              <w:rPr>
                <w:rFonts w:cs="Arial"/>
                <w:sz w:val="20"/>
                <w:lang w:eastAsia="en-GB"/>
              </w:rPr>
            </w:pPr>
            <w:r w:rsidRPr="00F2710F">
              <w:rPr>
                <w:sz w:val="20"/>
              </w:rPr>
              <w:t>N/A</w:t>
            </w:r>
          </w:p>
        </w:tc>
        <w:tc>
          <w:tcPr>
            <w:tcW w:w="969" w:type="dxa"/>
            <w:shd w:val="clear" w:color="auto" w:fill="auto"/>
          </w:tcPr>
          <w:p w14:paraId="1C118814" w14:textId="77777777" w:rsidR="00F2710F" w:rsidRPr="00F2710F" w:rsidRDefault="00F2710F" w:rsidP="00022806">
            <w:pPr>
              <w:jc w:val="center"/>
              <w:rPr>
                <w:rFonts w:cs="Arial"/>
                <w:sz w:val="20"/>
                <w:lang w:eastAsia="en-GB"/>
              </w:rPr>
            </w:pPr>
            <w:r w:rsidRPr="00F2710F">
              <w:rPr>
                <w:sz w:val="20"/>
              </w:rPr>
              <w:t>N/A</w:t>
            </w:r>
          </w:p>
        </w:tc>
        <w:tc>
          <w:tcPr>
            <w:tcW w:w="500" w:type="dxa"/>
            <w:shd w:val="clear" w:color="auto" w:fill="auto"/>
          </w:tcPr>
          <w:p w14:paraId="679E3736" w14:textId="77777777" w:rsidR="00F2710F" w:rsidRPr="00F2710F" w:rsidRDefault="00F2710F" w:rsidP="00022806">
            <w:pPr>
              <w:jc w:val="center"/>
              <w:rPr>
                <w:rFonts w:cs="Arial"/>
                <w:sz w:val="20"/>
                <w:lang w:eastAsia="en-GB"/>
              </w:rPr>
            </w:pPr>
            <w:r w:rsidRPr="00F2710F">
              <w:rPr>
                <w:sz w:val="20"/>
              </w:rPr>
              <w:t>-</w:t>
            </w:r>
          </w:p>
        </w:tc>
        <w:tc>
          <w:tcPr>
            <w:tcW w:w="500" w:type="dxa"/>
            <w:shd w:val="clear" w:color="auto" w:fill="auto"/>
          </w:tcPr>
          <w:p w14:paraId="3BB90B8D" w14:textId="77777777" w:rsidR="00F2710F" w:rsidRPr="00F2710F" w:rsidRDefault="00F2710F" w:rsidP="00022806">
            <w:pPr>
              <w:jc w:val="center"/>
              <w:rPr>
                <w:rFonts w:cs="Arial"/>
                <w:sz w:val="20"/>
                <w:lang w:eastAsia="en-GB"/>
              </w:rPr>
            </w:pPr>
            <w:r w:rsidRPr="00F2710F">
              <w:rPr>
                <w:sz w:val="20"/>
              </w:rPr>
              <w:t>-</w:t>
            </w:r>
          </w:p>
        </w:tc>
        <w:tc>
          <w:tcPr>
            <w:tcW w:w="500" w:type="dxa"/>
            <w:shd w:val="clear" w:color="auto" w:fill="auto"/>
          </w:tcPr>
          <w:p w14:paraId="44FD0081" w14:textId="77777777" w:rsidR="00F2710F" w:rsidRPr="00F2710F" w:rsidRDefault="00F2710F" w:rsidP="00022806">
            <w:pPr>
              <w:jc w:val="center"/>
              <w:rPr>
                <w:rFonts w:cs="Arial"/>
                <w:sz w:val="20"/>
                <w:lang w:eastAsia="en-GB"/>
              </w:rPr>
            </w:pPr>
            <w:r w:rsidRPr="00F2710F">
              <w:rPr>
                <w:sz w:val="20"/>
              </w:rPr>
              <w:t>-</w:t>
            </w:r>
          </w:p>
        </w:tc>
        <w:tc>
          <w:tcPr>
            <w:tcW w:w="500" w:type="dxa"/>
            <w:shd w:val="clear" w:color="auto" w:fill="auto"/>
          </w:tcPr>
          <w:p w14:paraId="39093E5D" w14:textId="77777777" w:rsidR="00F2710F" w:rsidRPr="00F2710F" w:rsidRDefault="00F2710F" w:rsidP="00022806">
            <w:pPr>
              <w:jc w:val="center"/>
              <w:rPr>
                <w:rFonts w:cs="Arial"/>
                <w:sz w:val="20"/>
                <w:lang w:eastAsia="en-GB"/>
              </w:rPr>
            </w:pPr>
            <w:r w:rsidRPr="00F2710F">
              <w:rPr>
                <w:sz w:val="20"/>
              </w:rPr>
              <w:t>-</w:t>
            </w:r>
          </w:p>
        </w:tc>
      </w:tr>
      <w:tr w:rsidR="003D2273" w:rsidRPr="00F2710F" w14:paraId="3F813F7F" w14:textId="77777777" w:rsidTr="003D2273">
        <w:trPr>
          <w:trHeight w:val="454"/>
        </w:trPr>
        <w:tc>
          <w:tcPr>
            <w:tcW w:w="14359" w:type="dxa"/>
            <w:gridSpan w:val="18"/>
            <w:tcMar>
              <w:left w:w="85" w:type="dxa"/>
              <w:right w:w="85" w:type="dxa"/>
            </w:tcMar>
          </w:tcPr>
          <w:p w14:paraId="494D8F5A" w14:textId="77777777" w:rsidR="003D2273" w:rsidRPr="00F2710F" w:rsidRDefault="003D2273" w:rsidP="008C4DBB">
            <w:pPr>
              <w:rPr>
                <w:rFonts w:cs="Arial"/>
                <w:sz w:val="20"/>
                <w:lang w:eastAsia="en-GB"/>
              </w:rPr>
            </w:pPr>
            <w:r w:rsidRPr="00F2710F">
              <w:rPr>
                <w:sz w:val="20"/>
              </w:rPr>
              <w:t>CEB Head of Business Assurance Activity (HoBA)</w:t>
            </w:r>
          </w:p>
        </w:tc>
      </w:tr>
      <w:tr w:rsidR="00F2710F" w:rsidRPr="00F2710F" w14:paraId="1FFC61FD" w14:textId="77777777" w:rsidTr="008E18A0">
        <w:trPr>
          <w:trHeight w:val="454"/>
        </w:trPr>
        <w:tc>
          <w:tcPr>
            <w:tcW w:w="2325" w:type="dxa"/>
            <w:tcMar>
              <w:left w:w="85" w:type="dxa"/>
              <w:right w:w="85" w:type="dxa"/>
            </w:tcMar>
          </w:tcPr>
          <w:p w14:paraId="5C6DAFC5" w14:textId="77777777" w:rsidR="00F2710F" w:rsidRPr="00F2710F" w:rsidRDefault="00F2710F" w:rsidP="008C4DBB">
            <w:pPr>
              <w:rPr>
                <w:rFonts w:cs="Arial"/>
                <w:sz w:val="20"/>
                <w:lang w:eastAsia="en-GB"/>
              </w:rPr>
            </w:pPr>
            <w:r w:rsidRPr="00F2710F">
              <w:rPr>
                <w:sz w:val="20"/>
              </w:rPr>
              <w:t>CEB AAF 01/06 (KPMG)</w:t>
            </w:r>
          </w:p>
        </w:tc>
        <w:tc>
          <w:tcPr>
            <w:tcW w:w="500" w:type="dxa"/>
            <w:vAlign w:val="center"/>
          </w:tcPr>
          <w:p w14:paraId="76FD0117" w14:textId="77777777" w:rsidR="00F2710F" w:rsidRPr="00F2710F" w:rsidRDefault="00F2710F" w:rsidP="00022806">
            <w:pPr>
              <w:jc w:val="center"/>
              <w:rPr>
                <w:rFonts w:cs="Arial"/>
                <w:sz w:val="20"/>
                <w:lang w:eastAsia="en-GB"/>
              </w:rPr>
            </w:pPr>
            <w:r w:rsidRPr="00407011">
              <w:rPr>
                <w:rFonts w:cs="Arial"/>
                <w:szCs w:val="24"/>
                <w:lang w:eastAsia="en-GB"/>
              </w:rPr>
              <w:sym w:font="Wingdings" w:char="F0FC"/>
            </w:r>
          </w:p>
        </w:tc>
        <w:tc>
          <w:tcPr>
            <w:tcW w:w="500" w:type="dxa"/>
            <w:vAlign w:val="center"/>
          </w:tcPr>
          <w:p w14:paraId="631FB81A" w14:textId="77777777" w:rsidR="00F2710F" w:rsidRPr="00F2710F" w:rsidRDefault="00F2710F" w:rsidP="00022806">
            <w:pPr>
              <w:jc w:val="center"/>
              <w:rPr>
                <w:rFonts w:cs="Arial"/>
                <w:sz w:val="20"/>
                <w:lang w:eastAsia="en-GB"/>
              </w:rPr>
            </w:pPr>
          </w:p>
        </w:tc>
        <w:tc>
          <w:tcPr>
            <w:tcW w:w="500" w:type="dxa"/>
            <w:vAlign w:val="center"/>
          </w:tcPr>
          <w:p w14:paraId="52E6BB40" w14:textId="77777777" w:rsidR="00F2710F" w:rsidRPr="00F2710F" w:rsidRDefault="00F2710F" w:rsidP="00022806">
            <w:pPr>
              <w:jc w:val="center"/>
              <w:rPr>
                <w:rFonts w:cs="Arial"/>
                <w:sz w:val="20"/>
                <w:lang w:eastAsia="en-GB"/>
              </w:rPr>
            </w:pPr>
          </w:p>
        </w:tc>
        <w:tc>
          <w:tcPr>
            <w:tcW w:w="500" w:type="dxa"/>
            <w:vAlign w:val="center"/>
          </w:tcPr>
          <w:p w14:paraId="78AA5F1D" w14:textId="77777777" w:rsidR="00F2710F" w:rsidRPr="00F2710F" w:rsidRDefault="00F2710F" w:rsidP="00022806">
            <w:pPr>
              <w:jc w:val="center"/>
              <w:rPr>
                <w:rFonts w:cs="Arial"/>
                <w:sz w:val="20"/>
                <w:lang w:eastAsia="en-GB"/>
              </w:rPr>
            </w:pPr>
          </w:p>
        </w:tc>
        <w:tc>
          <w:tcPr>
            <w:tcW w:w="1100" w:type="dxa"/>
            <w:tcMar>
              <w:left w:w="113" w:type="dxa"/>
              <w:right w:w="85" w:type="dxa"/>
            </w:tcMar>
          </w:tcPr>
          <w:p w14:paraId="3B0FC5B6" w14:textId="77777777" w:rsidR="00F2710F" w:rsidRPr="00F2710F" w:rsidRDefault="00F2710F" w:rsidP="00022806">
            <w:pPr>
              <w:ind w:left="-113" w:right="-85"/>
              <w:jc w:val="center"/>
              <w:rPr>
                <w:rFonts w:cs="Arial"/>
                <w:sz w:val="20"/>
                <w:lang w:eastAsia="en-GB"/>
              </w:rPr>
            </w:pPr>
            <w:r w:rsidRPr="00F2710F">
              <w:rPr>
                <w:sz w:val="20"/>
              </w:rPr>
              <w:t>Final Report</w:t>
            </w:r>
          </w:p>
        </w:tc>
        <w:tc>
          <w:tcPr>
            <w:tcW w:w="1100" w:type="dxa"/>
            <w:gridSpan w:val="2"/>
          </w:tcPr>
          <w:p w14:paraId="6720996D" w14:textId="77777777" w:rsidR="00F2710F" w:rsidRPr="00F2710F" w:rsidRDefault="00F2710F" w:rsidP="00022806">
            <w:pPr>
              <w:jc w:val="center"/>
              <w:rPr>
                <w:rFonts w:cs="Arial"/>
                <w:color w:val="000000"/>
                <w:sz w:val="20"/>
                <w:lang w:eastAsia="en-GB"/>
              </w:rPr>
            </w:pPr>
            <w:r w:rsidRPr="00F2710F">
              <w:rPr>
                <w:sz w:val="20"/>
              </w:rPr>
              <w:t xml:space="preserve"> N/A</w:t>
            </w:r>
          </w:p>
        </w:tc>
        <w:tc>
          <w:tcPr>
            <w:tcW w:w="1000" w:type="dxa"/>
            <w:shd w:val="clear" w:color="auto" w:fill="auto"/>
          </w:tcPr>
          <w:p w14:paraId="68AAE148" w14:textId="77777777" w:rsidR="00F2710F" w:rsidRPr="00F2710F" w:rsidRDefault="00F2710F" w:rsidP="00022806">
            <w:pPr>
              <w:jc w:val="center"/>
              <w:rPr>
                <w:rFonts w:cs="Arial"/>
                <w:sz w:val="20"/>
                <w:lang w:eastAsia="en-GB"/>
              </w:rPr>
            </w:pPr>
            <w:r w:rsidRPr="00F2710F">
              <w:rPr>
                <w:sz w:val="20"/>
              </w:rPr>
              <w:t>N/A</w:t>
            </w:r>
          </w:p>
        </w:tc>
        <w:tc>
          <w:tcPr>
            <w:tcW w:w="900" w:type="dxa"/>
            <w:shd w:val="clear" w:color="auto" w:fill="auto"/>
          </w:tcPr>
          <w:p w14:paraId="7E917C91" w14:textId="77777777" w:rsidR="00F2710F" w:rsidRPr="00F2710F" w:rsidRDefault="00F2710F" w:rsidP="00022806">
            <w:pPr>
              <w:jc w:val="center"/>
              <w:rPr>
                <w:rFonts w:cs="Arial"/>
                <w:sz w:val="20"/>
                <w:lang w:eastAsia="en-GB"/>
              </w:rPr>
            </w:pPr>
            <w:r w:rsidRPr="00F2710F">
              <w:rPr>
                <w:sz w:val="20"/>
              </w:rPr>
              <w:t>N/A</w:t>
            </w:r>
          </w:p>
        </w:tc>
        <w:tc>
          <w:tcPr>
            <w:tcW w:w="1000" w:type="dxa"/>
            <w:shd w:val="clear" w:color="auto" w:fill="auto"/>
          </w:tcPr>
          <w:p w14:paraId="2E64B8B8" w14:textId="77777777" w:rsidR="00F2710F" w:rsidRPr="00F2710F" w:rsidRDefault="00F2710F" w:rsidP="00022806">
            <w:pPr>
              <w:jc w:val="center"/>
              <w:rPr>
                <w:rFonts w:cs="Arial"/>
                <w:sz w:val="20"/>
                <w:lang w:eastAsia="en-GB"/>
              </w:rPr>
            </w:pPr>
            <w:r w:rsidRPr="00F2710F">
              <w:rPr>
                <w:sz w:val="20"/>
              </w:rPr>
              <w:t>N/A</w:t>
            </w:r>
          </w:p>
        </w:tc>
        <w:tc>
          <w:tcPr>
            <w:tcW w:w="1000" w:type="dxa"/>
            <w:shd w:val="clear" w:color="auto" w:fill="auto"/>
          </w:tcPr>
          <w:p w14:paraId="690F3000" w14:textId="77777777" w:rsidR="00F2710F" w:rsidRPr="00F2710F" w:rsidRDefault="00F2710F" w:rsidP="00022806">
            <w:pPr>
              <w:jc w:val="center"/>
              <w:rPr>
                <w:rFonts w:cs="Arial"/>
                <w:sz w:val="20"/>
                <w:lang w:eastAsia="en-GB"/>
              </w:rPr>
            </w:pPr>
            <w:r w:rsidRPr="00F2710F">
              <w:rPr>
                <w:sz w:val="20"/>
              </w:rPr>
              <w:t>N/A</w:t>
            </w:r>
          </w:p>
        </w:tc>
        <w:tc>
          <w:tcPr>
            <w:tcW w:w="965" w:type="dxa"/>
            <w:shd w:val="clear" w:color="auto" w:fill="auto"/>
          </w:tcPr>
          <w:p w14:paraId="06B162F2" w14:textId="77777777" w:rsidR="00F2710F" w:rsidRPr="00F2710F" w:rsidRDefault="00F2710F" w:rsidP="00022806">
            <w:pPr>
              <w:jc w:val="center"/>
              <w:rPr>
                <w:rFonts w:cs="Arial"/>
                <w:sz w:val="20"/>
                <w:lang w:eastAsia="en-GB"/>
              </w:rPr>
            </w:pPr>
            <w:r w:rsidRPr="00F2710F">
              <w:rPr>
                <w:sz w:val="20"/>
              </w:rPr>
              <w:t>13/04/17</w:t>
            </w:r>
          </w:p>
        </w:tc>
        <w:tc>
          <w:tcPr>
            <w:tcW w:w="969" w:type="dxa"/>
            <w:shd w:val="clear" w:color="auto" w:fill="auto"/>
          </w:tcPr>
          <w:p w14:paraId="5E2D8374" w14:textId="77777777" w:rsidR="00F2710F" w:rsidRPr="00F2710F" w:rsidRDefault="00F2710F" w:rsidP="00022806">
            <w:pPr>
              <w:jc w:val="center"/>
              <w:rPr>
                <w:rFonts w:cs="Arial"/>
                <w:sz w:val="20"/>
                <w:lang w:eastAsia="en-GB"/>
              </w:rPr>
            </w:pPr>
            <w:r w:rsidRPr="00F2710F">
              <w:rPr>
                <w:sz w:val="20"/>
              </w:rPr>
              <w:t>N/A</w:t>
            </w:r>
          </w:p>
        </w:tc>
        <w:tc>
          <w:tcPr>
            <w:tcW w:w="500" w:type="dxa"/>
            <w:shd w:val="clear" w:color="auto" w:fill="auto"/>
          </w:tcPr>
          <w:p w14:paraId="1318D30F" w14:textId="77777777" w:rsidR="00F2710F" w:rsidRPr="00F2710F" w:rsidRDefault="00F2710F" w:rsidP="00022806">
            <w:pPr>
              <w:jc w:val="center"/>
              <w:rPr>
                <w:rFonts w:cs="Arial"/>
                <w:sz w:val="20"/>
                <w:lang w:eastAsia="en-GB"/>
              </w:rPr>
            </w:pPr>
            <w:r w:rsidRPr="00F2710F">
              <w:rPr>
                <w:sz w:val="20"/>
              </w:rPr>
              <w:t>-</w:t>
            </w:r>
          </w:p>
        </w:tc>
        <w:tc>
          <w:tcPr>
            <w:tcW w:w="500" w:type="dxa"/>
            <w:shd w:val="clear" w:color="auto" w:fill="auto"/>
          </w:tcPr>
          <w:p w14:paraId="3A6598BA" w14:textId="77777777" w:rsidR="00F2710F" w:rsidRPr="00F2710F" w:rsidRDefault="00F2710F" w:rsidP="00022806">
            <w:pPr>
              <w:jc w:val="center"/>
              <w:rPr>
                <w:rFonts w:cs="Arial"/>
                <w:sz w:val="20"/>
                <w:lang w:eastAsia="en-GB"/>
              </w:rPr>
            </w:pPr>
            <w:r w:rsidRPr="00F2710F">
              <w:rPr>
                <w:sz w:val="20"/>
              </w:rPr>
              <w:t>-</w:t>
            </w:r>
          </w:p>
        </w:tc>
        <w:tc>
          <w:tcPr>
            <w:tcW w:w="500" w:type="dxa"/>
            <w:shd w:val="clear" w:color="auto" w:fill="auto"/>
          </w:tcPr>
          <w:p w14:paraId="66A0ECD6" w14:textId="77777777" w:rsidR="00F2710F" w:rsidRPr="00F2710F" w:rsidRDefault="00F2710F" w:rsidP="00022806">
            <w:pPr>
              <w:jc w:val="center"/>
              <w:rPr>
                <w:rFonts w:cs="Arial"/>
                <w:sz w:val="20"/>
                <w:lang w:eastAsia="en-GB"/>
              </w:rPr>
            </w:pPr>
            <w:r w:rsidRPr="00F2710F">
              <w:rPr>
                <w:sz w:val="20"/>
              </w:rPr>
              <w:t>-</w:t>
            </w:r>
          </w:p>
        </w:tc>
        <w:tc>
          <w:tcPr>
            <w:tcW w:w="500" w:type="dxa"/>
            <w:shd w:val="clear" w:color="auto" w:fill="auto"/>
          </w:tcPr>
          <w:p w14:paraId="46AAC2B5" w14:textId="77777777" w:rsidR="00F2710F" w:rsidRPr="00F2710F" w:rsidRDefault="00F2710F" w:rsidP="00022806">
            <w:pPr>
              <w:jc w:val="center"/>
              <w:rPr>
                <w:rFonts w:cs="Arial"/>
                <w:sz w:val="20"/>
                <w:lang w:eastAsia="en-GB"/>
              </w:rPr>
            </w:pPr>
            <w:r w:rsidRPr="00F2710F">
              <w:rPr>
                <w:sz w:val="20"/>
              </w:rPr>
              <w:t>-</w:t>
            </w:r>
          </w:p>
        </w:tc>
      </w:tr>
      <w:tr w:rsidR="00F2710F" w:rsidRPr="00F2710F" w14:paraId="1CF1F481" w14:textId="77777777" w:rsidTr="008E18A0">
        <w:trPr>
          <w:trHeight w:val="454"/>
        </w:trPr>
        <w:tc>
          <w:tcPr>
            <w:tcW w:w="2325" w:type="dxa"/>
            <w:tcMar>
              <w:left w:w="85" w:type="dxa"/>
              <w:right w:w="85" w:type="dxa"/>
            </w:tcMar>
          </w:tcPr>
          <w:p w14:paraId="3047DE49" w14:textId="77777777" w:rsidR="00F2710F" w:rsidRPr="00F2710F" w:rsidRDefault="00F2710F" w:rsidP="008C4DBB">
            <w:pPr>
              <w:rPr>
                <w:rFonts w:cs="Arial"/>
                <w:sz w:val="20"/>
                <w:lang w:eastAsia="en-GB"/>
              </w:rPr>
            </w:pPr>
            <w:r w:rsidRPr="00F2710F">
              <w:rPr>
                <w:sz w:val="20"/>
              </w:rPr>
              <w:t>SLA Management &amp; Reporting</w:t>
            </w:r>
          </w:p>
        </w:tc>
        <w:tc>
          <w:tcPr>
            <w:tcW w:w="500" w:type="dxa"/>
            <w:vAlign w:val="center"/>
          </w:tcPr>
          <w:p w14:paraId="502752E9" w14:textId="77777777" w:rsidR="00F2710F" w:rsidRPr="00F2710F" w:rsidRDefault="00F2710F" w:rsidP="00022806">
            <w:pPr>
              <w:jc w:val="center"/>
              <w:rPr>
                <w:rFonts w:cs="Arial"/>
                <w:sz w:val="20"/>
                <w:lang w:eastAsia="en-GB"/>
              </w:rPr>
            </w:pPr>
            <w:r w:rsidRPr="00407011">
              <w:rPr>
                <w:rFonts w:cs="Arial"/>
                <w:szCs w:val="24"/>
                <w:lang w:eastAsia="en-GB"/>
              </w:rPr>
              <w:sym w:font="Wingdings" w:char="F0FC"/>
            </w:r>
          </w:p>
        </w:tc>
        <w:tc>
          <w:tcPr>
            <w:tcW w:w="500" w:type="dxa"/>
            <w:vAlign w:val="center"/>
          </w:tcPr>
          <w:p w14:paraId="0FA49DEC" w14:textId="77777777" w:rsidR="00F2710F" w:rsidRPr="00F2710F" w:rsidRDefault="00F2710F" w:rsidP="00022806">
            <w:pPr>
              <w:jc w:val="center"/>
              <w:rPr>
                <w:rFonts w:cs="Arial"/>
                <w:sz w:val="20"/>
                <w:lang w:eastAsia="en-GB"/>
              </w:rPr>
            </w:pPr>
          </w:p>
        </w:tc>
        <w:tc>
          <w:tcPr>
            <w:tcW w:w="500" w:type="dxa"/>
            <w:vAlign w:val="center"/>
          </w:tcPr>
          <w:p w14:paraId="394B2214" w14:textId="77777777" w:rsidR="00F2710F" w:rsidRPr="00F2710F" w:rsidRDefault="00F2710F" w:rsidP="00022806">
            <w:pPr>
              <w:jc w:val="center"/>
              <w:rPr>
                <w:rFonts w:cs="Arial"/>
                <w:sz w:val="20"/>
                <w:lang w:eastAsia="en-GB"/>
              </w:rPr>
            </w:pPr>
          </w:p>
        </w:tc>
        <w:tc>
          <w:tcPr>
            <w:tcW w:w="500" w:type="dxa"/>
            <w:vAlign w:val="center"/>
          </w:tcPr>
          <w:p w14:paraId="12672DB7" w14:textId="77777777" w:rsidR="00F2710F" w:rsidRPr="00F2710F" w:rsidRDefault="00F2710F" w:rsidP="00022806">
            <w:pPr>
              <w:jc w:val="center"/>
              <w:rPr>
                <w:rFonts w:cs="Arial"/>
                <w:sz w:val="20"/>
                <w:lang w:eastAsia="en-GB"/>
              </w:rPr>
            </w:pPr>
          </w:p>
        </w:tc>
        <w:tc>
          <w:tcPr>
            <w:tcW w:w="1100" w:type="dxa"/>
            <w:tcMar>
              <w:left w:w="113" w:type="dxa"/>
              <w:right w:w="85" w:type="dxa"/>
            </w:tcMar>
          </w:tcPr>
          <w:p w14:paraId="1B516DCB" w14:textId="77777777" w:rsidR="00F2710F" w:rsidRPr="00F2710F" w:rsidRDefault="00F2710F" w:rsidP="00022806">
            <w:pPr>
              <w:ind w:left="-113" w:right="-85"/>
              <w:jc w:val="center"/>
              <w:rPr>
                <w:rFonts w:cs="Arial"/>
                <w:sz w:val="20"/>
                <w:lang w:eastAsia="en-GB"/>
              </w:rPr>
            </w:pPr>
            <w:r w:rsidRPr="00F2710F">
              <w:rPr>
                <w:sz w:val="20"/>
              </w:rPr>
              <w:t>Final Report</w:t>
            </w:r>
          </w:p>
        </w:tc>
        <w:tc>
          <w:tcPr>
            <w:tcW w:w="1100" w:type="dxa"/>
            <w:gridSpan w:val="2"/>
          </w:tcPr>
          <w:p w14:paraId="1DEDD3F3" w14:textId="77777777" w:rsidR="00F2710F" w:rsidRPr="00F2710F" w:rsidRDefault="00F2710F" w:rsidP="00022806">
            <w:pPr>
              <w:jc w:val="center"/>
              <w:rPr>
                <w:rFonts w:cs="Arial"/>
                <w:color w:val="000000"/>
                <w:sz w:val="20"/>
                <w:lang w:eastAsia="en-GB"/>
              </w:rPr>
            </w:pPr>
            <w:r w:rsidRPr="00F2710F">
              <w:rPr>
                <w:sz w:val="20"/>
              </w:rPr>
              <w:t>Mar 2017</w:t>
            </w:r>
          </w:p>
        </w:tc>
        <w:tc>
          <w:tcPr>
            <w:tcW w:w="1000" w:type="dxa"/>
            <w:shd w:val="clear" w:color="auto" w:fill="00B050"/>
          </w:tcPr>
          <w:p w14:paraId="47E8C487" w14:textId="77777777" w:rsidR="00F2710F" w:rsidRPr="00F2710F" w:rsidRDefault="00F2710F" w:rsidP="00022806">
            <w:pPr>
              <w:jc w:val="center"/>
              <w:rPr>
                <w:rFonts w:cs="Arial"/>
                <w:sz w:val="20"/>
                <w:lang w:eastAsia="en-GB"/>
              </w:rPr>
            </w:pPr>
            <w:r w:rsidRPr="00F2710F">
              <w:rPr>
                <w:sz w:val="20"/>
              </w:rPr>
              <w:t>08/03/17</w:t>
            </w:r>
          </w:p>
        </w:tc>
        <w:tc>
          <w:tcPr>
            <w:tcW w:w="900" w:type="dxa"/>
            <w:shd w:val="clear" w:color="auto" w:fill="auto"/>
          </w:tcPr>
          <w:p w14:paraId="47C8522C" w14:textId="77777777" w:rsidR="00F2710F" w:rsidRPr="00F2710F" w:rsidRDefault="00F2710F" w:rsidP="00022806">
            <w:pPr>
              <w:jc w:val="center"/>
              <w:rPr>
                <w:rFonts w:cs="Arial"/>
                <w:sz w:val="20"/>
                <w:lang w:eastAsia="en-GB"/>
              </w:rPr>
            </w:pPr>
            <w:r w:rsidRPr="00F2710F">
              <w:rPr>
                <w:sz w:val="20"/>
              </w:rPr>
              <w:t>23/03/17</w:t>
            </w:r>
          </w:p>
        </w:tc>
        <w:tc>
          <w:tcPr>
            <w:tcW w:w="1000" w:type="dxa"/>
            <w:shd w:val="clear" w:color="auto" w:fill="auto"/>
          </w:tcPr>
          <w:p w14:paraId="6B0547BC" w14:textId="77777777" w:rsidR="00F2710F" w:rsidRPr="00F2710F" w:rsidRDefault="00F2710F" w:rsidP="00022806">
            <w:pPr>
              <w:jc w:val="center"/>
              <w:rPr>
                <w:rFonts w:cs="Arial"/>
                <w:sz w:val="20"/>
                <w:lang w:eastAsia="en-GB"/>
              </w:rPr>
            </w:pPr>
            <w:r w:rsidRPr="00F2710F">
              <w:rPr>
                <w:sz w:val="20"/>
              </w:rPr>
              <w:t>May 17</w:t>
            </w:r>
          </w:p>
        </w:tc>
        <w:tc>
          <w:tcPr>
            <w:tcW w:w="1000" w:type="dxa"/>
            <w:shd w:val="clear" w:color="auto" w:fill="FFC000"/>
          </w:tcPr>
          <w:p w14:paraId="449DEAC3" w14:textId="77777777" w:rsidR="00F2710F" w:rsidRPr="00F2710F" w:rsidRDefault="00F2710F" w:rsidP="00022806">
            <w:pPr>
              <w:jc w:val="center"/>
              <w:rPr>
                <w:rFonts w:cs="Arial"/>
                <w:sz w:val="20"/>
                <w:lang w:eastAsia="en-GB"/>
              </w:rPr>
            </w:pPr>
            <w:r w:rsidRPr="00F2710F">
              <w:rPr>
                <w:sz w:val="20"/>
              </w:rPr>
              <w:t>Jun 17</w:t>
            </w:r>
          </w:p>
        </w:tc>
        <w:tc>
          <w:tcPr>
            <w:tcW w:w="965" w:type="dxa"/>
            <w:shd w:val="clear" w:color="auto" w:fill="auto"/>
          </w:tcPr>
          <w:p w14:paraId="7944113B" w14:textId="77777777" w:rsidR="00F2710F" w:rsidRPr="00F2710F" w:rsidRDefault="00F2710F" w:rsidP="00022806">
            <w:pPr>
              <w:jc w:val="center"/>
              <w:rPr>
                <w:rFonts w:cs="Arial"/>
                <w:sz w:val="20"/>
                <w:lang w:eastAsia="en-GB"/>
              </w:rPr>
            </w:pPr>
            <w:r w:rsidRPr="00F2710F">
              <w:rPr>
                <w:sz w:val="20"/>
              </w:rPr>
              <w:t>20/06/17</w:t>
            </w:r>
          </w:p>
        </w:tc>
        <w:tc>
          <w:tcPr>
            <w:tcW w:w="969" w:type="dxa"/>
            <w:shd w:val="clear" w:color="auto" w:fill="auto"/>
          </w:tcPr>
          <w:p w14:paraId="4355EED5" w14:textId="77777777" w:rsidR="00F2710F" w:rsidRPr="00F2710F" w:rsidRDefault="00F2710F" w:rsidP="00022806">
            <w:pPr>
              <w:jc w:val="center"/>
              <w:rPr>
                <w:rFonts w:cs="Arial"/>
                <w:sz w:val="20"/>
                <w:lang w:eastAsia="en-GB"/>
              </w:rPr>
            </w:pPr>
            <w:r w:rsidRPr="00F2710F">
              <w:rPr>
                <w:sz w:val="20"/>
              </w:rPr>
              <w:t>WT</w:t>
            </w:r>
          </w:p>
        </w:tc>
        <w:tc>
          <w:tcPr>
            <w:tcW w:w="500" w:type="dxa"/>
            <w:shd w:val="clear" w:color="auto" w:fill="auto"/>
          </w:tcPr>
          <w:p w14:paraId="52B83885" w14:textId="77777777" w:rsidR="00F2710F" w:rsidRPr="00F2710F" w:rsidRDefault="00F2710F" w:rsidP="00022806">
            <w:pPr>
              <w:jc w:val="center"/>
              <w:rPr>
                <w:rFonts w:cs="Arial"/>
                <w:sz w:val="20"/>
                <w:lang w:eastAsia="en-GB"/>
              </w:rPr>
            </w:pPr>
            <w:r w:rsidRPr="00F2710F">
              <w:rPr>
                <w:sz w:val="20"/>
              </w:rPr>
              <w:t>-</w:t>
            </w:r>
          </w:p>
        </w:tc>
        <w:tc>
          <w:tcPr>
            <w:tcW w:w="500" w:type="dxa"/>
            <w:shd w:val="clear" w:color="auto" w:fill="auto"/>
          </w:tcPr>
          <w:p w14:paraId="005D29AD" w14:textId="77777777" w:rsidR="00F2710F" w:rsidRPr="00F2710F" w:rsidRDefault="00F2710F" w:rsidP="00022806">
            <w:pPr>
              <w:jc w:val="center"/>
              <w:rPr>
                <w:rFonts w:cs="Arial"/>
                <w:sz w:val="20"/>
                <w:lang w:eastAsia="en-GB"/>
              </w:rPr>
            </w:pPr>
            <w:r w:rsidRPr="00F2710F">
              <w:rPr>
                <w:sz w:val="20"/>
              </w:rPr>
              <w:t>-</w:t>
            </w:r>
          </w:p>
        </w:tc>
        <w:tc>
          <w:tcPr>
            <w:tcW w:w="500" w:type="dxa"/>
            <w:shd w:val="clear" w:color="auto" w:fill="auto"/>
          </w:tcPr>
          <w:p w14:paraId="11147FC8" w14:textId="77777777" w:rsidR="00F2710F" w:rsidRPr="00F2710F" w:rsidRDefault="00F2710F" w:rsidP="00022806">
            <w:pPr>
              <w:jc w:val="center"/>
              <w:rPr>
                <w:rFonts w:cs="Arial"/>
                <w:sz w:val="20"/>
                <w:lang w:eastAsia="en-GB"/>
              </w:rPr>
            </w:pPr>
            <w:r w:rsidRPr="00F2710F">
              <w:rPr>
                <w:sz w:val="20"/>
              </w:rPr>
              <w:t>-</w:t>
            </w:r>
          </w:p>
        </w:tc>
        <w:tc>
          <w:tcPr>
            <w:tcW w:w="500" w:type="dxa"/>
            <w:shd w:val="clear" w:color="auto" w:fill="auto"/>
          </w:tcPr>
          <w:p w14:paraId="5A76DC65" w14:textId="77777777" w:rsidR="00F2710F" w:rsidRPr="00F2710F" w:rsidRDefault="00F2710F" w:rsidP="00022806">
            <w:pPr>
              <w:jc w:val="center"/>
              <w:rPr>
                <w:rFonts w:cs="Arial"/>
                <w:sz w:val="20"/>
                <w:lang w:eastAsia="en-GB"/>
              </w:rPr>
            </w:pPr>
            <w:r w:rsidRPr="00F2710F">
              <w:rPr>
                <w:sz w:val="20"/>
              </w:rPr>
              <w:t>1</w:t>
            </w:r>
          </w:p>
        </w:tc>
      </w:tr>
      <w:tr w:rsidR="00F2710F" w:rsidRPr="00F2710F" w14:paraId="26705218" w14:textId="77777777" w:rsidTr="008E18A0">
        <w:trPr>
          <w:trHeight w:val="454"/>
        </w:trPr>
        <w:tc>
          <w:tcPr>
            <w:tcW w:w="2325" w:type="dxa"/>
            <w:tcMar>
              <w:left w:w="85" w:type="dxa"/>
              <w:right w:w="85" w:type="dxa"/>
            </w:tcMar>
          </w:tcPr>
          <w:p w14:paraId="093DAE71" w14:textId="77777777" w:rsidR="00F2710F" w:rsidRPr="00F2710F" w:rsidRDefault="00F2710F" w:rsidP="008C4DBB">
            <w:pPr>
              <w:rPr>
                <w:rFonts w:cs="Arial"/>
                <w:sz w:val="20"/>
                <w:lang w:eastAsia="en-GB"/>
              </w:rPr>
            </w:pPr>
            <w:r w:rsidRPr="00F2710F">
              <w:rPr>
                <w:sz w:val="20"/>
              </w:rPr>
              <w:t xml:space="preserve">2nd Bite PI Remediation </w:t>
            </w:r>
          </w:p>
        </w:tc>
        <w:tc>
          <w:tcPr>
            <w:tcW w:w="500" w:type="dxa"/>
            <w:vAlign w:val="center"/>
          </w:tcPr>
          <w:p w14:paraId="1E59D3A9" w14:textId="77777777" w:rsidR="00F2710F" w:rsidRPr="00F2710F" w:rsidRDefault="00F2710F" w:rsidP="00022806">
            <w:pPr>
              <w:jc w:val="center"/>
              <w:rPr>
                <w:rFonts w:cs="Arial"/>
                <w:sz w:val="20"/>
                <w:lang w:eastAsia="en-GB"/>
              </w:rPr>
            </w:pPr>
          </w:p>
        </w:tc>
        <w:tc>
          <w:tcPr>
            <w:tcW w:w="500" w:type="dxa"/>
            <w:vAlign w:val="center"/>
          </w:tcPr>
          <w:p w14:paraId="7719AD1E" w14:textId="77777777" w:rsidR="00F2710F" w:rsidRPr="00F2710F" w:rsidRDefault="00F2710F" w:rsidP="00022806">
            <w:pPr>
              <w:jc w:val="center"/>
              <w:rPr>
                <w:rFonts w:cs="Arial"/>
                <w:sz w:val="20"/>
                <w:lang w:eastAsia="en-GB"/>
              </w:rPr>
            </w:pPr>
            <w:r w:rsidRPr="00407011">
              <w:rPr>
                <w:rFonts w:cs="Arial"/>
                <w:szCs w:val="24"/>
                <w:lang w:eastAsia="en-GB"/>
              </w:rPr>
              <w:sym w:font="Wingdings" w:char="F0FC"/>
            </w:r>
          </w:p>
        </w:tc>
        <w:tc>
          <w:tcPr>
            <w:tcW w:w="500" w:type="dxa"/>
            <w:vAlign w:val="center"/>
          </w:tcPr>
          <w:p w14:paraId="2F1356FA" w14:textId="77777777" w:rsidR="00F2710F" w:rsidRPr="00F2710F" w:rsidRDefault="00F2710F" w:rsidP="00022806">
            <w:pPr>
              <w:jc w:val="center"/>
              <w:rPr>
                <w:rFonts w:cs="Arial"/>
                <w:sz w:val="20"/>
                <w:lang w:eastAsia="en-GB"/>
              </w:rPr>
            </w:pPr>
          </w:p>
        </w:tc>
        <w:tc>
          <w:tcPr>
            <w:tcW w:w="500" w:type="dxa"/>
            <w:vAlign w:val="center"/>
          </w:tcPr>
          <w:p w14:paraId="13FC910F" w14:textId="77777777" w:rsidR="00F2710F" w:rsidRPr="00F2710F" w:rsidRDefault="00F2710F" w:rsidP="00022806">
            <w:pPr>
              <w:jc w:val="center"/>
              <w:rPr>
                <w:rFonts w:cs="Arial"/>
                <w:sz w:val="20"/>
                <w:lang w:eastAsia="en-GB"/>
              </w:rPr>
            </w:pPr>
          </w:p>
        </w:tc>
        <w:tc>
          <w:tcPr>
            <w:tcW w:w="1100" w:type="dxa"/>
            <w:tcMar>
              <w:left w:w="113" w:type="dxa"/>
              <w:right w:w="85" w:type="dxa"/>
            </w:tcMar>
          </w:tcPr>
          <w:p w14:paraId="5B55B6ED" w14:textId="77777777" w:rsidR="00F2710F" w:rsidRPr="00F2710F" w:rsidRDefault="00F2710F" w:rsidP="00022806">
            <w:pPr>
              <w:ind w:left="-113" w:right="-85"/>
              <w:jc w:val="center"/>
              <w:rPr>
                <w:rFonts w:cs="Arial"/>
                <w:sz w:val="20"/>
                <w:lang w:eastAsia="en-GB"/>
              </w:rPr>
            </w:pPr>
            <w:r w:rsidRPr="00F2710F">
              <w:rPr>
                <w:sz w:val="20"/>
              </w:rPr>
              <w:t>Fieldwork</w:t>
            </w:r>
          </w:p>
        </w:tc>
        <w:tc>
          <w:tcPr>
            <w:tcW w:w="1100" w:type="dxa"/>
            <w:gridSpan w:val="2"/>
          </w:tcPr>
          <w:p w14:paraId="02579112" w14:textId="77777777" w:rsidR="00F2710F" w:rsidRPr="00F2710F" w:rsidRDefault="00F2710F" w:rsidP="00022806">
            <w:pPr>
              <w:jc w:val="center"/>
              <w:rPr>
                <w:rFonts w:cs="Arial"/>
                <w:color w:val="000000"/>
                <w:sz w:val="20"/>
                <w:lang w:eastAsia="en-GB"/>
              </w:rPr>
            </w:pPr>
            <w:r w:rsidRPr="00F2710F">
              <w:rPr>
                <w:sz w:val="20"/>
              </w:rPr>
              <w:t>Mar 2017</w:t>
            </w:r>
          </w:p>
        </w:tc>
        <w:tc>
          <w:tcPr>
            <w:tcW w:w="1000" w:type="dxa"/>
            <w:shd w:val="clear" w:color="auto" w:fill="FFC000"/>
          </w:tcPr>
          <w:p w14:paraId="74651363" w14:textId="77777777" w:rsidR="00F2710F" w:rsidRPr="00F2710F" w:rsidRDefault="00F2710F" w:rsidP="00022806">
            <w:pPr>
              <w:jc w:val="center"/>
              <w:rPr>
                <w:rFonts w:cs="Arial"/>
                <w:sz w:val="20"/>
                <w:lang w:eastAsia="en-GB"/>
              </w:rPr>
            </w:pPr>
            <w:r w:rsidRPr="00F2710F">
              <w:rPr>
                <w:sz w:val="20"/>
              </w:rPr>
              <w:t>05/04/17</w:t>
            </w:r>
          </w:p>
        </w:tc>
        <w:tc>
          <w:tcPr>
            <w:tcW w:w="900" w:type="dxa"/>
            <w:shd w:val="clear" w:color="auto" w:fill="auto"/>
          </w:tcPr>
          <w:p w14:paraId="64A5B17B" w14:textId="77777777" w:rsidR="00F2710F" w:rsidRPr="00F2710F" w:rsidRDefault="00F2710F" w:rsidP="00022806">
            <w:pPr>
              <w:jc w:val="center"/>
              <w:rPr>
                <w:rFonts w:cs="Arial"/>
                <w:sz w:val="20"/>
                <w:lang w:eastAsia="en-GB"/>
              </w:rPr>
            </w:pPr>
            <w:r w:rsidRPr="00F2710F">
              <w:rPr>
                <w:sz w:val="20"/>
              </w:rPr>
              <w:t>09/05/17</w:t>
            </w:r>
          </w:p>
        </w:tc>
        <w:tc>
          <w:tcPr>
            <w:tcW w:w="1000" w:type="dxa"/>
            <w:shd w:val="clear" w:color="auto" w:fill="auto"/>
          </w:tcPr>
          <w:p w14:paraId="43969779" w14:textId="77777777" w:rsidR="00F2710F" w:rsidRPr="00F2710F" w:rsidRDefault="00F2710F" w:rsidP="00022806">
            <w:pPr>
              <w:jc w:val="center"/>
              <w:rPr>
                <w:rFonts w:cs="Arial"/>
                <w:sz w:val="20"/>
                <w:lang w:eastAsia="en-GB"/>
              </w:rPr>
            </w:pPr>
            <w:r w:rsidRPr="00F2710F">
              <w:rPr>
                <w:sz w:val="20"/>
              </w:rPr>
              <w:t>Jun 17</w:t>
            </w:r>
          </w:p>
        </w:tc>
        <w:tc>
          <w:tcPr>
            <w:tcW w:w="1000" w:type="dxa"/>
            <w:shd w:val="clear" w:color="auto" w:fill="auto"/>
          </w:tcPr>
          <w:p w14:paraId="033DC3FE" w14:textId="77777777" w:rsidR="00F2710F" w:rsidRPr="00F2710F" w:rsidRDefault="00F2710F" w:rsidP="00022806">
            <w:pPr>
              <w:jc w:val="center"/>
              <w:rPr>
                <w:rFonts w:cs="Arial"/>
                <w:sz w:val="20"/>
                <w:lang w:eastAsia="en-GB"/>
              </w:rPr>
            </w:pPr>
          </w:p>
        </w:tc>
        <w:tc>
          <w:tcPr>
            <w:tcW w:w="965" w:type="dxa"/>
            <w:shd w:val="clear" w:color="auto" w:fill="auto"/>
          </w:tcPr>
          <w:p w14:paraId="7394A23D" w14:textId="77777777" w:rsidR="00F2710F" w:rsidRPr="00F2710F" w:rsidRDefault="00F2710F" w:rsidP="00022806">
            <w:pPr>
              <w:jc w:val="center"/>
              <w:rPr>
                <w:rFonts w:cs="Arial"/>
                <w:sz w:val="20"/>
                <w:lang w:eastAsia="en-GB"/>
              </w:rPr>
            </w:pPr>
          </w:p>
        </w:tc>
        <w:tc>
          <w:tcPr>
            <w:tcW w:w="969" w:type="dxa"/>
            <w:shd w:val="clear" w:color="auto" w:fill="auto"/>
          </w:tcPr>
          <w:p w14:paraId="2820FC7E" w14:textId="77777777" w:rsidR="00F2710F" w:rsidRPr="00F2710F" w:rsidRDefault="00F2710F" w:rsidP="00022806">
            <w:pPr>
              <w:jc w:val="center"/>
              <w:rPr>
                <w:rFonts w:cs="Arial"/>
                <w:sz w:val="20"/>
                <w:lang w:eastAsia="en-GB"/>
              </w:rPr>
            </w:pPr>
          </w:p>
        </w:tc>
        <w:tc>
          <w:tcPr>
            <w:tcW w:w="500" w:type="dxa"/>
            <w:shd w:val="clear" w:color="auto" w:fill="auto"/>
          </w:tcPr>
          <w:p w14:paraId="148341C5" w14:textId="77777777" w:rsidR="00F2710F" w:rsidRPr="00F2710F" w:rsidRDefault="00F2710F" w:rsidP="00022806">
            <w:pPr>
              <w:jc w:val="center"/>
              <w:rPr>
                <w:rFonts w:cs="Arial"/>
                <w:sz w:val="20"/>
                <w:lang w:eastAsia="en-GB"/>
              </w:rPr>
            </w:pPr>
          </w:p>
        </w:tc>
        <w:tc>
          <w:tcPr>
            <w:tcW w:w="500" w:type="dxa"/>
            <w:shd w:val="clear" w:color="auto" w:fill="auto"/>
          </w:tcPr>
          <w:p w14:paraId="0A7EEDCC" w14:textId="77777777" w:rsidR="00F2710F" w:rsidRPr="00F2710F" w:rsidRDefault="00F2710F" w:rsidP="00022806">
            <w:pPr>
              <w:jc w:val="center"/>
              <w:rPr>
                <w:rFonts w:cs="Arial"/>
                <w:sz w:val="20"/>
                <w:lang w:eastAsia="en-GB"/>
              </w:rPr>
            </w:pPr>
          </w:p>
        </w:tc>
        <w:tc>
          <w:tcPr>
            <w:tcW w:w="500" w:type="dxa"/>
            <w:shd w:val="clear" w:color="auto" w:fill="auto"/>
          </w:tcPr>
          <w:p w14:paraId="42756CAC" w14:textId="77777777" w:rsidR="00F2710F" w:rsidRPr="00F2710F" w:rsidRDefault="00F2710F" w:rsidP="00022806">
            <w:pPr>
              <w:jc w:val="center"/>
              <w:rPr>
                <w:rFonts w:cs="Arial"/>
                <w:sz w:val="20"/>
                <w:lang w:eastAsia="en-GB"/>
              </w:rPr>
            </w:pPr>
          </w:p>
        </w:tc>
        <w:tc>
          <w:tcPr>
            <w:tcW w:w="500" w:type="dxa"/>
            <w:shd w:val="clear" w:color="auto" w:fill="auto"/>
          </w:tcPr>
          <w:p w14:paraId="2DD6D9DA" w14:textId="77777777" w:rsidR="00F2710F" w:rsidRPr="00F2710F" w:rsidRDefault="00F2710F" w:rsidP="00022806">
            <w:pPr>
              <w:jc w:val="center"/>
              <w:rPr>
                <w:rFonts w:cs="Arial"/>
                <w:sz w:val="20"/>
                <w:lang w:eastAsia="en-GB"/>
              </w:rPr>
            </w:pPr>
          </w:p>
        </w:tc>
      </w:tr>
      <w:tr w:rsidR="00F2710F" w:rsidRPr="00F2710F" w14:paraId="3457B563" w14:textId="77777777" w:rsidTr="008E18A0">
        <w:trPr>
          <w:trHeight w:val="454"/>
        </w:trPr>
        <w:tc>
          <w:tcPr>
            <w:tcW w:w="2325" w:type="dxa"/>
            <w:tcMar>
              <w:left w:w="85" w:type="dxa"/>
              <w:right w:w="85" w:type="dxa"/>
            </w:tcMar>
          </w:tcPr>
          <w:p w14:paraId="3E0A2AA6" w14:textId="77777777" w:rsidR="00F2710F" w:rsidRPr="00F2710F" w:rsidRDefault="00F2710F" w:rsidP="008C4DBB">
            <w:pPr>
              <w:rPr>
                <w:rFonts w:cs="Arial"/>
                <w:sz w:val="20"/>
                <w:lang w:eastAsia="en-GB"/>
              </w:rPr>
            </w:pPr>
            <w:r w:rsidRPr="00F2710F">
              <w:rPr>
                <w:sz w:val="20"/>
              </w:rPr>
              <w:t xml:space="preserve">Exception Report Management </w:t>
            </w:r>
          </w:p>
        </w:tc>
        <w:tc>
          <w:tcPr>
            <w:tcW w:w="500" w:type="dxa"/>
            <w:vAlign w:val="center"/>
          </w:tcPr>
          <w:p w14:paraId="27130A88" w14:textId="77777777" w:rsidR="00F2710F" w:rsidRPr="00F2710F" w:rsidRDefault="00F2710F" w:rsidP="00022806">
            <w:pPr>
              <w:jc w:val="center"/>
              <w:rPr>
                <w:rFonts w:cs="Arial"/>
                <w:sz w:val="20"/>
                <w:lang w:eastAsia="en-GB"/>
              </w:rPr>
            </w:pPr>
          </w:p>
        </w:tc>
        <w:tc>
          <w:tcPr>
            <w:tcW w:w="500" w:type="dxa"/>
            <w:vAlign w:val="center"/>
          </w:tcPr>
          <w:p w14:paraId="2087D049" w14:textId="77777777" w:rsidR="00F2710F" w:rsidRPr="00F2710F" w:rsidRDefault="00F2710F" w:rsidP="00022806">
            <w:pPr>
              <w:jc w:val="center"/>
              <w:rPr>
                <w:rFonts w:cs="Arial"/>
                <w:sz w:val="20"/>
                <w:lang w:eastAsia="en-GB"/>
              </w:rPr>
            </w:pPr>
          </w:p>
        </w:tc>
        <w:tc>
          <w:tcPr>
            <w:tcW w:w="500" w:type="dxa"/>
            <w:vAlign w:val="center"/>
          </w:tcPr>
          <w:p w14:paraId="154E41EF" w14:textId="77777777" w:rsidR="00F2710F" w:rsidRPr="00F2710F" w:rsidRDefault="00F2710F" w:rsidP="00022806">
            <w:pPr>
              <w:jc w:val="center"/>
              <w:rPr>
                <w:rFonts w:cs="Arial"/>
                <w:sz w:val="20"/>
                <w:lang w:eastAsia="en-GB"/>
              </w:rPr>
            </w:pPr>
          </w:p>
        </w:tc>
        <w:tc>
          <w:tcPr>
            <w:tcW w:w="500" w:type="dxa"/>
            <w:vAlign w:val="center"/>
          </w:tcPr>
          <w:p w14:paraId="76443740" w14:textId="77777777" w:rsidR="00F2710F" w:rsidRPr="00F2710F" w:rsidRDefault="00F2710F" w:rsidP="00022806">
            <w:pPr>
              <w:jc w:val="center"/>
              <w:rPr>
                <w:rFonts w:cs="Arial"/>
                <w:sz w:val="20"/>
                <w:lang w:eastAsia="en-GB"/>
              </w:rPr>
            </w:pPr>
          </w:p>
        </w:tc>
        <w:tc>
          <w:tcPr>
            <w:tcW w:w="1100" w:type="dxa"/>
            <w:tcMar>
              <w:left w:w="113" w:type="dxa"/>
              <w:right w:w="85" w:type="dxa"/>
            </w:tcMar>
          </w:tcPr>
          <w:p w14:paraId="320892C1" w14:textId="77777777" w:rsidR="00F2710F" w:rsidRPr="00F2710F" w:rsidRDefault="00F2710F" w:rsidP="00022806">
            <w:pPr>
              <w:ind w:left="-113" w:right="-85"/>
              <w:jc w:val="center"/>
              <w:rPr>
                <w:rFonts w:cs="Arial"/>
                <w:sz w:val="20"/>
                <w:lang w:eastAsia="en-GB"/>
              </w:rPr>
            </w:pPr>
            <w:r w:rsidRPr="00F2710F">
              <w:rPr>
                <w:sz w:val="20"/>
              </w:rPr>
              <w:t>Deferred</w:t>
            </w:r>
          </w:p>
        </w:tc>
        <w:tc>
          <w:tcPr>
            <w:tcW w:w="8934" w:type="dxa"/>
            <w:gridSpan w:val="12"/>
          </w:tcPr>
          <w:p w14:paraId="0DF2BD60" w14:textId="77777777" w:rsidR="00F2710F" w:rsidRPr="00F2710F" w:rsidRDefault="00F2710F" w:rsidP="00022806">
            <w:pPr>
              <w:jc w:val="center"/>
              <w:rPr>
                <w:rFonts w:cs="Arial"/>
                <w:sz w:val="20"/>
                <w:lang w:eastAsia="en-GB"/>
              </w:rPr>
            </w:pPr>
            <w:r w:rsidRPr="00F2710F">
              <w:rPr>
                <w:sz w:val="20"/>
              </w:rPr>
              <w:t>Review ‘Deferred’ into Q1, 2018 to accommodate review of Contract Outcomes (Reporting)</w:t>
            </w:r>
          </w:p>
        </w:tc>
      </w:tr>
      <w:tr w:rsidR="00F2710F" w:rsidRPr="00F2710F" w14:paraId="1821083F" w14:textId="77777777" w:rsidTr="008E18A0">
        <w:trPr>
          <w:trHeight w:val="454"/>
        </w:trPr>
        <w:tc>
          <w:tcPr>
            <w:tcW w:w="2325" w:type="dxa"/>
            <w:tcMar>
              <w:left w:w="85" w:type="dxa"/>
              <w:right w:w="85" w:type="dxa"/>
            </w:tcMar>
          </w:tcPr>
          <w:p w14:paraId="23D66292" w14:textId="77777777" w:rsidR="00F2710F" w:rsidRPr="00F2710F" w:rsidRDefault="00F2710F" w:rsidP="008C4DBB">
            <w:pPr>
              <w:rPr>
                <w:rFonts w:cs="Arial"/>
                <w:sz w:val="20"/>
                <w:lang w:eastAsia="en-GB"/>
              </w:rPr>
            </w:pPr>
            <w:r w:rsidRPr="00F2710F">
              <w:rPr>
                <w:sz w:val="20"/>
              </w:rPr>
              <w:t>Quality Framework &amp; Reporting</w:t>
            </w:r>
          </w:p>
        </w:tc>
        <w:tc>
          <w:tcPr>
            <w:tcW w:w="500" w:type="dxa"/>
            <w:vAlign w:val="center"/>
          </w:tcPr>
          <w:p w14:paraId="72903914" w14:textId="77777777" w:rsidR="00F2710F" w:rsidRPr="00F2710F" w:rsidRDefault="00F2710F" w:rsidP="00022806">
            <w:pPr>
              <w:jc w:val="center"/>
              <w:rPr>
                <w:rFonts w:cs="Arial"/>
                <w:sz w:val="20"/>
                <w:lang w:eastAsia="en-GB"/>
              </w:rPr>
            </w:pPr>
          </w:p>
        </w:tc>
        <w:tc>
          <w:tcPr>
            <w:tcW w:w="500" w:type="dxa"/>
            <w:vAlign w:val="center"/>
          </w:tcPr>
          <w:p w14:paraId="21EA9D64" w14:textId="77777777" w:rsidR="00F2710F" w:rsidRPr="00F2710F" w:rsidRDefault="00F2710F" w:rsidP="00022806">
            <w:pPr>
              <w:jc w:val="center"/>
              <w:rPr>
                <w:rFonts w:cs="Arial"/>
                <w:sz w:val="20"/>
                <w:lang w:eastAsia="en-GB"/>
              </w:rPr>
            </w:pPr>
          </w:p>
        </w:tc>
        <w:tc>
          <w:tcPr>
            <w:tcW w:w="500" w:type="dxa"/>
            <w:vAlign w:val="center"/>
          </w:tcPr>
          <w:p w14:paraId="40A4D92C" w14:textId="77777777" w:rsidR="00F2710F" w:rsidRPr="00F2710F" w:rsidRDefault="00F2710F" w:rsidP="00022806">
            <w:pPr>
              <w:jc w:val="center"/>
              <w:rPr>
                <w:rFonts w:cs="Arial"/>
                <w:sz w:val="20"/>
                <w:lang w:eastAsia="en-GB"/>
              </w:rPr>
            </w:pPr>
          </w:p>
        </w:tc>
        <w:tc>
          <w:tcPr>
            <w:tcW w:w="500" w:type="dxa"/>
            <w:vAlign w:val="center"/>
          </w:tcPr>
          <w:p w14:paraId="0F2C50A4" w14:textId="77777777" w:rsidR="00F2710F" w:rsidRPr="00F2710F" w:rsidRDefault="00F2710F" w:rsidP="00022806">
            <w:pPr>
              <w:jc w:val="center"/>
              <w:rPr>
                <w:rFonts w:cs="Arial"/>
                <w:sz w:val="20"/>
                <w:lang w:eastAsia="en-GB"/>
              </w:rPr>
            </w:pPr>
            <w:r w:rsidRPr="00407011">
              <w:rPr>
                <w:rFonts w:cs="Arial"/>
                <w:szCs w:val="24"/>
                <w:lang w:eastAsia="en-GB"/>
              </w:rPr>
              <w:sym w:font="Wingdings" w:char="F0FC"/>
            </w:r>
          </w:p>
        </w:tc>
        <w:tc>
          <w:tcPr>
            <w:tcW w:w="1100" w:type="dxa"/>
            <w:tcMar>
              <w:left w:w="113" w:type="dxa"/>
              <w:right w:w="85" w:type="dxa"/>
            </w:tcMar>
          </w:tcPr>
          <w:p w14:paraId="321E6D62" w14:textId="77777777" w:rsidR="00F2710F" w:rsidRPr="00F2710F" w:rsidRDefault="00F2710F" w:rsidP="00022806">
            <w:pPr>
              <w:ind w:left="-113" w:right="-85"/>
              <w:jc w:val="center"/>
              <w:rPr>
                <w:rFonts w:cs="Arial"/>
                <w:sz w:val="20"/>
                <w:lang w:eastAsia="en-GB"/>
              </w:rPr>
            </w:pPr>
            <w:r w:rsidRPr="00F2710F">
              <w:rPr>
                <w:sz w:val="20"/>
              </w:rPr>
              <w:t>Planning</w:t>
            </w:r>
          </w:p>
        </w:tc>
        <w:tc>
          <w:tcPr>
            <w:tcW w:w="1100" w:type="dxa"/>
            <w:gridSpan w:val="2"/>
          </w:tcPr>
          <w:p w14:paraId="54571F38" w14:textId="77777777" w:rsidR="00F2710F" w:rsidRPr="00F2710F" w:rsidRDefault="00F2710F" w:rsidP="00022806">
            <w:pPr>
              <w:jc w:val="center"/>
              <w:rPr>
                <w:rFonts w:cs="Arial"/>
                <w:color w:val="000000"/>
                <w:sz w:val="20"/>
                <w:lang w:eastAsia="en-GB"/>
              </w:rPr>
            </w:pPr>
            <w:r w:rsidRPr="00F2710F">
              <w:rPr>
                <w:sz w:val="20"/>
              </w:rPr>
              <w:t>Jan 2018</w:t>
            </w:r>
          </w:p>
        </w:tc>
        <w:tc>
          <w:tcPr>
            <w:tcW w:w="1000" w:type="dxa"/>
            <w:shd w:val="clear" w:color="auto" w:fill="auto"/>
          </w:tcPr>
          <w:p w14:paraId="2D558049" w14:textId="77777777" w:rsidR="00F2710F" w:rsidRPr="00F2710F" w:rsidRDefault="00F2710F" w:rsidP="00022806">
            <w:pPr>
              <w:jc w:val="center"/>
              <w:rPr>
                <w:rFonts w:cs="Arial"/>
                <w:sz w:val="20"/>
                <w:lang w:eastAsia="en-GB"/>
              </w:rPr>
            </w:pPr>
          </w:p>
        </w:tc>
        <w:tc>
          <w:tcPr>
            <w:tcW w:w="900" w:type="dxa"/>
            <w:shd w:val="clear" w:color="auto" w:fill="auto"/>
          </w:tcPr>
          <w:p w14:paraId="44273B4C" w14:textId="77777777" w:rsidR="00F2710F" w:rsidRPr="00F2710F" w:rsidRDefault="00F2710F" w:rsidP="00022806">
            <w:pPr>
              <w:jc w:val="center"/>
              <w:rPr>
                <w:rFonts w:cs="Arial"/>
                <w:sz w:val="20"/>
                <w:lang w:eastAsia="en-GB"/>
              </w:rPr>
            </w:pPr>
          </w:p>
        </w:tc>
        <w:tc>
          <w:tcPr>
            <w:tcW w:w="1000" w:type="dxa"/>
            <w:shd w:val="clear" w:color="auto" w:fill="auto"/>
          </w:tcPr>
          <w:p w14:paraId="301AB717" w14:textId="77777777" w:rsidR="00F2710F" w:rsidRPr="00F2710F" w:rsidRDefault="00F2710F" w:rsidP="00022806">
            <w:pPr>
              <w:jc w:val="center"/>
              <w:rPr>
                <w:rFonts w:cs="Arial"/>
                <w:sz w:val="20"/>
                <w:lang w:eastAsia="en-GB"/>
              </w:rPr>
            </w:pPr>
          </w:p>
        </w:tc>
        <w:tc>
          <w:tcPr>
            <w:tcW w:w="1000" w:type="dxa"/>
            <w:shd w:val="clear" w:color="auto" w:fill="auto"/>
          </w:tcPr>
          <w:p w14:paraId="0BEEB717" w14:textId="77777777" w:rsidR="00F2710F" w:rsidRPr="00F2710F" w:rsidRDefault="00F2710F" w:rsidP="00022806">
            <w:pPr>
              <w:jc w:val="center"/>
              <w:rPr>
                <w:rFonts w:cs="Arial"/>
                <w:sz w:val="20"/>
                <w:lang w:eastAsia="en-GB"/>
              </w:rPr>
            </w:pPr>
          </w:p>
        </w:tc>
        <w:tc>
          <w:tcPr>
            <w:tcW w:w="965" w:type="dxa"/>
            <w:shd w:val="clear" w:color="auto" w:fill="auto"/>
          </w:tcPr>
          <w:p w14:paraId="5FF296A4" w14:textId="77777777" w:rsidR="00F2710F" w:rsidRPr="00F2710F" w:rsidRDefault="00F2710F" w:rsidP="00022806">
            <w:pPr>
              <w:jc w:val="center"/>
              <w:rPr>
                <w:rFonts w:cs="Arial"/>
                <w:sz w:val="20"/>
                <w:lang w:eastAsia="en-GB"/>
              </w:rPr>
            </w:pPr>
          </w:p>
        </w:tc>
        <w:tc>
          <w:tcPr>
            <w:tcW w:w="969" w:type="dxa"/>
            <w:shd w:val="clear" w:color="auto" w:fill="auto"/>
          </w:tcPr>
          <w:p w14:paraId="7889EEA3" w14:textId="77777777" w:rsidR="00F2710F" w:rsidRPr="00F2710F" w:rsidRDefault="00F2710F" w:rsidP="00022806">
            <w:pPr>
              <w:jc w:val="center"/>
              <w:rPr>
                <w:rFonts w:cs="Arial"/>
                <w:sz w:val="20"/>
                <w:lang w:eastAsia="en-GB"/>
              </w:rPr>
            </w:pPr>
          </w:p>
        </w:tc>
        <w:tc>
          <w:tcPr>
            <w:tcW w:w="500" w:type="dxa"/>
            <w:shd w:val="clear" w:color="auto" w:fill="auto"/>
          </w:tcPr>
          <w:p w14:paraId="5E94D3FB" w14:textId="77777777" w:rsidR="00F2710F" w:rsidRPr="00F2710F" w:rsidRDefault="00F2710F" w:rsidP="00022806">
            <w:pPr>
              <w:jc w:val="center"/>
              <w:rPr>
                <w:rFonts w:cs="Arial"/>
                <w:sz w:val="20"/>
                <w:lang w:eastAsia="en-GB"/>
              </w:rPr>
            </w:pPr>
          </w:p>
        </w:tc>
        <w:tc>
          <w:tcPr>
            <w:tcW w:w="500" w:type="dxa"/>
            <w:shd w:val="clear" w:color="auto" w:fill="auto"/>
          </w:tcPr>
          <w:p w14:paraId="0E952C43" w14:textId="77777777" w:rsidR="00F2710F" w:rsidRPr="00F2710F" w:rsidRDefault="00F2710F" w:rsidP="00022806">
            <w:pPr>
              <w:jc w:val="center"/>
              <w:rPr>
                <w:rFonts w:cs="Arial"/>
                <w:sz w:val="20"/>
                <w:lang w:eastAsia="en-GB"/>
              </w:rPr>
            </w:pPr>
          </w:p>
        </w:tc>
        <w:tc>
          <w:tcPr>
            <w:tcW w:w="500" w:type="dxa"/>
            <w:shd w:val="clear" w:color="auto" w:fill="auto"/>
          </w:tcPr>
          <w:p w14:paraId="0BCFC548" w14:textId="77777777" w:rsidR="00F2710F" w:rsidRPr="00F2710F" w:rsidRDefault="00F2710F" w:rsidP="00022806">
            <w:pPr>
              <w:jc w:val="center"/>
              <w:rPr>
                <w:rFonts w:cs="Arial"/>
                <w:sz w:val="20"/>
                <w:lang w:eastAsia="en-GB"/>
              </w:rPr>
            </w:pPr>
          </w:p>
        </w:tc>
        <w:tc>
          <w:tcPr>
            <w:tcW w:w="500" w:type="dxa"/>
            <w:shd w:val="clear" w:color="auto" w:fill="auto"/>
          </w:tcPr>
          <w:p w14:paraId="3CD024D0" w14:textId="77777777" w:rsidR="00F2710F" w:rsidRPr="00F2710F" w:rsidRDefault="00F2710F" w:rsidP="00022806">
            <w:pPr>
              <w:jc w:val="center"/>
              <w:rPr>
                <w:rFonts w:cs="Arial"/>
                <w:sz w:val="20"/>
                <w:lang w:eastAsia="en-GB"/>
              </w:rPr>
            </w:pPr>
          </w:p>
        </w:tc>
      </w:tr>
      <w:tr w:rsidR="00F2710F" w:rsidRPr="00F2710F" w14:paraId="12BBB3E4" w14:textId="77777777" w:rsidTr="008E18A0">
        <w:trPr>
          <w:trHeight w:val="454"/>
        </w:trPr>
        <w:tc>
          <w:tcPr>
            <w:tcW w:w="2325" w:type="dxa"/>
            <w:tcMar>
              <w:left w:w="85" w:type="dxa"/>
              <w:right w:w="85" w:type="dxa"/>
            </w:tcMar>
          </w:tcPr>
          <w:p w14:paraId="464613B5" w14:textId="77777777" w:rsidR="00F2710F" w:rsidRPr="00F2710F" w:rsidRDefault="00F2710F" w:rsidP="008C4DBB">
            <w:pPr>
              <w:rPr>
                <w:rFonts w:cs="Arial"/>
                <w:sz w:val="20"/>
                <w:lang w:eastAsia="en-GB"/>
              </w:rPr>
            </w:pPr>
            <w:r w:rsidRPr="00F2710F">
              <w:rPr>
                <w:sz w:val="20"/>
              </w:rPr>
              <w:t>Contract Outcomes</w:t>
            </w:r>
          </w:p>
        </w:tc>
        <w:tc>
          <w:tcPr>
            <w:tcW w:w="500" w:type="dxa"/>
            <w:vAlign w:val="center"/>
          </w:tcPr>
          <w:p w14:paraId="096ED0C9" w14:textId="77777777" w:rsidR="00F2710F" w:rsidRPr="00F2710F" w:rsidRDefault="00F2710F" w:rsidP="00022806">
            <w:pPr>
              <w:jc w:val="center"/>
              <w:rPr>
                <w:rFonts w:cs="Arial"/>
                <w:sz w:val="20"/>
                <w:lang w:eastAsia="en-GB"/>
              </w:rPr>
            </w:pPr>
          </w:p>
        </w:tc>
        <w:tc>
          <w:tcPr>
            <w:tcW w:w="500" w:type="dxa"/>
            <w:vAlign w:val="center"/>
          </w:tcPr>
          <w:p w14:paraId="7B4C742D" w14:textId="77777777" w:rsidR="00F2710F" w:rsidRPr="00F2710F" w:rsidRDefault="00F2710F" w:rsidP="00022806">
            <w:pPr>
              <w:jc w:val="center"/>
              <w:rPr>
                <w:rFonts w:cs="Arial"/>
                <w:sz w:val="20"/>
                <w:lang w:eastAsia="en-GB"/>
              </w:rPr>
            </w:pPr>
          </w:p>
        </w:tc>
        <w:tc>
          <w:tcPr>
            <w:tcW w:w="500" w:type="dxa"/>
            <w:vAlign w:val="center"/>
          </w:tcPr>
          <w:p w14:paraId="3F11D54A" w14:textId="77777777" w:rsidR="00F2710F" w:rsidRPr="00F2710F" w:rsidRDefault="00F2710F" w:rsidP="00022806">
            <w:pPr>
              <w:jc w:val="center"/>
              <w:rPr>
                <w:rFonts w:cs="Arial"/>
                <w:sz w:val="20"/>
                <w:lang w:eastAsia="en-GB"/>
              </w:rPr>
            </w:pPr>
          </w:p>
        </w:tc>
        <w:tc>
          <w:tcPr>
            <w:tcW w:w="500" w:type="dxa"/>
            <w:vAlign w:val="center"/>
          </w:tcPr>
          <w:p w14:paraId="2A3043F0" w14:textId="77777777" w:rsidR="00F2710F" w:rsidRPr="00F2710F" w:rsidRDefault="00F2710F" w:rsidP="00022806">
            <w:pPr>
              <w:jc w:val="center"/>
              <w:rPr>
                <w:rFonts w:cs="Arial"/>
                <w:sz w:val="20"/>
                <w:lang w:eastAsia="en-GB"/>
              </w:rPr>
            </w:pPr>
            <w:r w:rsidRPr="00340724">
              <w:rPr>
                <w:rFonts w:cs="Arial"/>
                <w:szCs w:val="24"/>
                <w:lang w:eastAsia="en-GB"/>
              </w:rPr>
              <w:sym w:font="Wingdings" w:char="F0FC"/>
            </w:r>
          </w:p>
        </w:tc>
        <w:tc>
          <w:tcPr>
            <w:tcW w:w="1100" w:type="dxa"/>
            <w:tcMar>
              <w:left w:w="113" w:type="dxa"/>
              <w:right w:w="85" w:type="dxa"/>
            </w:tcMar>
          </w:tcPr>
          <w:p w14:paraId="18AB0FAD" w14:textId="77777777" w:rsidR="00F2710F" w:rsidRPr="00F2710F" w:rsidRDefault="00F2710F" w:rsidP="00022806">
            <w:pPr>
              <w:ind w:left="-113" w:right="-85"/>
              <w:jc w:val="center"/>
              <w:rPr>
                <w:rFonts w:cs="Arial"/>
                <w:sz w:val="20"/>
                <w:lang w:eastAsia="en-GB"/>
              </w:rPr>
            </w:pPr>
            <w:r w:rsidRPr="00F2710F">
              <w:rPr>
                <w:sz w:val="20"/>
              </w:rPr>
              <w:t>Draft Report</w:t>
            </w:r>
          </w:p>
        </w:tc>
        <w:tc>
          <w:tcPr>
            <w:tcW w:w="1100" w:type="dxa"/>
            <w:gridSpan w:val="2"/>
          </w:tcPr>
          <w:p w14:paraId="7585303E" w14:textId="77777777" w:rsidR="00F2710F" w:rsidRPr="00F2710F" w:rsidRDefault="00F2710F" w:rsidP="00022806">
            <w:pPr>
              <w:jc w:val="center"/>
              <w:rPr>
                <w:rFonts w:cs="Arial"/>
                <w:color w:val="000000"/>
                <w:sz w:val="20"/>
                <w:lang w:eastAsia="en-GB"/>
              </w:rPr>
            </w:pPr>
            <w:r w:rsidRPr="00F2710F">
              <w:rPr>
                <w:sz w:val="20"/>
              </w:rPr>
              <w:t>Sep 2017</w:t>
            </w:r>
          </w:p>
        </w:tc>
        <w:tc>
          <w:tcPr>
            <w:tcW w:w="1000" w:type="dxa"/>
            <w:tcBorders>
              <w:bottom w:val="single" w:sz="4" w:space="0" w:color="auto"/>
            </w:tcBorders>
            <w:shd w:val="clear" w:color="auto" w:fill="00B050"/>
          </w:tcPr>
          <w:p w14:paraId="1198B6E8" w14:textId="77777777" w:rsidR="00F2710F" w:rsidRPr="00F2710F" w:rsidRDefault="00F2710F" w:rsidP="00022806">
            <w:pPr>
              <w:jc w:val="center"/>
              <w:rPr>
                <w:rFonts w:cs="Arial"/>
                <w:sz w:val="20"/>
                <w:lang w:eastAsia="en-GB"/>
              </w:rPr>
            </w:pPr>
            <w:r w:rsidRPr="00F2710F">
              <w:rPr>
                <w:sz w:val="20"/>
              </w:rPr>
              <w:t>28/09/19</w:t>
            </w:r>
          </w:p>
        </w:tc>
        <w:tc>
          <w:tcPr>
            <w:tcW w:w="900" w:type="dxa"/>
            <w:shd w:val="clear" w:color="auto" w:fill="auto"/>
          </w:tcPr>
          <w:p w14:paraId="2AADA9D7" w14:textId="77777777" w:rsidR="00F2710F" w:rsidRPr="00F2710F" w:rsidRDefault="00F2710F" w:rsidP="00022806">
            <w:pPr>
              <w:jc w:val="center"/>
              <w:rPr>
                <w:rFonts w:cs="Arial"/>
                <w:sz w:val="20"/>
                <w:lang w:eastAsia="en-GB"/>
              </w:rPr>
            </w:pPr>
            <w:r w:rsidRPr="00F2710F">
              <w:rPr>
                <w:sz w:val="20"/>
              </w:rPr>
              <w:t>09/10/17</w:t>
            </w:r>
          </w:p>
        </w:tc>
        <w:tc>
          <w:tcPr>
            <w:tcW w:w="1000" w:type="dxa"/>
            <w:shd w:val="clear" w:color="auto" w:fill="auto"/>
          </w:tcPr>
          <w:p w14:paraId="6359627D" w14:textId="77777777" w:rsidR="00F2710F" w:rsidRPr="00F2710F" w:rsidRDefault="00F2710F" w:rsidP="00022806">
            <w:pPr>
              <w:jc w:val="center"/>
              <w:rPr>
                <w:rFonts w:cs="Arial"/>
                <w:sz w:val="20"/>
                <w:lang w:eastAsia="en-GB"/>
              </w:rPr>
            </w:pPr>
            <w:r w:rsidRPr="00F2710F">
              <w:rPr>
                <w:sz w:val="20"/>
              </w:rPr>
              <w:t>Nov 17</w:t>
            </w:r>
          </w:p>
        </w:tc>
        <w:tc>
          <w:tcPr>
            <w:tcW w:w="1000" w:type="dxa"/>
            <w:tcBorders>
              <w:bottom w:val="single" w:sz="4" w:space="0" w:color="auto"/>
            </w:tcBorders>
            <w:shd w:val="clear" w:color="auto" w:fill="auto"/>
          </w:tcPr>
          <w:p w14:paraId="772436E4" w14:textId="77777777" w:rsidR="00F2710F" w:rsidRPr="00F2710F" w:rsidRDefault="00F2710F" w:rsidP="00022806">
            <w:pPr>
              <w:jc w:val="center"/>
              <w:rPr>
                <w:rFonts w:cs="Arial"/>
                <w:sz w:val="20"/>
                <w:lang w:eastAsia="en-GB"/>
              </w:rPr>
            </w:pPr>
          </w:p>
        </w:tc>
        <w:tc>
          <w:tcPr>
            <w:tcW w:w="965" w:type="dxa"/>
            <w:shd w:val="clear" w:color="auto" w:fill="auto"/>
          </w:tcPr>
          <w:p w14:paraId="435AAEBB" w14:textId="77777777" w:rsidR="00F2710F" w:rsidRPr="00F2710F" w:rsidRDefault="00F2710F" w:rsidP="00022806">
            <w:pPr>
              <w:jc w:val="center"/>
              <w:rPr>
                <w:rFonts w:cs="Arial"/>
                <w:sz w:val="20"/>
                <w:lang w:eastAsia="en-GB"/>
              </w:rPr>
            </w:pPr>
          </w:p>
        </w:tc>
        <w:tc>
          <w:tcPr>
            <w:tcW w:w="969" w:type="dxa"/>
            <w:shd w:val="clear" w:color="auto" w:fill="auto"/>
          </w:tcPr>
          <w:p w14:paraId="08EE16FA" w14:textId="77777777" w:rsidR="00F2710F" w:rsidRPr="00F2710F" w:rsidRDefault="00F2710F" w:rsidP="00022806">
            <w:pPr>
              <w:jc w:val="center"/>
              <w:rPr>
                <w:rFonts w:cs="Arial"/>
                <w:sz w:val="20"/>
                <w:lang w:eastAsia="en-GB"/>
              </w:rPr>
            </w:pPr>
          </w:p>
        </w:tc>
        <w:tc>
          <w:tcPr>
            <w:tcW w:w="500" w:type="dxa"/>
            <w:shd w:val="clear" w:color="auto" w:fill="auto"/>
          </w:tcPr>
          <w:p w14:paraId="30F41C89" w14:textId="77777777" w:rsidR="00F2710F" w:rsidRPr="00F2710F" w:rsidRDefault="00F2710F" w:rsidP="00022806">
            <w:pPr>
              <w:jc w:val="center"/>
              <w:rPr>
                <w:rFonts w:cs="Arial"/>
                <w:sz w:val="20"/>
                <w:lang w:eastAsia="en-GB"/>
              </w:rPr>
            </w:pPr>
          </w:p>
        </w:tc>
        <w:tc>
          <w:tcPr>
            <w:tcW w:w="500" w:type="dxa"/>
            <w:shd w:val="clear" w:color="auto" w:fill="auto"/>
          </w:tcPr>
          <w:p w14:paraId="1FF77196" w14:textId="77777777" w:rsidR="00F2710F" w:rsidRPr="00F2710F" w:rsidRDefault="00F2710F" w:rsidP="00022806">
            <w:pPr>
              <w:jc w:val="center"/>
              <w:rPr>
                <w:rFonts w:cs="Arial"/>
                <w:sz w:val="20"/>
                <w:lang w:eastAsia="en-GB"/>
              </w:rPr>
            </w:pPr>
          </w:p>
        </w:tc>
        <w:tc>
          <w:tcPr>
            <w:tcW w:w="500" w:type="dxa"/>
            <w:shd w:val="clear" w:color="auto" w:fill="auto"/>
          </w:tcPr>
          <w:p w14:paraId="72CD5BB5" w14:textId="77777777" w:rsidR="00F2710F" w:rsidRPr="00F2710F" w:rsidRDefault="00F2710F" w:rsidP="00022806">
            <w:pPr>
              <w:jc w:val="center"/>
              <w:rPr>
                <w:rFonts w:cs="Arial"/>
                <w:sz w:val="20"/>
                <w:lang w:eastAsia="en-GB"/>
              </w:rPr>
            </w:pPr>
          </w:p>
        </w:tc>
        <w:tc>
          <w:tcPr>
            <w:tcW w:w="500" w:type="dxa"/>
            <w:shd w:val="clear" w:color="auto" w:fill="auto"/>
          </w:tcPr>
          <w:p w14:paraId="4B443540" w14:textId="77777777" w:rsidR="00F2710F" w:rsidRPr="00F2710F" w:rsidRDefault="00F2710F" w:rsidP="00022806">
            <w:pPr>
              <w:jc w:val="center"/>
              <w:rPr>
                <w:rFonts w:cs="Arial"/>
                <w:sz w:val="20"/>
                <w:lang w:eastAsia="en-GB"/>
              </w:rPr>
            </w:pPr>
          </w:p>
        </w:tc>
      </w:tr>
    </w:tbl>
    <w:p w14:paraId="45F0EAEC" w14:textId="77777777" w:rsidR="00461F38" w:rsidRPr="00061CC1" w:rsidRDefault="00461F38" w:rsidP="00461F38"/>
    <w:p w14:paraId="4671494F" w14:textId="77777777" w:rsidR="00461F38" w:rsidRPr="00E33152" w:rsidRDefault="00461F38" w:rsidP="00461F38">
      <w:pPr>
        <w:pStyle w:val="Heading2"/>
        <w:spacing w:before="0" w:after="0"/>
        <w:rPr>
          <w:color w:val="000000"/>
          <w:sz w:val="18"/>
          <w:u w:val="single"/>
        </w:rPr>
      </w:pPr>
      <w:r w:rsidRPr="00E33152">
        <w:rPr>
          <w:color w:val="000000"/>
          <w:sz w:val="18"/>
          <w:u w:val="single"/>
        </w:rPr>
        <w:t xml:space="preserve">KEY:  </w:t>
      </w:r>
    </w:p>
    <w:p w14:paraId="031632EB" w14:textId="77777777" w:rsidR="00461F38" w:rsidRPr="00E33152" w:rsidRDefault="00461F38" w:rsidP="00461F38">
      <w:pPr>
        <w:pStyle w:val="Heading2"/>
        <w:spacing w:before="0" w:after="0"/>
        <w:rPr>
          <w:sz w:val="18"/>
        </w:rPr>
      </w:pPr>
      <w:r w:rsidRPr="00E33152">
        <w:rPr>
          <w:sz w:val="18"/>
          <w:vertAlign w:val="superscript"/>
        </w:rPr>
        <w:t>1</w:t>
      </w:r>
      <w:r>
        <w:rPr>
          <w:sz w:val="18"/>
        </w:rPr>
        <w:t xml:space="preserve">GIA </w:t>
      </w:r>
      <w:r w:rsidRPr="00E33152">
        <w:rPr>
          <w:sz w:val="18"/>
        </w:rPr>
        <w:t>Report Rating: E=Effective; IR=Improvement Required; SIR=Significant Improvement Required; I=Ineffective</w:t>
      </w:r>
    </w:p>
    <w:p w14:paraId="05AC2556" w14:textId="77777777" w:rsidR="00461F38" w:rsidRPr="00E33152" w:rsidRDefault="00461F38" w:rsidP="00461F38">
      <w:pPr>
        <w:pStyle w:val="Heading2"/>
        <w:spacing w:before="0" w:after="0"/>
        <w:rPr>
          <w:sz w:val="18"/>
        </w:rPr>
      </w:pPr>
      <w:r w:rsidRPr="00E33152">
        <w:rPr>
          <w:sz w:val="18"/>
        </w:rPr>
        <w:t xml:space="preserve">Business Assurance Rating (Aligned to Group Risk Framework): WT = Within Tolerance; AT = At Tolerance; U = Uncomfortable; C = Critical  </w:t>
      </w:r>
    </w:p>
    <w:p w14:paraId="3820FE0E" w14:textId="77777777" w:rsidR="00265B50" w:rsidRDefault="00265B50">
      <w:pPr>
        <w:widowControl/>
        <w:overflowPunct/>
        <w:autoSpaceDE/>
        <w:autoSpaceDN/>
        <w:adjustRightInd/>
        <w:textAlignment w:val="auto"/>
        <w:rPr>
          <w:rFonts w:cs="Arial"/>
          <w:sz w:val="22"/>
          <w:szCs w:val="22"/>
          <w:lang w:eastAsia="en-GB"/>
        </w:rPr>
      </w:pPr>
      <w:r>
        <w:rPr>
          <w:rFonts w:cs="Arial"/>
          <w:sz w:val="22"/>
          <w:szCs w:val="22"/>
          <w:lang w:eastAsia="en-GB"/>
        </w:rPr>
        <w:br w:type="page"/>
      </w:r>
    </w:p>
    <w:p w14:paraId="64BF3731" w14:textId="77777777" w:rsidR="001620B0" w:rsidRDefault="001620B0" w:rsidP="00C508BF">
      <w:pPr>
        <w:jc w:val="right"/>
        <w:rPr>
          <w:rFonts w:cs="Arial"/>
          <w:b/>
          <w:sz w:val="22"/>
          <w:szCs w:val="22"/>
          <w:lang w:eastAsia="en-GB"/>
        </w:rPr>
        <w:sectPr w:rsidR="001620B0" w:rsidSect="00022806">
          <w:pgSz w:w="16838" w:h="11906" w:orient="landscape"/>
          <w:pgMar w:top="851" w:right="1440" w:bottom="1559" w:left="1440" w:header="709" w:footer="709" w:gutter="0"/>
          <w:cols w:space="708"/>
          <w:docGrid w:linePitch="360"/>
        </w:sectPr>
      </w:pPr>
    </w:p>
    <w:p w14:paraId="16B534BC" w14:textId="77777777" w:rsidR="00722E92" w:rsidRPr="00265B50" w:rsidRDefault="00265B50" w:rsidP="00C508BF">
      <w:pPr>
        <w:jc w:val="right"/>
        <w:rPr>
          <w:rFonts w:cs="Arial"/>
          <w:b/>
          <w:sz w:val="22"/>
          <w:szCs w:val="22"/>
          <w:lang w:eastAsia="en-GB"/>
        </w:rPr>
      </w:pPr>
      <w:r w:rsidRPr="00265B50">
        <w:rPr>
          <w:rFonts w:cs="Arial"/>
          <w:b/>
          <w:sz w:val="22"/>
          <w:szCs w:val="22"/>
          <w:lang w:eastAsia="en-GB"/>
        </w:rPr>
        <w:t xml:space="preserve">Annex </w:t>
      </w:r>
      <w:r w:rsidR="008B1EE9">
        <w:rPr>
          <w:rFonts w:cs="Arial"/>
          <w:b/>
          <w:sz w:val="22"/>
          <w:szCs w:val="22"/>
          <w:lang w:eastAsia="en-GB"/>
        </w:rPr>
        <w:t>1</w:t>
      </w:r>
    </w:p>
    <w:p w14:paraId="40B4D348" w14:textId="77777777" w:rsidR="00265B50" w:rsidRDefault="00265B50" w:rsidP="00461F38">
      <w:pPr>
        <w:rPr>
          <w:rFonts w:cs="Arial"/>
          <w:sz w:val="22"/>
          <w:szCs w:val="22"/>
          <w:lang w:eastAsia="en-GB"/>
        </w:rPr>
      </w:pPr>
    </w:p>
    <w:p w14:paraId="741A59D4" w14:textId="77777777" w:rsidR="00265B50" w:rsidRPr="00F2025C" w:rsidRDefault="00265B50" w:rsidP="00265B50">
      <w:pPr>
        <w:pStyle w:val="DeptBullets"/>
        <w:numPr>
          <w:ilvl w:val="0"/>
          <w:numId w:val="0"/>
        </w:numPr>
        <w:spacing w:after="0"/>
        <w:ind w:right="-99"/>
        <w:rPr>
          <w:rFonts w:cs="Arial"/>
          <w:b/>
          <w:sz w:val="22"/>
          <w:szCs w:val="22"/>
        </w:rPr>
      </w:pPr>
      <w:r w:rsidRPr="00F2025C">
        <w:rPr>
          <w:rFonts w:cs="Arial"/>
          <w:b/>
          <w:sz w:val="22"/>
          <w:szCs w:val="22"/>
        </w:rPr>
        <w:t>Teachers’ Pension Scheme Pension Board - Finance, Risk and Audit Report.</w:t>
      </w:r>
    </w:p>
    <w:p w14:paraId="31F510B4" w14:textId="77777777" w:rsidR="00265B50" w:rsidRPr="00F2025C" w:rsidRDefault="00265B50" w:rsidP="00265B50">
      <w:pPr>
        <w:pStyle w:val="DeptBullets"/>
        <w:numPr>
          <w:ilvl w:val="0"/>
          <w:numId w:val="0"/>
        </w:numPr>
        <w:spacing w:after="0"/>
        <w:ind w:right="-99"/>
        <w:rPr>
          <w:rFonts w:cs="Arial"/>
          <w:b/>
          <w:sz w:val="22"/>
          <w:szCs w:val="22"/>
        </w:rPr>
      </w:pPr>
    </w:p>
    <w:p w14:paraId="218E9871" w14:textId="77777777" w:rsidR="00265B50" w:rsidRPr="00F2025C" w:rsidRDefault="00265B50" w:rsidP="00265B50">
      <w:pPr>
        <w:pStyle w:val="Default"/>
        <w:rPr>
          <w:rFonts w:ascii="Arial" w:hAnsi="Arial" w:cs="Arial"/>
          <w:color w:val="auto"/>
          <w:sz w:val="22"/>
          <w:szCs w:val="22"/>
        </w:rPr>
      </w:pPr>
      <w:r w:rsidRPr="00F2025C">
        <w:rPr>
          <w:rFonts w:ascii="Arial" w:hAnsi="Arial" w:cs="Arial"/>
          <w:color w:val="auto"/>
          <w:sz w:val="22"/>
          <w:szCs w:val="22"/>
        </w:rPr>
        <w:t>The purpose of this document is to advise the Managing Risk and Internal Controls Sub-Committee and the Board of recent key events relating to the financial management, risk and auditing of the scheme so as to assist it in its assurance role - in particular in the areas of risk management / arrangements for maintaining control over the business and collecting contributions to the scheme. The report also aims to assist the Board in its strategic role by providing information on specific actions and projects that aim to ensure the administration continues to improve and best serve all stakeholders’ needs.</w:t>
      </w:r>
    </w:p>
    <w:p w14:paraId="767AF2BA" w14:textId="77777777" w:rsidR="00265B50" w:rsidRPr="00F2025C" w:rsidRDefault="00265B50" w:rsidP="00265B50">
      <w:pPr>
        <w:pStyle w:val="Default"/>
        <w:rPr>
          <w:rFonts w:ascii="Arial" w:hAnsi="Arial" w:cs="Arial"/>
          <w:color w:val="auto"/>
          <w:sz w:val="22"/>
          <w:szCs w:val="22"/>
        </w:rPr>
      </w:pPr>
    </w:p>
    <w:p w14:paraId="65BEB4F1" w14:textId="77777777" w:rsidR="00265B50" w:rsidRPr="00F2025C" w:rsidRDefault="00265B50" w:rsidP="00265B50">
      <w:pPr>
        <w:pStyle w:val="DeptBullets"/>
        <w:numPr>
          <w:ilvl w:val="0"/>
          <w:numId w:val="0"/>
        </w:numPr>
        <w:tabs>
          <w:tab w:val="left" w:pos="6105"/>
        </w:tabs>
        <w:spacing w:after="0"/>
        <w:rPr>
          <w:rFonts w:cs="Arial"/>
          <w:sz w:val="22"/>
          <w:szCs w:val="22"/>
        </w:rPr>
      </w:pPr>
      <w:r w:rsidRPr="00F2025C">
        <w:rPr>
          <w:rFonts w:cs="Arial"/>
          <w:sz w:val="22"/>
          <w:szCs w:val="22"/>
        </w:rPr>
        <w:t>Through this Sub-Committee the Teachers’ Pension Scheme Pension Board can gain insight and hence assurance over the financial administration of the scheme with a focus on how wider strategic risks are managed.  Particular focus is given on:</w:t>
      </w:r>
    </w:p>
    <w:p w14:paraId="603066A1" w14:textId="77777777" w:rsidR="00265B50" w:rsidRPr="00F2025C" w:rsidRDefault="00265B50" w:rsidP="00265B50">
      <w:pPr>
        <w:pStyle w:val="DeptBullets"/>
        <w:numPr>
          <w:ilvl w:val="0"/>
          <w:numId w:val="0"/>
        </w:numPr>
        <w:tabs>
          <w:tab w:val="left" w:pos="6105"/>
        </w:tabs>
        <w:spacing w:after="0"/>
        <w:rPr>
          <w:rFonts w:cs="Arial"/>
          <w:sz w:val="22"/>
          <w:szCs w:val="22"/>
        </w:rPr>
      </w:pPr>
    </w:p>
    <w:p w14:paraId="3BDE099A" w14:textId="77777777" w:rsidR="00265B50" w:rsidRPr="00F2025C" w:rsidRDefault="00265B50" w:rsidP="00265B50">
      <w:pPr>
        <w:pStyle w:val="DeptBullets"/>
        <w:numPr>
          <w:ilvl w:val="1"/>
          <w:numId w:val="8"/>
        </w:numPr>
        <w:tabs>
          <w:tab w:val="left" w:pos="6105"/>
        </w:tabs>
        <w:spacing w:after="0"/>
        <w:ind w:left="870"/>
        <w:rPr>
          <w:rFonts w:cs="Arial"/>
          <w:sz w:val="22"/>
          <w:szCs w:val="22"/>
        </w:rPr>
      </w:pPr>
      <w:r w:rsidRPr="00F2025C">
        <w:rPr>
          <w:rFonts w:cs="Arial"/>
          <w:sz w:val="22"/>
          <w:szCs w:val="22"/>
        </w:rPr>
        <w:t>how we ensure finances are properly accounted for in the annual accounts;</w:t>
      </w:r>
    </w:p>
    <w:p w14:paraId="50232DFD" w14:textId="77777777" w:rsidR="00265B50" w:rsidRPr="00F2025C" w:rsidRDefault="00265B50" w:rsidP="00265B50">
      <w:pPr>
        <w:pStyle w:val="DeptBullets"/>
        <w:numPr>
          <w:ilvl w:val="1"/>
          <w:numId w:val="8"/>
        </w:numPr>
        <w:tabs>
          <w:tab w:val="left" w:pos="6105"/>
        </w:tabs>
        <w:spacing w:after="0"/>
        <w:ind w:left="870"/>
        <w:rPr>
          <w:rFonts w:cs="Arial"/>
          <w:sz w:val="22"/>
          <w:szCs w:val="22"/>
        </w:rPr>
      </w:pPr>
      <w:r w:rsidRPr="00F2025C">
        <w:rPr>
          <w:rFonts w:cs="Arial"/>
          <w:sz w:val="22"/>
          <w:szCs w:val="22"/>
        </w:rPr>
        <w:t>how we oversee budgets/spending, including the OBR estimating process;</w:t>
      </w:r>
    </w:p>
    <w:p w14:paraId="70A822F7" w14:textId="77777777" w:rsidR="00265B50" w:rsidRPr="00F2025C" w:rsidRDefault="00265B50" w:rsidP="00265B50">
      <w:pPr>
        <w:pStyle w:val="DeptBullets"/>
        <w:numPr>
          <w:ilvl w:val="1"/>
          <w:numId w:val="8"/>
        </w:numPr>
        <w:tabs>
          <w:tab w:val="left" w:pos="6105"/>
        </w:tabs>
        <w:spacing w:after="0"/>
        <w:ind w:left="870"/>
        <w:rPr>
          <w:rFonts w:cs="Arial"/>
          <w:sz w:val="22"/>
          <w:szCs w:val="22"/>
        </w:rPr>
      </w:pPr>
      <w:r w:rsidRPr="00F2025C">
        <w:rPr>
          <w:rFonts w:cs="Arial"/>
          <w:sz w:val="22"/>
          <w:szCs w:val="22"/>
        </w:rPr>
        <w:t>how we monitor contributions collection;</w:t>
      </w:r>
    </w:p>
    <w:p w14:paraId="7D5258AF" w14:textId="77777777" w:rsidR="00265B50" w:rsidRPr="00F2025C" w:rsidRDefault="00265B50" w:rsidP="00265B50">
      <w:pPr>
        <w:pStyle w:val="DeptBullets"/>
        <w:numPr>
          <w:ilvl w:val="1"/>
          <w:numId w:val="8"/>
        </w:numPr>
        <w:tabs>
          <w:tab w:val="left" w:pos="6105"/>
        </w:tabs>
        <w:spacing w:after="0"/>
        <w:ind w:left="870"/>
        <w:rPr>
          <w:rFonts w:cs="Arial"/>
          <w:sz w:val="22"/>
          <w:szCs w:val="22"/>
        </w:rPr>
      </w:pPr>
      <w:r w:rsidRPr="00F2025C">
        <w:rPr>
          <w:rFonts w:cs="Arial"/>
          <w:sz w:val="22"/>
          <w:szCs w:val="22"/>
        </w:rPr>
        <w:t>how we monitor debt management</w:t>
      </w:r>
    </w:p>
    <w:p w14:paraId="5B21349F" w14:textId="77777777" w:rsidR="00265B50" w:rsidRPr="00F2025C" w:rsidRDefault="00265B50" w:rsidP="00265B50">
      <w:pPr>
        <w:pStyle w:val="DeptBullets"/>
        <w:numPr>
          <w:ilvl w:val="1"/>
          <w:numId w:val="8"/>
        </w:numPr>
        <w:tabs>
          <w:tab w:val="left" w:pos="6105"/>
        </w:tabs>
        <w:spacing w:after="0"/>
        <w:ind w:left="870"/>
        <w:rPr>
          <w:rFonts w:cs="Arial"/>
          <w:sz w:val="22"/>
          <w:szCs w:val="22"/>
        </w:rPr>
      </w:pPr>
      <w:r w:rsidRPr="00F2025C">
        <w:rPr>
          <w:rFonts w:cs="Arial"/>
          <w:sz w:val="22"/>
          <w:szCs w:val="22"/>
        </w:rPr>
        <w:t xml:space="preserve">the risk management process, including how we set the audit plan and monitor actions/follow up; and  </w:t>
      </w:r>
    </w:p>
    <w:p w14:paraId="23ECAC21" w14:textId="77777777" w:rsidR="00265B50" w:rsidRPr="00F2025C" w:rsidRDefault="00265B50" w:rsidP="00265B50">
      <w:pPr>
        <w:pStyle w:val="DeptBullets"/>
        <w:numPr>
          <w:ilvl w:val="1"/>
          <w:numId w:val="8"/>
        </w:numPr>
        <w:tabs>
          <w:tab w:val="left" w:pos="6105"/>
        </w:tabs>
        <w:spacing w:after="0"/>
        <w:ind w:left="870"/>
        <w:rPr>
          <w:rFonts w:cs="Arial"/>
          <w:sz w:val="22"/>
          <w:szCs w:val="22"/>
        </w:rPr>
      </w:pPr>
      <w:r w:rsidRPr="00F2025C">
        <w:rPr>
          <w:rFonts w:cs="Arial"/>
          <w:sz w:val="22"/>
          <w:szCs w:val="22"/>
        </w:rPr>
        <w:t>any specific projects.</w:t>
      </w:r>
    </w:p>
    <w:p w14:paraId="499424D6" w14:textId="77777777" w:rsidR="00265B50" w:rsidRDefault="00265B50" w:rsidP="00461F38">
      <w:pPr>
        <w:rPr>
          <w:rFonts w:cs="Arial"/>
          <w:sz w:val="22"/>
          <w:szCs w:val="22"/>
          <w:lang w:eastAsia="en-GB"/>
        </w:rPr>
      </w:pPr>
    </w:p>
    <w:p w14:paraId="5355FE15" w14:textId="77777777" w:rsidR="00FE1C85" w:rsidRDefault="00FE1C85" w:rsidP="00461F38">
      <w:pPr>
        <w:rPr>
          <w:rFonts w:cs="Arial"/>
          <w:sz w:val="22"/>
          <w:szCs w:val="22"/>
          <w:lang w:eastAsia="en-GB"/>
        </w:rPr>
      </w:pPr>
    </w:p>
    <w:p w14:paraId="25014B64" w14:textId="77777777" w:rsidR="00FE1C85" w:rsidRDefault="00FE1C85" w:rsidP="00461F38">
      <w:pPr>
        <w:rPr>
          <w:rFonts w:cs="Arial"/>
          <w:sz w:val="22"/>
          <w:szCs w:val="22"/>
          <w:lang w:eastAsia="en-GB"/>
        </w:rPr>
      </w:pPr>
    </w:p>
    <w:p w14:paraId="3DB5F40D" w14:textId="77777777" w:rsidR="00FE1C85" w:rsidRDefault="00FE1C85" w:rsidP="00461F38">
      <w:pPr>
        <w:rPr>
          <w:rFonts w:cs="Arial"/>
          <w:sz w:val="22"/>
          <w:szCs w:val="22"/>
          <w:lang w:eastAsia="en-GB"/>
        </w:rPr>
      </w:pPr>
    </w:p>
    <w:p w14:paraId="08605D75" w14:textId="77777777" w:rsidR="00FE1C85" w:rsidRDefault="00FE1C85" w:rsidP="00461F38">
      <w:pPr>
        <w:rPr>
          <w:rFonts w:cs="Arial"/>
          <w:sz w:val="22"/>
          <w:szCs w:val="22"/>
          <w:lang w:eastAsia="en-GB"/>
        </w:rPr>
      </w:pPr>
    </w:p>
    <w:p w14:paraId="73EE16F6" w14:textId="77777777" w:rsidR="00FE1C85" w:rsidRDefault="00FE1C85" w:rsidP="00461F38">
      <w:pPr>
        <w:rPr>
          <w:rFonts w:cs="Arial"/>
          <w:sz w:val="22"/>
          <w:szCs w:val="22"/>
          <w:lang w:eastAsia="en-GB"/>
        </w:rPr>
      </w:pPr>
    </w:p>
    <w:p w14:paraId="0FF3C3D2" w14:textId="77777777" w:rsidR="00FE1C85" w:rsidRDefault="00FE1C85" w:rsidP="00461F38">
      <w:pPr>
        <w:rPr>
          <w:rFonts w:cs="Arial"/>
          <w:sz w:val="22"/>
          <w:szCs w:val="22"/>
          <w:lang w:eastAsia="en-GB"/>
        </w:rPr>
      </w:pPr>
    </w:p>
    <w:p w14:paraId="15AC0ADC" w14:textId="77777777" w:rsidR="00FE1C85" w:rsidRDefault="00FE1C85" w:rsidP="00461F38">
      <w:pPr>
        <w:rPr>
          <w:rFonts w:cs="Arial"/>
          <w:sz w:val="22"/>
          <w:szCs w:val="22"/>
          <w:lang w:eastAsia="en-GB"/>
        </w:rPr>
      </w:pPr>
    </w:p>
    <w:p w14:paraId="2D2857A8" w14:textId="6BEE9FB1" w:rsidR="00C508BF" w:rsidRPr="00D51EBD" w:rsidRDefault="00C508BF" w:rsidP="00D139C9">
      <w:pPr>
        <w:jc w:val="right"/>
        <w:rPr>
          <w:rFonts w:cs="Arial"/>
          <w:color w:val="000000" w:themeColor="text1"/>
          <w:szCs w:val="24"/>
        </w:rPr>
      </w:pPr>
    </w:p>
    <w:sectPr w:rsidR="00C508BF" w:rsidRPr="00D51EBD" w:rsidSect="00176ED4">
      <w:headerReference w:type="default" r:id="rId19"/>
      <w:footerReference w:type="default" r:id="rId20"/>
      <w:pgSz w:w="11906" w:h="16838"/>
      <w:pgMar w:top="1440" w:right="1416"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D9DB0" w14:textId="77777777" w:rsidR="00054EC6" w:rsidRDefault="00054EC6">
      <w:r>
        <w:separator/>
      </w:r>
    </w:p>
  </w:endnote>
  <w:endnote w:type="continuationSeparator" w:id="0">
    <w:p w14:paraId="2DDA1EAC" w14:textId="77777777" w:rsidR="00054EC6" w:rsidRDefault="00054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LT Std 35 Light">
    <w:altName w:val="Avenir LT Std 35 Light"/>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5FD09" w14:textId="77777777" w:rsidR="006A3D56" w:rsidRDefault="006A3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572046"/>
      <w:docPartObj>
        <w:docPartGallery w:val="Page Numbers (Bottom of Page)"/>
        <w:docPartUnique/>
      </w:docPartObj>
    </w:sdtPr>
    <w:sdtEndPr>
      <w:rPr>
        <w:noProof/>
      </w:rPr>
    </w:sdtEndPr>
    <w:sdtContent>
      <w:p w14:paraId="40BF7650" w14:textId="498C4F53" w:rsidR="009457D7" w:rsidRDefault="009457D7">
        <w:pPr>
          <w:pStyle w:val="Footer"/>
          <w:jc w:val="center"/>
        </w:pPr>
        <w:r>
          <w:fldChar w:fldCharType="begin"/>
        </w:r>
        <w:r>
          <w:instrText xml:space="preserve"> PAGE   \* MERGEFORMAT </w:instrText>
        </w:r>
        <w:r>
          <w:fldChar w:fldCharType="separate"/>
        </w:r>
        <w:r w:rsidR="009A0EF4">
          <w:rPr>
            <w:noProof/>
          </w:rPr>
          <w:t>3</w:t>
        </w:r>
        <w:r>
          <w:rPr>
            <w:noProof/>
          </w:rPr>
          <w:fldChar w:fldCharType="end"/>
        </w:r>
      </w:p>
    </w:sdtContent>
  </w:sdt>
  <w:p w14:paraId="0C2AB6EE" w14:textId="77777777" w:rsidR="009457D7" w:rsidRDefault="009457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57236" w14:textId="77777777" w:rsidR="006A3D56" w:rsidRDefault="006A3D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272887"/>
      <w:docPartObj>
        <w:docPartGallery w:val="Page Numbers (Bottom of Page)"/>
        <w:docPartUnique/>
      </w:docPartObj>
    </w:sdtPr>
    <w:sdtEndPr>
      <w:rPr>
        <w:noProof/>
        <w:sz w:val="16"/>
        <w:szCs w:val="16"/>
      </w:rPr>
    </w:sdtEndPr>
    <w:sdtContent>
      <w:p w14:paraId="1BB54AB7" w14:textId="12746C5F" w:rsidR="00BA708E" w:rsidRPr="000C5390" w:rsidRDefault="00A45FAC">
        <w:pPr>
          <w:pStyle w:val="Footer"/>
          <w:jc w:val="center"/>
          <w:rPr>
            <w:sz w:val="16"/>
            <w:szCs w:val="16"/>
          </w:rPr>
        </w:pPr>
        <w:r w:rsidRPr="000C5390">
          <w:rPr>
            <w:sz w:val="16"/>
            <w:szCs w:val="16"/>
          </w:rPr>
          <w:fldChar w:fldCharType="begin"/>
        </w:r>
        <w:r w:rsidRPr="000C5390">
          <w:rPr>
            <w:sz w:val="16"/>
            <w:szCs w:val="16"/>
          </w:rPr>
          <w:instrText xml:space="preserve"> PAGE   \* MERGEFORMAT </w:instrText>
        </w:r>
        <w:r w:rsidRPr="000C5390">
          <w:rPr>
            <w:sz w:val="16"/>
            <w:szCs w:val="16"/>
          </w:rPr>
          <w:fldChar w:fldCharType="separate"/>
        </w:r>
        <w:r w:rsidR="009A0EF4">
          <w:rPr>
            <w:noProof/>
            <w:sz w:val="16"/>
            <w:szCs w:val="16"/>
          </w:rPr>
          <w:t>9</w:t>
        </w:r>
        <w:r w:rsidRPr="000C5390">
          <w:rPr>
            <w:noProof/>
            <w:sz w:val="16"/>
            <w:szCs w:val="16"/>
          </w:rPr>
          <w:fldChar w:fldCharType="end"/>
        </w:r>
      </w:p>
    </w:sdtContent>
  </w:sdt>
  <w:p w14:paraId="1500112B" w14:textId="77777777" w:rsidR="00BA708E" w:rsidRDefault="009A0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6BC68" w14:textId="77777777" w:rsidR="00054EC6" w:rsidRDefault="00054EC6">
      <w:r>
        <w:separator/>
      </w:r>
    </w:p>
  </w:footnote>
  <w:footnote w:type="continuationSeparator" w:id="0">
    <w:p w14:paraId="63B724BE" w14:textId="77777777" w:rsidR="00054EC6" w:rsidRDefault="00054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00D84" w14:textId="77777777" w:rsidR="006A3D56" w:rsidRDefault="006A3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8DEF6" w14:textId="73AD4694" w:rsidR="009457D7" w:rsidRPr="00DD7B60" w:rsidRDefault="009457D7" w:rsidP="00874A07">
    <w:pPr>
      <w:pStyle w:val="Header"/>
      <w:rPr>
        <w:sz w:val="22"/>
        <w:szCs w:val="22"/>
      </w:rPr>
    </w:pPr>
    <w:r w:rsidRPr="00DD7B60">
      <w:rPr>
        <w:sz w:val="22"/>
        <w:szCs w:val="22"/>
      </w:rPr>
      <w:t xml:space="preserve">Paper </w:t>
    </w:r>
    <w:r w:rsidR="006A3D56">
      <w:rPr>
        <w:sz w:val="22"/>
        <w:szCs w:val="22"/>
      </w:rPr>
      <w:t>14</w:t>
    </w:r>
    <w:r w:rsidRPr="00DD7B60">
      <w:rPr>
        <w:sz w:val="22"/>
        <w:szCs w:val="22"/>
      </w:rPr>
      <w:t xml:space="preserve">: (Agenda item </w:t>
    </w:r>
    <w:r w:rsidR="006A3D56">
      <w:rPr>
        <w:sz w:val="22"/>
        <w:szCs w:val="22"/>
      </w:rPr>
      <w:t>6</w:t>
    </w:r>
    <w:r w:rsidRPr="00DD7B60">
      <w:rPr>
        <w:sz w:val="22"/>
        <w:szCs w:val="22"/>
      </w:rPr>
      <w:t>)</w:t>
    </w:r>
    <w:r w:rsidRPr="00DD7B60">
      <w:rPr>
        <w:sz w:val="22"/>
        <w:szCs w:val="22"/>
      </w:rPr>
      <w:tab/>
      <w:t xml:space="preserve"> </w:t>
    </w:r>
    <w:r w:rsidR="001620B0" w:rsidRPr="00DD7B60">
      <w:rPr>
        <w:sz w:val="22"/>
        <w:szCs w:val="22"/>
      </w:rPr>
      <w:t xml:space="preserve"> </w:t>
    </w:r>
    <w:r w:rsidR="00DD7B60">
      <w:rPr>
        <w:sz w:val="22"/>
        <w:szCs w:val="22"/>
      </w:rPr>
      <w:t xml:space="preserve">                                          </w:t>
    </w:r>
    <w:r w:rsidR="001620B0" w:rsidRPr="00DD7B60">
      <w:rPr>
        <w:sz w:val="22"/>
        <w:szCs w:val="22"/>
      </w:rPr>
      <w:t xml:space="preserve">           </w:t>
    </w:r>
    <w:r w:rsidR="00DD7B60" w:rsidRPr="00DD7B60">
      <w:rPr>
        <w:sz w:val="22"/>
        <w:szCs w:val="22"/>
      </w:rPr>
      <w:t xml:space="preserve">TPSPB Meeting 18 April </w:t>
    </w:r>
    <w:r w:rsidRPr="00DD7B60">
      <w:rPr>
        <w:sz w:val="22"/>
        <w:szCs w:val="22"/>
      </w:rPr>
      <w:t>2018</w:t>
    </w:r>
  </w:p>
  <w:p w14:paraId="6E0E4620" w14:textId="77777777" w:rsidR="009457D7" w:rsidRDefault="009457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12ABA" w14:textId="77777777" w:rsidR="006A3D56" w:rsidRDefault="006A3D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218B0" w14:textId="63C60360" w:rsidR="009457D7" w:rsidRPr="00874A07" w:rsidRDefault="009457D7">
    <w:pPr>
      <w:pStyle w:val="Header"/>
      <w:rPr>
        <w:sz w:val="20"/>
      </w:rPr>
    </w:pPr>
    <w:r w:rsidRPr="00874A07">
      <w:rPr>
        <w:sz w:val="20"/>
      </w:rPr>
      <w:t xml:space="preserve">Paper 5: (Agenda item </w:t>
    </w:r>
    <w:r w:rsidR="001620B0">
      <w:rPr>
        <w:sz w:val="20"/>
      </w:rPr>
      <w:t>3</w:t>
    </w:r>
    <w:r w:rsidRPr="00874A07">
      <w:rPr>
        <w:sz w:val="20"/>
      </w:rPr>
      <w:t>)</w:t>
    </w:r>
    <w:r w:rsidRPr="00874A07">
      <w:rPr>
        <w:sz w:val="20"/>
      </w:rPr>
      <w:tab/>
    </w:r>
    <w:r w:rsidR="001620B0">
      <w:rPr>
        <w:sz w:val="20"/>
      </w:rPr>
      <w:t xml:space="preserve">                  </w:t>
    </w:r>
    <w:r w:rsidRPr="00874A07">
      <w:rPr>
        <w:sz w:val="20"/>
      </w:rPr>
      <w:t xml:space="preserve">Finance Risk </w:t>
    </w:r>
    <w:r w:rsidR="001620B0">
      <w:rPr>
        <w:sz w:val="20"/>
      </w:rPr>
      <w:t>&amp;</w:t>
    </w:r>
    <w:r w:rsidRPr="00874A07">
      <w:rPr>
        <w:sz w:val="20"/>
      </w:rPr>
      <w:t xml:space="preserve"> Audit TPSPB Sub-Committee Meeting </w:t>
    </w:r>
    <w:r>
      <w:rPr>
        <w:sz w:val="20"/>
      </w:rPr>
      <w:t>21 March 2018</w:t>
    </w:r>
  </w:p>
  <w:p w14:paraId="5CF9E483" w14:textId="77777777" w:rsidR="009457D7" w:rsidRDefault="009457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AB31A" w14:textId="77777777" w:rsidR="00BA708E" w:rsidRPr="00974E98" w:rsidRDefault="00A45FAC" w:rsidP="00E16D6D">
    <w:pPr>
      <w:pStyle w:val="Header"/>
      <w:rPr>
        <w:sz w:val="20"/>
      </w:rPr>
    </w:pPr>
    <w:r w:rsidRPr="00974E98">
      <w:rPr>
        <w:sz w:val="20"/>
      </w:rPr>
      <w:t>PAPER</w:t>
    </w:r>
    <w:r>
      <w:rPr>
        <w:sz w:val="20"/>
      </w:rPr>
      <w:t xml:space="preserve"> 5 </w:t>
    </w:r>
    <w:r w:rsidRPr="00974E98">
      <w:rPr>
        <w:sz w:val="20"/>
      </w:rPr>
      <w:t xml:space="preserve">(Agenda item </w:t>
    </w:r>
    <w:r>
      <w:rPr>
        <w:sz w:val="20"/>
      </w:rPr>
      <w:t xml:space="preserve">4)                                             </w:t>
    </w:r>
    <w:r w:rsidRPr="00974E98">
      <w:rPr>
        <w:sz w:val="20"/>
      </w:rPr>
      <w:t xml:space="preserve">TPSPB IM&amp;C sub-committee </w:t>
    </w:r>
    <w:r>
      <w:rPr>
        <w:sz w:val="20"/>
      </w:rPr>
      <w:t>21 March 2018</w:t>
    </w:r>
  </w:p>
  <w:p w14:paraId="1655C337" w14:textId="77777777" w:rsidR="00BA708E" w:rsidRDefault="009A0EF4">
    <w:pPr>
      <w:pStyle w:val="Header"/>
    </w:pPr>
  </w:p>
  <w:p w14:paraId="732ED57E" w14:textId="77777777" w:rsidR="00BA708E" w:rsidRDefault="009A0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E81"/>
    <w:multiLevelType w:val="hybridMultilevel"/>
    <w:tmpl w:val="C848F380"/>
    <w:lvl w:ilvl="0" w:tplc="A168973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53A97"/>
    <w:multiLevelType w:val="hybridMultilevel"/>
    <w:tmpl w:val="CCAA25BE"/>
    <w:lvl w:ilvl="0" w:tplc="A168973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05213"/>
    <w:multiLevelType w:val="hybridMultilevel"/>
    <w:tmpl w:val="171CE24C"/>
    <w:lvl w:ilvl="0" w:tplc="1D3E26F2">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478FE"/>
    <w:multiLevelType w:val="hybridMultilevel"/>
    <w:tmpl w:val="FB7456B6"/>
    <w:lvl w:ilvl="0" w:tplc="A168973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46468"/>
    <w:multiLevelType w:val="hybridMultilevel"/>
    <w:tmpl w:val="527A7ED0"/>
    <w:lvl w:ilvl="0" w:tplc="2E48D1C6">
      <w:numFmt w:val="bullet"/>
      <w:lvlText w:val="•"/>
      <w:lvlJc w:val="left"/>
      <w:pPr>
        <w:ind w:left="1440" w:hanging="72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AB452F"/>
    <w:multiLevelType w:val="hybridMultilevel"/>
    <w:tmpl w:val="3452898A"/>
    <w:lvl w:ilvl="0" w:tplc="A168973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03041"/>
    <w:multiLevelType w:val="hybridMultilevel"/>
    <w:tmpl w:val="F814C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5A6982"/>
    <w:multiLevelType w:val="hybridMultilevel"/>
    <w:tmpl w:val="EA38E2F0"/>
    <w:lvl w:ilvl="0" w:tplc="A168973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26B43"/>
    <w:multiLevelType w:val="hybridMultilevel"/>
    <w:tmpl w:val="85E29206"/>
    <w:lvl w:ilvl="0" w:tplc="A168973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0465E"/>
    <w:multiLevelType w:val="hybridMultilevel"/>
    <w:tmpl w:val="B1CC4C36"/>
    <w:lvl w:ilvl="0" w:tplc="A168973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A2BDD"/>
    <w:multiLevelType w:val="hybridMultilevel"/>
    <w:tmpl w:val="DE1C6982"/>
    <w:lvl w:ilvl="0" w:tplc="58E477E0">
      <w:start w:val="1"/>
      <w:numFmt w:val="bullet"/>
      <w:lvlText w:val=""/>
      <w:lvlJc w:val="left"/>
      <w:pPr>
        <w:ind w:left="720" w:hanging="360"/>
      </w:pPr>
      <w:rPr>
        <w:rFonts w:ascii="Symbol" w:hAnsi="Symbol" w:hint="default"/>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32E63"/>
    <w:multiLevelType w:val="hybridMultilevel"/>
    <w:tmpl w:val="7374B9EA"/>
    <w:lvl w:ilvl="0" w:tplc="A168973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1D811175"/>
    <w:multiLevelType w:val="hybridMultilevel"/>
    <w:tmpl w:val="92A2F38A"/>
    <w:lvl w:ilvl="0" w:tplc="A168973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3E5E66"/>
    <w:multiLevelType w:val="hybridMultilevel"/>
    <w:tmpl w:val="17C6591A"/>
    <w:lvl w:ilvl="0" w:tplc="B4084742">
      <w:start w:val="1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C2033C"/>
    <w:multiLevelType w:val="hybridMultilevel"/>
    <w:tmpl w:val="7884E3C0"/>
    <w:lvl w:ilvl="0" w:tplc="A168973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7" w15:restartNumberingAfterBreak="0">
    <w:nsid w:val="2B82535B"/>
    <w:multiLevelType w:val="hybridMultilevel"/>
    <w:tmpl w:val="3202EF1C"/>
    <w:lvl w:ilvl="0" w:tplc="2E48D1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AB78D0"/>
    <w:multiLevelType w:val="hybridMultilevel"/>
    <w:tmpl w:val="17C2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C338B0"/>
    <w:multiLevelType w:val="hybridMultilevel"/>
    <w:tmpl w:val="F4FAE394"/>
    <w:lvl w:ilvl="0" w:tplc="A168973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FE7401"/>
    <w:multiLevelType w:val="hybridMultilevel"/>
    <w:tmpl w:val="215668C6"/>
    <w:lvl w:ilvl="0" w:tplc="2E48D1C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5792BED"/>
    <w:multiLevelType w:val="hybridMultilevel"/>
    <w:tmpl w:val="C4DCBAAA"/>
    <w:lvl w:ilvl="0" w:tplc="A168973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68796C"/>
    <w:multiLevelType w:val="hybridMultilevel"/>
    <w:tmpl w:val="ED74F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A087444"/>
    <w:multiLevelType w:val="multilevel"/>
    <w:tmpl w:val="433CE482"/>
    <w:lvl w:ilvl="0">
      <w:start w:val="1"/>
      <w:numFmt w:val="decimal"/>
      <w:lvlText w:val="%1)"/>
      <w:lvlJc w:val="left"/>
      <w:pPr>
        <w:ind w:left="360" w:hanging="360"/>
      </w:pPr>
      <w:rPr>
        <w:b w:val="0"/>
      </w:rPr>
    </w:lvl>
    <w:lvl w:ilvl="1">
      <w:start w:val="1"/>
      <w:numFmt w:val="bullet"/>
      <w:lvlText w:val=""/>
      <w:lvlJc w:val="left"/>
      <w:pPr>
        <w:ind w:left="720" w:hanging="360"/>
      </w:pPr>
      <w:rPr>
        <w:rFonts w:ascii="Symbol" w:hAnsi="Symbol" w:hint="default"/>
        <w:b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C7B7F85"/>
    <w:multiLevelType w:val="hybridMultilevel"/>
    <w:tmpl w:val="A7620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BC3479"/>
    <w:multiLevelType w:val="hybridMultilevel"/>
    <w:tmpl w:val="9D929B4A"/>
    <w:lvl w:ilvl="0" w:tplc="A168973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2A54ED"/>
    <w:multiLevelType w:val="hybridMultilevel"/>
    <w:tmpl w:val="96C6B154"/>
    <w:lvl w:ilvl="0" w:tplc="A168973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F657F1"/>
    <w:multiLevelType w:val="hybridMultilevel"/>
    <w:tmpl w:val="6E4A7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905653"/>
    <w:multiLevelType w:val="hybridMultilevel"/>
    <w:tmpl w:val="0CF8D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50674E4D"/>
    <w:multiLevelType w:val="hybridMultilevel"/>
    <w:tmpl w:val="711E1758"/>
    <w:lvl w:ilvl="0" w:tplc="A168973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DB7317"/>
    <w:multiLevelType w:val="hybridMultilevel"/>
    <w:tmpl w:val="FC7818DE"/>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32"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2CE72C3"/>
    <w:multiLevelType w:val="hybridMultilevel"/>
    <w:tmpl w:val="018E1370"/>
    <w:lvl w:ilvl="0" w:tplc="A168973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8721EF"/>
    <w:multiLevelType w:val="hybridMultilevel"/>
    <w:tmpl w:val="2814D3E6"/>
    <w:lvl w:ilvl="0" w:tplc="A168973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182C02"/>
    <w:multiLevelType w:val="hybridMultilevel"/>
    <w:tmpl w:val="16EEFAA0"/>
    <w:lvl w:ilvl="0" w:tplc="A168973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115127"/>
    <w:multiLevelType w:val="hybridMultilevel"/>
    <w:tmpl w:val="DD3CECA8"/>
    <w:lvl w:ilvl="0" w:tplc="91782F76">
      <w:start w:val="1"/>
      <w:numFmt w:val="decimal"/>
      <w:lvlText w:val="%1."/>
      <w:lvlJc w:val="left"/>
      <w:pPr>
        <w:ind w:left="360" w:hanging="360"/>
      </w:pPr>
      <w:rPr>
        <w:rFonts w:ascii="Arial" w:hAnsi="Arial" w:cs="Arial" w:hint="default"/>
        <w:b w:val="0"/>
        <w:color w:val="auto"/>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7" w15:restartNumberingAfterBreak="0">
    <w:nsid w:val="782579B4"/>
    <w:multiLevelType w:val="hybridMultilevel"/>
    <w:tmpl w:val="5D2831CC"/>
    <w:lvl w:ilvl="0" w:tplc="A168973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831CF5"/>
    <w:multiLevelType w:val="hybridMultilevel"/>
    <w:tmpl w:val="36D62FB8"/>
    <w:lvl w:ilvl="0" w:tplc="1D3E26F2">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871C6B"/>
    <w:multiLevelType w:val="hybridMultilevel"/>
    <w:tmpl w:val="889A20E4"/>
    <w:lvl w:ilvl="0" w:tplc="2E48D1C6">
      <w:numFmt w:val="bullet"/>
      <w:lvlText w:val="•"/>
      <w:lvlJc w:val="left"/>
      <w:pPr>
        <w:ind w:left="720" w:hanging="360"/>
      </w:pPr>
      <w:rPr>
        <w:rFonts w:ascii="Arial" w:eastAsiaTheme="minorHAnsi" w:hAnsi="Arial" w:cs="Aria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12"/>
  </w:num>
  <w:num w:numId="4">
    <w:abstractNumId w:val="32"/>
  </w:num>
  <w:num w:numId="5">
    <w:abstractNumId w:val="36"/>
  </w:num>
  <w:num w:numId="6">
    <w:abstractNumId w:val="2"/>
  </w:num>
  <w:num w:numId="7">
    <w:abstractNumId w:val="14"/>
  </w:num>
  <w:num w:numId="8">
    <w:abstractNumId w:val="6"/>
  </w:num>
  <w:num w:numId="9">
    <w:abstractNumId w:val="23"/>
  </w:num>
  <w:num w:numId="10">
    <w:abstractNumId w:val="22"/>
  </w:num>
  <w:num w:numId="11">
    <w:abstractNumId w:val="38"/>
  </w:num>
  <w:num w:numId="12">
    <w:abstractNumId w:val="24"/>
  </w:num>
  <w:num w:numId="13">
    <w:abstractNumId w:val="8"/>
  </w:num>
  <w:num w:numId="14">
    <w:abstractNumId w:val="4"/>
  </w:num>
  <w:num w:numId="15">
    <w:abstractNumId w:val="17"/>
  </w:num>
  <w:num w:numId="16">
    <w:abstractNumId w:val="13"/>
  </w:num>
  <w:num w:numId="17">
    <w:abstractNumId w:val="9"/>
  </w:num>
  <w:num w:numId="18">
    <w:abstractNumId w:val="30"/>
  </w:num>
  <w:num w:numId="19">
    <w:abstractNumId w:val="35"/>
  </w:num>
  <w:num w:numId="20">
    <w:abstractNumId w:val="15"/>
  </w:num>
  <w:num w:numId="21">
    <w:abstractNumId w:val="0"/>
  </w:num>
  <w:num w:numId="22">
    <w:abstractNumId w:val="20"/>
  </w:num>
  <w:num w:numId="23">
    <w:abstractNumId w:val="26"/>
  </w:num>
  <w:num w:numId="24">
    <w:abstractNumId w:val="19"/>
  </w:num>
  <w:num w:numId="25">
    <w:abstractNumId w:val="39"/>
  </w:num>
  <w:num w:numId="26">
    <w:abstractNumId w:val="33"/>
  </w:num>
  <w:num w:numId="27">
    <w:abstractNumId w:val="37"/>
  </w:num>
  <w:num w:numId="28">
    <w:abstractNumId w:val="10"/>
  </w:num>
  <w:num w:numId="29">
    <w:abstractNumId w:val="31"/>
  </w:num>
  <w:num w:numId="30">
    <w:abstractNumId w:val="11"/>
  </w:num>
  <w:num w:numId="31">
    <w:abstractNumId w:val="1"/>
  </w:num>
  <w:num w:numId="32">
    <w:abstractNumId w:val="3"/>
  </w:num>
  <w:num w:numId="33">
    <w:abstractNumId w:val="7"/>
  </w:num>
  <w:num w:numId="34">
    <w:abstractNumId w:val="5"/>
  </w:num>
  <w:num w:numId="35">
    <w:abstractNumId w:val="21"/>
  </w:num>
  <w:num w:numId="36">
    <w:abstractNumId w:val="34"/>
  </w:num>
  <w:num w:numId="37">
    <w:abstractNumId w:val="25"/>
  </w:num>
  <w:num w:numId="38">
    <w:abstractNumId w:val="28"/>
  </w:num>
  <w:num w:numId="39">
    <w:abstractNumId w:val="27"/>
  </w:num>
  <w:num w:numId="4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406"/>
    <w:rsid w:val="00000089"/>
    <w:rsid w:val="0000336A"/>
    <w:rsid w:val="00011F78"/>
    <w:rsid w:val="00015EC6"/>
    <w:rsid w:val="00015FDE"/>
    <w:rsid w:val="00022806"/>
    <w:rsid w:val="00022DB6"/>
    <w:rsid w:val="000247E1"/>
    <w:rsid w:val="00026A23"/>
    <w:rsid w:val="000308E1"/>
    <w:rsid w:val="00034168"/>
    <w:rsid w:val="000402FC"/>
    <w:rsid w:val="00041864"/>
    <w:rsid w:val="00047663"/>
    <w:rsid w:val="0004776A"/>
    <w:rsid w:val="0005111A"/>
    <w:rsid w:val="0005390B"/>
    <w:rsid w:val="00054EC6"/>
    <w:rsid w:val="00057F28"/>
    <w:rsid w:val="00060377"/>
    <w:rsid w:val="0006139B"/>
    <w:rsid w:val="00064652"/>
    <w:rsid w:val="00071F99"/>
    <w:rsid w:val="00073939"/>
    <w:rsid w:val="00077322"/>
    <w:rsid w:val="000833EF"/>
    <w:rsid w:val="00083D20"/>
    <w:rsid w:val="00087A39"/>
    <w:rsid w:val="00091B2C"/>
    <w:rsid w:val="000A0C1B"/>
    <w:rsid w:val="000A3070"/>
    <w:rsid w:val="000A3CCB"/>
    <w:rsid w:val="000A4345"/>
    <w:rsid w:val="000A4B67"/>
    <w:rsid w:val="000A4C27"/>
    <w:rsid w:val="000A7032"/>
    <w:rsid w:val="000A7B4B"/>
    <w:rsid w:val="000A7DC3"/>
    <w:rsid w:val="000B1468"/>
    <w:rsid w:val="000B1B41"/>
    <w:rsid w:val="000B1D64"/>
    <w:rsid w:val="000B46C6"/>
    <w:rsid w:val="000B5580"/>
    <w:rsid w:val="000C4018"/>
    <w:rsid w:val="000D0663"/>
    <w:rsid w:val="000D1908"/>
    <w:rsid w:val="000D56C6"/>
    <w:rsid w:val="000D62D8"/>
    <w:rsid w:val="000D749C"/>
    <w:rsid w:val="000E1970"/>
    <w:rsid w:val="000F1522"/>
    <w:rsid w:val="000F302B"/>
    <w:rsid w:val="000F4E59"/>
    <w:rsid w:val="000F5E55"/>
    <w:rsid w:val="0011509D"/>
    <w:rsid w:val="00116F59"/>
    <w:rsid w:val="00117BDE"/>
    <w:rsid w:val="00123ACB"/>
    <w:rsid w:val="001271DC"/>
    <w:rsid w:val="001328A3"/>
    <w:rsid w:val="00134202"/>
    <w:rsid w:val="001362FD"/>
    <w:rsid w:val="001366BB"/>
    <w:rsid w:val="001372F2"/>
    <w:rsid w:val="001434FB"/>
    <w:rsid w:val="00143B05"/>
    <w:rsid w:val="00153F85"/>
    <w:rsid w:val="001620B0"/>
    <w:rsid w:val="00174BCF"/>
    <w:rsid w:val="00174F49"/>
    <w:rsid w:val="00176043"/>
    <w:rsid w:val="00180A06"/>
    <w:rsid w:val="0018162C"/>
    <w:rsid w:val="00182783"/>
    <w:rsid w:val="00187280"/>
    <w:rsid w:val="00187F8F"/>
    <w:rsid w:val="00190DF3"/>
    <w:rsid w:val="00195F8E"/>
    <w:rsid w:val="001A03D6"/>
    <w:rsid w:val="001A0684"/>
    <w:rsid w:val="001A54FA"/>
    <w:rsid w:val="001B05C8"/>
    <w:rsid w:val="001B0DDF"/>
    <w:rsid w:val="001B3120"/>
    <w:rsid w:val="001B6DF9"/>
    <w:rsid w:val="001B777C"/>
    <w:rsid w:val="001C1651"/>
    <w:rsid w:val="001C699E"/>
    <w:rsid w:val="001D044D"/>
    <w:rsid w:val="001D2E21"/>
    <w:rsid w:val="001D3C4E"/>
    <w:rsid w:val="001D50BB"/>
    <w:rsid w:val="001D55BC"/>
    <w:rsid w:val="001D5890"/>
    <w:rsid w:val="001D7FB3"/>
    <w:rsid w:val="001E338F"/>
    <w:rsid w:val="001E4BAB"/>
    <w:rsid w:val="001E774E"/>
    <w:rsid w:val="001F1123"/>
    <w:rsid w:val="001F1E4A"/>
    <w:rsid w:val="002009C2"/>
    <w:rsid w:val="00202C41"/>
    <w:rsid w:val="00204C99"/>
    <w:rsid w:val="00205ED4"/>
    <w:rsid w:val="00205FB9"/>
    <w:rsid w:val="00211C37"/>
    <w:rsid w:val="00212D24"/>
    <w:rsid w:val="00217581"/>
    <w:rsid w:val="00223723"/>
    <w:rsid w:val="00223AE5"/>
    <w:rsid w:val="00225DE6"/>
    <w:rsid w:val="00226366"/>
    <w:rsid w:val="00230CB8"/>
    <w:rsid w:val="0023338A"/>
    <w:rsid w:val="002335B0"/>
    <w:rsid w:val="002337EC"/>
    <w:rsid w:val="002338A1"/>
    <w:rsid w:val="0024290E"/>
    <w:rsid w:val="00242D2E"/>
    <w:rsid w:val="00243BBB"/>
    <w:rsid w:val="0024599B"/>
    <w:rsid w:val="00252D14"/>
    <w:rsid w:val="00252E33"/>
    <w:rsid w:val="00254CB4"/>
    <w:rsid w:val="00255343"/>
    <w:rsid w:val="00255605"/>
    <w:rsid w:val="00257808"/>
    <w:rsid w:val="00261949"/>
    <w:rsid w:val="00265B50"/>
    <w:rsid w:val="00266064"/>
    <w:rsid w:val="00267EE0"/>
    <w:rsid w:val="002749B8"/>
    <w:rsid w:val="0027611C"/>
    <w:rsid w:val="00277343"/>
    <w:rsid w:val="00282909"/>
    <w:rsid w:val="00283203"/>
    <w:rsid w:val="002840D0"/>
    <w:rsid w:val="00295EFC"/>
    <w:rsid w:val="002A0A91"/>
    <w:rsid w:val="002A2352"/>
    <w:rsid w:val="002A354A"/>
    <w:rsid w:val="002A66BE"/>
    <w:rsid w:val="002A793D"/>
    <w:rsid w:val="002B0C98"/>
    <w:rsid w:val="002B2F43"/>
    <w:rsid w:val="002B4DBC"/>
    <w:rsid w:val="002B651E"/>
    <w:rsid w:val="002B6A91"/>
    <w:rsid w:val="002C7359"/>
    <w:rsid w:val="002D2A7A"/>
    <w:rsid w:val="002D546E"/>
    <w:rsid w:val="002D6D75"/>
    <w:rsid w:val="002E057D"/>
    <w:rsid w:val="002E28FA"/>
    <w:rsid w:val="002E3A5F"/>
    <w:rsid w:val="002E4E10"/>
    <w:rsid w:val="002E517F"/>
    <w:rsid w:val="002F06F7"/>
    <w:rsid w:val="002F10FD"/>
    <w:rsid w:val="002F6007"/>
    <w:rsid w:val="002F7DFE"/>
    <w:rsid w:val="003047BC"/>
    <w:rsid w:val="00304F43"/>
    <w:rsid w:val="00306109"/>
    <w:rsid w:val="00306E91"/>
    <w:rsid w:val="00306F7F"/>
    <w:rsid w:val="00307CED"/>
    <w:rsid w:val="00310708"/>
    <w:rsid w:val="00311223"/>
    <w:rsid w:val="00311C8A"/>
    <w:rsid w:val="00312BD3"/>
    <w:rsid w:val="00313763"/>
    <w:rsid w:val="00314EEB"/>
    <w:rsid w:val="003175F3"/>
    <w:rsid w:val="00321970"/>
    <w:rsid w:val="00322AAE"/>
    <w:rsid w:val="00323F4E"/>
    <w:rsid w:val="0032772B"/>
    <w:rsid w:val="00336872"/>
    <w:rsid w:val="003374D8"/>
    <w:rsid w:val="00342B5C"/>
    <w:rsid w:val="003467A7"/>
    <w:rsid w:val="00347A3B"/>
    <w:rsid w:val="00347B5A"/>
    <w:rsid w:val="003503BE"/>
    <w:rsid w:val="00352639"/>
    <w:rsid w:val="0035528E"/>
    <w:rsid w:val="00356245"/>
    <w:rsid w:val="003617DC"/>
    <w:rsid w:val="003626B4"/>
    <w:rsid w:val="00362A01"/>
    <w:rsid w:val="0036338C"/>
    <w:rsid w:val="00363983"/>
    <w:rsid w:val="00364BF3"/>
    <w:rsid w:val="00367359"/>
    <w:rsid w:val="00367EEB"/>
    <w:rsid w:val="00370895"/>
    <w:rsid w:val="0037410D"/>
    <w:rsid w:val="00374620"/>
    <w:rsid w:val="00375273"/>
    <w:rsid w:val="00380547"/>
    <w:rsid w:val="00380E1A"/>
    <w:rsid w:val="003865BD"/>
    <w:rsid w:val="003908DB"/>
    <w:rsid w:val="00392AE9"/>
    <w:rsid w:val="00393604"/>
    <w:rsid w:val="003948FC"/>
    <w:rsid w:val="003A2F92"/>
    <w:rsid w:val="003A7442"/>
    <w:rsid w:val="003B3240"/>
    <w:rsid w:val="003B71DB"/>
    <w:rsid w:val="003B78F9"/>
    <w:rsid w:val="003C2302"/>
    <w:rsid w:val="003C4F9C"/>
    <w:rsid w:val="003C6272"/>
    <w:rsid w:val="003C752D"/>
    <w:rsid w:val="003D010F"/>
    <w:rsid w:val="003D2273"/>
    <w:rsid w:val="003D5EA3"/>
    <w:rsid w:val="003D5F98"/>
    <w:rsid w:val="003D74A2"/>
    <w:rsid w:val="003D7A13"/>
    <w:rsid w:val="003D7FE1"/>
    <w:rsid w:val="003E0071"/>
    <w:rsid w:val="003E064F"/>
    <w:rsid w:val="003E1B86"/>
    <w:rsid w:val="003F1643"/>
    <w:rsid w:val="003F3C61"/>
    <w:rsid w:val="003F4767"/>
    <w:rsid w:val="003F5AB0"/>
    <w:rsid w:val="003F771B"/>
    <w:rsid w:val="004018CA"/>
    <w:rsid w:val="00402829"/>
    <w:rsid w:val="0040779E"/>
    <w:rsid w:val="00407B5D"/>
    <w:rsid w:val="004302F0"/>
    <w:rsid w:val="00430DC5"/>
    <w:rsid w:val="00433910"/>
    <w:rsid w:val="004430C5"/>
    <w:rsid w:val="0045014A"/>
    <w:rsid w:val="00450D89"/>
    <w:rsid w:val="004533A7"/>
    <w:rsid w:val="00454C2C"/>
    <w:rsid w:val="004552E8"/>
    <w:rsid w:val="004564AF"/>
    <w:rsid w:val="00456E8D"/>
    <w:rsid w:val="0045765A"/>
    <w:rsid w:val="00460505"/>
    <w:rsid w:val="00461F38"/>
    <w:rsid w:val="00463122"/>
    <w:rsid w:val="00467C83"/>
    <w:rsid w:val="00470EB2"/>
    <w:rsid w:val="00471773"/>
    <w:rsid w:val="00471ABD"/>
    <w:rsid w:val="004766A0"/>
    <w:rsid w:val="0048038D"/>
    <w:rsid w:val="00480E77"/>
    <w:rsid w:val="00481F37"/>
    <w:rsid w:val="00484C39"/>
    <w:rsid w:val="004955D9"/>
    <w:rsid w:val="004A1636"/>
    <w:rsid w:val="004A4FF8"/>
    <w:rsid w:val="004A6DEC"/>
    <w:rsid w:val="004B021D"/>
    <w:rsid w:val="004B17C9"/>
    <w:rsid w:val="004B47CA"/>
    <w:rsid w:val="004B7FBF"/>
    <w:rsid w:val="004C34F4"/>
    <w:rsid w:val="004C3EC3"/>
    <w:rsid w:val="004C4A2B"/>
    <w:rsid w:val="004C4B93"/>
    <w:rsid w:val="004D6026"/>
    <w:rsid w:val="004D6FB7"/>
    <w:rsid w:val="004E633C"/>
    <w:rsid w:val="004F100E"/>
    <w:rsid w:val="004F2F73"/>
    <w:rsid w:val="004F3191"/>
    <w:rsid w:val="004F484C"/>
    <w:rsid w:val="004F4997"/>
    <w:rsid w:val="004F658A"/>
    <w:rsid w:val="0050165A"/>
    <w:rsid w:val="005060CE"/>
    <w:rsid w:val="00507E25"/>
    <w:rsid w:val="005104D6"/>
    <w:rsid w:val="00510D3B"/>
    <w:rsid w:val="00511CA5"/>
    <w:rsid w:val="005128FA"/>
    <w:rsid w:val="005137A3"/>
    <w:rsid w:val="005150CE"/>
    <w:rsid w:val="00515231"/>
    <w:rsid w:val="00517FD9"/>
    <w:rsid w:val="00522588"/>
    <w:rsid w:val="005248A4"/>
    <w:rsid w:val="00530814"/>
    <w:rsid w:val="00533406"/>
    <w:rsid w:val="00537911"/>
    <w:rsid w:val="00542CD0"/>
    <w:rsid w:val="005435BD"/>
    <w:rsid w:val="00545301"/>
    <w:rsid w:val="00546012"/>
    <w:rsid w:val="005500C1"/>
    <w:rsid w:val="00553534"/>
    <w:rsid w:val="005606DD"/>
    <w:rsid w:val="00565333"/>
    <w:rsid w:val="005661A4"/>
    <w:rsid w:val="00571387"/>
    <w:rsid w:val="00574197"/>
    <w:rsid w:val="00580DCC"/>
    <w:rsid w:val="00590269"/>
    <w:rsid w:val="00591B39"/>
    <w:rsid w:val="00592809"/>
    <w:rsid w:val="00593F22"/>
    <w:rsid w:val="00595D16"/>
    <w:rsid w:val="00596AF7"/>
    <w:rsid w:val="005A4015"/>
    <w:rsid w:val="005A52DA"/>
    <w:rsid w:val="005A6DEF"/>
    <w:rsid w:val="005A7047"/>
    <w:rsid w:val="005B1967"/>
    <w:rsid w:val="005B1CC3"/>
    <w:rsid w:val="005B5A07"/>
    <w:rsid w:val="005C1372"/>
    <w:rsid w:val="005C2AB4"/>
    <w:rsid w:val="005D087C"/>
    <w:rsid w:val="005D1E9C"/>
    <w:rsid w:val="005D688A"/>
    <w:rsid w:val="005D6E34"/>
    <w:rsid w:val="005E0AFA"/>
    <w:rsid w:val="005E4B0F"/>
    <w:rsid w:val="005F0BD5"/>
    <w:rsid w:val="005F1289"/>
    <w:rsid w:val="005F7B8B"/>
    <w:rsid w:val="00600B8E"/>
    <w:rsid w:val="00604D9F"/>
    <w:rsid w:val="00605974"/>
    <w:rsid w:val="00606BB2"/>
    <w:rsid w:val="0060766E"/>
    <w:rsid w:val="00607A4B"/>
    <w:rsid w:val="00610B44"/>
    <w:rsid w:val="00615241"/>
    <w:rsid w:val="006172D2"/>
    <w:rsid w:val="00617765"/>
    <w:rsid w:val="00620FFA"/>
    <w:rsid w:val="00622379"/>
    <w:rsid w:val="00623DFC"/>
    <w:rsid w:val="0062704E"/>
    <w:rsid w:val="00632A7A"/>
    <w:rsid w:val="00634682"/>
    <w:rsid w:val="0063507E"/>
    <w:rsid w:val="006351F8"/>
    <w:rsid w:val="006363E9"/>
    <w:rsid w:val="00640638"/>
    <w:rsid w:val="00650939"/>
    <w:rsid w:val="006545A6"/>
    <w:rsid w:val="00655C9C"/>
    <w:rsid w:val="0066213D"/>
    <w:rsid w:val="006632E1"/>
    <w:rsid w:val="00666E26"/>
    <w:rsid w:val="00667DFE"/>
    <w:rsid w:val="00671C60"/>
    <w:rsid w:val="00677C1A"/>
    <w:rsid w:val="00682993"/>
    <w:rsid w:val="006858D6"/>
    <w:rsid w:val="0068595C"/>
    <w:rsid w:val="00685E40"/>
    <w:rsid w:val="006869D6"/>
    <w:rsid w:val="00687908"/>
    <w:rsid w:val="006910A2"/>
    <w:rsid w:val="00691757"/>
    <w:rsid w:val="006937AA"/>
    <w:rsid w:val="006941C3"/>
    <w:rsid w:val="00695F57"/>
    <w:rsid w:val="006975C1"/>
    <w:rsid w:val="006A0189"/>
    <w:rsid w:val="006A1127"/>
    <w:rsid w:val="006A2F72"/>
    <w:rsid w:val="006A31F2"/>
    <w:rsid w:val="006A3278"/>
    <w:rsid w:val="006A35C0"/>
    <w:rsid w:val="006A3D56"/>
    <w:rsid w:val="006A4A6F"/>
    <w:rsid w:val="006A7D2A"/>
    <w:rsid w:val="006B0976"/>
    <w:rsid w:val="006C1EB7"/>
    <w:rsid w:val="006C2F5B"/>
    <w:rsid w:val="006C7483"/>
    <w:rsid w:val="006D0C35"/>
    <w:rsid w:val="006D3EBD"/>
    <w:rsid w:val="006D70A7"/>
    <w:rsid w:val="006E34DF"/>
    <w:rsid w:val="006E3F96"/>
    <w:rsid w:val="006E596F"/>
    <w:rsid w:val="006E6F0B"/>
    <w:rsid w:val="006E6FB4"/>
    <w:rsid w:val="006F4284"/>
    <w:rsid w:val="006F433A"/>
    <w:rsid w:val="006F4605"/>
    <w:rsid w:val="006F47BB"/>
    <w:rsid w:val="006F4DCD"/>
    <w:rsid w:val="006F62B1"/>
    <w:rsid w:val="006F6B02"/>
    <w:rsid w:val="00701181"/>
    <w:rsid w:val="00705AB4"/>
    <w:rsid w:val="007104E4"/>
    <w:rsid w:val="00711F15"/>
    <w:rsid w:val="007123B9"/>
    <w:rsid w:val="00715DB3"/>
    <w:rsid w:val="007205F4"/>
    <w:rsid w:val="00720DAA"/>
    <w:rsid w:val="00722E92"/>
    <w:rsid w:val="007263F0"/>
    <w:rsid w:val="00731CDB"/>
    <w:rsid w:val="00742F24"/>
    <w:rsid w:val="007442BB"/>
    <w:rsid w:val="00744A90"/>
    <w:rsid w:val="007463C5"/>
    <w:rsid w:val="00746846"/>
    <w:rsid w:val="007509C7"/>
    <w:rsid w:val="007510C3"/>
    <w:rsid w:val="007516D1"/>
    <w:rsid w:val="00761BFA"/>
    <w:rsid w:val="007639E2"/>
    <w:rsid w:val="0076458E"/>
    <w:rsid w:val="00767063"/>
    <w:rsid w:val="00772C48"/>
    <w:rsid w:val="00773FF3"/>
    <w:rsid w:val="0078040E"/>
    <w:rsid w:val="00782A57"/>
    <w:rsid w:val="007865B1"/>
    <w:rsid w:val="00786C18"/>
    <w:rsid w:val="00791EE0"/>
    <w:rsid w:val="00793410"/>
    <w:rsid w:val="00793F0F"/>
    <w:rsid w:val="007940AE"/>
    <w:rsid w:val="00794B24"/>
    <w:rsid w:val="007958F0"/>
    <w:rsid w:val="007A10F9"/>
    <w:rsid w:val="007A2CDE"/>
    <w:rsid w:val="007A4C02"/>
    <w:rsid w:val="007B476F"/>
    <w:rsid w:val="007B49CD"/>
    <w:rsid w:val="007B4EB6"/>
    <w:rsid w:val="007B593B"/>
    <w:rsid w:val="007B5A46"/>
    <w:rsid w:val="007C0318"/>
    <w:rsid w:val="007C1BC2"/>
    <w:rsid w:val="007C7F73"/>
    <w:rsid w:val="007D0DBA"/>
    <w:rsid w:val="007D4D58"/>
    <w:rsid w:val="007D4DB0"/>
    <w:rsid w:val="007D6230"/>
    <w:rsid w:val="007E24C3"/>
    <w:rsid w:val="007E3DC2"/>
    <w:rsid w:val="007E6DC7"/>
    <w:rsid w:val="007F073B"/>
    <w:rsid w:val="00800D26"/>
    <w:rsid w:val="00805A2C"/>
    <w:rsid w:val="00805C72"/>
    <w:rsid w:val="00805CEA"/>
    <w:rsid w:val="008067D1"/>
    <w:rsid w:val="00806F15"/>
    <w:rsid w:val="00821A7C"/>
    <w:rsid w:val="008255C4"/>
    <w:rsid w:val="00831225"/>
    <w:rsid w:val="008312DB"/>
    <w:rsid w:val="008321E7"/>
    <w:rsid w:val="00833842"/>
    <w:rsid w:val="00837341"/>
    <w:rsid w:val="008428AB"/>
    <w:rsid w:val="00844080"/>
    <w:rsid w:val="00844135"/>
    <w:rsid w:val="008472C2"/>
    <w:rsid w:val="008507B5"/>
    <w:rsid w:val="00853A42"/>
    <w:rsid w:val="008571D6"/>
    <w:rsid w:val="0086103A"/>
    <w:rsid w:val="00863664"/>
    <w:rsid w:val="0086662B"/>
    <w:rsid w:val="00870467"/>
    <w:rsid w:val="00872E27"/>
    <w:rsid w:val="00874A07"/>
    <w:rsid w:val="008765E8"/>
    <w:rsid w:val="0088151C"/>
    <w:rsid w:val="008817AB"/>
    <w:rsid w:val="00882698"/>
    <w:rsid w:val="008843A4"/>
    <w:rsid w:val="008915F8"/>
    <w:rsid w:val="008936AB"/>
    <w:rsid w:val="008A5B85"/>
    <w:rsid w:val="008B1C49"/>
    <w:rsid w:val="008B1E38"/>
    <w:rsid w:val="008B1EE9"/>
    <w:rsid w:val="008B67CC"/>
    <w:rsid w:val="008B746D"/>
    <w:rsid w:val="008C00AF"/>
    <w:rsid w:val="008C04B7"/>
    <w:rsid w:val="008C2030"/>
    <w:rsid w:val="008C2748"/>
    <w:rsid w:val="008C4705"/>
    <w:rsid w:val="008C4DBB"/>
    <w:rsid w:val="008D1228"/>
    <w:rsid w:val="008D14FF"/>
    <w:rsid w:val="008D340F"/>
    <w:rsid w:val="008E07A8"/>
    <w:rsid w:val="008E18A0"/>
    <w:rsid w:val="008E3BDA"/>
    <w:rsid w:val="008E4900"/>
    <w:rsid w:val="008E5853"/>
    <w:rsid w:val="008F14F7"/>
    <w:rsid w:val="008F3DB1"/>
    <w:rsid w:val="008F452F"/>
    <w:rsid w:val="008F6706"/>
    <w:rsid w:val="008F7DDB"/>
    <w:rsid w:val="009018F4"/>
    <w:rsid w:val="00901E52"/>
    <w:rsid w:val="0090251E"/>
    <w:rsid w:val="00902A95"/>
    <w:rsid w:val="00904253"/>
    <w:rsid w:val="00905ADC"/>
    <w:rsid w:val="00906C33"/>
    <w:rsid w:val="00906C8D"/>
    <w:rsid w:val="00913843"/>
    <w:rsid w:val="009173AF"/>
    <w:rsid w:val="00927C47"/>
    <w:rsid w:val="0093133B"/>
    <w:rsid w:val="00932946"/>
    <w:rsid w:val="00933C96"/>
    <w:rsid w:val="009415AA"/>
    <w:rsid w:val="009424FA"/>
    <w:rsid w:val="009426CB"/>
    <w:rsid w:val="009427B5"/>
    <w:rsid w:val="00943A65"/>
    <w:rsid w:val="009442A5"/>
    <w:rsid w:val="009457D7"/>
    <w:rsid w:val="0095214C"/>
    <w:rsid w:val="00952EA3"/>
    <w:rsid w:val="009559DC"/>
    <w:rsid w:val="00957AD5"/>
    <w:rsid w:val="00963073"/>
    <w:rsid w:val="00965446"/>
    <w:rsid w:val="0097315A"/>
    <w:rsid w:val="009762A4"/>
    <w:rsid w:val="00980551"/>
    <w:rsid w:val="009835E5"/>
    <w:rsid w:val="00983BBE"/>
    <w:rsid w:val="00984130"/>
    <w:rsid w:val="00984EAD"/>
    <w:rsid w:val="00995ABF"/>
    <w:rsid w:val="009961F8"/>
    <w:rsid w:val="00997AAF"/>
    <w:rsid w:val="009A0B39"/>
    <w:rsid w:val="009A0EF4"/>
    <w:rsid w:val="009A11BA"/>
    <w:rsid w:val="009A2B05"/>
    <w:rsid w:val="009A3F0A"/>
    <w:rsid w:val="009A64D1"/>
    <w:rsid w:val="009A7951"/>
    <w:rsid w:val="009B2692"/>
    <w:rsid w:val="009B287D"/>
    <w:rsid w:val="009B33A6"/>
    <w:rsid w:val="009B3B57"/>
    <w:rsid w:val="009B3EFE"/>
    <w:rsid w:val="009B493A"/>
    <w:rsid w:val="009B4FCC"/>
    <w:rsid w:val="009B6B39"/>
    <w:rsid w:val="009B7E66"/>
    <w:rsid w:val="009C5B29"/>
    <w:rsid w:val="009D026F"/>
    <w:rsid w:val="009D029B"/>
    <w:rsid w:val="009D03AA"/>
    <w:rsid w:val="009D0CD1"/>
    <w:rsid w:val="009D0FE9"/>
    <w:rsid w:val="009D3D73"/>
    <w:rsid w:val="009D4489"/>
    <w:rsid w:val="009D4542"/>
    <w:rsid w:val="009D53A7"/>
    <w:rsid w:val="009D5DF9"/>
    <w:rsid w:val="009E1850"/>
    <w:rsid w:val="009E4BD9"/>
    <w:rsid w:val="009E525D"/>
    <w:rsid w:val="009E6EC6"/>
    <w:rsid w:val="009E73AD"/>
    <w:rsid w:val="009E748A"/>
    <w:rsid w:val="009F5357"/>
    <w:rsid w:val="009F6B18"/>
    <w:rsid w:val="009F74DD"/>
    <w:rsid w:val="009F7653"/>
    <w:rsid w:val="00A00569"/>
    <w:rsid w:val="00A0392C"/>
    <w:rsid w:val="00A06E69"/>
    <w:rsid w:val="00A120CA"/>
    <w:rsid w:val="00A12D3A"/>
    <w:rsid w:val="00A135C6"/>
    <w:rsid w:val="00A15D6C"/>
    <w:rsid w:val="00A21E85"/>
    <w:rsid w:val="00A23AC5"/>
    <w:rsid w:val="00A25800"/>
    <w:rsid w:val="00A26D11"/>
    <w:rsid w:val="00A2712A"/>
    <w:rsid w:val="00A31581"/>
    <w:rsid w:val="00A3306B"/>
    <w:rsid w:val="00A36044"/>
    <w:rsid w:val="00A366A9"/>
    <w:rsid w:val="00A369C0"/>
    <w:rsid w:val="00A41D7C"/>
    <w:rsid w:val="00A43ED1"/>
    <w:rsid w:val="00A45FAC"/>
    <w:rsid w:val="00A465EE"/>
    <w:rsid w:val="00A46912"/>
    <w:rsid w:val="00A504A1"/>
    <w:rsid w:val="00A52519"/>
    <w:rsid w:val="00A564E4"/>
    <w:rsid w:val="00A5747E"/>
    <w:rsid w:val="00A60331"/>
    <w:rsid w:val="00A6036A"/>
    <w:rsid w:val="00A64099"/>
    <w:rsid w:val="00A640B5"/>
    <w:rsid w:val="00A642EC"/>
    <w:rsid w:val="00A7099C"/>
    <w:rsid w:val="00A72952"/>
    <w:rsid w:val="00A769AB"/>
    <w:rsid w:val="00A96425"/>
    <w:rsid w:val="00A96D82"/>
    <w:rsid w:val="00A96FCD"/>
    <w:rsid w:val="00A979F1"/>
    <w:rsid w:val="00AB3B3C"/>
    <w:rsid w:val="00AB4A1C"/>
    <w:rsid w:val="00AB6016"/>
    <w:rsid w:val="00AC04F9"/>
    <w:rsid w:val="00AC08B7"/>
    <w:rsid w:val="00AC2A37"/>
    <w:rsid w:val="00AD0E50"/>
    <w:rsid w:val="00AD24B9"/>
    <w:rsid w:val="00AD4992"/>
    <w:rsid w:val="00AD632D"/>
    <w:rsid w:val="00AD640F"/>
    <w:rsid w:val="00AD7A0B"/>
    <w:rsid w:val="00AE0C1F"/>
    <w:rsid w:val="00AE4A3A"/>
    <w:rsid w:val="00AF0554"/>
    <w:rsid w:val="00AF1C07"/>
    <w:rsid w:val="00AF3507"/>
    <w:rsid w:val="00AF559D"/>
    <w:rsid w:val="00AF6EAC"/>
    <w:rsid w:val="00AF737F"/>
    <w:rsid w:val="00B006DF"/>
    <w:rsid w:val="00B04B32"/>
    <w:rsid w:val="00B05496"/>
    <w:rsid w:val="00B05ECD"/>
    <w:rsid w:val="00B06172"/>
    <w:rsid w:val="00B06CB9"/>
    <w:rsid w:val="00B14F38"/>
    <w:rsid w:val="00B16A24"/>
    <w:rsid w:val="00B16A8C"/>
    <w:rsid w:val="00B174D2"/>
    <w:rsid w:val="00B240CF"/>
    <w:rsid w:val="00B24C03"/>
    <w:rsid w:val="00B25DAE"/>
    <w:rsid w:val="00B275C1"/>
    <w:rsid w:val="00B305C9"/>
    <w:rsid w:val="00B30F5D"/>
    <w:rsid w:val="00B312FC"/>
    <w:rsid w:val="00B42AE1"/>
    <w:rsid w:val="00B50B4E"/>
    <w:rsid w:val="00B52F97"/>
    <w:rsid w:val="00B608DF"/>
    <w:rsid w:val="00B62931"/>
    <w:rsid w:val="00B6522B"/>
    <w:rsid w:val="00B65709"/>
    <w:rsid w:val="00B65BD8"/>
    <w:rsid w:val="00B67DF2"/>
    <w:rsid w:val="00B77083"/>
    <w:rsid w:val="00B8232C"/>
    <w:rsid w:val="00B83582"/>
    <w:rsid w:val="00B84723"/>
    <w:rsid w:val="00B84C65"/>
    <w:rsid w:val="00B84EC9"/>
    <w:rsid w:val="00B85BF7"/>
    <w:rsid w:val="00B87864"/>
    <w:rsid w:val="00B939CC"/>
    <w:rsid w:val="00BA1580"/>
    <w:rsid w:val="00BA2AD8"/>
    <w:rsid w:val="00BA52B9"/>
    <w:rsid w:val="00BC135C"/>
    <w:rsid w:val="00BC3919"/>
    <w:rsid w:val="00BC547B"/>
    <w:rsid w:val="00BC5891"/>
    <w:rsid w:val="00BC7D86"/>
    <w:rsid w:val="00BD4B6C"/>
    <w:rsid w:val="00BE1424"/>
    <w:rsid w:val="00BF06D2"/>
    <w:rsid w:val="00BF10FD"/>
    <w:rsid w:val="00BF2424"/>
    <w:rsid w:val="00BF3CA1"/>
    <w:rsid w:val="00BF55F6"/>
    <w:rsid w:val="00C01B71"/>
    <w:rsid w:val="00C071F2"/>
    <w:rsid w:val="00C11CA5"/>
    <w:rsid w:val="00C146AD"/>
    <w:rsid w:val="00C14A68"/>
    <w:rsid w:val="00C271C2"/>
    <w:rsid w:val="00C33749"/>
    <w:rsid w:val="00C35362"/>
    <w:rsid w:val="00C3617A"/>
    <w:rsid w:val="00C37933"/>
    <w:rsid w:val="00C408C7"/>
    <w:rsid w:val="00C463F2"/>
    <w:rsid w:val="00C47EEA"/>
    <w:rsid w:val="00C508BF"/>
    <w:rsid w:val="00C519D0"/>
    <w:rsid w:val="00C52C74"/>
    <w:rsid w:val="00C5630B"/>
    <w:rsid w:val="00C577F1"/>
    <w:rsid w:val="00C6558F"/>
    <w:rsid w:val="00C6585F"/>
    <w:rsid w:val="00C70ACB"/>
    <w:rsid w:val="00C74109"/>
    <w:rsid w:val="00C74A84"/>
    <w:rsid w:val="00C74AC6"/>
    <w:rsid w:val="00C75969"/>
    <w:rsid w:val="00C80FDC"/>
    <w:rsid w:val="00C82EB1"/>
    <w:rsid w:val="00C8363C"/>
    <w:rsid w:val="00C85C7C"/>
    <w:rsid w:val="00C91809"/>
    <w:rsid w:val="00C93317"/>
    <w:rsid w:val="00C93BA2"/>
    <w:rsid w:val="00C95C88"/>
    <w:rsid w:val="00C95F39"/>
    <w:rsid w:val="00CA2825"/>
    <w:rsid w:val="00CA2DB4"/>
    <w:rsid w:val="00CA4FEC"/>
    <w:rsid w:val="00CB4447"/>
    <w:rsid w:val="00CB62A2"/>
    <w:rsid w:val="00CC133A"/>
    <w:rsid w:val="00CC28A9"/>
    <w:rsid w:val="00CC6A45"/>
    <w:rsid w:val="00CC742A"/>
    <w:rsid w:val="00CD05B7"/>
    <w:rsid w:val="00CD7921"/>
    <w:rsid w:val="00CE084B"/>
    <w:rsid w:val="00CE4249"/>
    <w:rsid w:val="00CE7727"/>
    <w:rsid w:val="00CF626D"/>
    <w:rsid w:val="00D00F77"/>
    <w:rsid w:val="00D025F1"/>
    <w:rsid w:val="00D02D57"/>
    <w:rsid w:val="00D06754"/>
    <w:rsid w:val="00D100D7"/>
    <w:rsid w:val="00D118D6"/>
    <w:rsid w:val="00D13022"/>
    <w:rsid w:val="00D139C9"/>
    <w:rsid w:val="00D15B5B"/>
    <w:rsid w:val="00D20266"/>
    <w:rsid w:val="00D20C29"/>
    <w:rsid w:val="00D31A61"/>
    <w:rsid w:val="00D33842"/>
    <w:rsid w:val="00D42C00"/>
    <w:rsid w:val="00D454BD"/>
    <w:rsid w:val="00D46F5A"/>
    <w:rsid w:val="00D47915"/>
    <w:rsid w:val="00D504DF"/>
    <w:rsid w:val="00D51EBD"/>
    <w:rsid w:val="00D525DC"/>
    <w:rsid w:val="00D55302"/>
    <w:rsid w:val="00D55B52"/>
    <w:rsid w:val="00D57D6E"/>
    <w:rsid w:val="00D61F5A"/>
    <w:rsid w:val="00D6256C"/>
    <w:rsid w:val="00D62F72"/>
    <w:rsid w:val="00D649F9"/>
    <w:rsid w:val="00D656C2"/>
    <w:rsid w:val="00D718AE"/>
    <w:rsid w:val="00D74921"/>
    <w:rsid w:val="00D74FAA"/>
    <w:rsid w:val="00D76097"/>
    <w:rsid w:val="00D777B3"/>
    <w:rsid w:val="00D80864"/>
    <w:rsid w:val="00D87894"/>
    <w:rsid w:val="00D901A6"/>
    <w:rsid w:val="00D908A1"/>
    <w:rsid w:val="00D90C00"/>
    <w:rsid w:val="00D914BD"/>
    <w:rsid w:val="00D91883"/>
    <w:rsid w:val="00D93A69"/>
    <w:rsid w:val="00D962D8"/>
    <w:rsid w:val="00D96604"/>
    <w:rsid w:val="00D97D60"/>
    <w:rsid w:val="00D97FCD"/>
    <w:rsid w:val="00DA1701"/>
    <w:rsid w:val="00DA4350"/>
    <w:rsid w:val="00DA6823"/>
    <w:rsid w:val="00DB1DC4"/>
    <w:rsid w:val="00DB4C12"/>
    <w:rsid w:val="00DB6E90"/>
    <w:rsid w:val="00DB7A9E"/>
    <w:rsid w:val="00DC6BD2"/>
    <w:rsid w:val="00DC6CC6"/>
    <w:rsid w:val="00DD1A10"/>
    <w:rsid w:val="00DD2403"/>
    <w:rsid w:val="00DD5C1B"/>
    <w:rsid w:val="00DD5F52"/>
    <w:rsid w:val="00DD742A"/>
    <w:rsid w:val="00DD7B60"/>
    <w:rsid w:val="00DD7DB7"/>
    <w:rsid w:val="00DE291B"/>
    <w:rsid w:val="00DE4B19"/>
    <w:rsid w:val="00DF068B"/>
    <w:rsid w:val="00DF1F9D"/>
    <w:rsid w:val="00DF771B"/>
    <w:rsid w:val="00DF7A7D"/>
    <w:rsid w:val="00E0081E"/>
    <w:rsid w:val="00E02094"/>
    <w:rsid w:val="00E03BC3"/>
    <w:rsid w:val="00E05A7C"/>
    <w:rsid w:val="00E07439"/>
    <w:rsid w:val="00E10F4C"/>
    <w:rsid w:val="00E115AB"/>
    <w:rsid w:val="00E11B66"/>
    <w:rsid w:val="00E1714C"/>
    <w:rsid w:val="00E23885"/>
    <w:rsid w:val="00E2419F"/>
    <w:rsid w:val="00E2665A"/>
    <w:rsid w:val="00E3226F"/>
    <w:rsid w:val="00E352B2"/>
    <w:rsid w:val="00E366D6"/>
    <w:rsid w:val="00E376C4"/>
    <w:rsid w:val="00E37CD7"/>
    <w:rsid w:val="00E46593"/>
    <w:rsid w:val="00E470B8"/>
    <w:rsid w:val="00E4793A"/>
    <w:rsid w:val="00E550CC"/>
    <w:rsid w:val="00E57F0D"/>
    <w:rsid w:val="00E63D8B"/>
    <w:rsid w:val="00E70FF0"/>
    <w:rsid w:val="00E73DE5"/>
    <w:rsid w:val="00E7400D"/>
    <w:rsid w:val="00E74849"/>
    <w:rsid w:val="00E749AF"/>
    <w:rsid w:val="00E8026D"/>
    <w:rsid w:val="00E81F4B"/>
    <w:rsid w:val="00E823EF"/>
    <w:rsid w:val="00E8261A"/>
    <w:rsid w:val="00E83F97"/>
    <w:rsid w:val="00E87F30"/>
    <w:rsid w:val="00E904C3"/>
    <w:rsid w:val="00E920C0"/>
    <w:rsid w:val="00E9252A"/>
    <w:rsid w:val="00E97659"/>
    <w:rsid w:val="00EA11BE"/>
    <w:rsid w:val="00EA3E95"/>
    <w:rsid w:val="00EA4CE6"/>
    <w:rsid w:val="00EA5F6D"/>
    <w:rsid w:val="00EA7AAE"/>
    <w:rsid w:val="00EB51C0"/>
    <w:rsid w:val="00EB5FBB"/>
    <w:rsid w:val="00EB6952"/>
    <w:rsid w:val="00EB7ACE"/>
    <w:rsid w:val="00EC644A"/>
    <w:rsid w:val="00EC6A3F"/>
    <w:rsid w:val="00ED6A94"/>
    <w:rsid w:val="00EE231D"/>
    <w:rsid w:val="00EE3943"/>
    <w:rsid w:val="00EE4F35"/>
    <w:rsid w:val="00EE7286"/>
    <w:rsid w:val="00EF05F5"/>
    <w:rsid w:val="00EF0FF7"/>
    <w:rsid w:val="00EF234F"/>
    <w:rsid w:val="00EF30DE"/>
    <w:rsid w:val="00EF5A60"/>
    <w:rsid w:val="00EF5C60"/>
    <w:rsid w:val="00EF6684"/>
    <w:rsid w:val="00F04B23"/>
    <w:rsid w:val="00F1055D"/>
    <w:rsid w:val="00F118C4"/>
    <w:rsid w:val="00F11DAF"/>
    <w:rsid w:val="00F13246"/>
    <w:rsid w:val="00F16943"/>
    <w:rsid w:val="00F2025C"/>
    <w:rsid w:val="00F21696"/>
    <w:rsid w:val="00F22F63"/>
    <w:rsid w:val="00F24CA1"/>
    <w:rsid w:val="00F2710F"/>
    <w:rsid w:val="00F30554"/>
    <w:rsid w:val="00F348D2"/>
    <w:rsid w:val="00F40672"/>
    <w:rsid w:val="00F422D4"/>
    <w:rsid w:val="00F4325D"/>
    <w:rsid w:val="00F4485F"/>
    <w:rsid w:val="00F44B6A"/>
    <w:rsid w:val="00F521C7"/>
    <w:rsid w:val="00F569A2"/>
    <w:rsid w:val="00F56CCB"/>
    <w:rsid w:val="00F577E0"/>
    <w:rsid w:val="00F60108"/>
    <w:rsid w:val="00F60BF8"/>
    <w:rsid w:val="00F62147"/>
    <w:rsid w:val="00F628BD"/>
    <w:rsid w:val="00F64863"/>
    <w:rsid w:val="00F65907"/>
    <w:rsid w:val="00F846C2"/>
    <w:rsid w:val="00F84C22"/>
    <w:rsid w:val="00F902F2"/>
    <w:rsid w:val="00F960C1"/>
    <w:rsid w:val="00FA0331"/>
    <w:rsid w:val="00FA4C3D"/>
    <w:rsid w:val="00FA6DD0"/>
    <w:rsid w:val="00FB0768"/>
    <w:rsid w:val="00FB7CE1"/>
    <w:rsid w:val="00FC0359"/>
    <w:rsid w:val="00FC049C"/>
    <w:rsid w:val="00FC1C0E"/>
    <w:rsid w:val="00FC5ED8"/>
    <w:rsid w:val="00FD16B8"/>
    <w:rsid w:val="00FD1C41"/>
    <w:rsid w:val="00FD4EB7"/>
    <w:rsid w:val="00FE1C85"/>
    <w:rsid w:val="00FE1E27"/>
    <w:rsid w:val="00FE21EE"/>
    <w:rsid w:val="00FF2516"/>
    <w:rsid w:val="00FF426F"/>
    <w:rsid w:val="00FF6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BDCABCB"/>
  <w15:docId w15:val="{473527E6-6DDD-468D-A9F5-A62711A8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link w:val="Heading2Char"/>
    <w:uiPriority w:val="99"/>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uiPriority w:val="99"/>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link w:val="DfESOutNumberedChar"/>
    <w:uiPriority w:val="99"/>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link w:val="ListParagraphChar"/>
    <w:uiPriority w:val="34"/>
    <w:qFormat/>
    <w:rsid w:val="007463C5"/>
    <w:pPr>
      <w:ind w:left="720"/>
      <w:contextualSpacing/>
    </w:pPr>
  </w:style>
  <w:style w:type="character" w:styleId="CommentReference">
    <w:name w:val="annotation reference"/>
    <w:basedOn w:val="DefaultParagraphFont"/>
    <w:rsid w:val="003F771B"/>
    <w:rPr>
      <w:sz w:val="16"/>
      <w:szCs w:val="16"/>
    </w:rPr>
  </w:style>
  <w:style w:type="paragraph" w:styleId="CommentText">
    <w:name w:val="annotation text"/>
    <w:basedOn w:val="Normal"/>
    <w:link w:val="CommentTextChar"/>
    <w:rsid w:val="003F771B"/>
    <w:pPr>
      <w:widowControl/>
      <w:overflowPunct/>
      <w:autoSpaceDE/>
      <w:autoSpaceDN/>
      <w:adjustRightInd/>
      <w:textAlignment w:val="auto"/>
    </w:pPr>
    <w:rPr>
      <w:rFonts w:ascii="Times New Roman" w:hAnsi="Times New Roman"/>
      <w:sz w:val="20"/>
      <w:lang w:eastAsia="en-GB"/>
    </w:rPr>
  </w:style>
  <w:style w:type="character" w:customStyle="1" w:styleId="CommentTextChar">
    <w:name w:val="Comment Text Char"/>
    <w:basedOn w:val="DefaultParagraphFont"/>
    <w:link w:val="CommentText"/>
    <w:rsid w:val="003F771B"/>
  </w:style>
  <w:style w:type="paragraph" w:styleId="BalloonText">
    <w:name w:val="Balloon Text"/>
    <w:basedOn w:val="Normal"/>
    <w:link w:val="BalloonTextChar"/>
    <w:rsid w:val="003F771B"/>
    <w:rPr>
      <w:rFonts w:ascii="Tahoma" w:hAnsi="Tahoma" w:cs="Tahoma"/>
      <w:sz w:val="16"/>
      <w:szCs w:val="16"/>
    </w:rPr>
  </w:style>
  <w:style w:type="character" w:customStyle="1" w:styleId="BalloonTextChar">
    <w:name w:val="Balloon Text Char"/>
    <w:basedOn w:val="DefaultParagraphFont"/>
    <w:link w:val="BalloonText"/>
    <w:rsid w:val="003F771B"/>
    <w:rPr>
      <w:rFonts w:ascii="Tahoma" w:hAnsi="Tahoma" w:cs="Tahoma"/>
      <w:sz w:val="16"/>
      <w:szCs w:val="16"/>
      <w:lang w:eastAsia="en-US"/>
    </w:rPr>
  </w:style>
  <w:style w:type="table" w:styleId="TableGrid">
    <w:name w:val="Table Grid"/>
    <w:basedOn w:val="TableNormal"/>
    <w:rsid w:val="00D90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uiPriority w:val="99"/>
    <w:rsid w:val="008E07A8"/>
    <w:pPr>
      <w:widowControl/>
      <w:overflowPunct/>
      <w:autoSpaceDE/>
      <w:autoSpaceDN/>
      <w:adjustRightInd/>
      <w:textAlignment w:val="auto"/>
    </w:pPr>
    <w:rPr>
      <w:b/>
      <w:color w:val="FFFFFF"/>
      <w:szCs w:val="24"/>
      <w:lang w:eastAsia="en-GB"/>
    </w:rPr>
  </w:style>
  <w:style w:type="paragraph" w:styleId="CommentSubject">
    <w:name w:val="annotation subject"/>
    <w:basedOn w:val="CommentText"/>
    <w:next w:val="CommentText"/>
    <w:link w:val="CommentSubjectChar"/>
    <w:rsid w:val="00984EAD"/>
    <w:pPr>
      <w:widowControl w:val="0"/>
      <w:overflowPunct w:val="0"/>
      <w:autoSpaceDE w:val="0"/>
      <w:autoSpaceDN w:val="0"/>
      <w:adjustRightInd w:val="0"/>
      <w:textAlignment w:val="baseline"/>
    </w:pPr>
    <w:rPr>
      <w:rFonts w:ascii="Arial" w:hAnsi="Arial"/>
      <w:b/>
      <w:bCs/>
      <w:lang w:eastAsia="en-US"/>
    </w:rPr>
  </w:style>
  <w:style w:type="character" w:customStyle="1" w:styleId="CommentSubjectChar">
    <w:name w:val="Comment Subject Char"/>
    <w:basedOn w:val="CommentTextChar"/>
    <w:link w:val="CommentSubject"/>
    <w:rsid w:val="00984EAD"/>
    <w:rPr>
      <w:rFonts w:ascii="Arial" w:hAnsi="Arial"/>
      <w:b/>
      <w:bCs/>
      <w:lang w:eastAsia="en-US"/>
    </w:rPr>
  </w:style>
  <w:style w:type="character" w:customStyle="1" w:styleId="Heading2Char">
    <w:name w:val="Heading 2 Char"/>
    <w:aliases w:val="Numbered - 2 Char"/>
    <w:basedOn w:val="DefaultParagraphFont"/>
    <w:link w:val="Heading2"/>
    <w:uiPriority w:val="99"/>
    <w:rsid w:val="00C5630B"/>
    <w:rPr>
      <w:rFonts w:ascii="Arial" w:hAnsi="Arial"/>
      <w:b/>
      <w:kern w:val="28"/>
      <w:sz w:val="24"/>
      <w:lang w:eastAsia="en-US"/>
    </w:rPr>
  </w:style>
  <w:style w:type="character" w:customStyle="1" w:styleId="HeaderChar">
    <w:name w:val="Header Char"/>
    <w:basedOn w:val="DefaultParagraphFont"/>
    <w:link w:val="Header"/>
    <w:uiPriority w:val="99"/>
    <w:rsid w:val="00B62931"/>
    <w:rPr>
      <w:rFonts w:ascii="Arial" w:hAnsi="Arial"/>
      <w:sz w:val="24"/>
      <w:lang w:eastAsia="en-US"/>
    </w:rPr>
  </w:style>
  <w:style w:type="character" w:customStyle="1" w:styleId="FooterChar">
    <w:name w:val="Footer Char"/>
    <w:basedOn w:val="DefaultParagraphFont"/>
    <w:link w:val="Footer"/>
    <w:uiPriority w:val="99"/>
    <w:rsid w:val="00E376C4"/>
    <w:rPr>
      <w:rFonts w:ascii="Arial" w:hAnsi="Arial"/>
      <w:sz w:val="24"/>
      <w:lang w:eastAsia="en-US"/>
    </w:rPr>
  </w:style>
  <w:style w:type="paragraph" w:customStyle="1" w:styleId="Default">
    <w:name w:val="Default"/>
    <w:rsid w:val="00685E40"/>
    <w:pPr>
      <w:autoSpaceDE w:val="0"/>
      <w:autoSpaceDN w:val="0"/>
      <w:adjustRightInd w:val="0"/>
    </w:pPr>
    <w:rPr>
      <w:rFonts w:ascii="Avenir LT Std 35 Light" w:eastAsiaTheme="minorHAnsi" w:hAnsi="Avenir LT Std 35 Light" w:cs="Avenir LT Std 35 Light"/>
      <w:color w:val="000000"/>
      <w:sz w:val="24"/>
      <w:szCs w:val="24"/>
      <w:lang w:eastAsia="en-US"/>
    </w:rPr>
  </w:style>
  <w:style w:type="character" w:customStyle="1" w:styleId="ListParagraphChar">
    <w:name w:val="List Paragraph Char"/>
    <w:basedOn w:val="DefaultParagraphFont"/>
    <w:link w:val="ListParagraph"/>
    <w:uiPriority w:val="34"/>
    <w:locked/>
    <w:rsid w:val="00FE1C85"/>
    <w:rPr>
      <w:rFonts w:ascii="Arial" w:hAnsi="Arial"/>
      <w:sz w:val="24"/>
      <w:lang w:eastAsia="en-US"/>
    </w:rPr>
  </w:style>
  <w:style w:type="paragraph" w:styleId="NormalWeb">
    <w:name w:val="Normal (Web)"/>
    <w:basedOn w:val="Normal"/>
    <w:uiPriority w:val="99"/>
    <w:unhideWhenUsed/>
    <w:rsid w:val="00620FFA"/>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DfESOutNumberedChar">
    <w:name w:val="DfESOutNumbered Char"/>
    <w:basedOn w:val="DefaultParagraphFont"/>
    <w:link w:val="DfESOutNumbered"/>
    <w:uiPriority w:val="99"/>
    <w:locked/>
    <w:rsid w:val="00620FFA"/>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7309">
      <w:bodyDiv w:val="1"/>
      <w:marLeft w:val="0"/>
      <w:marRight w:val="0"/>
      <w:marTop w:val="0"/>
      <w:marBottom w:val="0"/>
      <w:divBdr>
        <w:top w:val="none" w:sz="0" w:space="0" w:color="auto"/>
        <w:left w:val="none" w:sz="0" w:space="0" w:color="auto"/>
        <w:bottom w:val="none" w:sz="0" w:space="0" w:color="auto"/>
        <w:right w:val="none" w:sz="0" w:space="0" w:color="auto"/>
      </w:divBdr>
    </w:div>
    <w:div w:id="240413383">
      <w:bodyDiv w:val="1"/>
      <w:marLeft w:val="0"/>
      <w:marRight w:val="0"/>
      <w:marTop w:val="0"/>
      <w:marBottom w:val="0"/>
      <w:divBdr>
        <w:top w:val="none" w:sz="0" w:space="0" w:color="auto"/>
        <w:left w:val="none" w:sz="0" w:space="0" w:color="auto"/>
        <w:bottom w:val="none" w:sz="0" w:space="0" w:color="auto"/>
        <w:right w:val="none" w:sz="0" w:space="0" w:color="auto"/>
      </w:divBdr>
    </w:div>
    <w:div w:id="760755617">
      <w:bodyDiv w:val="1"/>
      <w:marLeft w:val="0"/>
      <w:marRight w:val="0"/>
      <w:marTop w:val="0"/>
      <w:marBottom w:val="0"/>
      <w:divBdr>
        <w:top w:val="none" w:sz="0" w:space="0" w:color="auto"/>
        <w:left w:val="none" w:sz="0" w:space="0" w:color="auto"/>
        <w:bottom w:val="none" w:sz="0" w:space="0" w:color="auto"/>
        <w:right w:val="none" w:sz="0" w:space="0" w:color="auto"/>
      </w:divBdr>
    </w:div>
    <w:div w:id="797841174">
      <w:bodyDiv w:val="1"/>
      <w:marLeft w:val="0"/>
      <w:marRight w:val="0"/>
      <w:marTop w:val="0"/>
      <w:marBottom w:val="0"/>
      <w:divBdr>
        <w:top w:val="none" w:sz="0" w:space="0" w:color="auto"/>
        <w:left w:val="none" w:sz="0" w:space="0" w:color="auto"/>
        <w:bottom w:val="none" w:sz="0" w:space="0" w:color="auto"/>
        <w:right w:val="none" w:sz="0" w:space="0" w:color="auto"/>
      </w:divBdr>
    </w:div>
    <w:div w:id="1135105681">
      <w:bodyDiv w:val="1"/>
      <w:marLeft w:val="0"/>
      <w:marRight w:val="0"/>
      <w:marTop w:val="0"/>
      <w:marBottom w:val="0"/>
      <w:divBdr>
        <w:top w:val="none" w:sz="0" w:space="0" w:color="auto"/>
        <w:left w:val="none" w:sz="0" w:space="0" w:color="auto"/>
        <w:bottom w:val="none" w:sz="0" w:space="0" w:color="auto"/>
        <w:right w:val="none" w:sz="0" w:space="0" w:color="auto"/>
      </w:divBdr>
    </w:div>
    <w:div w:id="1155342516">
      <w:bodyDiv w:val="1"/>
      <w:marLeft w:val="0"/>
      <w:marRight w:val="0"/>
      <w:marTop w:val="0"/>
      <w:marBottom w:val="0"/>
      <w:divBdr>
        <w:top w:val="none" w:sz="0" w:space="0" w:color="auto"/>
        <w:left w:val="none" w:sz="0" w:space="0" w:color="auto"/>
        <w:bottom w:val="none" w:sz="0" w:space="0" w:color="auto"/>
        <w:right w:val="none" w:sz="0" w:space="0" w:color="auto"/>
      </w:divBdr>
    </w:div>
    <w:div w:id="2022731301">
      <w:bodyDiv w:val="1"/>
      <w:marLeft w:val="0"/>
      <w:marRight w:val="0"/>
      <w:marTop w:val="0"/>
      <w:marBottom w:val="0"/>
      <w:divBdr>
        <w:top w:val="none" w:sz="0" w:space="0" w:color="auto"/>
        <w:left w:val="none" w:sz="0" w:space="0" w:color="auto"/>
        <w:bottom w:val="none" w:sz="0" w:space="0" w:color="auto"/>
        <w:right w:val="none" w:sz="0" w:space="0" w:color="auto"/>
      </w:divBdr>
    </w:div>
    <w:div w:id="212985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Other briefing" ma:contentTypeID="0x0101003D8DE97B5F6A5E4385284C1FFBEDADD60900885B21747AAC4445B8D0C35AA84078F6" ma:contentTypeVersion="33" ma:contentTypeDescription="For any briefing which is not in relation to a department policy. Records retained for 10 years." ma:contentTypeScope="" ma:versionID="401d9327ad14eefd7fa221f02d53c70b">
  <xsd:schema xmlns:xsd="http://www.w3.org/2001/XMLSchema" xmlns:xs="http://www.w3.org/2001/XMLSchema" xmlns:p="http://schemas.microsoft.com/office/2006/metadata/properties" xmlns:ns1="http://schemas.microsoft.com/sharepoint/v3" xmlns:ns2="4259d123-e6a2-4a39-9cc4-e247171b8278" xmlns:ns3="01d2705b-266c-471f-bbad-ca9cc3733704" xmlns:ns4="9f3f92a8-473c-4608-bac3-6eb86d935198" targetNamespace="http://schemas.microsoft.com/office/2006/metadata/properties" ma:root="true" ma:fieldsID="3b1eed54426b3fca24fd8fb7ba32e1dc" ns1:_="" ns2:_="" ns3:_="" ns4:_="">
    <xsd:import namespace="http://schemas.microsoft.com/sharepoint/v3"/>
    <xsd:import namespace="4259d123-e6a2-4a39-9cc4-e247171b8278"/>
    <xsd:import namespace="01d2705b-266c-471f-bbad-ca9cc3733704"/>
    <xsd:import namespace="9f3f92a8-473c-4608-bac3-6eb86d935198"/>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b11dec6ce0c448c0844aaa6ccb665a34" minOccurs="0"/>
                <xsd:element ref="ns2:ce5af11cf85042fda4c4f1f7f633f15b" minOccurs="0"/>
                <xsd:element ref="ns2:fcfa2e3a102f492eb9989c5396408ed9" minOccurs="0"/>
                <xsd:element ref="ns2:ba8d4f2c4b764194bae6c355bbdcc1eb"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259d123-e6a2-4a39-9cc4-e247171b82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da1b62f6-7c55-4857-80e2-86b00f747f63}" ma:internalName="TaxCatchAll" ma:readOnly="false" ma:showField="CatchAllData" ma:web="4259d123-e6a2-4a39-9cc4-e247171b8278">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da1b62f6-7c55-4857-80e2-86b00f747f63}" ma:internalName="TaxCatchAllLabel" ma:readOnly="false" ma:showField="CatchAllDataLabel" ma:web="4259d123-e6a2-4a39-9cc4-e247171b8278">
      <xsd:complexType>
        <xsd:complexContent>
          <xsd:extension base="dms:MultiChoiceLookup">
            <xsd:sequence>
              <xsd:element name="Value" type="dms:Lookup" maxOccurs="unbounded" minOccurs="0" nillable="true"/>
            </xsd:sequence>
          </xsd:extension>
        </xsd:complexContent>
      </xsd:complexType>
    </xsd:element>
    <xsd:element name="b11dec6ce0c448c0844aaa6ccb665a34" ma:index="22" nillable="true" ma:taxonomy="true" ma:internalName="b11dec6ce0c448c0844aaa6ccb665a34" ma:taxonomyFieldName="IWPFunction" ma:displayName="Function" ma:readOnly="false" ma:fieldId="{b11dec6c-e0c4-48c0-844a-aa6ccb665a34}"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ce5af11cf85042fda4c4f1f7f633f15b" ma:index="23" ma:taxonomy="true" ma:internalName="ce5af11cf85042fda4c4f1f7f633f15b" ma:taxonomyFieldName="IWPRightsProtectiveMarking" ma:displayName="Rights: Protective Marking" ma:readOnly="false" ma:default="1;#Official|0884c477-2e62-47ea-b19c-5af6e91124c5" ma:fieldId="{ce5af11c-f850-42fd-a4c4-f1f7f633f15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fcfa2e3a102f492eb9989c5396408ed9" ma:index="24" nillable="true" ma:taxonomy="true" ma:internalName="fcfa2e3a102f492eb9989c5396408ed9" ma:taxonomyFieldName="IWPSiteType" ma:displayName="Site Type" ma:readOnly="false" ma:fieldId="{fcfa2e3a-102f-492e-b998-9c5396408ed9}"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ba8d4f2c4b764194bae6c355bbdcc1eb" ma:index="25" ma:taxonomy="true" ma:internalName="ba8d4f2c4b764194bae6c355bbdcc1eb" ma:taxonomyFieldName="IWPOrganisationalUnit" ma:displayName="Organisational Unit" ma:readOnly="false" ma:default="2;#DfE|cc08a6d4-dfde-4d0f-bd85-069ebcef80d5" ma:fieldId="{ba8d4f2c-4b76-4194-bae6-c355bbdcc1e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d2705b-266c-471f-bbad-ca9cc3733704"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3f92a8-473c-4608-bac3-6eb86d935198"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WPContributor xmlns="01d2705b-266c-471f-bbad-ca9cc3733704">
      <UserInfo>
        <DisplayName/>
        <AccountId xsi:nil="true"/>
        <AccountType/>
      </UserInfo>
    </IWPContributor>
    <Comments xmlns="http://schemas.microsoft.com/sharepoint/v3" xsi:nil="true"/>
    <TaxCatchAll xmlns="4259d123-e6a2-4a39-9cc4-e247171b8278">
      <Value>3</Value>
      <Value>2</Value>
      <Value>1</Value>
    </TaxCatchAll>
    <_dlc_DocId xmlns="4259d123-e6a2-4a39-9cc4-e247171b8278">HKPH4XM4QHZ4-1883831546-49276</_dlc_DocId>
    <_dlc_DocIdUrl xmlns="4259d123-e6a2-4a39-9cc4-e247171b8278">
      <Url>https://educationgovuk.sharepoint.com/sites/ttg/d/_layouts/15/DocIdRedir.aspx?ID=HKPH4XM4QHZ4-1883831546-49276</Url>
      <Description>HKPH4XM4QHZ4-1883831546-49276</Description>
    </_dlc_DocIdUrl>
    <fcfa2e3a102f492eb9989c5396408ed9 xmlns="4259d123-e6a2-4a39-9cc4-e247171b8278">
      <Terms xmlns="http://schemas.microsoft.com/office/infopath/2007/PartnerControls"/>
    </fcfa2e3a102f492eb9989c5396408ed9>
    <TaxCatchAllLabel xmlns="4259d123-e6a2-4a39-9cc4-e247171b8278"/>
    <ce5af11cf85042fda4c4f1f7f633f15b xmlns="4259d123-e6a2-4a39-9cc4-e247171b827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e5af11cf85042fda4c4f1f7f633f15b>
    <ba8d4f2c4b764194bae6c355bbdcc1eb xmlns="4259d123-e6a2-4a39-9cc4-e247171b8278">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ba8d4f2c4b764194bae6c355bbdcc1eb>
    <_vti_ItemDeclaredRecord xmlns="http://schemas.microsoft.com/sharepoint/v3" xsi:nil="true"/>
    <b11dec6ce0c448c0844aaa6ccb665a34 xmlns="4259d123-e6a2-4a39-9cc4-e247171b8278">
      <Terms xmlns="http://schemas.microsoft.com/office/infopath/2007/PartnerControls"/>
    </b11dec6ce0c448c0844aaa6ccb665a34>
    <h5181134883947a99a38d116ffff0102 xmlns="9f3f92a8-473c-4608-bac3-6eb86d935198">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9f3f92a8-473c-4608-bac3-6eb86d935198">
      <Terms xmlns="http://schemas.microsoft.com/office/infopath/2007/PartnerControls"/>
    </h5181134883947a99a38d116ffff000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EF6EE-574F-4D11-83E4-F4FEB27DE673}">
  <ds:schemaRefs>
    <ds:schemaRef ds:uri="http://schemas.microsoft.com/sharepoint/events"/>
  </ds:schemaRefs>
</ds:datastoreItem>
</file>

<file path=customXml/itemProps2.xml><?xml version="1.0" encoding="utf-8"?>
<ds:datastoreItem xmlns:ds="http://schemas.openxmlformats.org/officeDocument/2006/customXml" ds:itemID="{E2AA81A7-3DF1-4FCC-9123-E421E1FBA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59d123-e6a2-4a39-9cc4-e247171b8278"/>
    <ds:schemaRef ds:uri="01d2705b-266c-471f-bbad-ca9cc3733704"/>
    <ds:schemaRef ds:uri="9f3f92a8-473c-4608-bac3-6eb86d935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59D045-B0F2-4F2E-B883-F8A801916E75}">
  <ds:schemaRefs>
    <ds:schemaRef ds:uri="http://schemas.microsoft.com/office/2006/metadata/properties"/>
    <ds:schemaRef ds:uri="4259d123-e6a2-4a39-9cc4-e247171b8278"/>
    <ds:schemaRef ds:uri="http://schemas.microsoft.com/sharepoint/v3"/>
    <ds:schemaRef ds:uri="http://purl.org/dc/terms/"/>
    <ds:schemaRef ds:uri="http://schemas.openxmlformats.org/package/2006/metadata/core-properties"/>
    <ds:schemaRef ds:uri="9f3f92a8-473c-4608-bac3-6eb86d935198"/>
    <ds:schemaRef ds:uri="http://schemas.microsoft.com/office/2006/documentManagement/types"/>
    <ds:schemaRef ds:uri="http://schemas.microsoft.com/office/infopath/2007/PartnerControls"/>
    <ds:schemaRef ds:uri="http://purl.org/dc/elements/1.1/"/>
    <ds:schemaRef ds:uri="01d2705b-266c-471f-bbad-ca9cc3733704"/>
    <ds:schemaRef ds:uri="http://www.w3.org/XML/1998/namespace"/>
    <ds:schemaRef ds:uri="http://purl.org/dc/dcmitype/"/>
  </ds:schemaRefs>
</ds:datastoreItem>
</file>

<file path=customXml/itemProps4.xml><?xml version="1.0" encoding="utf-8"?>
<ds:datastoreItem xmlns:ds="http://schemas.openxmlformats.org/officeDocument/2006/customXml" ds:itemID="{323EFAE5-661B-4E04-A512-C73AC9E9CE24}">
  <ds:schemaRefs>
    <ds:schemaRef ds:uri="http://schemas.microsoft.com/sharepoint/v3/contenttype/forms"/>
  </ds:schemaRefs>
</ds:datastoreItem>
</file>

<file path=customXml/itemProps5.xml><?xml version="1.0" encoding="utf-8"?>
<ds:datastoreItem xmlns:ds="http://schemas.openxmlformats.org/officeDocument/2006/customXml" ds:itemID="{05EDE52B-3880-4CA0-8AFA-40A6135E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2930</Words>
  <Characters>16704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Final</vt:lpstr>
    </vt:vector>
  </TitlesOfParts>
  <Company>Employment Benefits</Company>
  <LinksUpToDate>false</LinksUpToDate>
  <CharactersWithSpaces>19595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dc:title>
  <dc:creator>WILLIAMS, Sue (CIOG)</dc:creator>
  <cp:lastModifiedBy>CAMMACK, Karen</cp:lastModifiedBy>
  <cp:revision>2</cp:revision>
  <cp:lastPrinted>2016-06-06T09:45:00Z</cp:lastPrinted>
  <dcterms:created xsi:type="dcterms:W3CDTF">2018-04-23T15:16:00Z</dcterms:created>
  <dcterms:modified xsi:type="dcterms:W3CDTF">2018-04-23T15:16:00Z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0x0101003D8DE97B5F6A5E4385284C1FFBEDADD60900885B21747AAC4445B8D0C35AA84078F6</vt:lpwstr>
  </property>
  <property fmtid="{D5CDD505-2E9C-101B-9397-08002B2CF9AE}" pid="3" name="IWPOrganisationalUnit">
    <vt:lpwstr>2;#DfE|cc08a6d4-dfde-4d0f-bd85-069ebcef80d5</vt:lpwstr>
  </property>
  <property fmtid="{D5CDD505-2E9C-101B-9397-08002B2CF9AE}" pid="4" name="IWPOwner">
    <vt:lpwstr>3;#DfE|a484111e-5b24-4ad9-9778-c536c8c88985</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1;#Official|0884c477-2e62-47ea-b19c-5af6e91124c5</vt:lpwstr>
  </property>
  <property fmtid="{D5CDD505-2E9C-101B-9397-08002B2CF9AE}" pid="9" name="_dlc_DocIdItemGuid">
    <vt:lpwstr>216aa959-cc7d-4762-9523-555e2eb33216</vt:lpwstr>
  </property>
</Properties>
</file>