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BBA03" w14:textId="77777777" w:rsidR="005935FE" w:rsidRPr="00623D44" w:rsidRDefault="005935FE" w:rsidP="00623D44">
      <w:pPr>
        <w:rPr>
          <w:rFonts w:cs="Arial"/>
          <w:b/>
          <w:szCs w:val="24"/>
        </w:rPr>
      </w:pPr>
      <w:r w:rsidRPr="00623D44">
        <w:rPr>
          <w:rFonts w:cs="Arial"/>
          <w:b/>
          <w:szCs w:val="24"/>
        </w:rPr>
        <w:t>T</w:t>
      </w:r>
      <w:r w:rsidR="00542484" w:rsidRPr="00623D44">
        <w:rPr>
          <w:rFonts w:cs="Arial"/>
          <w:b/>
          <w:szCs w:val="24"/>
        </w:rPr>
        <w:t>PSPB</w:t>
      </w:r>
      <w:r w:rsidR="00142D2F" w:rsidRPr="00623D44">
        <w:rPr>
          <w:rFonts w:cs="Arial"/>
          <w:b/>
          <w:szCs w:val="24"/>
        </w:rPr>
        <w:t xml:space="preserve"> (Service Delivery</w:t>
      </w:r>
      <w:r w:rsidR="00BF56A8" w:rsidRPr="00623D44">
        <w:rPr>
          <w:rFonts w:cs="Arial"/>
          <w:b/>
          <w:szCs w:val="24"/>
        </w:rPr>
        <w:t xml:space="preserve"> &amp;</w:t>
      </w:r>
      <w:r w:rsidR="00142D2F" w:rsidRPr="00623D44">
        <w:rPr>
          <w:rFonts w:cs="Arial"/>
          <w:b/>
          <w:szCs w:val="24"/>
        </w:rPr>
        <w:t xml:space="preserve"> Maintenance of Data</w:t>
      </w:r>
      <w:r w:rsidR="00542484" w:rsidRPr="00623D44">
        <w:rPr>
          <w:rFonts w:cs="Arial"/>
          <w:b/>
          <w:szCs w:val="24"/>
        </w:rPr>
        <w:t xml:space="preserve"> sub-committee</w:t>
      </w:r>
      <w:r w:rsidR="00142D2F" w:rsidRPr="00623D44">
        <w:rPr>
          <w:rFonts w:cs="Arial"/>
          <w:b/>
          <w:szCs w:val="24"/>
        </w:rPr>
        <w:t>)</w:t>
      </w:r>
      <w:r w:rsidRPr="00623D44">
        <w:rPr>
          <w:rFonts w:cs="Arial"/>
          <w:b/>
          <w:szCs w:val="24"/>
        </w:rPr>
        <w:t xml:space="preserve"> – </w:t>
      </w:r>
      <w:r w:rsidR="003F013E" w:rsidRPr="00623D44">
        <w:rPr>
          <w:rFonts w:cs="Arial"/>
          <w:b/>
          <w:szCs w:val="24"/>
        </w:rPr>
        <w:t>November 2017</w:t>
      </w:r>
      <w:r w:rsidR="00E16A49" w:rsidRPr="00623D44">
        <w:rPr>
          <w:rFonts w:cs="Arial"/>
          <w:b/>
          <w:szCs w:val="24"/>
        </w:rPr>
        <w:t xml:space="preserve"> to </w:t>
      </w:r>
      <w:r w:rsidR="003F013E" w:rsidRPr="00623D44">
        <w:rPr>
          <w:rFonts w:cs="Arial"/>
          <w:b/>
          <w:szCs w:val="24"/>
        </w:rPr>
        <w:t>January 2018</w:t>
      </w:r>
    </w:p>
    <w:p w14:paraId="4A3BC0A8" w14:textId="77777777" w:rsidR="002624C8" w:rsidRPr="00623D44" w:rsidRDefault="002624C8" w:rsidP="00623D44">
      <w:pPr>
        <w:rPr>
          <w:rFonts w:cs="Arial"/>
          <w:szCs w:val="24"/>
        </w:rPr>
      </w:pPr>
    </w:p>
    <w:p w14:paraId="715AD661" w14:textId="77777777" w:rsidR="002624C8" w:rsidRPr="00623D44" w:rsidRDefault="002624C8" w:rsidP="00623D44">
      <w:pPr>
        <w:rPr>
          <w:rFonts w:cs="Arial"/>
          <w:b/>
          <w:szCs w:val="24"/>
        </w:rPr>
      </w:pPr>
      <w:r w:rsidRPr="00623D44">
        <w:rPr>
          <w:rFonts w:cs="Arial"/>
          <w:b/>
          <w:szCs w:val="24"/>
        </w:rPr>
        <w:t>TP Administration Update</w:t>
      </w:r>
    </w:p>
    <w:p w14:paraId="44DF2FEA" w14:textId="77777777" w:rsidR="002624C8" w:rsidRPr="00623D44" w:rsidRDefault="002624C8" w:rsidP="00623D44">
      <w:pPr>
        <w:rPr>
          <w:rFonts w:cs="Arial"/>
          <w:szCs w:val="24"/>
        </w:rPr>
      </w:pPr>
      <w:r w:rsidRPr="00623D44">
        <w:rPr>
          <w:rFonts w:cs="Arial"/>
          <w:szCs w:val="24"/>
        </w:rPr>
        <w:t>The purpose of this document is to advise the Service Delivery and Maintenance of Data sub-committee, and the TPS Pension Board, of recent key events relating to the administration of the scheme so as to assist with its assurance role.  See Annex 1 for a full briefing on this report.</w:t>
      </w:r>
    </w:p>
    <w:p w14:paraId="413DF468" w14:textId="77777777" w:rsidR="00695F95" w:rsidRPr="00623D44" w:rsidRDefault="00695F95" w:rsidP="00623D44">
      <w:pPr>
        <w:rPr>
          <w:rFonts w:cs="Arial"/>
          <w:szCs w:val="24"/>
        </w:rPr>
      </w:pPr>
    </w:p>
    <w:p w14:paraId="00D60FCE" w14:textId="77777777" w:rsidR="00104F07" w:rsidRPr="00623D44" w:rsidRDefault="00E3482E" w:rsidP="00623D44">
      <w:pPr>
        <w:rPr>
          <w:rFonts w:cs="Arial"/>
          <w:b/>
          <w:color w:val="FF0000"/>
          <w:szCs w:val="24"/>
        </w:rPr>
      </w:pPr>
      <w:r w:rsidRPr="00623D44">
        <w:rPr>
          <w:rFonts w:cs="Arial"/>
          <w:b/>
          <w:szCs w:val="24"/>
        </w:rPr>
        <w:t xml:space="preserve">Teachers’ Pensions </w:t>
      </w:r>
      <w:r w:rsidR="00C935C9" w:rsidRPr="00623D44">
        <w:rPr>
          <w:rFonts w:cs="Arial"/>
          <w:b/>
          <w:szCs w:val="24"/>
        </w:rPr>
        <w:t>Contact Centre</w:t>
      </w:r>
      <w:r w:rsidR="00F63479" w:rsidRPr="00623D44">
        <w:rPr>
          <w:rFonts w:cs="Arial"/>
          <w:b/>
          <w:szCs w:val="24"/>
        </w:rPr>
        <w:t xml:space="preserve"> </w:t>
      </w:r>
    </w:p>
    <w:p w14:paraId="2F28F308" w14:textId="77777777" w:rsidR="00B2430E" w:rsidRPr="00623D44" w:rsidRDefault="00B2430E" w:rsidP="00623D44">
      <w:pPr>
        <w:rPr>
          <w:rFonts w:cs="Arial"/>
          <w:szCs w:val="24"/>
        </w:rPr>
      </w:pPr>
    </w:p>
    <w:p w14:paraId="51003F4A" w14:textId="77777777" w:rsidR="00F63479" w:rsidRPr="00623D44" w:rsidRDefault="00F47B98" w:rsidP="00623D44">
      <w:pPr>
        <w:pStyle w:val="ListParagraph"/>
        <w:numPr>
          <w:ilvl w:val="0"/>
          <w:numId w:val="27"/>
        </w:numPr>
        <w:rPr>
          <w:rFonts w:cs="Arial"/>
          <w:szCs w:val="24"/>
        </w:rPr>
      </w:pPr>
      <w:r w:rsidRPr="00623D44">
        <w:rPr>
          <w:rFonts w:cs="Arial"/>
          <w:szCs w:val="24"/>
        </w:rPr>
        <w:t xml:space="preserve">The Contact Centre (CC) </w:t>
      </w:r>
      <w:r w:rsidR="00B3483C">
        <w:rPr>
          <w:rFonts w:cs="Arial"/>
          <w:szCs w:val="24"/>
        </w:rPr>
        <w:t xml:space="preserve">has been a </w:t>
      </w:r>
      <w:r w:rsidRPr="00623D44">
        <w:rPr>
          <w:rFonts w:cs="Arial"/>
          <w:szCs w:val="24"/>
        </w:rPr>
        <w:t xml:space="preserve">primary area of focus in this quarter. </w:t>
      </w:r>
      <w:r w:rsidR="00F63479" w:rsidRPr="00623D44">
        <w:rPr>
          <w:rFonts w:cs="Arial"/>
          <w:szCs w:val="24"/>
        </w:rPr>
        <w:t xml:space="preserve">DfE continue to </w:t>
      </w:r>
      <w:r w:rsidR="00B3483C">
        <w:rPr>
          <w:rFonts w:cs="Arial"/>
          <w:szCs w:val="24"/>
        </w:rPr>
        <w:t xml:space="preserve">work with and </w:t>
      </w:r>
      <w:r w:rsidR="00F63479" w:rsidRPr="00623D44">
        <w:rPr>
          <w:rFonts w:cs="Arial"/>
          <w:szCs w:val="24"/>
        </w:rPr>
        <w:t xml:space="preserve">challenge TP to address the issues involved.  Discussions around the contact centre and service to members are being monitored through the monthly DfE/TP meetings, with </w:t>
      </w:r>
      <w:r w:rsidR="00B3483C">
        <w:rPr>
          <w:rFonts w:cs="Arial"/>
          <w:szCs w:val="24"/>
        </w:rPr>
        <w:t>a focus on identifying and a</w:t>
      </w:r>
      <w:r w:rsidR="00F63479" w:rsidRPr="00623D44">
        <w:rPr>
          <w:rFonts w:cs="Arial"/>
          <w:szCs w:val="24"/>
        </w:rPr>
        <w:t>ddress</w:t>
      </w:r>
      <w:r w:rsidR="00B3483C">
        <w:rPr>
          <w:rFonts w:cs="Arial"/>
          <w:szCs w:val="24"/>
        </w:rPr>
        <w:t>ing</w:t>
      </w:r>
      <w:r w:rsidR="00F63479" w:rsidRPr="00623D44">
        <w:rPr>
          <w:rFonts w:cs="Arial"/>
          <w:szCs w:val="24"/>
        </w:rPr>
        <w:t xml:space="preserve"> problem areas.  </w:t>
      </w:r>
    </w:p>
    <w:p w14:paraId="1188E6DF" w14:textId="77777777" w:rsidR="00F63479" w:rsidRPr="00623D44" w:rsidRDefault="00F63479" w:rsidP="00623D44">
      <w:pPr>
        <w:pStyle w:val="ListParagraph"/>
        <w:rPr>
          <w:rFonts w:cs="Arial"/>
          <w:szCs w:val="24"/>
        </w:rPr>
      </w:pPr>
    </w:p>
    <w:p w14:paraId="4C0DA0E0" w14:textId="77777777" w:rsidR="0090345E" w:rsidRPr="00623D44" w:rsidRDefault="00D54A88" w:rsidP="00623D44">
      <w:pPr>
        <w:pStyle w:val="ListParagraph"/>
        <w:numPr>
          <w:ilvl w:val="0"/>
          <w:numId w:val="27"/>
        </w:numPr>
        <w:rPr>
          <w:rFonts w:cs="Arial"/>
          <w:szCs w:val="24"/>
        </w:rPr>
      </w:pPr>
      <w:r w:rsidRPr="00623D44">
        <w:rPr>
          <w:rFonts w:cs="Arial"/>
          <w:szCs w:val="24"/>
        </w:rPr>
        <w:t>Since the discussions at QSB</w:t>
      </w:r>
      <w:r w:rsidR="006001AD">
        <w:rPr>
          <w:rFonts w:cs="Arial"/>
          <w:szCs w:val="24"/>
        </w:rPr>
        <w:t xml:space="preserve"> on</w:t>
      </w:r>
      <w:r w:rsidR="00CF0658" w:rsidRPr="00623D44">
        <w:rPr>
          <w:rFonts w:cs="Arial"/>
          <w:szCs w:val="24"/>
        </w:rPr>
        <w:t xml:space="preserve"> 31 October</w:t>
      </w:r>
      <w:r w:rsidRPr="00623D44">
        <w:rPr>
          <w:rFonts w:cs="Arial"/>
          <w:szCs w:val="24"/>
        </w:rPr>
        <w:t xml:space="preserve">, Capita has deployed further resource from outside TP into the contact centre to take calls during December and January. This extra resource has enabled answering 93% of the 42,213 calls offered in January with average wait times below 3.5 minutes. The prioritised bereavement and ill health calls were answered in the required standard of 85% in 30 seconds. </w:t>
      </w:r>
    </w:p>
    <w:p w14:paraId="41E17D21" w14:textId="77777777" w:rsidR="0090345E" w:rsidRPr="00623D44" w:rsidRDefault="0090345E" w:rsidP="00623D44">
      <w:pPr>
        <w:pStyle w:val="ListParagraph"/>
        <w:rPr>
          <w:rFonts w:cs="Arial"/>
          <w:szCs w:val="24"/>
        </w:rPr>
      </w:pPr>
    </w:p>
    <w:p w14:paraId="028A26F8" w14:textId="77777777" w:rsidR="00F47B98" w:rsidRPr="00623D44" w:rsidRDefault="00D54A88" w:rsidP="00623D44">
      <w:pPr>
        <w:pStyle w:val="ListParagraph"/>
        <w:numPr>
          <w:ilvl w:val="0"/>
          <w:numId w:val="27"/>
        </w:numPr>
        <w:rPr>
          <w:rFonts w:cs="Arial"/>
          <w:szCs w:val="24"/>
        </w:rPr>
      </w:pPr>
      <w:r w:rsidRPr="00623D44">
        <w:rPr>
          <w:rFonts w:cs="Arial"/>
          <w:szCs w:val="24"/>
        </w:rPr>
        <w:t xml:space="preserve">Performance </w:t>
      </w:r>
      <w:r w:rsidR="00B3483C">
        <w:rPr>
          <w:rFonts w:cs="Arial"/>
          <w:szCs w:val="24"/>
        </w:rPr>
        <w:t xml:space="preserve">during </w:t>
      </w:r>
      <w:r w:rsidRPr="00623D44">
        <w:rPr>
          <w:rFonts w:cs="Arial"/>
          <w:szCs w:val="24"/>
        </w:rPr>
        <w:t xml:space="preserve">December was very good, but was based on a lower call level (as expected within </w:t>
      </w:r>
      <w:r w:rsidR="006001AD">
        <w:rPr>
          <w:rFonts w:cs="Arial"/>
          <w:szCs w:val="24"/>
        </w:rPr>
        <w:t>the</w:t>
      </w:r>
      <w:r w:rsidRPr="00623D44">
        <w:rPr>
          <w:rFonts w:cs="Arial"/>
          <w:szCs w:val="24"/>
        </w:rPr>
        <w:t xml:space="preserve"> seasonal profile).  This profile of resources and performance </w:t>
      </w:r>
      <w:r w:rsidR="00B3483C">
        <w:rPr>
          <w:rFonts w:cs="Arial"/>
          <w:szCs w:val="24"/>
        </w:rPr>
        <w:t xml:space="preserve">during January </w:t>
      </w:r>
      <w:r w:rsidRPr="00623D44">
        <w:rPr>
          <w:rFonts w:cs="Arial"/>
          <w:szCs w:val="24"/>
        </w:rPr>
        <w:t xml:space="preserve">has been the equivalent </w:t>
      </w:r>
      <w:r w:rsidR="00B3483C">
        <w:rPr>
          <w:rFonts w:cs="Arial"/>
          <w:szCs w:val="24"/>
        </w:rPr>
        <w:t>o</w:t>
      </w:r>
      <w:r w:rsidRPr="00623D44">
        <w:rPr>
          <w:rFonts w:cs="Arial"/>
          <w:szCs w:val="24"/>
        </w:rPr>
        <w:t>f answering 9,000 calls per week.</w:t>
      </w:r>
      <w:r w:rsidR="001B1304" w:rsidRPr="00623D44">
        <w:rPr>
          <w:rFonts w:cs="Arial"/>
          <w:szCs w:val="24"/>
        </w:rPr>
        <w:t xml:space="preserve">  </w:t>
      </w:r>
    </w:p>
    <w:p w14:paraId="0905B29E" w14:textId="77777777" w:rsidR="00C13C67" w:rsidRPr="00623D44" w:rsidRDefault="00C13C67" w:rsidP="00623D44">
      <w:pPr>
        <w:pStyle w:val="ListParagraph"/>
        <w:rPr>
          <w:rFonts w:cs="Arial"/>
          <w:szCs w:val="24"/>
        </w:rPr>
      </w:pPr>
    </w:p>
    <w:p w14:paraId="3AA2058F" w14:textId="77777777" w:rsidR="007124BC" w:rsidRPr="00623D44" w:rsidRDefault="00F47B98" w:rsidP="00623D44">
      <w:pPr>
        <w:pStyle w:val="ListParagraph"/>
        <w:numPr>
          <w:ilvl w:val="0"/>
          <w:numId w:val="27"/>
        </w:numPr>
        <w:rPr>
          <w:rFonts w:cs="Arial"/>
          <w:szCs w:val="24"/>
        </w:rPr>
      </w:pPr>
      <w:r w:rsidRPr="00623D44">
        <w:rPr>
          <w:rFonts w:cs="Arial"/>
          <w:szCs w:val="24"/>
        </w:rPr>
        <w:t>Customer satisfaction results</w:t>
      </w:r>
      <w:r w:rsidR="007124BC" w:rsidRPr="00623D44">
        <w:rPr>
          <w:rStyle w:val="CommentReference"/>
          <w:rFonts w:cs="Arial"/>
          <w:sz w:val="24"/>
          <w:szCs w:val="24"/>
        </w:rPr>
        <w:t xml:space="preserve">, </w:t>
      </w:r>
      <w:r w:rsidRPr="00623D44">
        <w:rPr>
          <w:rFonts w:cs="Arial"/>
          <w:szCs w:val="24"/>
        </w:rPr>
        <w:t>and associated commentary indicated a review of the call flow and call routing programming w</w:t>
      </w:r>
      <w:r w:rsidR="00B3483C">
        <w:rPr>
          <w:rFonts w:cs="Arial"/>
          <w:szCs w:val="24"/>
        </w:rPr>
        <w:t>ould be benefi</w:t>
      </w:r>
      <w:r w:rsidR="00A52AD9">
        <w:rPr>
          <w:rFonts w:cs="Arial"/>
          <w:szCs w:val="24"/>
        </w:rPr>
        <w:t>ci</w:t>
      </w:r>
      <w:r w:rsidR="00B3483C">
        <w:rPr>
          <w:rFonts w:cs="Arial"/>
          <w:szCs w:val="24"/>
        </w:rPr>
        <w:t>al</w:t>
      </w:r>
      <w:r w:rsidRPr="00623D44">
        <w:rPr>
          <w:rFonts w:cs="Arial"/>
          <w:szCs w:val="24"/>
        </w:rPr>
        <w:t xml:space="preserve">. </w:t>
      </w:r>
      <w:r w:rsidR="007124BC" w:rsidRPr="00623D44">
        <w:rPr>
          <w:rFonts w:cs="Arial"/>
          <w:szCs w:val="24"/>
        </w:rPr>
        <w:t>DfE</w:t>
      </w:r>
      <w:r w:rsidR="00B3483C">
        <w:rPr>
          <w:rFonts w:cs="Arial"/>
          <w:szCs w:val="24"/>
        </w:rPr>
        <w:t xml:space="preserve"> worked with </w:t>
      </w:r>
      <w:r w:rsidR="007124BC" w:rsidRPr="00623D44">
        <w:rPr>
          <w:rFonts w:cs="Arial"/>
          <w:szCs w:val="24"/>
        </w:rPr>
        <w:t xml:space="preserve">TP to analyse these details, streamline the process and reduce the number of telephony options required prior to connecting to an adviser. New programming has been introduced which reduces the initial option selection from seven to three options, with a secondary layer of options prior to connecting to an adviser.  </w:t>
      </w:r>
    </w:p>
    <w:p w14:paraId="74BC0538" w14:textId="77777777" w:rsidR="007124BC" w:rsidRPr="00623D44" w:rsidRDefault="007124BC" w:rsidP="00623D44">
      <w:pPr>
        <w:pStyle w:val="ListParagraph"/>
        <w:rPr>
          <w:rFonts w:cs="Arial"/>
          <w:szCs w:val="24"/>
        </w:rPr>
      </w:pPr>
    </w:p>
    <w:p w14:paraId="6C2134CB" w14:textId="77777777" w:rsidR="00623D44" w:rsidRDefault="00CF0658" w:rsidP="00623D44">
      <w:pPr>
        <w:pStyle w:val="ListParagraph"/>
        <w:numPr>
          <w:ilvl w:val="0"/>
          <w:numId w:val="27"/>
        </w:numPr>
        <w:rPr>
          <w:rFonts w:cs="Arial"/>
          <w:szCs w:val="24"/>
        </w:rPr>
      </w:pPr>
      <w:r w:rsidRPr="00623D44">
        <w:rPr>
          <w:rFonts w:cs="Arial"/>
          <w:szCs w:val="24"/>
        </w:rPr>
        <w:t xml:space="preserve">Customer Satisfaction measure, </w:t>
      </w:r>
      <w:r w:rsidR="007124BC" w:rsidRPr="00623D44">
        <w:rPr>
          <w:rFonts w:cs="Arial"/>
          <w:szCs w:val="24"/>
        </w:rPr>
        <w:t xml:space="preserve">OM6 YTD </w:t>
      </w:r>
      <w:r w:rsidR="00C13C67" w:rsidRPr="00623D44">
        <w:rPr>
          <w:rFonts w:cs="Arial"/>
          <w:szCs w:val="24"/>
        </w:rPr>
        <w:t xml:space="preserve">overall </w:t>
      </w:r>
      <w:r w:rsidR="007124BC" w:rsidRPr="00623D44">
        <w:rPr>
          <w:rFonts w:cs="Arial"/>
          <w:szCs w:val="24"/>
        </w:rPr>
        <w:t xml:space="preserve">performance shows 65.08% achieved against 78% target </w:t>
      </w:r>
      <w:r w:rsidRPr="00623D44">
        <w:rPr>
          <w:rFonts w:cs="Arial"/>
          <w:szCs w:val="24"/>
        </w:rPr>
        <w:t>reflecting a poor</w:t>
      </w:r>
      <w:r w:rsidR="007124BC" w:rsidRPr="00623D44">
        <w:rPr>
          <w:rFonts w:cs="Arial"/>
          <w:szCs w:val="24"/>
        </w:rPr>
        <w:t xml:space="preserve"> start to the contract year</w:t>
      </w:r>
      <w:r w:rsidR="00B3483C">
        <w:rPr>
          <w:rFonts w:cs="Arial"/>
          <w:szCs w:val="24"/>
        </w:rPr>
        <w:t xml:space="preserve"> </w:t>
      </w:r>
      <w:r w:rsidR="00C13C67" w:rsidRPr="00623D44">
        <w:rPr>
          <w:rFonts w:cs="Arial"/>
          <w:szCs w:val="24"/>
        </w:rPr>
        <w:t>(56.04% satisfied or better with the contact centre in October)</w:t>
      </w:r>
      <w:r w:rsidR="007124BC" w:rsidRPr="00623D44">
        <w:rPr>
          <w:rFonts w:cs="Arial"/>
          <w:szCs w:val="24"/>
        </w:rPr>
        <w:t xml:space="preserve">, but </w:t>
      </w:r>
      <w:r w:rsidRPr="00623D44">
        <w:rPr>
          <w:rFonts w:cs="Arial"/>
          <w:szCs w:val="24"/>
        </w:rPr>
        <w:t>this has improved</w:t>
      </w:r>
      <w:r w:rsidR="00C13C67" w:rsidRPr="00623D44">
        <w:rPr>
          <w:rFonts w:cs="Arial"/>
          <w:szCs w:val="24"/>
        </w:rPr>
        <w:t xml:space="preserve"> (78.69% for the same element in January)</w:t>
      </w:r>
      <w:r w:rsidRPr="00623D44">
        <w:rPr>
          <w:rFonts w:cs="Arial"/>
          <w:szCs w:val="24"/>
        </w:rPr>
        <w:t>, reflecting</w:t>
      </w:r>
      <w:r w:rsidR="00B3483C">
        <w:rPr>
          <w:rFonts w:cs="Arial"/>
          <w:szCs w:val="24"/>
        </w:rPr>
        <w:t xml:space="preserve"> the benefits of</w:t>
      </w:r>
      <w:r w:rsidRPr="00623D44">
        <w:rPr>
          <w:rFonts w:cs="Arial"/>
          <w:szCs w:val="24"/>
        </w:rPr>
        <w:t xml:space="preserve"> changes </w:t>
      </w:r>
      <w:r w:rsidR="007124BC" w:rsidRPr="00623D44">
        <w:rPr>
          <w:rFonts w:cs="Arial"/>
          <w:szCs w:val="24"/>
        </w:rPr>
        <w:t xml:space="preserve">in </w:t>
      </w:r>
      <w:r w:rsidRPr="00623D44">
        <w:rPr>
          <w:rFonts w:cs="Arial"/>
          <w:szCs w:val="24"/>
        </w:rPr>
        <w:t xml:space="preserve">the </w:t>
      </w:r>
      <w:r w:rsidR="007124BC" w:rsidRPr="00623D44">
        <w:rPr>
          <w:rFonts w:cs="Arial"/>
          <w:szCs w:val="24"/>
        </w:rPr>
        <w:t>contact centre</w:t>
      </w:r>
      <w:r w:rsidR="00B3483C">
        <w:rPr>
          <w:rFonts w:cs="Arial"/>
          <w:szCs w:val="24"/>
        </w:rPr>
        <w:t xml:space="preserve"> and approach.  </w:t>
      </w:r>
      <w:r w:rsidR="007124BC" w:rsidRPr="00623D44">
        <w:rPr>
          <w:rFonts w:cs="Arial"/>
          <w:szCs w:val="24"/>
        </w:rPr>
        <w:t xml:space="preserve">DfE are confident that this Outcome </w:t>
      </w:r>
      <w:r w:rsidR="00C13C67" w:rsidRPr="00623D44">
        <w:rPr>
          <w:rFonts w:cs="Arial"/>
          <w:szCs w:val="24"/>
        </w:rPr>
        <w:t xml:space="preserve">overall </w:t>
      </w:r>
      <w:r w:rsidR="007124BC" w:rsidRPr="00623D44">
        <w:rPr>
          <w:rFonts w:cs="Arial"/>
          <w:szCs w:val="24"/>
        </w:rPr>
        <w:t xml:space="preserve">measure will continue to improve.  </w:t>
      </w:r>
    </w:p>
    <w:p w14:paraId="50F34EE6" w14:textId="77777777" w:rsidR="00623D44" w:rsidRPr="00623D44" w:rsidRDefault="00623D44" w:rsidP="00623D44">
      <w:pPr>
        <w:pStyle w:val="ListParagraph"/>
        <w:rPr>
          <w:rFonts w:cs="Arial"/>
          <w:szCs w:val="24"/>
        </w:rPr>
      </w:pPr>
    </w:p>
    <w:p w14:paraId="2126B0D6" w14:textId="77777777" w:rsidR="00C13C67" w:rsidRPr="00623D44" w:rsidRDefault="00C13C67" w:rsidP="00623D44">
      <w:pPr>
        <w:pStyle w:val="ListParagraph"/>
        <w:numPr>
          <w:ilvl w:val="0"/>
          <w:numId w:val="27"/>
        </w:numPr>
        <w:rPr>
          <w:rFonts w:cs="Arial"/>
          <w:szCs w:val="24"/>
        </w:rPr>
      </w:pPr>
      <w:r w:rsidRPr="00623D44">
        <w:rPr>
          <w:rFonts w:cs="Arial"/>
          <w:szCs w:val="24"/>
        </w:rPr>
        <w:t xml:space="preserve">Complaints about the contact centre are showing a similar trend </w:t>
      </w:r>
      <w:r w:rsidR="00B776CC">
        <w:rPr>
          <w:rFonts w:cs="Arial"/>
          <w:szCs w:val="24"/>
        </w:rPr>
        <w:t xml:space="preserve">740 </w:t>
      </w:r>
      <w:r w:rsidRPr="00623D44">
        <w:rPr>
          <w:rFonts w:cs="Arial"/>
          <w:szCs w:val="24"/>
        </w:rPr>
        <w:t xml:space="preserve">complaints were received regarding the contact centre in October, </w:t>
      </w:r>
      <w:r w:rsidR="00B776CC">
        <w:rPr>
          <w:rFonts w:cs="Arial"/>
          <w:szCs w:val="24"/>
        </w:rPr>
        <w:t>341</w:t>
      </w:r>
      <w:r w:rsidRPr="00623D44">
        <w:rPr>
          <w:rFonts w:cs="Arial"/>
          <w:szCs w:val="24"/>
        </w:rPr>
        <w:t xml:space="preserve"> in January.</w:t>
      </w:r>
    </w:p>
    <w:p w14:paraId="645ACF11" w14:textId="77777777" w:rsidR="008B71E0" w:rsidRPr="00623D44" w:rsidRDefault="008B71E0" w:rsidP="00623D44">
      <w:pPr>
        <w:pStyle w:val="ListParagraph"/>
        <w:rPr>
          <w:rFonts w:cs="Arial"/>
          <w:szCs w:val="24"/>
        </w:rPr>
      </w:pPr>
    </w:p>
    <w:p w14:paraId="0AC6AA67" w14:textId="77777777" w:rsidR="007F5D89" w:rsidRPr="00623D44" w:rsidRDefault="00F47B98" w:rsidP="00623D44">
      <w:pPr>
        <w:pStyle w:val="ListParagraph"/>
        <w:numPr>
          <w:ilvl w:val="0"/>
          <w:numId w:val="27"/>
        </w:numPr>
        <w:rPr>
          <w:rFonts w:cs="Arial"/>
          <w:szCs w:val="24"/>
        </w:rPr>
      </w:pPr>
      <w:r w:rsidRPr="00623D44">
        <w:rPr>
          <w:rFonts w:cs="Arial"/>
          <w:szCs w:val="24"/>
        </w:rPr>
        <w:t xml:space="preserve">DfE are monitoring TP progress </w:t>
      </w:r>
      <w:r w:rsidR="006404AA" w:rsidRPr="00623D44">
        <w:rPr>
          <w:rFonts w:cs="Arial"/>
          <w:szCs w:val="24"/>
        </w:rPr>
        <w:t>via the service delivery groups and monthly Service Delivery Board meeting</w:t>
      </w:r>
      <w:r w:rsidR="006404AA">
        <w:rPr>
          <w:rFonts w:cs="Arial"/>
          <w:szCs w:val="24"/>
        </w:rPr>
        <w:t xml:space="preserve">, with the aim of </w:t>
      </w:r>
      <w:r w:rsidR="00B3483C">
        <w:rPr>
          <w:rFonts w:cs="Arial"/>
          <w:szCs w:val="24"/>
        </w:rPr>
        <w:t xml:space="preserve">achieving a </w:t>
      </w:r>
      <w:r w:rsidR="006404AA">
        <w:rPr>
          <w:rFonts w:cs="Arial"/>
          <w:szCs w:val="24"/>
        </w:rPr>
        <w:t xml:space="preserve">state where </w:t>
      </w:r>
      <w:r w:rsidR="00A52AD9">
        <w:rPr>
          <w:rFonts w:cs="Arial"/>
          <w:szCs w:val="24"/>
        </w:rPr>
        <w:t xml:space="preserve">the </w:t>
      </w:r>
      <w:r w:rsidR="00A52AD9">
        <w:rPr>
          <w:rFonts w:cs="Arial"/>
          <w:szCs w:val="24"/>
        </w:rPr>
        <w:lastRenderedPageBreak/>
        <w:t>contact</w:t>
      </w:r>
      <w:r w:rsidR="006404AA">
        <w:rPr>
          <w:rFonts w:cs="Arial"/>
          <w:szCs w:val="24"/>
        </w:rPr>
        <w:t xml:space="preserve"> centre is fully delivering what is needed</w:t>
      </w:r>
      <w:r w:rsidRPr="00623D44">
        <w:rPr>
          <w:rFonts w:cs="Arial"/>
          <w:szCs w:val="24"/>
        </w:rPr>
        <w:t>, issue TP.I.034 refers.</w:t>
      </w:r>
      <w:r w:rsidR="000B2985" w:rsidRPr="00623D44">
        <w:rPr>
          <w:rFonts w:cs="Arial"/>
          <w:szCs w:val="24"/>
        </w:rPr>
        <w:t xml:space="preserve">  </w:t>
      </w:r>
      <w:r w:rsidR="006404AA">
        <w:rPr>
          <w:rFonts w:cs="Arial"/>
          <w:szCs w:val="24"/>
        </w:rPr>
        <w:t xml:space="preserve">It is noteworthy that </w:t>
      </w:r>
      <w:r w:rsidR="00CF114B" w:rsidRPr="00623D44">
        <w:rPr>
          <w:rFonts w:cs="Arial"/>
          <w:szCs w:val="24"/>
        </w:rPr>
        <w:t>TP</w:t>
      </w:r>
      <w:r w:rsidR="006404AA">
        <w:rPr>
          <w:rFonts w:cs="Arial"/>
          <w:szCs w:val="24"/>
        </w:rPr>
        <w:t xml:space="preserve">’s </w:t>
      </w:r>
      <w:r w:rsidR="00CF114B" w:rsidRPr="00623D44">
        <w:rPr>
          <w:rFonts w:cs="Arial"/>
          <w:szCs w:val="24"/>
        </w:rPr>
        <w:t xml:space="preserve">progress in </w:t>
      </w:r>
      <w:r w:rsidR="006404AA">
        <w:rPr>
          <w:rFonts w:cs="Arial"/>
          <w:szCs w:val="24"/>
        </w:rPr>
        <w:t xml:space="preserve">respect of the </w:t>
      </w:r>
      <w:r w:rsidR="00CF114B" w:rsidRPr="00623D44">
        <w:rPr>
          <w:rFonts w:cs="Arial"/>
          <w:szCs w:val="24"/>
        </w:rPr>
        <w:t xml:space="preserve">Contact Centre </w:t>
      </w:r>
      <w:r w:rsidR="006404AA">
        <w:rPr>
          <w:rFonts w:cs="Arial"/>
          <w:szCs w:val="24"/>
        </w:rPr>
        <w:t xml:space="preserve">is being achieved against a backdrop of increased demand, </w:t>
      </w:r>
      <w:r w:rsidR="00CF114B" w:rsidRPr="00623D44">
        <w:rPr>
          <w:rFonts w:cs="Arial"/>
          <w:szCs w:val="24"/>
        </w:rPr>
        <w:t>with an increase in calls answered of almost 32% compared to the same period in 2017</w:t>
      </w:r>
      <w:r w:rsidR="0090345E" w:rsidRPr="00623D44">
        <w:rPr>
          <w:rFonts w:cs="Arial"/>
          <w:szCs w:val="24"/>
        </w:rPr>
        <w:t xml:space="preserve">.  </w:t>
      </w:r>
    </w:p>
    <w:p w14:paraId="0283E220" w14:textId="77777777" w:rsidR="001A33D2" w:rsidRPr="00623D44" w:rsidRDefault="001A33D2" w:rsidP="00623D44">
      <w:pPr>
        <w:pStyle w:val="Default"/>
        <w:rPr>
          <w:rFonts w:ascii="Arial" w:hAnsi="Arial" w:cs="Arial"/>
        </w:rPr>
      </w:pPr>
    </w:p>
    <w:p w14:paraId="18869BA7" w14:textId="77777777" w:rsidR="00F67F7B" w:rsidRPr="00623D44" w:rsidRDefault="006404AA" w:rsidP="00623D44">
      <w:pPr>
        <w:pStyle w:val="Default"/>
        <w:numPr>
          <w:ilvl w:val="0"/>
          <w:numId w:val="27"/>
        </w:numPr>
        <w:rPr>
          <w:rFonts w:ascii="Arial" w:hAnsi="Arial" w:cs="Arial"/>
        </w:rPr>
      </w:pPr>
      <w:r w:rsidRPr="00623D44">
        <w:rPr>
          <w:rFonts w:ascii="Arial" w:hAnsi="Arial" w:cs="Arial"/>
        </w:rPr>
        <w:t>DfE and TP have provided regular updates to tPR</w:t>
      </w:r>
      <w:r>
        <w:rPr>
          <w:rFonts w:ascii="Arial" w:hAnsi="Arial" w:cs="Arial"/>
        </w:rPr>
        <w:t xml:space="preserve"> about the telephony issues, following the interest sparked by the article</w:t>
      </w:r>
      <w:r w:rsidRPr="00623D44">
        <w:rPr>
          <w:rFonts w:ascii="Arial" w:hAnsi="Arial" w:cs="Arial"/>
        </w:rPr>
        <w:t xml:space="preserve"> in Pensions Expert in October 2017.  </w:t>
      </w:r>
      <w:r>
        <w:rPr>
          <w:rFonts w:ascii="Arial" w:hAnsi="Arial" w:cs="Arial"/>
        </w:rPr>
        <w:t xml:space="preserve">The Regulator has acknowledged the </w:t>
      </w:r>
      <w:r w:rsidRPr="00623D44">
        <w:rPr>
          <w:rFonts w:ascii="Arial" w:hAnsi="Arial" w:cs="Arial"/>
        </w:rPr>
        <w:t xml:space="preserve">improvements </w:t>
      </w:r>
      <w:r>
        <w:rPr>
          <w:rFonts w:ascii="Arial" w:hAnsi="Arial" w:cs="Arial"/>
        </w:rPr>
        <w:t xml:space="preserve">and progress </w:t>
      </w:r>
      <w:r w:rsidRPr="00623D44">
        <w:rPr>
          <w:rFonts w:ascii="Arial" w:hAnsi="Arial" w:cs="Arial"/>
        </w:rPr>
        <w:t xml:space="preserve">made </w:t>
      </w:r>
      <w:r>
        <w:rPr>
          <w:rFonts w:ascii="Arial" w:hAnsi="Arial" w:cs="Arial"/>
        </w:rPr>
        <w:t>and is no longer monitoring this issue.</w:t>
      </w:r>
      <w:r w:rsidR="0036086F" w:rsidRPr="00623D44">
        <w:rPr>
          <w:rFonts w:ascii="Arial" w:hAnsi="Arial" w:cs="Arial"/>
        </w:rPr>
        <w:t xml:space="preserve"> </w:t>
      </w:r>
    </w:p>
    <w:p w14:paraId="7F0E07B8" w14:textId="77777777" w:rsidR="00842628" w:rsidRPr="00623D44" w:rsidRDefault="00842628" w:rsidP="00623D44">
      <w:pPr>
        <w:pStyle w:val="ListParagraph"/>
        <w:rPr>
          <w:rFonts w:cs="Arial"/>
          <w:szCs w:val="24"/>
        </w:rPr>
      </w:pPr>
    </w:p>
    <w:p w14:paraId="584B1B93" w14:textId="77777777" w:rsidR="00842628" w:rsidRPr="007B31E7" w:rsidRDefault="00842628" w:rsidP="007B31E7">
      <w:pPr>
        <w:pStyle w:val="ListParagraph"/>
        <w:numPr>
          <w:ilvl w:val="0"/>
          <w:numId w:val="27"/>
        </w:numPr>
        <w:rPr>
          <w:rFonts w:cs="Arial"/>
          <w:szCs w:val="24"/>
        </w:rPr>
      </w:pPr>
      <w:r w:rsidRPr="007B31E7">
        <w:rPr>
          <w:rFonts w:cs="Arial"/>
          <w:szCs w:val="24"/>
        </w:rPr>
        <w:t>Operational forecasts show a projected peak in activity in April as members request information linked to their tax affairs.  Preparations are underway to flex the resource to bring in some extra capacity</w:t>
      </w:r>
      <w:r w:rsidR="007B31E7" w:rsidRPr="007B31E7">
        <w:rPr>
          <w:rFonts w:cs="Arial"/>
          <w:szCs w:val="24"/>
        </w:rPr>
        <w:t>.</w:t>
      </w:r>
      <w:r w:rsidRPr="007B31E7">
        <w:rPr>
          <w:rFonts w:cs="Arial"/>
          <w:szCs w:val="24"/>
        </w:rPr>
        <w:t xml:space="preserve">  TP will monitor call volumes and where possible deploy overtime should wait times be</w:t>
      </w:r>
      <w:r w:rsidR="007B31E7" w:rsidRPr="007B31E7">
        <w:rPr>
          <w:rFonts w:cs="Arial"/>
          <w:szCs w:val="24"/>
        </w:rPr>
        <w:t xml:space="preserve">gin to build to </w:t>
      </w:r>
      <w:r w:rsidRPr="007B31E7">
        <w:rPr>
          <w:rFonts w:cs="Arial"/>
          <w:szCs w:val="24"/>
        </w:rPr>
        <w:t>unacceptably high</w:t>
      </w:r>
      <w:r w:rsidR="007B31E7" w:rsidRPr="007B31E7">
        <w:rPr>
          <w:rFonts w:cs="Arial"/>
          <w:szCs w:val="24"/>
        </w:rPr>
        <w:t xml:space="preserve"> levels</w:t>
      </w:r>
      <w:r w:rsidR="007B31E7">
        <w:rPr>
          <w:rFonts w:cs="Arial"/>
          <w:szCs w:val="24"/>
        </w:rPr>
        <w:t xml:space="preserve">.  If </w:t>
      </w:r>
      <w:r w:rsidRPr="007B31E7">
        <w:rPr>
          <w:rFonts w:cs="Arial"/>
          <w:szCs w:val="24"/>
        </w:rPr>
        <w:t xml:space="preserve">members </w:t>
      </w:r>
      <w:r w:rsidR="007B31E7">
        <w:rPr>
          <w:rFonts w:cs="Arial"/>
          <w:szCs w:val="24"/>
        </w:rPr>
        <w:t xml:space="preserve">are </w:t>
      </w:r>
      <w:r w:rsidRPr="007B31E7">
        <w:rPr>
          <w:rFonts w:cs="Arial"/>
          <w:szCs w:val="24"/>
        </w:rPr>
        <w:t xml:space="preserve">frequently waiting above 30 minutes </w:t>
      </w:r>
      <w:r w:rsidR="007B31E7">
        <w:rPr>
          <w:rFonts w:cs="Arial"/>
          <w:szCs w:val="24"/>
        </w:rPr>
        <w:t xml:space="preserve">that </w:t>
      </w:r>
      <w:r w:rsidRPr="007B31E7">
        <w:rPr>
          <w:rFonts w:cs="Arial"/>
          <w:szCs w:val="24"/>
        </w:rPr>
        <w:t xml:space="preserve">will trigger TP management </w:t>
      </w:r>
      <w:r w:rsidR="007B31E7">
        <w:rPr>
          <w:rFonts w:cs="Arial"/>
          <w:szCs w:val="24"/>
        </w:rPr>
        <w:t xml:space="preserve">to </w:t>
      </w:r>
      <w:r w:rsidR="003D68C1">
        <w:rPr>
          <w:rFonts w:cs="Arial"/>
          <w:szCs w:val="24"/>
        </w:rPr>
        <w:t xml:space="preserve">further </w:t>
      </w:r>
      <w:r w:rsidR="007B31E7">
        <w:rPr>
          <w:rFonts w:cs="Arial"/>
          <w:szCs w:val="24"/>
        </w:rPr>
        <w:t xml:space="preserve">review </w:t>
      </w:r>
      <w:r w:rsidRPr="007B31E7">
        <w:rPr>
          <w:rFonts w:cs="Arial"/>
          <w:szCs w:val="24"/>
        </w:rPr>
        <w:t>processes</w:t>
      </w:r>
      <w:r w:rsidR="007B31E7">
        <w:rPr>
          <w:rFonts w:cs="Arial"/>
          <w:szCs w:val="24"/>
        </w:rPr>
        <w:t>/options</w:t>
      </w:r>
      <w:r w:rsidRPr="007B31E7">
        <w:rPr>
          <w:rFonts w:cs="Arial"/>
          <w:szCs w:val="24"/>
        </w:rPr>
        <w:t xml:space="preserve">.  </w:t>
      </w:r>
      <w:r w:rsidR="007B31E7">
        <w:rPr>
          <w:rFonts w:cs="Arial"/>
          <w:szCs w:val="24"/>
        </w:rPr>
        <w:t xml:space="preserve">These measures may not be sufficient in isolation to handle what might be a peak </w:t>
      </w:r>
      <w:r w:rsidR="007B31E7" w:rsidRPr="00623D44">
        <w:rPr>
          <w:rFonts w:cs="Arial"/>
          <w:szCs w:val="24"/>
        </w:rPr>
        <w:t>demand of 15K callers per week</w:t>
      </w:r>
      <w:r w:rsidR="007B31E7">
        <w:rPr>
          <w:rFonts w:cs="Arial"/>
          <w:szCs w:val="24"/>
        </w:rPr>
        <w:t>, but o</w:t>
      </w:r>
      <w:r w:rsidRPr="007B31E7">
        <w:rPr>
          <w:rFonts w:cs="Arial"/>
          <w:szCs w:val="24"/>
        </w:rPr>
        <w:t xml:space="preserve">ther controls </w:t>
      </w:r>
      <w:r w:rsidR="007B31E7">
        <w:rPr>
          <w:rFonts w:cs="Arial"/>
          <w:szCs w:val="24"/>
        </w:rPr>
        <w:t xml:space="preserve">are </w:t>
      </w:r>
      <w:r w:rsidRPr="007B31E7">
        <w:rPr>
          <w:rFonts w:cs="Arial"/>
          <w:szCs w:val="24"/>
        </w:rPr>
        <w:t xml:space="preserve">in place to </w:t>
      </w:r>
      <w:r w:rsidR="007B31E7">
        <w:rPr>
          <w:rFonts w:cs="Arial"/>
          <w:szCs w:val="24"/>
        </w:rPr>
        <w:t xml:space="preserve">seek to </w:t>
      </w:r>
      <w:r w:rsidRPr="007B31E7">
        <w:rPr>
          <w:rFonts w:cs="Arial"/>
          <w:szCs w:val="24"/>
        </w:rPr>
        <w:t xml:space="preserve">minimise </w:t>
      </w:r>
      <w:r w:rsidR="007B31E7">
        <w:rPr>
          <w:rFonts w:cs="Arial"/>
          <w:szCs w:val="24"/>
        </w:rPr>
        <w:t xml:space="preserve">any </w:t>
      </w:r>
      <w:r w:rsidRPr="007B31E7">
        <w:rPr>
          <w:rFonts w:cs="Arial"/>
          <w:szCs w:val="24"/>
        </w:rPr>
        <w:t xml:space="preserve">inconvenience to members </w:t>
      </w:r>
      <w:r w:rsidR="007B31E7">
        <w:rPr>
          <w:rFonts w:cs="Arial"/>
          <w:szCs w:val="24"/>
        </w:rPr>
        <w:t xml:space="preserve">- </w:t>
      </w:r>
      <w:r w:rsidRPr="007B31E7">
        <w:rPr>
          <w:rFonts w:cs="Arial"/>
          <w:szCs w:val="24"/>
        </w:rPr>
        <w:t>includ</w:t>
      </w:r>
      <w:r w:rsidR="003D68C1">
        <w:rPr>
          <w:rFonts w:cs="Arial"/>
          <w:szCs w:val="24"/>
        </w:rPr>
        <w:t>ing</w:t>
      </w:r>
      <w:r w:rsidRPr="007B31E7">
        <w:rPr>
          <w:rFonts w:cs="Arial"/>
          <w:szCs w:val="24"/>
        </w:rPr>
        <w:t xml:space="preserve"> using member and employer bulletins to highlight the expected peak, address some common misconcepti</w:t>
      </w:r>
      <w:r w:rsidR="003E74A3" w:rsidRPr="007B31E7">
        <w:rPr>
          <w:rFonts w:cs="Arial"/>
          <w:szCs w:val="24"/>
        </w:rPr>
        <w:t>ons about the need for P60s</w:t>
      </w:r>
      <w:r w:rsidR="007B31E7">
        <w:rPr>
          <w:rFonts w:cs="Arial"/>
          <w:szCs w:val="24"/>
        </w:rPr>
        <w:t>,</w:t>
      </w:r>
      <w:r w:rsidRPr="007B31E7">
        <w:rPr>
          <w:rFonts w:cs="Arial"/>
          <w:szCs w:val="24"/>
        </w:rPr>
        <w:t xml:space="preserve"> and suggest alternative ways to get the information</w:t>
      </w:r>
      <w:r w:rsidR="007B31E7">
        <w:rPr>
          <w:rFonts w:cs="Arial"/>
          <w:szCs w:val="24"/>
        </w:rPr>
        <w:t>.  V</w:t>
      </w:r>
      <w:r w:rsidRPr="007B31E7">
        <w:rPr>
          <w:rFonts w:cs="Arial"/>
          <w:szCs w:val="24"/>
        </w:rPr>
        <w:t>oice messages and the website will also carry similar messages.</w:t>
      </w:r>
    </w:p>
    <w:p w14:paraId="546DA873" w14:textId="77777777" w:rsidR="00B2430E" w:rsidRPr="00623D44" w:rsidRDefault="00B2430E" w:rsidP="00623D44">
      <w:pPr>
        <w:rPr>
          <w:rFonts w:cs="Arial"/>
          <w:szCs w:val="24"/>
        </w:rPr>
      </w:pPr>
    </w:p>
    <w:tbl>
      <w:tblPr>
        <w:tblStyle w:val="TableGrid"/>
        <w:tblW w:w="0" w:type="auto"/>
        <w:tblInd w:w="108" w:type="dxa"/>
        <w:tblLook w:val="04A0" w:firstRow="1" w:lastRow="0" w:firstColumn="1" w:lastColumn="0" w:noHBand="0" w:noVBand="1"/>
      </w:tblPr>
      <w:tblGrid>
        <w:gridCol w:w="7230"/>
        <w:gridCol w:w="1134"/>
      </w:tblGrid>
      <w:tr w:rsidR="004F515B" w:rsidRPr="00623D44" w14:paraId="7532A4F0" w14:textId="77777777" w:rsidTr="004F515B">
        <w:tc>
          <w:tcPr>
            <w:tcW w:w="7230" w:type="dxa"/>
          </w:tcPr>
          <w:p w14:paraId="0DE419A6" w14:textId="77777777" w:rsidR="004F515B" w:rsidRPr="00623D44" w:rsidRDefault="004F515B" w:rsidP="00623D44">
            <w:pPr>
              <w:rPr>
                <w:rFonts w:cs="Arial"/>
                <w:b/>
                <w:szCs w:val="24"/>
              </w:rPr>
            </w:pPr>
            <w:r w:rsidRPr="00623D44">
              <w:rPr>
                <w:rFonts w:cs="Arial"/>
                <w:b/>
                <w:color w:val="000000"/>
                <w:szCs w:val="24"/>
                <w:lang w:eastAsia="en-GB"/>
              </w:rPr>
              <w:t xml:space="preserve">SLAs and KPIs </w:t>
            </w:r>
          </w:p>
        </w:tc>
        <w:tc>
          <w:tcPr>
            <w:tcW w:w="1134" w:type="dxa"/>
            <w:shd w:val="clear" w:color="auto" w:fill="FFC000"/>
          </w:tcPr>
          <w:p w14:paraId="02B8AEEE" w14:textId="77777777" w:rsidR="004F515B" w:rsidRPr="00623D44" w:rsidRDefault="00A26F88" w:rsidP="00623D44">
            <w:pPr>
              <w:rPr>
                <w:rFonts w:cs="Arial"/>
                <w:color w:val="FFFF00"/>
                <w:szCs w:val="24"/>
                <w:highlight w:val="red"/>
              </w:rPr>
            </w:pPr>
            <w:r w:rsidRPr="00623D44">
              <w:rPr>
                <w:rFonts w:cs="Arial"/>
                <w:noProof/>
                <w:color w:val="00B050"/>
                <w:szCs w:val="24"/>
                <w:highlight w:val="red"/>
                <w:lang w:eastAsia="en-GB"/>
              </w:rPr>
              <mc:AlternateContent>
                <mc:Choice Requires="wps">
                  <w:drawing>
                    <wp:anchor distT="0" distB="0" distL="114300" distR="114300" simplePos="0" relativeHeight="251658752" behindDoc="0" locked="0" layoutInCell="1" allowOverlap="1" wp14:anchorId="6E76A256" wp14:editId="583EBDE5">
                      <wp:simplePos x="0" y="0"/>
                      <wp:positionH relativeFrom="column">
                        <wp:posOffset>61287</wp:posOffset>
                      </wp:positionH>
                      <wp:positionV relativeFrom="paragraph">
                        <wp:posOffset>100990</wp:posOffset>
                      </wp:positionV>
                      <wp:extent cx="475699" cy="108511"/>
                      <wp:effectExtent l="38100" t="57150" r="19685" b="82550"/>
                      <wp:wrapNone/>
                      <wp:docPr id="2" name="Straight Arrow Connector 2"/>
                      <wp:cNvGraphicFramePr/>
                      <a:graphic xmlns:a="http://schemas.openxmlformats.org/drawingml/2006/main">
                        <a:graphicData uri="http://schemas.microsoft.com/office/word/2010/wordprocessingShape">
                          <wps:wsp>
                            <wps:cNvCnPr/>
                            <wps:spPr>
                              <a:xfrm flipV="1">
                                <a:off x="0" y="0"/>
                                <a:ext cx="475699" cy="108511"/>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408BE699" id="_x0000_t32" coordsize="21600,21600" o:spt="32" o:oned="t" path="m,l21600,21600e" filled="f">
                      <v:path arrowok="t" fillok="f" o:connecttype="none"/>
                      <o:lock v:ext="edit" shapetype="t"/>
                    </v:shapetype>
                    <v:shape id="Straight Arrow Connector 2" o:spid="_x0000_s1026" type="#_x0000_t32" style="position:absolute;margin-left:4.85pt;margin-top:7.95pt;width:37.45pt;height:8.5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wV8LAIAAEsEAAAOAAAAZHJzL2Uyb0RvYy54bWysVMGO0zAQvSPxD5bvNG3ZLt2o6Qq1LBcE&#10;FV3gPLWdxJJjW2Nv0/49YydEBW6IHizPjGfy3vNzN4+XzrCzwqCdrfhiNudMWeGktk3Fvz0/vVlz&#10;FiJYCcZZVfGrCvxx+/rVpvelWrrWGamQ0RAbyt5XvI3Rl0URRKs6CDPnlaVi7bCDSCE2hUToaXpn&#10;iuV8fl/0DqVHJ1QIlN0PRb7N8+taifilroOKzFScsMW8Yl5PaS22GygbBN9qMcKAf0DRgbb00WnU&#10;HiKwF9R/jeq0QBdcHWfCdYWray1U5kBsFvM/2Bxb8CpzIXGCn2QK/2+s+Hw+INOy4kvOLHR0RceI&#10;oJs2sveIrmc7Zy3J6JAtk1q9DyU17ewBxyj4Aybqlxo7Vhvtv5MRshhEj12y1tdJa3WJTFDy7t3q&#10;/uGBM0GlxXy9WizS9GIYk8Z5DPGjch1Lm4qHEdUEZ/gEnD+FODT+akjN1j1pYygPpbGsJ3aruznd&#10;vwDyWG0g0rbzxDrYhjMwDZlXRMyogzNapvbUHa5hZ5CdgfxDtpOufyYGnBkIkQpEK/9G7L+1Jjx7&#10;CO3QnEvpGJQRtPlgJYtXT3JDUnnsNzbVVfYt8UqBe4kKj63s2cm84FcgzMQkcZE66UKPYAgIS+KY&#10;I3Txh45t9k9SPjPB5jRRyeeGPBjfwoDx7Tp1D2qG4Xi+kglDjm7gFckNw/2n3cnJa7ZFzpNj8/nx&#10;daUncRvT/vY/YPsTAAD//wMAUEsDBBQABgAIAAAAIQAVdM/k3QAAAAYBAAAPAAAAZHJzL2Rvd25y&#10;ZXYueG1sTI5LT4NAFIX3Jv6HyTVxZwetpYAMjanPjYl9mLgcmCuQMncIMy34772udHkeOefLV5Pt&#10;xAkH3zpScD2LQCBVzrRUK9jvnq4SED5oMrpzhAq+0cOqOD/LdWbcSBs8bUMteIR8phU0IfSZlL5q&#10;0Go/cz0SZ19usDqwHGppBj3yuO3kTRTF0uqW+KHRPa4brA7bo1XwfHi3Mnn5jMuPeL9+fF28jcuH&#10;VKnLi+n+DkTAKfyV4Ref0aFgptIdyXjRKUiXXGR7kYLgOLmNQZQK5vMIZJHL//jFDwAAAP//AwBQ&#10;SwECLQAUAAYACAAAACEAtoM4kv4AAADhAQAAEwAAAAAAAAAAAAAAAAAAAAAAW0NvbnRlbnRfVHlw&#10;ZXNdLnhtbFBLAQItABQABgAIAAAAIQA4/SH/1gAAAJQBAAALAAAAAAAAAAAAAAAAAC8BAABfcmVs&#10;cy8ucmVsc1BLAQItABQABgAIAAAAIQDw3wV8LAIAAEsEAAAOAAAAAAAAAAAAAAAAAC4CAABkcnMv&#10;ZTJvRG9jLnhtbFBLAQItABQABgAIAAAAIQAVdM/k3QAAAAYBAAAPAAAAAAAAAAAAAAAAAIYEAABk&#10;cnMvZG93bnJldi54bWxQSwUGAAAAAAQABADzAAAAkAUAAAAA&#10;" strokecolor="windowText" strokeweight="2pt">
                      <v:stroke endarrow="open"/>
                      <v:shadow on="t" color="black" opacity="24903f" origin=",.5" offset="0,.55556mm"/>
                    </v:shape>
                  </w:pict>
                </mc:Fallback>
              </mc:AlternateContent>
            </w:r>
          </w:p>
          <w:p w14:paraId="021B87BA" w14:textId="77777777" w:rsidR="004F515B" w:rsidRPr="00623D44" w:rsidRDefault="004F515B" w:rsidP="00623D44">
            <w:pPr>
              <w:rPr>
                <w:rFonts w:cs="Arial"/>
                <w:color w:val="00B050"/>
                <w:szCs w:val="24"/>
                <w:highlight w:val="red"/>
              </w:rPr>
            </w:pPr>
          </w:p>
        </w:tc>
      </w:tr>
    </w:tbl>
    <w:p w14:paraId="32EE8F22" w14:textId="77777777" w:rsidR="004405B2" w:rsidRPr="00623D44" w:rsidRDefault="004405B2" w:rsidP="00623D44">
      <w:pPr>
        <w:rPr>
          <w:rFonts w:cs="Arial"/>
          <w:szCs w:val="24"/>
        </w:rPr>
      </w:pPr>
    </w:p>
    <w:p w14:paraId="04F5D89B" w14:textId="77777777" w:rsidR="00F82F46" w:rsidRPr="00623D44" w:rsidRDefault="00F82F46" w:rsidP="00623D44">
      <w:pPr>
        <w:pStyle w:val="ListParagraph"/>
        <w:numPr>
          <w:ilvl w:val="0"/>
          <w:numId w:val="27"/>
        </w:numPr>
        <w:rPr>
          <w:rFonts w:cs="Arial"/>
          <w:szCs w:val="24"/>
        </w:rPr>
      </w:pPr>
      <w:r w:rsidRPr="00623D44">
        <w:rPr>
          <w:rFonts w:cs="Arial"/>
          <w:szCs w:val="24"/>
        </w:rPr>
        <w:t xml:space="preserve">The new telephony SLA measuring weekly performance with enhanced reporting was implemented, and performance in January 2018 indicates 100% compliance was achieved against both 12a customer contact (ill health / bereavement) and 12b customer contact (general calls) elements of the SLA.  </w:t>
      </w:r>
    </w:p>
    <w:p w14:paraId="66837033" w14:textId="77777777" w:rsidR="00F82F46" w:rsidRPr="00623D44" w:rsidRDefault="00F82F46" w:rsidP="00623D44">
      <w:pPr>
        <w:pStyle w:val="ListParagraph"/>
        <w:rPr>
          <w:rFonts w:cs="Arial"/>
          <w:szCs w:val="24"/>
        </w:rPr>
      </w:pPr>
    </w:p>
    <w:p w14:paraId="5B742FB7" w14:textId="77777777" w:rsidR="00F82F46" w:rsidRPr="00623D44" w:rsidRDefault="007B31E7" w:rsidP="00623D44">
      <w:pPr>
        <w:pStyle w:val="ListParagraph"/>
        <w:numPr>
          <w:ilvl w:val="0"/>
          <w:numId w:val="27"/>
        </w:numPr>
        <w:rPr>
          <w:rFonts w:cs="Arial"/>
          <w:szCs w:val="24"/>
        </w:rPr>
      </w:pPr>
      <w:r>
        <w:rPr>
          <w:rFonts w:cs="Arial"/>
          <w:szCs w:val="24"/>
        </w:rPr>
        <w:t>Performance against t</w:t>
      </w:r>
      <w:r w:rsidR="00F82F46" w:rsidRPr="00623D44">
        <w:rPr>
          <w:rFonts w:cs="Arial"/>
          <w:szCs w:val="24"/>
        </w:rPr>
        <w:t xml:space="preserve">he third element, 12c (emails) has </w:t>
      </w:r>
      <w:r>
        <w:rPr>
          <w:rFonts w:cs="Arial"/>
          <w:szCs w:val="24"/>
        </w:rPr>
        <w:t xml:space="preserve">not been as good but this is largely due to </w:t>
      </w:r>
      <w:r w:rsidR="000534BE">
        <w:rPr>
          <w:rFonts w:cs="Arial"/>
          <w:szCs w:val="24"/>
        </w:rPr>
        <w:t xml:space="preserve">the impact from </w:t>
      </w:r>
      <w:r w:rsidR="00F82F46" w:rsidRPr="00623D44">
        <w:rPr>
          <w:rFonts w:cs="Arial"/>
          <w:szCs w:val="24"/>
        </w:rPr>
        <w:t>aged cases from KPI</w:t>
      </w:r>
      <w:r w:rsidR="006001AD">
        <w:rPr>
          <w:rFonts w:cs="Arial"/>
          <w:szCs w:val="24"/>
        </w:rPr>
        <w:t xml:space="preserve"> </w:t>
      </w:r>
      <w:r w:rsidR="00F82F46" w:rsidRPr="00623D44">
        <w:rPr>
          <w:rFonts w:cs="Arial"/>
          <w:szCs w:val="24"/>
        </w:rPr>
        <w:t xml:space="preserve">2 that were moved into this SLA.  Elements of case work in relation to e-mail contact from members were removed from </w:t>
      </w:r>
      <w:r w:rsidR="00FD002C" w:rsidRPr="00623D44">
        <w:rPr>
          <w:rFonts w:cs="Arial"/>
          <w:szCs w:val="24"/>
        </w:rPr>
        <w:t>KPI</w:t>
      </w:r>
      <w:r w:rsidR="00DF6E69">
        <w:rPr>
          <w:rFonts w:cs="Arial"/>
          <w:szCs w:val="24"/>
        </w:rPr>
        <w:t xml:space="preserve"> </w:t>
      </w:r>
      <w:r w:rsidR="00FD002C" w:rsidRPr="00623D44">
        <w:rPr>
          <w:rFonts w:cs="Arial"/>
          <w:szCs w:val="24"/>
        </w:rPr>
        <w:t xml:space="preserve">2 Correspondence </w:t>
      </w:r>
      <w:r w:rsidR="00F82F46" w:rsidRPr="00623D44">
        <w:rPr>
          <w:rFonts w:cs="Arial"/>
          <w:szCs w:val="24"/>
        </w:rPr>
        <w:t>and re-assigned to the new SLA 12c</w:t>
      </w:r>
      <w:r w:rsidR="000534BE">
        <w:rPr>
          <w:rFonts w:cs="Arial"/>
          <w:szCs w:val="24"/>
        </w:rPr>
        <w:t xml:space="preserve"> - </w:t>
      </w:r>
      <w:r w:rsidR="00F82F46" w:rsidRPr="00623D44">
        <w:rPr>
          <w:rFonts w:cs="Arial"/>
          <w:szCs w:val="24"/>
        </w:rPr>
        <w:t xml:space="preserve">includes areas such as Transfers, Benefits (Retirements), Elections and Ill-health.  </w:t>
      </w:r>
    </w:p>
    <w:p w14:paraId="13575B7F" w14:textId="77777777" w:rsidR="00F82F46" w:rsidRPr="00623D44" w:rsidRDefault="00F82F46" w:rsidP="00623D44">
      <w:pPr>
        <w:pStyle w:val="ListParagraph"/>
        <w:rPr>
          <w:rFonts w:cs="Arial"/>
          <w:szCs w:val="24"/>
        </w:rPr>
      </w:pPr>
    </w:p>
    <w:p w14:paraId="195DCCB7" w14:textId="77777777" w:rsidR="000534BE" w:rsidRDefault="000534BE" w:rsidP="000534BE">
      <w:pPr>
        <w:pStyle w:val="ListParagraph"/>
        <w:numPr>
          <w:ilvl w:val="0"/>
          <w:numId w:val="27"/>
        </w:numPr>
        <w:rPr>
          <w:rFonts w:cs="Arial"/>
          <w:szCs w:val="24"/>
        </w:rPr>
      </w:pPr>
      <w:r w:rsidRPr="00623D44">
        <w:rPr>
          <w:rFonts w:cs="Arial"/>
          <w:szCs w:val="24"/>
        </w:rPr>
        <w:t>Recovery plans are in place for</w:t>
      </w:r>
      <w:r>
        <w:rPr>
          <w:rFonts w:cs="Arial"/>
          <w:szCs w:val="24"/>
        </w:rPr>
        <w:t xml:space="preserve"> aged cases within</w:t>
      </w:r>
      <w:r w:rsidRPr="00623D44">
        <w:rPr>
          <w:rFonts w:cs="Arial"/>
          <w:szCs w:val="24"/>
        </w:rPr>
        <w:t xml:space="preserve"> SLA3, SLA4 and KPI</w:t>
      </w:r>
      <w:r w:rsidR="006001AD">
        <w:rPr>
          <w:rFonts w:cs="Arial"/>
          <w:szCs w:val="24"/>
        </w:rPr>
        <w:t xml:space="preserve"> </w:t>
      </w:r>
      <w:r w:rsidRPr="00623D44">
        <w:rPr>
          <w:rFonts w:cs="Arial"/>
          <w:szCs w:val="24"/>
        </w:rPr>
        <w:t xml:space="preserve">2.  Work commenced in November 2017 with scheduled completion for the end of April 2018.  </w:t>
      </w:r>
      <w:r>
        <w:rPr>
          <w:rFonts w:cs="Arial"/>
          <w:szCs w:val="24"/>
        </w:rPr>
        <w:t>W</w:t>
      </w:r>
      <w:r w:rsidRPr="00623D44">
        <w:rPr>
          <w:rFonts w:cs="Arial"/>
          <w:szCs w:val="24"/>
        </w:rPr>
        <w:t xml:space="preserve">hilst </w:t>
      </w:r>
      <w:r>
        <w:rPr>
          <w:rFonts w:cs="Arial"/>
          <w:szCs w:val="24"/>
        </w:rPr>
        <w:t xml:space="preserve">these </w:t>
      </w:r>
      <w:r w:rsidRPr="00623D44">
        <w:rPr>
          <w:rFonts w:cs="Arial"/>
          <w:szCs w:val="24"/>
        </w:rPr>
        <w:t xml:space="preserve">recovery plans are </w:t>
      </w:r>
      <w:r>
        <w:rPr>
          <w:rFonts w:cs="Arial"/>
          <w:szCs w:val="24"/>
        </w:rPr>
        <w:t xml:space="preserve">being </w:t>
      </w:r>
      <w:r w:rsidRPr="00623D44">
        <w:rPr>
          <w:rFonts w:cs="Arial"/>
          <w:szCs w:val="24"/>
        </w:rPr>
        <w:t>worked through</w:t>
      </w:r>
      <w:r>
        <w:rPr>
          <w:rFonts w:cs="Arial"/>
          <w:szCs w:val="24"/>
        </w:rPr>
        <w:t xml:space="preserve"> </w:t>
      </w:r>
      <w:r w:rsidR="00A52AD9">
        <w:rPr>
          <w:rFonts w:cs="Arial"/>
          <w:szCs w:val="24"/>
        </w:rPr>
        <w:t>achievement</w:t>
      </w:r>
      <w:r>
        <w:rPr>
          <w:rFonts w:cs="Arial"/>
          <w:szCs w:val="24"/>
        </w:rPr>
        <w:t xml:space="preserve"> against the SLAs and KPI w</w:t>
      </w:r>
      <w:r w:rsidRPr="00623D44">
        <w:rPr>
          <w:rFonts w:cs="Arial"/>
          <w:szCs w:val="24"/>
        </w:rPr>
        <w:t>ill continu</w:t>
      </w:r>
      <w:r>
        <w:rPr>
          <w:rFonts w:cs="Arial"/>
          <w:szCs w:val="24"/>
        </w:rPr>
        <w:t>e</w:t>
      </w:r>
      <w:r w:rsidR="006001AD">
        <w:rPr>
          <w:rFonts w:cs="Arial"/>
          <w:szCs w:val="24"/>
        </w:rPr>
        <w:t xml:space="preserve"> to</w:t>
      </w:r>
      <w:r>
        <w:rPr>
          <w:rFonts w:cs="Arial"/>
          <w:szCs w:val="24"/>
        </w:rPr>
        <w:t xml:space="preserve"> look </w:t>
      </w:r>
      <w:r w:rsidRPr="00623D44">
        <w:rPr>
          <w:rFonts w:cs="Arial"/>
          <w:szCs w:val="24"/>
        </w:rPr>
        <w:t>low</w:t>
      </w:r>
      <w:r>
        <w:rPr>
          <w:rFonts w:cs="Arial"/>
          <w:szCs w:val="24"/>
        </w:rPr>
        <w:t>.  Progress against those re</w:t>
      </w:r>
      <w:r w:rsidRPr="00623D44">
        <w:rPr>
          <w:rFonts w:cs="Arial"/>
          <w:szCs w:val="24"/>
        </w:rPr>
        <w:t>covery plan</w:t>
      </w:r>
      <w:r>
        <w:rPr>
          <w:rFonts w:cs="Arial"/>
          <w:szCs w:val="24"/>
        </w:rPr>
        <w:t xml:space="preserve">s </w:t>
      </w:r>
      <w:r w:rsidRPr="00623D44">
        <w:rPr>
          <w:rFonts w:cs="Arial"/>
          <w:szCs w:val="24"/>
        </w:rPr>
        <w:t xml:space="preserve">is reported in the Service Delivery Report with monitoring and issues notified via the Operations Service Delivery Group. </w:t>
      </w:r>
    </w:p>
    <w:p w14:paraId="3E833716" w14:textId="77777777" w:rsidR="000534BE" w:rsidRPr="000534BE" w:rsidRDefault="000534BE" w:rsidP="00AE5264">
      <w:pPr>
        <w:pStyle w:val="ListParagraph"/>
        <w:rPr>
          <w:rFonts w:cs="Arial"/>
          <w:szCs w:val="24"/>
        </w:rPr>
      </w:pPr>
    </w:p>
    <w:p w14:paraId="4AE52015" w14:textId="77777777" w:rsidR="001A7A25" w:rsidRDefault="001A7A25" w:rsidP="001A7A25">
      <w:pPr>
        <w:pStyle w:val="ListParagraph"/>
        <w:numPr>
          <w:ilvl w:val="0"/>
          <w:numId w:val="27"/>
        </w:numPr>
        <w:rPr>
          <w:rFonts w:cs="Arial"/>
          <w:szCs w:val="24"/>
        </w:rPr>
      </w:pPr>
      <w:r w:rsidRPr="00623D44">
        <w:rPr>
          <w:rFonts w:cs="Arial"/>
          <w:szCs w:val="24"/>
        </w:rPr>
        <w:t xml:space="preserve">DfE continue to challenge TP and Service Delivery Group discussions have referenced improvements in all Ops SLAs with the exception of SLA4b &amp; 4c.  </w:t>
      </w:r>
      <w:r w:rsidR="00444EF5" w:rsidRPr="00623D44">
        <w:rPr>
          <w:rFonts w:cs="Arial"/>
          <w:szCs w:val="24"/>
        </w:rPr>
        <w:t xml:space="preserve"> (continuing entitlement) &amp; SLA4c Death Benefit Payments</w:t>
      </w:r>
      <w:r w:rsidR="004F515B" w:rsidRPr="00623D44">
        <w:rPr>
          <w:rFonts w:cs="Arial"/>
          <w:szCs w:val="24"/>
        </w:rPr>
        <w:t xml:space="preserve"> </w:t>
      </w:r>
      <w:r w:rsidR="00444EF5" w:rsidRPr="00623D44">
        <w:rPr>
          <w:rFonts w:cs="Arial"/>
          <w:szCs w:val="24"/>
        </w:rPr>
        <w:t>(no continuing entitlement)</w:t>
      </w:r>
      <w:r>
        <w:rPr>
          <w:rFonts w:cs="Arial"/>
          <w:szCs w:val="24"/>
        </w:rPr>
        <w:t>.</w:t>
      </w:r>
    </w:p>
    <w:p w14:paraId="530C9E58" w14:textId="77777777" w:rsidR="00AE6798" w:rsidRPr="00AE6798" w:rsidRDefault="00AE6798" w:rsidP="00AE6798">
      <w:pPr>
        <w:rPr>
          <w:rFonts w:cs="Arial"/>
          <w:szCs w:val="24"/>
        </w:rPr>
      </w:pPr>
    </w:p>
    <w:p w14:paraId="26237235" w14:textId="77777777" w:rsidR="001A7A25" w:rsidRDefault="001A7A25" w:rsidP="00623D44">
      <w:pPr>
        <w:pStyle w:val="ListParagraph"/>
        <w:numPr>
          <w:ilvl w:val="0"/>
          <w:numId w:val="27"/>
        </w:numPr>
        <w:rPr>
          <w:rFonts w:cs="Arial"/>
          <w:szCs w:val="24"/>
        </w:rPr>
      </w:pPr>
      <w:r>
        <w:rPr>
          <w:rFonts w:cs="Arial"/>
          <w:szCs w:val="24"/>
        </w:rPr>
        <w:t xml:space="preserve">Progress is being made against the </w:t>
      </w:r>
      <w:r w:rsidR="0097263E" w:rsidRPr="00623D44">
        <w:rPr>
          <w:rFonts w:cs="Arial"/>
          <w:szCs w:val="24"/>
        </w:rPr>
        <w:t>recovery plans</w:t>
      </w:r>
      <w:r>
        <w:rPr>
          <w:rFonts w:cs="Arial"/>
          <w:szCs w:val="24"/>
        </w:rPr>
        <w:t xml:space="preserve">, which are on target to address the issues by April.  DfE consider these are delivering </w:t>
      </w:r>
      <w:r w:rsidR="00065019" w:rsidRPr="00623D44">
        <w:rPr>
          <w:rFonts w:cs="Arial"/>
          <w:szCs w:val="24"/>
        </w:rPr>
        <w:t>the</w:t>
      </w:r>
      <w:r w:rsidR="00C2790A" w:rsidRPr="00623D44">
        <w:rPr>
          <w:rFonts w:cs="Arial"/>
          <w:szCs w:val="24"/>
        </w:rPr>
        <w:t xml:space="preserve"> </w:t>
      </w:r>
      <w:r w:rsidR="00065019" w:rsidRPr="00623D44">
        <w:rPr>
          <w:rFonts w:cs="Arial"/>
          <w:szCs w:val="24"/>
        </w:rPr>
        <w:t xml:space="preserve">best solution available and </w:t>
      </w:r>
      <w:r w:rsidR="0097263E" w:rsidRPr="00623D44">
        <w:rPr>
          <w:rFonts w:cs="Arial"/>
          <w:szCs w:val="24"/>
        </w:rPr>
        <w:t xml:space="preserve">are receiving </w:t>
      </w:r>
      <w:r w:rsidR="004F515B" w:rsidRPr="00623D44">
        <w:rPr>
          <w:rFonts w:cs="Arial"/>
          <w:szCs w:val="24"/>
        </w:rPr>
        <w:t xml:space="preserve">monthly reporting </w:t>
      </w:r>
      <w:r w:rsidR="00065019" w:rsidRPr="00623D44">
        <w:rPr>
          <w:rFonts w:cs="Arial"/>
          <w:szCs w:val="24"/>
        </w:rPr>
        <w:t>against the plan</w:t>
      </w:r>
      <w:r w:rsidR="0097263E" w:rsidRPr="00623D44">
        <w:rPr>
          <w:rFonts w:cs="Arial"/>
          <w:szCs w:val="24"/>
        </w:rPr>
        <w:t>s</w:t>
      </w:r>
      <w:r w:rsidR="00065019" w:rsidRPr="00623D44">
        <w:rPr>
          <w:rFonts w:cs="Arial"/>
          <w:szCs w:val="24"/>
        </w:rPr>
        <w:t xml:space="preserve"> </w:t>
      </w:r>
      <w:r w:rsidR="004F515B" w:rsidRPr="00623D44">
        <w:rPr>
          <w:rFonts w:cs="Arial"/>
          <w:szCs w:val="24"/>
        </w:rPr>
        <w:t>via the Service Delivery Report</w:t>
      </w:r>
      <w:r w:rsidR="00065019" w:rsidRPr="00623D44">
        <w:rPr>
          <w:rFonts w:cs="Arial"/>
          <w:szCs w:val="24"/>
        </w:rPr>
        <w:t>, to enable close</w:t>
      </w:r>
      <w:r w:rsidR="004F515B" w:rsidRPr="00623D44">
        <w:rPr>
          <w:rFonts w:cs="Arial"/>
          <w:szCs w:val="24"/>
        </w:rPr>
        <w:t xml:space="preserve"> monitor</w:t>
      </w:r>
      <w:r w:rsidR="006001AD">
        <w:rPr>
          <w:rFonts w:cs="Arial"/>
          <w:szCs w:val="24"/>
        </w:rPr>
        <w:t>ing</w:t>
      </w:r>
      <w:r w:rsidR="00065019" w:rsidRPr="00623D44">
        <w:rPr>
          <w:rFonts w:cs="Arial"/>
          <w:szCs w:val="24"/>
        </w:rPr>
        <w:t xml:space="preserve"> of progress i</w:t>
      </w:r>
      <w:r w:rsidR="004F515B" w:rsidRPr="00623D44">
        <w:rPr>
          <w:rFonts w:cs="Arial"/>
          <w:szCs w:val="24"/>
        </w:rPr>
        <w:t xml:space="preserve">n the monthly Operations </w:t>
      </w:r>
      <w:r w:rsidR="0097263E" w:rsidRPr="00623D44">
        <w:rPr>
          <w:rFonts w:cs="Arial"/>
          <w:szCs w:val="24"/>
        </w:rPr>
        <w:t>Service Delivery Group</w:t>
      </w:r>
      <w:r w:rsidR="00065019" w:rsidRPr="00623D44">
        <w:rPr>
          <w:rFonts w:cs="Arial"/>
          <w:szCs w:val="24"/>
        </w:rPr>
        <w:t xml:space="preserve"> and</w:t>
      </w:r>
      <w:r w:rsidR="004F515B" w:rsidRPr="00623D44">
        <w:rPr>
          <w:rFonts w:cs="Arial"/>
          <w:szCs w:val="24"/>
        </w:rPr>
        <w:t xml:space="preserve"> </w:t>
      </w:r>
      <w:r w:rsidR="00F90B86" w:rsidRPr="00623D44">
        <w:rPr>
          <w:rFonts w:cs="Arial"/>
          <w:szCs w:val="24"/>
        </w:rPr>
        <w:t>v</w:t>
      </w:r>
      <w:r w:rsidR="004F515B" w:rsidRPr="00623D44">
        <w:rPr>
          <w:rFonts w:cs="Arial"/>
          <w:szCs w:val="24"/>
        </w:rPr>
        <w:t>ia the Service Delivery Board.</w:t>
      </w:r>
    </w:p>
    <w:p w14:paraId="38E125BC" w14:textId="77777777" w:rsidR="001A7A25" w:rsidRDefault="001A7A25" w:rsidP="00AE5264">
      <w:pPr>
        <w:pStyle w:val="ListParagraph"/>
        <w:rPr>
          <w:rFonts w:cs="Arial"/>
          <w:szCs w:val="24"/>
        </w:rPr>
      </w:pPr>
    </w:p>
    <w:p w14:paraId="307165E7" w14:textId="77777777" w:rsidR="001A7A25" w:rsidRPr="00623D44" w:rsidRDefault="001A7A25" w:rsidP="001A7A25">
      <w:pPr>
        <w:pStyle w:val="ListParagraph"/>
        <w:numPr>
          <w:ilvl w:val="0"/>
          <w:numId w:val="27"/>
        </w:numPr>
        <w:rPr>
          <w:rFonts w:cs="Arial"/>
          <w:szCs w:val="24"/>
        </w:rPr>
      </w:pPr>
      <w:r>
        <w:rPr>
          <w:rFonts w:cs="Arial"/>
          <w:szCs w:val="24"/>
        </w:rPr>
        <w:t>TP and DfE continue to monitor the flow of new work against current resources.  Work is underway to determine what impact increased member numbers</w:t>
      </w:r>
      <w:r w:rsidR="006001AD">
        <w:rPr>
          <w:rFonts w:cs="Arial"/>
          <w:szCs w:val="24"/>
        </w:rPr>
        <w:t xml:space="preserve"> is having</w:t>
      </w:r>
      <w:r>
        <w:rPr>
          <w:rFonts w:cs="Arial"/>
          <w:szCs w:val="24"/>
        </w:rPr>
        <w:t xml:space="preserve"> and whether there is a case for increased resources as a result, issues TP.1.037 </w:t>
      </w:r>
      <w:r w:rsidR="00A52AD9">
        <w:rPr>
          <w:rFonts w:cs="Arial"/>
          <w:szCs w:val="24"/>
        </w:rPr>
        <w:t>and</w:t>
      </w:r>
      <w:r>
        <w:rPr>
          <w:rFonts w:cs="Arial"/>
          <w:szCs w:val="24"/>
        </w:rPr>
        <w:t xml:space="preserve"> TP.1.038 refer.</w:t>
      </w:r>
    </w:p>
    <w:p w14:paraId="095F2923" w14:textId="77777777" w:rsidR="00A5494C" w:rsidRPr="00623D44" w:rsidRDefault="00A5494C" w:rsidP="00AE5264">
      <w:pPr>
        <w:ind w:left="360"/>
        <w:rPr>
          <w:rFonts w:cs="Arial"/>
          <w:szCs w:val="24"/>
        </w:rPr>
      </w:pPr>
    </w:p>
    <w:p w14:paraId="22B9CB81" w14:textId="77777777" w:rsidR="00A5494C" w:rsidRPr="00623D44" w:rsidRDefault="00A5494C" w:rsidP="00623D44">
      <w:pPr>
        <w:pStyle w:val="ListParagraph"/>
        <w:numPr>
          <w:ilvl w:val="0"/>
          <w:numId w:val="27"/>
        </w:numPr>
        <w:rPr>
          <w:rFonts w:cs="Arial"/>
          <w:szCs w:val="24"/>
        </w:rPr>
      </w:pPr>
      <w:r w:rsidRPr="00623D44">
        <w:rPr>
          <w:rFonts w:cs="Arial"/>
          <w:szCs w:val="24"/>
        </w:rPr>
        <w:t xml:space="preserve">tPR have been </w:t>
      </w:r>
      <w:r w:rsidR="00CF114B" w:rsidRPr="00623D44">
        <w:rPr>
          <w:rFonts w:cs="Arial"/>
          <w:szCs w:val="24"/>
        </w:rPr>
        <w:t>made aware</w:t>
      </w:r>
      <w:r w:rsidRPr="00623D44">
        <w:rPr>
          <w:rFonts w:cs="Arial"/>
          <w:szCs w:val="24"/>
        </w:rPr>
        <w:t xml:space="preserve"> of the backlog case work in SLA4 Death Benefits, however, at this time, there is no evidence of any material significant breaches therefore a </w:t>
      </w:r>
      <w:r w:rsidR="003D68C1">
        <w:rPr>
          <w:rFonts w:cs="Arial"/>
          <w:szCs w:val="24"/>
        </w:rPr>
        <w:t xml:space="preserve">formal </w:t>
      </w:r>
      <w:r w:rsidRPr="00623D44">
        <w:rPr>
          <w:rFonts w:cs="Arial"/>
          <w:szCs w:val="24"/>
        </w:rPr>
        <w:t xml:space="preserve">tPR referral is not </w:t>
      </w:r>
      <w:r w:rsidR="003D68C1">
        <w:rPr>
          <w:rFonts w:cs="Arial"/>
          <w:szCs w:val="24"/>
        </w:rPr>
        <w:t>appropriate</w:t>
      </w:r>
      <w:r w:rsidRPr="00623D44">
        <w:rPr>
          <w:rFonts w:cs="Arial"/>
          <w:szCs w:val="24"/>
        </w:rPr>
        <w:t xml:space="preserve">.  This is being monitored by DfE and </w:t>
      </w:r>
      <w:r w:rsidR="00031995" w:rsidRPr="00623D44">
        <w:rPr>
          <w:rFonts w:cs="Arial"/>
          <w:szCs w:val="24"/>
        </w:rPr>
        <w:t>TP</w:t>
      </w:r>
      <w:r w:rsidR="003D68C1">
        <w:rPr>
          <w:rFonts w:cs="Arial"/>
          <w:szCs w:val="24"/>
        </w:rPr>
        <w:t xml:space="preserve"> to ensure prompt action is taken if there is </w:t>
      </w:r>
      <w:r w:rsidRPr="00623D44">
        <w:rPr>
          <w:rFonts w:cs="Arial"/>
          <w:szCs w:val="24"/>
        </w:rPr>
        <w:t xml:space="preserve">any change </w:t>
      </w:r>
      <w:r w:rsidR="003D68C1">
        <w:rPr>
          <w:rFonts w:cs="Arial"/>
          <w:szCs w:val="24"/>
        </w:rPr>
        <w:t>in this situation</w:t>
      </w:r>
      <w:r w:rsidRPr="00623D44">
        <w:rPr>
          <w:rFonts w:cs="Arial"/>
          <w:szCs w:val="24"/>
        </w:rPr>
        <w:t>.</w:t>
      </w:r>
    </w:p>
    <w:p w14:paraId="4CC0D8A6" w14:textId="77777777" w:rsidR="00842628" w:rsidRPr="00623D44" w:rsidRDefault="00842628" w:rsidP="00623D44">
      <w:pPr>
        <w:pStyle w:val="ListParagraph"/>
        <w:rPr>
          <w:rFonts w:cs="Arial"/>
          <w:szCs w:val="24"/>
        </w:rPr>
      </w:pPr>
    </w:p>
    <w:p w14:paraId="1D442868" w14:textId="77777777" w:rsidR="00842628" w:rsidRPr="00623D44" w:rsidRDefault="00842628" w:rsidP="00623D44">
      <w:pPr>
        <w:pStyle w:val="ListParagraph"/>
        <w:numPr>
          <w:ilvl w:val="0"/>
          <w:numId w:val="27"/>
        </w:numPr>
        <w:rPr>
          <w:rFonts w:cs="Arial"/>
          <w:szCs w:val="24"/>
        </w:rPr>
      </w:pPr>
      <w:r w:rsidRPr="00623D44">
        <w:rPr>
          <w:rFonts w:cs="Arial"/>
          <w:szCs w:val="24"/>
        </w:rPr>
        <w:t xml:space="preserve">Complaints awaiting response, outside of SLA, have reduced by 55% in comparison with December month end. This will continue to decrease further now the </w:t>
      </w:r>
      <w:r w:rsidR="003D68C1">
        <w:rPr>
          <w:rFonts w:cs="Arial"/>
          <w:szCs w:val="24"/>
        </w:rPr>
        <w:t xml:space="preserve">problems with telephony and the </w:t>
      </w:r>
      <w:r w:rsidR="00A52AD9">
        <w:rPr>
          <w:rFonts w:cs="Arial"/>
          <w:szCs w:val="24"/>
        </w:rPr>
        <w:t>build-up</w:t>
      </w:r>
      <w:r w:rsidR="003D68C1">
        <w:rPr>
          <w:rFonts w:cs="Arial"/>
          <w:szCs w:val="24"/>
        </w:rPr>
        <w:t xml:space="preserve"> of case are being s</w:t>
      </w:r>
      <w:r w:rsidRPr="00623D44">
        <w:rPr>
          <w:rFonts w:cs="Arial"/>
          <w:szCs w:val="24"/>
        </w:rPr>
        <w:t>tabilised</w:t>
      </w:r>
      <w:r w:rsidR="003D68C1">
        <w:rPr>
          <w:rFonts w:cs="Arial"/>
          <w:szCs w:val="24"/>
        </w:rPr>
        <w:t xml:space="preserve"> and are no longer generating further complaints</w:t>
      </w:r>
      <w:r w:rsidRPr="00623D44">
        <w:rPr>
          <w:rFonts w:cs="Arial"/>
          <w:szCs w:val="24"/>
        </w:rPr>
        <w:t>. TP</w:t>
      </w:r>
      <w:r w:rsidR="003D68C1">
        <w:rPr>
          <w:rFonts w:cs="Arial"/>
          <w:szCs w:val="24"/>
        </w:rPr>
        <w:t>’s</w:t>
      </w:r>
      <w:r w:rsidRPr="00623D44">
        <w:rPr>
          <w:rFonts w:cs="Arial"/>
          <w:szCs w:val="24"/>
        </w:rPr>
        <w:t xml:space="preserve"> aspiration is to have no failed complaints carried over into March at February month end and they are on track to deliver this. </w:t>
      </w:r>
    </w:p>
    <w:p w14:paraId="5ACED7ED" w14:textId="77777777" w:rsidR="00065019" w:rsidRPr="00B776CC" w:rsidRDefault="00065019" w:rsidP="00B776CC">
      <w:pPr>
        <w:pStyle w:val="ListParagraph"/>
        <w:rPr>
          <w:rFonts w:cs="Arial"/>
          <w:szCs w:val="24"/>
        </w:rPr>
      </w:pPr>
    </w:p>
    <w:p w14:paraId="4C3E7723" w14:textId="77777777" w:rsidR="00A5494C" w:rsidRDefault="00065019" w:rsidP="00623D44">
      <w:pPr>
        <w:pStyle w:val="ListParagraph"/>
        <w:numPr>
          <w:ilvl w:val="0"/>
          <w:numId w:val="27"/>
        </w:numPr>
        <w:rPr>
          <w:rFonts w:cs="Arial"/>
          <w:szCs w:val="24"/>
        </w:rPr>
      </w:pPr>
      <w:r w:rsidRPr="00623D44">
        <w:rPr>
          <w:rFonts w:cs="Arial"/>
          <w:szCs w:val="24"/>
        </w:rPr>
        <w:t>Overall, in this reporting period, service penalties amounted to £</w:t>
      </w:r>
      <w:r w:rsidR="00F82F46" w:rsidRPr="00623D44">
        <w:rPr>
          <w:rFonts w:cs="Arial"/>
          <w:szCs w:val="24"/>
        </w:rPr>
        <w:t>48,842.10</w:t>
      </w:r>
      <w:r w:rsidRPr="00623D44">
        <w:rPr>
          <w:rFonts w:cs="Arial"/>
          <w:szCs w:val="24"/>
        </w:rPr>
        <w:t xml:space="preserve">.  </w:t>
      </w:r>
    </w:p>
    <w:p w14:paraId="136D63F7" w14:textId="77777777" w:rsidR="008675F5" w:rsidRPr="008675F5" w:rsidRDefault="008675F5" w:rsidP="008675F5">
      <w:pPr>
        <w:pStyle w:val="ListParagraph"/>
        <w:rPr>
          <w:rFonts w:cs="Arial"/>
          <w:szCs w:val="24"/>
        </w:rPr>
      </w:pPr>
    </w:p>
    <w:tbl>
      <w:tblPr>
        <w:tblStyle w:val="TableGrid"/>
        <w:tblW w:w="0" w:type="auto"/>
        <w:tblInd w:w="108" w:type="dxa"/>
        <w:tblLook w:val="04A0" w:firstRow="1" w:lastRow="0" w:firstColumn="1" w:lastColumn="0" w:noHBand="0" w:noVBand="1"/>
      </w:tblPr>
      <w:tblGrid>
        <w:gridCol w:w="7230"/>
        <w:gridCol w:w="1134"/>
      </w:tblGrid>
      <w:tr w:rsidR="008675F5" w:rsidRPr="00623D44" w14:paraId="2D8BE570" w14:textId="77777777" w:rsidTr="006001AD">
        <w:tc>
          <w:tcPr>
            <w:tcW w:w="7230" w:type="dxa"/>
            <w:shd w:val="clear" w:color="auto" w:fill="auto"/>
          </w:tcPr>
          <w:p w14:paraId="66A0C3EF" w14:textId="77777777" w:rsidR="008675F5" w:rsidRPr="00623D44" w:rsidRDefault="008675F5" w:rsidP="006001AD">
            <w:pPr>
              <w:rPr>
                <w:rFonts w:cs="Arial"/>
                <w:b/>
                <w:szCs w:val="24"/>
              </w:rPr>
            </w:pPr>
            <w:r w:rsidRPr="00623D44">
              <w:rPr>
                <w:rFonts w:cs="Arial"/>
                <w:b/>
                <w:color w:val="000000"/>
                <w:szCs w:val="24"/>
                <w:lang w:eastAsia="en-GB"/>
              </w:rPr>
              <w:t>Customer Satisfaction</w:t>
            </w:r>
            <w:r w:rsidRPr="00623D44">
              <w:rPr>
                <w:rFonts w:cs="Arial"/>
                <w:b/>
                <w:szCs w:val="24"/>
              </w:rPr>
              <w:tab/>
            </w:r>
          </w:p>
          <w:p w14:paraId="4089936C" w14:textId="77777777" w:rsidR="008675F5" w:rsidRPr="00623D44" w:rsidRDefault="008675F5" w:rsidP="006001AD">
            <w:pPr>
              <w:rPr>
                <w:rFonts w:cs="Arial"/>
                <w:b/>
                <w:szCs w:val="24"/>
              </w:rPr>
            </w:pPr>
          </w:p>
        </w:tc>
        <w:tc>
          <w:tcPr>
            <w:tcW w:w="1134" w:type="dxa"/>
            <w:shd w:val="clear" w:color="auto" w:fill="00B050"/>
          </w:tcPr>
          <w:p w14:paraId="78E969C7" w14:textId="77777777" w:rsidR="008675F5" w:rsidRPr="00623D44" w:rsidRDefault="008675F5" w:rsidP="006001AD">
            <w:pPr>
              <w:rPr>
                <w:rFonts w:cs="Arial"/>
                <w:color w:val="FFC000"/>
                <w:szCs w:val="24"/>
              </w:rPr>
            </w:pPr>
            <w:r w:rsidRPr="00623D44">
              <w:rPr>
                <w:rFonts w:cs="Arial"/>
                <w:noProof/>
                <w:color w:val="00B050"/>
                <w:szCs w:val="24"/>
                <w:lang w:eastAsia="en-GB"/>
              </w:rPr>
              <mc:AlternateContent>
                <mc:Choice Requires="wps">
                  <w:drawing>
                    <wp:anchor distT="0" distB="0" distL="114300" distR="114300" simplePos="0" relativeHeight="251666944" behindDoc="0" locked="0" layoutInCell="1" allowOverlap="1" wp14:anchorId="7A07CF62" wp14:editId="18ABD099">
                      <wp:simplePos x="0" y="0"/>
                      <wp:positionH relativeFrom="column">
                        <wp:posOffset>87630</wp:posOffset>
                      </wp:positionH>
                      <wp:positionV relativeFrom="paragraph">
                        <wp:posOffset>175895</wp:posOffset>
                      </wp:positionV>
                      <wp:extent cx="350520" cy="0"/>
                      <wp:effectExtent l="0" t="76200" r="30480" b="152400"/>
                      <wp:wrapNone/>
                      <wp:docPr id="5" name="Straight Arrow Connector 5"/>
                      <wp:cNvGraphicFramePr/>
                      <a:graphic xmlns:a="http://schemas.openxmlformats.org/drawingml/2006/main">
                        <a:graphicData uri="http://schemas.microsoft.com/office/word/2010/wordprocessingShape">
                          <wps:wsp>
                            <wps:cNvCnPr/>
                            <wps:spPr>
                              <a:xfrm>
                                <a:off x="0" y="0"/>
                                <a:ext cx="35052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08AAE93" id="Straight Arrow Connector 5" o:spid="_x0000_s1026" type="#_x0000_t32" style="position:absolute;margin-left:6.9pt;margin-top:13.85pt;width:27.6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6vTHgIAADwEAAAOAAAAZHJzL2Uyb0RvYy54bWysU8GO0zAQvSPxD5bvNGmXolXVdIValguC&#10;ii7iPLWdxJJjW2O3af+esZNmC9wQOTgej2fmvTfj9dOlM+ysMGhnKz6flZwpK5zUtqn4j5fnd4+c&#10;hQhWgnFWVfyqAn/avH2z7v1KLVzrjFTIKIkNq95XvI3Rr4oiiFZ1EGbOK0vO2mEHkUxsConQU/bO&#10;FIuy/FD0DqVHJ1QIdLobnHyT89e1EvFbXQcVmak4YYt5xbwe01ps1rBqEHyrxQgD/gFFB9pS0SnV&#10;DiKwE+q/UnVaoAuujjPhusLVtRYqcyA28/IPNocWvMpcSJzgJ5nC/0srvp73yLSs+JIzCx216BAR&#10;dNNG9hHR9WzrrCUZHbJlUqv3YUVBW7vH0Qp+j4n6pcYu/YkUu2SFr5PC6hKZoMOHZblcUB/EzVW8&#10;xnkM8bNyHUubiocRxlR/ngWG85cQqTIF3gJSUeuetTG5m8ayvuKL5fsyFQIaqtpApG3niWawDWdg&#10;GppWETGnDM5omcJTonANW4PsDDQwNGfS9S8EnjMDIZKDGOUvSUEQfgtNeHYQ2iE4u4b5iqDNJytZ&#10;vHrSF5KsY7yxqabKg0q8snynqPDQyp4dzQm/A2EmJomL1EkXmvrBICyJY7bQxZ86tnlgkuiZCTbH&#10;iUq+N5yD8S0MGB8eU/RIZbieabkbhmzdwStS+4eGp93RyWueg3xOI5rvj88pvYF7m/b3j37zCwAA&#10;//8DAFBLAwQUAAYACAAAACEAInYgRNoAAAAHAQAADwAAAGRycy9kb3ducmV2LnhtbEyPy07DMBBF&#10;90j9B2sqsaMORSQQ4lS8pW4qEfgANx6S0Hgcxc6jfD2DWJTl0R3deybbzLYVI/a+caTgchWBQCqd&#10;aahS8PH+cnEDwgdNRreOUMERPWzyxVmmU+MmesOxCJXgEvKpVlCH0KVS+rJGq/3KdUicfbre6sDY&#10;V9L0euJy28p1FMXS6oZ4odYdPtZYHorBKvi2T/Rsx+vX4WuMt9Pu4RgdkkKp8+V8fwci4BxOx/Cr&#10;z+qQs9PeDWS8aJmv2DwoWCcJCM7jW35t/8cyz+R///wHAAD//wMAUEsBAi0AFAAGAAgAAAAhALaD&#10;OJL+AAAA4QEAABMAAAAAAAAAAAAAAAAAAAAAAFtDb250ZW50X1R5cGVzXS54bWxQSwECLQAUAAYA&#10;CAAAACEAOP0h/9YAAACUAQAACwAAAAAAAAAAAAAAAAAvAQAAX3JlbHMvLnJlbHNQSwECLQAUAAYA&#10;CAAAACEAGfOr0x4CAAA8BAAADgAAAAAAAAAAAAAAAAAuAgAAZHJzL2Uyb0RvYy54bWxQSwECLQAU&#10;AAYACAAAACEAInYgRNoAAAAHAQAADwAAAAAAAAAAAAAAAAB4BAAAZHJzL2Rvd25yZXYueG1sUEsF&#10;BgAAAAAEAAQA8wAAAH8FAAAAAA==&#10;" strokecolor="windowText" strokeweight="2pt">
                      <v:stroke endarrow="open"/>
                      <v:shadow on="t" color="black" opacity="24903f" origin=",.5" offset="0,.55556mm"/>
                    </v:shape>
                  </w:pict>
                </mc:Fallback>
              </mc:AlternateContent>
            </w:r>
          </w:p>
        </w:tc>
      </w:tr>
    </w:tbl>
    <w:p w14:paraId="6AEDD420" w14:textId="77777777" w:rsidR="008675F5" w:rsidRPr="008675F5" w:rsidRDefault="008675F5" w:rsidP="008675F5">
      <w:pPr>
        <w:rPr>
          <w:rFonts w:cs="Arial"/>
          <w:szCs w:val="24"/>
        </w:rPr>
      </w:pPr>
    </w:p>
    <w:p w14:paraId="40EFB2AE" w14:textId="77777777" w:rsidR="008F3481" w:rsidRPr="00623D44" w:rsidRDefault="00045CB0" w:rsidP="00623D44">
      <w:pPr>
        <w:pStyle w:val="ListParagraph"/>
        <w:numPr>
          <w:ilvl w:val="0"/>
          <w:numId w:val="27"/>
        </w:numPr>
        <w:rPr>
          <w:rFonts w:cs="Arial"/>
          <w:szCs w:val="24"/>
        </w:rPr>
      </w:pPr>
      <w:r w:rsidRPr="00623D44">
        <w:rPr>
          <w:rFonts w:cs="Arial"/>
          <w:szCs w:val="24"/>
        </w:rPr>
        <w:t xml:space="preserve">In the period, </w:t>
      </w:r>
      <w:r w:rsidR="00AB0566" w:rsidRPr="00623D44">
        <w:rPr>
          <w:rFonts w:cs="Arial"/>
          <w:szCs w:val="24"/>
        </w:rPr>
        <w:t>16,985</w:t>
      </w:r>
      <w:r w:rsidR="00A46F5F" w:rsidRPr="00623D44">
        <w:rPr>
          <w:rFonts w:cs="Arial"/>
          <w:szCs w:val="24"/>
        </w:rPr>
        <w:t xml:space="preserve"> </w:t>
      </w:r>
      <w:r w:rsidR="00451634" w:rsidRPr="00623D44">
        <w:rPr>
          <w:rFonts w:cs="Arial"/>
          <w:szCs w:val="24"/>
        </w:rPr>
        <w:t xml:space="preserve">items of feedback were received from members and </w:t>
      </w:r>
      <w:r w:rsidR="00AB0566" w:rsidRPr="00623D44">
        <w:rPr>
          <w:rFonts w:cs="Arial"/>
          <w:szCs w:val="24"/>
        </w:rPr>
        <w:t>360</w:t>
      </w:r>
      <w:r w:rsidR="00AE6052" w:rsidRPr="00623D44">
        <w:rPr>
          <w:rFonts w:cs="Arial"/>
          <w:szCs w:val="24"/>
        </w:rPr>
        <w:t xml:space="preserve"> items of feedback</w:t>
      </w:r>
      <w:r w:rsidR="008A4A43" w:rsidRPr="00623D44">
        <w:rPr>
          <w:rFonts w:cs="Arial"/>
          <w:szCs w:val="24"/>
        </w:rPr>
        <w:t xml:space="preserve"> </w:t>
      </w:r>
      <w:r w:rsidR="00AE6052" w:rsidRPr="00623D44">
        <w:rPr>
          <w:rFonts w:cs="Arial"/>
          <w:szCs w:val="24"/>
        </w:rPr>
        <w:t xml:space="preserve">were </w:t>
      </w:r>
      <w:r w:rsidR="00451634" w:rsidRPr="00623D44">
        <w:rPr>
          <w:rFonts w:cs="Arial"/>
          <w:szCs w:val="24"/>
        </w:rPr>
        <w:t>received from employers</w:t>
      </w:r>
      <w:r w:rsidR="00D9657C" w:rsidRPr="00623D44">
        <w:rPr>
          <w:rFonts w:cs="Arial"/>
          <w:szCs w:val="24"/>
        </w:rPr>
        <w:t>.  T</w:t>
      </w:r>
      <w:r w:rsidR="009A6007" w:rsidRPr="00623D44">
        <w:rPr>
          <w:rFonts w:cs="Arial"/>
          <w:szCs w:val="24"/>
        </w:rPr>
        <w:t xml:space="preserve">he poor achievement regarding OM6 reflects the problems </w:t>
      </w:r>
      <w:r w:rsidR="00046B86" w:rsidRPr="00623D44">
        <w:rPr>
          <w:rFonts w:cs="Arial"/>
          <w:szCs w:val="24"/>
        </w:rPr>
        <w:t>experienced</w:t>
      </w:r>
      <w:r w:rsidR="00C9710D">
        <w:rPr>
          <w:rFonts w:cs="Arial"/>
          <w:szCs w:val="24"/>
        </w:rPr>
        <w:t xml:space="preserve"> </w:t>
      </w:r>
      <w:r w:rsidR="00046B86" w:rsidRPr="00623D44">
        <w:rPr>
          <w:rFonts w:cs="Arial"/>
          <w:szCs w:val="24"/>
        </w:rPr>
        <w:t xml:space="preserve">by members </w:t>
      </w:r>
      <w:r w:rsidR="00C9710D">
        <w:rPr>
          <w:rFonts w:cs="Arial"/>
          <w:szCs w:val="24"/>
        </w:rPr>
        <w:t xml:space="preserve">who were trying to </w:t>
      </w:r>
      <w:r w:rsidR="00046B86" w:rsidRPr="00623D44">
        <w:rPr>
          <w:rFonts w:cs="Arial"/>
          <w:szCs w:val="24"/>
        </w:rPr>
        <w:t>ring Teachers’ Pensions</w:t>
      </w:r>
      <w:r w:rsidR="00C9710D">
        <w:rPr>
          <w:rFonts w:cs="Arial"/>
          <w:szCs w:val="24"/>
        </w:rPr>
        <w:t>.  As reported above those issues are being addressed and we expect the negative impact on this meas</w:t>
      </w:r>
      <w:r w:rsidR="006661DE">
        <w:rPr>
          <w:rFonts w:cs="Arial"/>
          <w:szCs w:val="24"/>
        </w:rPr>
        <w:t>u</w:t>
      </w:r>
      <w:r w:rsidR="00C9710D">
        <w:rPr>
          <w:rFonts w:cs="Arial"/>
          <w:szCs w:val="24"/>
        </w:rPr>
        <w:t xml:space="preserve">re will reduce </w:t>
      </w:r>
      <w:r w:rsidR="00A52AD9">
        <w:rPr>
          <w:rFonts w:cs="Arial"/>
          <w:szCs w:val="24"/>
        </w:rPr>
        <w:t>therefore</w:t>
      </w:r>
      <w:r w:rsidR="00A52AD9" w:rsidRPr="00623D44">
        <w:rPr>
          <w:rFonts w:cs="Arial"/>
          <w:szCs w:val="24"/>
        </w:rPr>
        <w:t>?</w:t>
      </w:r>
    </w:p>
    <w:p w14:paraId="46A69C25" w14:textId="77777777" w:rsidR="00585845" w:rsidRPr="00623D44" w:rsidRDefault="00451634" w:rsidP="00623D44">
      <w:pPr>
        <w:rPr>
          <w:rFonts w:cs="Arial"/>
          <w:szCs w:val="24"/>
        </w:rPr>
      </w:pPr>
      <w:r w:rsidRPr="00623D44">
        <w:rPr>
          <w:rFonts w:cs="Arial"/>
          <w:szCs w:val="24"/>
        </w:rPr>
        <w:t xml:space="preserve">  </w:t>
      </w:r>
    </w:p>
    <w:p w14:paraId="00C1169B" w14:textId="77777777" w:rsidR="008A4A43" w:rsidRPr="00623D44" w:rsidRDefault="00AE74DB" w:rsidP="00623D44">
      <w:pPr>
        <w:rPr>
          <w:rFonts w:cs="Arial"/>
          <w:b/>
          <w:szCs w:val="24"/>
        </w:rPr>
      </w:pPr>
      <w:r w:rsidRPr="00623D44">
        <w:rPr>
          <w:rFonts w:cs="Arial"/>
          <w:b/>
          <w:szCs w:val="24"/>
        </w:rPr>
        <w:t>A</w:t>
      </w:r>
      <w:r w:rsidR="00502302" w:rsidRPr="00623D44">
        <w:rPr>
          <w:rFonts w:cs="Arial"/>
          <w:b/>
          <w:szCs w:val="24"/>
        </w:rPr>
        <w:t xml:space="preserve">chievement against targets </w:t>
      </w:r>
      <w:r w:rsidR="00487061" w:rsidRPr="00623D44">
        <w:rPr>
          <w:rFonts w:cs="Arial"/>
          <w:b/>
          <w:szCs w:val="24"/>
        </w:rPr>
        <w:t>are detailed</w:t>
      </w:r>
      <w:r w:rsidR="0049732E" w:rsidRPr="00623D44">
        <w:rPr>
          <w:rFonts w:cs="Arial"/>
          <w:b/>
          <w:szCs w:val="24"/>
        </w:rPr>
        <w:t xml:space="preserve"> below:</w:t>
      </w:r>
    </w:p>
    <w:p w14:paraId="0A8CDFA6" w14:textId="77777777" w:rsidR="00502302" w:rsidRPr="00623D44" w:rsidRDefault="00502302" w:rsidP="00623D44">
      <w:pPr>
        <w:rPr>
          <w:rFonts w:cs="Arial"/>
          <w:szCs w:val="24"/>
        </w:rPr>
      </w:pPr>
    </w:p>
    <w:tbl>
      <w:tblPr>
        <w:tblStyle w:val="TableGrid"/>
        <w:tblW w:w="0" w:type="auto"/>
        <w:tblLook w:val="04A0" w:firstRow="1" w:lastRow="0" w:firstColumn="1" w:lastColumn="0" w:noHBand="0" w:noVBand="1"/>
      </w:tblPr>
      <w:tblGrid>
        <w:gridCol w:w="1257"/>
        <w:gridCol w:w="5114"/>
        <w:gridCol w:w="1710"/>
        <w:gridCol w:w="1024"/>
      </w:tblGrid>
      <w:tr w:rsidR="00EB4F1E" w:rsidRPr="00623D44" w14:paraId="0B46CF51" w14:textId="77777777" w:rsidTr="00C139E6">
        <w:tc>
          <w:tcPr>
            <w:tcW w:w="1257" w:type="dxa"/>
          </w:tcPr>
          <w:p w14:paraId="596CA4A4" w14:textId="77777777" w:rsidR="00EB4F1E" w:rsidRPr="00623D44" w:rsidRDefault="00EB4F1E" w:rsidP="00623D44">
            <w:pPr>
              <w:rPr>
                <w:rFonts w:cs="Arial"/>
                <w:b/>
                <w:szCs w:val="24"/>
              </w:rPr>
            </w:pPr>
            <w:r w:rsidRPr="00623D44">
              <w:rPr>
                <w:rFonts w:cs="Arial"/>
                <w:b/>
                <w:szCs w:val="24"/>
              </w:rPr>
              <w:t>Outcome Measure</w:t>
            </w:r>
          </w:p>
        </w:tc>
        <w:tc>
          <w:tcPr>
            <w:tcW w:w="5114" w:type="dxa"/>
          </w:tcPr>
          <w:p w14:paraId="37F51BE8" w14:textId="77777777" w:rsidR="00EB4F1E" w:rsidRPr="00623D44" w:rsidRDefault="00EB4F1E" w:rsidP="00623D44">
            <w:pPr>
              <w:rPr>
                <w:rFonts w:cs="Arial"/>
                <w:b/>
                <w:szCs w:val="24"/>
              </w:rPr>
            </w:pPr>
            <w:r w:rsidRPr="00623D44">
              <w:rPr>
                <w:rFonts w:cs="Arial"/>
                <w:b/>
                <w:szCs w:val="24"/>
              </w:rPr>
              <w:t>Description</w:t>
            </w:r>
          </w:p>
        </w:tc>
        <w:tc>
          <w:tcPr>
            <w:tcW w:w="1710" w:type="dxa"/>
          </w:tcPr>
          <w:p w14:paraId="513C59DD" w14:textId="77777777" w:rsidR="00EB4F1E" w:rsidRPr="00623D44" w:rsidRDefault="00044D7A" w:rsidP="00623D44">
            <w:pPr>
              <w:rPr>
                <w:rFonts w:cs="Arial"/>
                <w:b/>
                <w:szCs w:val="24"/>
                <w:highlight w:val="yellow"/>
              </w:rPr>
            </w:pPr>
            <w:r w:rsidRPr="00623D44">
              <w:rPr>
                <w:rFonts w:cs="Arial"/>
                <w:b/>
                <w:szCs w:val="24"/>
              </w:rPr>
              <w:t>Achievement Year 7</w:t>
            </w:r>
            <w:r w:rsidR="00EB4F1E" w:rsidRPr="00623D44">
              <w:rPr>
                <w:rFonts w:cs="Arial"/>
                <w:b/>
                <w:szCs w:val="24"/>
              </w:rPr>
              <w:t xml:space="preserve"> so far</w:t>
            </w:r>
          </w:p>
        </w:tc>
        <w:tc>
          <w:tcPr>
            <w:tcW w:w="1024" w:type="dxa"/>
          </w:tcPr>
          <w:p w14:paraId="1350512C" w14:textId="77777777" w:rsidR="00EB4F1E" w:rsidRPr="00623D44" w:rsidRDefault="00044D7A" w:rsidP="00623D44">
            <w:pPr>
              <w:rPr>
                <w:rFonts w:cs="Arial"/>
                <w:b/>
                <w:szCs w:val="24"/>
                <w:highlight w:val="yellow"/>
              </w:rPr>
            </w:pPr>
            <w:r w:rsidRPr="00623D44">
              <w:rPr>
                <w:rFonts w:cs="Arial"/>
                <w:b/>
                <w:szCs w:val="24"/>
              </w:rPr>
              <w:t>Year 7 t</w:t>
            </w:r>
            <w:r w:rsidR="00EB4F1E" w:rsidRPr="00623D44">
              <w:rPr>
                <w:rFonts w:cs="Arial"/>
                <w:b/>
                <w:szCs w:val="24"/>
              </w:rPr>
              <w:t>arget</w:t>
            </w:r>
          </w:p>
        </w:tc>
      </w:tr>
      <w:tr w:rsidR="00AB0566" w:rsidRPr="00623D44" w14:paraId="555518B6" w14:textId="77777777" w:rsidTr="00120A03">
        <w:tc>
          <w:tcPr>
            <w:tcW w:w="1257" w:type="dxa"/>
          </w:tcPr>
          <w:p w14:paraId="368C1118" w14:textId="77777777" w:rsidR="00AB0566" w:rsidRPr="00623D44" w:rsidRDefault="00AB0566" w:rsidP="00623D44">
            <w:pPr>
              <w:rPr>
                <w:rFonts w:cs="Arial"/>
                <w:szCs w:val="24"/>
              </w:rPr>
            </w:pPr>
            <w:r w:rsidRPr="00623D44">
              <w:rPr>
                <w:rFonts w:cs="Arial"/>
                <w:szCs w:val="24"/>
              </w:rPr>
              <w:t>5</w:t>
            </w:r>
          </w:p>
        </w:tc>
        <w:tc>
          <w:tcPr>
            <w:tcW w:w="5114" w:type="dxa"/>
          </w:tcPr>
          <w:p w14:paraId="3678A82D" w14:textId="77777777" w:rsidR="00AB0566" w:rsidRPr="00623D44" w:rsidRDefault="00AB0566" w:rsidP="00623D44">
            <w:pPr>
              <w:rPr>
                <w:rFonts w:cs="Arial"/>
                <w:szCs w:val="24"/>
              </w:rPr>
            </w:pPr>
            <w:r w:rsidRPr="00623D44">
              <w:rPr>
                <w:rFonts w:cs="Arial"/>
                <w:szCs w:val="24"/>
              </w:rPr>
              <w:t>Members regularly receive information about their pension and are satisfied with its quality</w:t>
            </w:r>
          </w:p>
        </w:tc>
        <w:tc>
          <w:tcPr>
            <w:tcW w:w="1710" w:type="dxa"/>
          </w:tcPr>
          <w:p w14:paraId="4DD893C0" w14:textId="77777777" w:rsidR="00AB0566" w:rsidRPr="00623D44" w:rsidRDefault="00AB0566" w:rsidP="00623D44">
            <w:pPr>
              <w:rPr>
                <w:rFonts w:cs="Arial"/>
                <w:szCs w:val="24"/>
              </w:rPr>
            </w:pPr>
            <w:r w:rsidRPr="00623D44">
              <w:rPr>
                <w:rFonts w:cs="Arial"/>
                <w:szCs w:val="24"/>
              </w:rPr>
              <w:t>71.86%</w:t>
            </w:r>
          </w:p>
        </w:tc>
        <w:tc>
          <w:tcPr>
            <w:tcW w:w="1024" w:type="dxa"/>
          </w:tcPr>
          <w:p w14:paraId="08A8F895" w14:textId="77777777" w:rsidR="00AB0566" w:rsidRPr="00623D44" w:rsidRDefault="00AB0566" w:rsidP="00623D44">
            <w:pPr>
              <w:rPr>
                <w:rFonts w:cs="Arial"/>
                <w:szCs w:val="24"/>
              </w:rPr>
            </w:pPr>
            <w:r w:rsidRPr="00623D44">
              <w:rPr>
                <w:rFonts w:cs="Arial"/>
                <w:szCs w:val="24"/>
              </w:rPr>
              <w:t>78%</w:t>
            </w:r>
          </w:p>
        </w:tc>
      </w:tr>
      <w:tr w:rsidR="00AB0566" w:rsidRPr="00623D44" w14:paraId="31FA001C" w14:textId="77777777" w:rsidTr="00C139E6">
        <w:tc>
          <w:tcPr>
            <w:tcW w:w="1257" w:type="dxa"/>
          </w:tcPr>
          <w:p w14:paraId="3CA1DAE1" w14:textId="77777777" w:rsidR="00AB0566" w:rsidRPr="00623D44" w:rsidRDefault="00AB0566" w:rsidP="00623D44">
            <w:pPr>
              <w:rPr>
                <w:rFonts w:cs="Arial"/>
                <w:szCs w:val="24"/>
              </w:rPr>
            </w:pPr>
            <w:r w:rsidRPr="00623D44">
              <w:rPr>
                <w:rFonts w:cs="Arial"/>
                <w:szCs w:val="24"/>
              </w:rPr>
              <w:t>6</w:t>
            </w:r>
          </w:p>
        </w:tc>
        <w:tc>
          <w:tcPr>
            <w:tcW w:w="5114" w:type="dxa"/>
          </w:tcPr>
          <w:p w14:paraId="2856BEA2" w14:textId="77777777" w:rsidR="00AB0566" w:rsidRPr="00623D44" w:rsidRDefault="00AB0566" w:rsidP="00623D44">
            <w:pPr>
              <w:rPr>
                <w:rFonts w:cs="Arial"/>
                <w:szCs w:val="24"/>
              </w:rPr>
            </w:pPr>
            <w:r w:rsidRPr="00623D44">
              <w:rPr>
                <w:rFonts w:cs="Arial"/>
                <w:szCs w:val="24"/>
              </w:rPr>
              <w:t>Members who contact the TPS about their pension are satisfied with the timeliness and quality of the response</w:t>
            </w:r>
          </w:p>
        </w:tc>
        <w:tc>
          <w:tcPr>
            <w:tcW w:w="1710" w:type="dxa"/>
          </w:tcPr>
          <w:p w14:paraId="22DC1EFA" w14:textId="77777777" w:rsidR="00AB0566" w:rsidRPr="00623D44" w:rsidRDefault="00AB0566" w:rsidP="00623D44">
            <w:pPr>
              <w:rPr>
                <w:rFonts w:cs="Arial"/>
                <w:szCs w:val="24"/>
              </w:rPr>
            </w:pPr>
            <w:r w:rsidRPr="00623D44">
              <w:rPr>
                <w:rFonts w:cs="Arial"/>
                <w:szCs w:val="24"/>
              </w:rPr>
              <w:t>66.08%</w:t>
            </w:r>
          </w:p>
        </w:tc>
        <w:tc>
          <w:tcPr>
            <w:tcW w:w="1024" w:type="dxa"/>
          </w:tcPr>
          <w:p w14:paraId="719D134A" w14:textId="77777777" w:rsidR="00AB0566" w:rsidRPr="00623D44" w:rsidRDefault="00AB0566" w:rsidP="00623D44">
            <w:pPr>
              <w:rPr>
                <w:rFonts w:cs="Arial"/>
                <w:szCs w:val="24"/>
              </w:rPr>
            </w:pPr>
            <w:r w:rsidRPr="00623D44">
              <w:rPr>
                <w:rFonts w:cs="Arial"/>
                <w:szCs w:val="24"/>
              </w:rPr>
              <w:t>78%</w:t>
            </w:r>
          </w:p>
        </w:tc>
      </w:tr>
      <w:tr w:rsidR="00AB0566" w:rsidRPr="00623D44" w14:paraId="31631496" w14:textId="77777777" w:rsidTr="00C139E6">
        <w:tc>
          <w:tcPr>
            <w:tcW w:w="1257" w:type="dxa"/>
          </w:tcPr>
          <w:p w14:paraId="5EE30052" w14:textId="77777777" w:rsidR="00AB0566" w:rsidRPr="00623D44" w:rsidRDefault="00AB0566" w:rsidP="00623D44">
            <w:pPr>
              <w:rPr>
                <w:rFonts w:cs="Arial"/>
                <w:szCs w:val="24"/>
              </w:rPr>
            </w:pPr>
            <w:r w:rsidRPr="00623D44">
              <w:rPr>
                <w:rFonts w:cs="Arial"/>
                <w:szCs w:val="24"/>
              </w:rPr>
              <w:t>7</w:t>
            </w:r>
          </w:p>
        </w:tc>
        <w:tc>
          <w:tcPr>
            <w:tcW w:w="5114" w:type="dxa"/>
          </w:tcPr>
          <w:p w14:paraId="459034F0" w14:textId="77777777" w:rsidR="00AB0566" w:rsidRPr="00623D44" w:rsidRDefault="00AB0566" w:rsidP="00623D44">
            <w:pPr>
              <w:rPr>
                <w:rFonts w:cs="Arial"/>
                <w:szCs w:val="24"/>
              </w:rPr>
            </w:pPr>
            <w:r w:rsidRPr="00623D44">
              <w:rPr>
                <w:rFonts w:cs="Arial"/>
                <w:szCs w:val="24"/>
              </w:rPr>
              <w:t>Recently retired members are satisfied with the support they receive from Teachers’ Pensions as they planned retirement.</w:t>
            </w:r>
          </w:p>
        </w:tc>
        <w:tc>
          <w:tcPr>
            <w:tcW w:w="1710" w:type="dxa"/>
          </w:tcPr>
          <w:p w14:paraId="484BAB49" w14:textId="77777777" w:rsidR="00AB0566" w:rsidRPr="00623D44" w:rsidRDefault="00AB0566" w:rsidP="00623D44">
            <w:pPr>
              <w:rPr>
                <w:rFonts w:cs="Arial"/>
                <w:szCs w:val="24"/>
              </w:rPr>
            </w:pPr>
            <w:r w:rsidRPr="00623D44">
              <w:rPr>
                <w:rFonts w:cs="Arial"/>
                <w:szCs w:val="24"/>
              </w:rPr>
              <w:t>65.45%</w:t>
            </w:r>
          </w:p>
        </w:tc>
        <w:tc>
          <w:tcPr>
            <w:tcW w:w="1024" w:type="dxa"/>
          </w:tcPr>
          <w:p w14:paraId="19F6F008" w14:textId="77777777" w:rsidR="00AB0566" w:rsidRPr="00623D44" w:rsidRDefault="00AB0566" w:rsidP="00623D44">
            <w:pPr>
              <w:rPr>
                <w:rFonts w:cs="Arial"/>
                <w:szCs w:val="24"/>
              </w:rPr>
            </w:pPr>
            <w:r w:rsidRPr="00623D44">
              <w:rPr>
                <w:rFonts w:cs="Arial"/>
                <w:szCs w:val="24"/>
              </w:rPr>
              <w:t>80%</w:t>
            </w:r>
          </w:p>
        </w:tc>
      </w:tr>
      <w:tr w:rsidR="00714817" w:rsidRPr="00623D44" w14:paraId="298D600E" w14:textId="77777777" w:rsidTr="00C139E6">
        <w:tc>
          <w:tcPr>
            <w:tcW w:w="1257" w:type="dxa"/>
          </w:tcPr>
          <w:p w14:paraId="41198261" w14:textId="77777777" w:rsidR="00714817" w:rsidRPr="00623D44" w:rsidRDefault="00714817" w:rsidP="00623D44">
            <w:pPr>
              <w:rPr>
                <w:rFonts w:cs="Arial"/>
                <w:szCs w:val="24"/>
              </w:rPr>
            </w:pPr>
            <w:r>
              <w:rPr>
                <w:rFonts w:cs="Arial"/>
                <w:szCs w:val="24"/>
              </w:rPr>
              <w:t>9</w:t>
            </w:r>
          </w:p>
        </w:tc>
        <w:tc>
          <w:tcPr>
            <w:tcW w:w="5114" w:type="dxa"/>
          </w:tcPr>
          <w:p w14:paraId="0AAB8C72" w14:textId="77777777" w:rsidR="00714817" w:rsidRPr="00623D44" w:rsidRDefault="00714817" w:rsidP="00714817">
            <w:pPr>
              <w:rPr>
                <w:rFonts w:cs="Arial"/>
                <w:szCs w:val="24"/>
              </w:rPr>
            </w:pPr>
            <w:r w:rsidRPr="00714817">
              <w:rPr>
                <w:rFonts w:cs="Arial"/>
                <w:szCs w:val="24"/>
              </w:rPr>
              <w:t xml:space="preserve">Employers are satisfied with the service they </w:t>
            </w:r>
            <w:r w:rsidRPr="00714817">
              <w:rPr>
                <w:rFonts w:cs="Arial"/>
                <w:szCs w:val="24"/>
              </w:rPr>
              <w:lastRenderedPageBreak/>
              <w:t>receive from the Teachers' Pension Scheme.</w:t>
            </w:r>
          </w:p>
        </w:tc>
        <w:tc>
          <w:tcPr>
            <w:tcW w:w="1710" w:type="dxa"/>
          </w:tcPr>
          <w:p w14:paraId="7237B6A5" w14:textId="77777777" w:rsidR="00714817" w:rsidRPr="00623D44" w:rsidRDefault="00714817" w:rsidP="00623D44">
            <w:pPr>
              <w:rPr>
                <w:rFonts w:cs="Arial"/>
                <w:szCs w:val="24"/>
              </w:rPr>
            </w:pPr>
            <w:r>
              <w:rPr>
                <w:rFonts w:cs="Arial"/>
                <w:szCs w:val="24"/>
              </w:rPr>
              <w:lastRenderedPageBreak/>
              <w:t>96.74%</w:t>
            </w:r>
          </w:p>
        </w:tc>
        <w:tc>
          <w:tcPr>
            <w:tcW w:w="1024" w:type="dxa"/>
          </w:tcPr>
          <w:p w14:paraId="5E66D1D9" w14:textId="77777777" w:rsidR="00714817" w:rsidRPr="00623D44" w:rsidRDefault="00714817" w:rsidP="00623D44">
            <w:pPr>
              <w:rPr>
                <w:rFonts w:cs="Arial"/>
                <w:szCs w:val="24"/>
              </w:rPr>
            </w:pPr>
            <w:r>
              <w:rPr>
                <w:rFonts w:cs="Arial"/>
                <w:szCs w:val="24"/>
              </w:rPr>
              <w:t>80%</w:t>
            </w:r>
          </w:p>
        </w:tc>
      </w:tr>
      <w:tr w:rsidR="00714817" w:rsidRPr="00623D44" w14:paraId="204C69DE" w14:textId="77777777" w:rsidTr="00C139E6">
        <w:tc>
          <w:tcPr>
            <w:tcW w:w="1257" w:type="dxa"/>
          </w:tcPr>
          <w:p w14:paraId="2FAAB3FB" w14:textId="77777777" w:rsidR="00714817" w:rsidRPr="00623D44" w:rsidRDefault="00714817" w:rsidP="00623D44">
            <w:pPr>
              <w:rPr>
                <w:rFonts w:cs="Arial"/>
                <w:szCs w:val="24"/>
              </w:rPr>
            </w:pPr>
            <w:r>
              <w:rPr>
                <w:rFonts w:cs="Arial"/>
                <w:szCs w:val="24"/>
              </w:rPr>
              <w:t>10</w:t>
            </w:r>
          </w:p>
        </w:tc>
        <w:tc>
          <w:tcPr>
            <w:tcW w:w="5114" w:type="dxa"/>
          </w:tcPr>
          <w:p w14:paraId="42C7752E" w14:textId="77777777" w:rsidR="00714817" w:rsidRPr="00623D44" w:rsidRDefault="00714817" w:rsidP="00714817">
            <w:pPr>
              <w:rPr>
                <w:rFonts w:cs="Arial"/>
                <w:szCs w:val="24"/>
              </w:rPr>
            </w:pPr>
            <w:r w:rsidRPr="00714817">
              <w:rPr>
                <w:rFonts w:cs="Arial"/>
                <w:szCs w:val="24"/>
              </w:rPr>
              <w:t>Employers receive timely and accurate responses from the Teachers' Pension Scheme.</w:t>
            </w:r>
          </w:p>
        </w:tc>
        <w:tc>
          <w:tcPr>
            <w:tcW w:w="1710" w:type="dxa"/>
          </w:tcPr>
          <w:p w14:paraId="78E74D1C" w14:textId="77777777" w:rsidR="00714817" w:rsidRPr="00623D44" w:rsidRDefault="00714817" w:rsidP="00623D44">
            <w:pPr>
              <w:rPr>
                <w:rFonts w:cs="Arial"/>
                <w:szCs w:val="24"/>
              </w:rPr>
            </w:pPr>
            <w:r>
              <w:rPr>
                <w:rFonts w:cs="Arial"/>
                <w:szCs w:val="24"/>
              </w:rPr>
              <w:t>85.61%</w:t>
            </w:r>
          </w:p>
        </w:tc>
        <w:tc>
          <w:tcPr>
            <w:tcW w:w="1024" w:type="dxa"/>
          </w:tcPr>
          <w:p w14:paraId="5C861E7C" w14:textId="77777777" w:rsidR="00714817" w:rsidRPr="00623D44" w:rsidRDefault="00714817" w:rsidP="00623D44">
            <w:pPr>
              <w:rPr>
                <w:rFonts w:cs="Arial"/>
                <w:szCs w:val="24"/>
              </w:rPr>
            </w:pPr>
            <w:r>
              <w:rPr>
                <w:rFonts w:cs="Arial"/>
                <w:szCs w:val="24"/>
              </w:rPr>
              <w:t>80%</w:t>
            </w:r>
          </w:p>
        </w:tc>
      </w:tr>
    </w:tbl>
    <w:p w14:paraId="2E8635ED" w14:textId="77777777" w:rsidR="00623D44" w:rsidRDefault="00623D44" w:rsidP="00623D44">
      <w:pPr>
        <w:rPr>
          <w:rFonts w:cs="Arial"/>
          <w:szCs w:val="24"/>
        </w:rPr>
      </w:pPr>
    </w:p>
    <w:p w14:paraId="6DCF9B7D" w14:textId="77777777" w:rsidR="008675F5" w:rsidRPr="008675F5" w:rsidRDefault="00C13C67" w:rsidP="008675F5">
      <w:pPr>
        <w:pStyle w:val="ListParagraph"/>
        <w:numPr>
          <w:ilvl w:val="0"/>
          <w:numId w:val="27"/>
        </w:numPr>
        <w:rPr>
          <w:rFonts w:cs="Arial"/>
          <w:szCs w:val="24"/>
        </w:rPr>
      </w:pPr>
      <w:r w:rsidRPr="00623D44">
        <w:rPr>
          <w:rFonts w:cs="Arial"/>
          <w:szCs w:val="24"/>
        </w:rPr>
        <w:t xml:space="preserve">Complaint volumes received in January increased by 34.9% in comparison with December; attributed to the time of year. In comparison with November, complaints received in January continued on a downward trend and reduced by a total of 24%. The incoming volume was 11% lower than the average 2017 monthly volume. It is anticipated that the downward trend will continue due to the correct resourcing of the contact centre, and reductions being made in aged work within the bereavement and revision processes. </w:t>
      </w:r>
    </w:p>
    <w:p w14:paraId="508CF4CF" w14:textId="77777777" w:rsidR="00FA6476" w:rsidRPr="00623D44" w:rsidRDefault="00FA6476" w:rsidP="00623D44">
      <w:pPr>
        <w:rPr>
          <w:rFonts w:cs="Arial"/>
          <w:szCs w:val="24"/>
        </w:rPr>
      </w:pPr>
    </w:p>
    <w:tbl>
      <w:tblPr>
        <w:tblStyle w:val="TableGrid"/>
        <w:tblW w:w="0" w:type="auto"/>
        <w:tblInd w:w="108" w:type="dxa"/>
        <w:tblLook w:val="04A0" w:firstRow="1" w:lastRow="0" w:firstColumn="1" w:lastColumn="0" w:noHBand="0" w:noVBand="1"/>
      </w:tblPr>
      <w:tblGrid>
        <w:gridCol w:w="7230"/>
        <w:gridCol w:w="1134"/>
      </w:tblGrid>
      <w:tr w:rsidR="005935FE" w:rsidRPr="00623D44" w14:paraId="4B320694" w14:textId="77777777" w:rsidTr="0079261D">
        <w:tc>
          <w:tcPr>
            <w:tcW w:w="7230" w:type="dxa"/>
          </w:tcPr>
          <w:p w14:paraId="4A988057" w14:textId="77777777" w:rsidR="005935FE" w:rsidRPr="00623D44" w:rsidRDefault="005935FE" w:rsidP="00623D44">
            <w:pPr>
              <w:rPr>
                <w:rFonts w:cs="Arial"/>
                <w:b/>
                <w:color w:val="000000"/>
                <w:szCs w:val="24"/>
                <w:lang w:eastAsia="en-GB"/>
              </w:rPr>
            </w:pPr>
            <w:r w:rsidRPr="00623D44">
              <w:rPr>
                <w:rFonts w:cs="Arial"/>
                <w:b/>
                <w:color w:val="000000"/>
                <w:szCs w:val="24"/>
                <w:lang w:eastAsia="en-GB"/>
              </w:rPr>
              <w:t>Significant Projects</w:t>
            </w:r>
          </w:p>
          <w:p w14:paraId="57806CF6" w14:textId="77777777" w:rsidR="005935FE" w:rsidRPr="00623D44" w:rsidRDefault="005935FE" w:rsidP="00623D44">
            <w:pPr>
              <w:rPr>
                <w:rFonts w:cs="Arial"/>
                <w:b/>
                <w:szCs w:val="24"/>
              </w:rPr>
            </w:pPr>
          </w:p>
        </w:tc>
        <w:tc>
          <w:tcPr>
            <w:tcW w:w="1134" w:type="dxa"/>
            <w:shd w:val="clear" w:color="auto" w:fill="FFC000"/>
          </w:tcPr>
          <w:p w14:paraId="74E0EDA9" w14:textId="77777777" w:rsidR="005935FE" w:rsidRPr="00623D44" w:rsidRDefault="00557B13" w:rsidP="00623D44">
            <w:pPr>
              <w:rPr>
                <w:rFonts w:cs="Arial"/>
                <w:color w:val="FF0000"/>
                <w:szCs w:val="24"/>
              </w:rPr>
            </w:pPr>
            <w:r w:rsidRPr="00623D44">
              <w:rPr>
                <w:rFonts w:cs="Arial"/>
                <w:noProof/>
                <w:color w:val="00B050"/>
                <w:szCs w:val="24"/>
                <w:lang w:eastAsia="en-GB"/>
              </w:rPr>
              <mc:AlternateContent>
                <mc:Choice Requires="wps">
                  <w:drawing>
                    <wp:anchor distT="0" distB="0" distL="114300" distR="114300" simplePos="0" relativeHeight="251652608" behindDoc="0" locked="0" layoutInCell="1" allowOverlap="1" wp14:anchorId="126E49F0" wp14:editId="2C173330">
                      <wp:simplePos x="0" y="0"/>
                      <wp:positionH relativeFrom="column">
                        <wp:posOffset>77143</wp:posOffset>
                      </wp:positionH>
                      <wp:positionV relativeFrom="paragraph">
                        <wp:posOffset>65191</wp:posOffset>
                      </wp:positionV>
                      <wp:extent cx="485757" cy="158567"/>
                      <wp:effectExtent l="38100" t="57150" r="0" b="89535"/>
                      <wp:wrapNone/>
                      <wp:docPr id="4" name="Straight Arrow Connector 4"/>
                      <wp:cNvGraphicFramePr/>
                      <a:graphic xmlns:a="http://schemas.openxmlformats.org/drawingml/2006/main">
                        <a:graphicData uri="http://schemas.microsoft.com/office/word/2010/wordprocessingShape">
                          <wps:wsp>
                            <wps:cNvCnPr/>
                            <wps:spPr>
                              <a:xfrm flipV="1">
                                <a:off x="0" y="0"/>
                                <a:ext cx="485757" cy="158567"/>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1C8B9DA" id="Straight Arrow Connector 4" o:spid="_x0000_s1026" type="#_x0000_t32" style="position:absolute;margin-left:6.05pt;margin-top:5.15pt;width:38.25pt;height:12.5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55LLQIAAEsEAAAOAAAAZHJzL2Uyb0RvYy54bWysVMGO0zAQvSPxD5bvNG1pt1XUdIValguC&#10;1XaB89R2EkuObY3dpv17xk6oCtwQOVieGc/4vTfjbB4vnWFnhUE7W/HZZMqZssJJbZuKf3t9erfm&#10;LESwEoyzquJXFfjj9u2bTe9LNXetM1IhoyI2lL2veBujL4siiFZ1ECbOK0vB2mEHkUxsConQU/XO&#10;FPPp9KHoHUqPTqgQyLsfgnyb69e1EvFrXQcVmak4YYt5xbwe01psN1A2CL7VYoQB/4CiA23p0lup&#10;PURgJ9R/leq0QBdcHSfCdYWray1U5kBsZtM/2Bxa8CpzIXGCv8kU/l9Z8eX8jEzLii84s9BRiw4R&#10;QTdtZB8QXc92zlqS0SFbJLV6H0pK2tlnHK3gnzFRv9TYsdpo/50GIYtB9Ngla329aa0ukQlyLtbL&#10;1XLFmaDQbLlePqxS9WIok8p5DPGTch1Lm4qHEdUNznAFnD+HOCT+SkjJ1j1pY8gPpbGsr/h8uZhS&#10;/wXQjNUGIm07T6yDbTgD09DwiogZdXBGy5SessM17AyyM9D80NhJ178SA84MhEgBopW/EftvqQnP&#10;HkI7JOdQOgZlBG0+Wsni1ZPckFQe841NcZXnlnglw52iwkMre3Y0J3yB1Kl0JWdSJ13oEQwGYUkc&#10;s4Uu/tCxzfOTlM9MsDneqORzgx+Mb2HA+H6dsgc1w3A8t+SGIVt38Io0DUP/0+7o5DWPRfbTxObz&#10;4+tKT+Lepv39P2D7EwAA//8DAFBLAwQUAAYACAAAACEAEpZjPt4AAAAHAQAADwAAAGRycy9kb3du&#10;cmV2LnhtbEyOS0/DMBCE70j8B2uRuFGnjRpCiFOh8uoFiT6QODrxkkSN11HsNuHfs5zgNBrNaObL&#10;V5PtxBkH3zpSMJ9FIJAqZ1qqFRz2zzcpCB80Gd05QgXf6GFVXF7kOjNupC2ed6EWPEI+0wqaEPpM&#10;Sl81aLWfuR6Jsy83WB3YDrU0gx553HZyEUWJtLolfmh0j+sGq+PuZBW8HN+tTF8/k/IjOayfNsu3&#10;8fbxTqnrq+nhHkTAKfyV4Ref0aFgptKdyHjRsV/MuckaxSA4T9MERKkgXsYgi1z+5y9+AAAA//8D&#10;AFBLAQItABQABgAIAAAAIQC2gziS/gAAAOEBAAATAAAAAAAAAAAAAAAAAAAAAABbQ29udGVudF9U&#10;eXBlc10ueG1sUEsBAi0AFAAGAAgAAAAhADj9If/WAAAAlAEAAAsAAAAAAAAAAAAAAAAALwEAAF9y&#10;ZWxzLy5yZWxzUEsBAi0AFAAGAAgAAAAhAKyDnkstAgAASwQAAA4AAAAAAAAAAAAAAAAALgIAAGRy&#10;cy9lMm9Eb2MueG1sUEsBAi0AFAAGAAgAAAAhABKWYz7eAAAABwEAAA8AAAAAAAAAAAAAAAAAhwQA&#10;AGRycy9kb3ducmV2LnhtbFBLBQYAAAAABAAEAPMAAACSBQAAAAA=&#10;" strokecolor="windowText" strokeweight="2pt">
                      <v:stroke endarrow="open"/>
                      <v:shadow on="t" color="black" opacity="24903f" origin=",.5" offset="0,.55556mm"/>
                    </v:shape>
                  </w:pict>
                </mc:Fallback>
              </mc:AlternateContent>
            </w:r>
          </w:p>
          <w:p w14:paraId="740A537E" w14:textId="77777777" w:rsidR="005935FE" w:rsidRPr="00623D44" w:rsidRDefault="005935FE" w:rsidP="00623D44">
            <w:pPr>
              <w:rPr>
                <w:rFonts w:cs="Arial"/>
                <w:color w:val="00B050"/>
                <w:szCs w:val="24"/>
              </w:rPr>
            </w:pPr>
          </w:p>
        </w:tc>
      </w:tr>
    </w:tbl>
    <w:p w14:paraId="593334B4" w14:textId="77777777" w:rsidR="004A41A2" w:rsidRPr="00623D44" w:rsidRDefault="004A41A2" w:rsidP="00623D44">
      <w:pPr>
        <w:rPr>
          <w:rFonts w:cs="Arial"/>
          <w:szCs w:val="24"/>
        </w:rPr>
      </w:pPr>
    </w:p>
    <w:p w14:paraId="1C79CE89" w14:textId="77777777" w:rsidR="00F66390" w:rsidRPr="00623D44" w:rsidRDefault="00F66390" w:rsidP="00623D44">
      <w:pPr>
        <w:rPr>
          <w:rFonts w:cs="Arial"/>
          <w:b/>
          <w:szCs w:val="24"/>
        </w:rPr>
      </w:pPr>
      <w:r w:rsidRPr="00623D44">
        <w:rPr>
          <w:rFonts w:cs="Arial"/>
          <w:b/>
          <w:szCs w:val="24"/>
        </w:rPr>
        <w:t>G</w:t>
      </w:r>
      <w:r w:rsidR="004B65EA" w:rsidRPr="00623D44">
        <w:rPr>
          <w:rFonts w:cs="Arial"/>
          <w:b/>
          <w:szCs w:val="24"/>
        </w:rPr>
        <w:t xml:space="preserve">eneral </w:t>
      </w:r>
      <w:r w:rsidRPr="00623D44">
        <w:rPr>
          <w:rFonts w:cs="Arial"/>
          <w:b/>
          <w:szCs w:val="24"/>
        </w:rPr>
        <w:t>D</w:t>
      </w:r>
      <w:r w:rsidR="004B65EA" w:rsidRPr="00623D44">
        <w:rPr>
          <w:rFonts w:cs="Arial"/>
          <w:b/>
          <w:szCs w:val="24"/>
        </w:rPr>
        <w:t xml:space="preserve">ata </w:t>
      </w:r>
      <w:r w:rsidRPr="00623D44">
        <w:rPr>
          <w:rFonts w:cs="Arial"/>
          <w:b/>
          <w:szCs w:val="24"/>
        </w:rPr>
        <w:t>P</w:t>
      </w:r>
      <w:r w:rsidR="004B65EA" w:rsidRPr="00623D44">
        <w:rPr>
          <w:rFonts w:cs="Arial"/>
          <w:b/>
          <w:szCs w:val="24"/>
        </w:rPr>
        <w:t xml:space="preserve">rotection </w:t>
      </w:r>
      <w:r w:rsidRPr="00623D44">
        <w:rPr>
          <w:rFonts w:cs="Arial"/>
          <w:b/>
          <w:szCs w:val="24"/>
        </w:rPr>
        <w:t>R</w:t>
      </w:r>
      <w:r w:rsidR="004B65EA" w:rsidRPr="00623D44">
        <w:rPr>
          <w:rFonts w:cs="Arial"/>
          <w:b/>
          <w:szCs w:val="24"/>
        </w:rPr>
        <w:t>egulation (GDPR)</w:t>
      </w:r>
      <w:r w:rsidR="00FA5D2A" w:rsidRPr="00623D44">
        <w:rPr>
          <w:rFonts w:cs="Arial"/>
          <w:b/>
          <w:szCs w:val="24"/>
        </w:rPr>
        <w:t xml:space="preserve"> </w:t>
      </w:r>
    </w:p>
    <w:p w14:paraId="07F51BE4" w14:textId="77777777" w:rsidR="008F3481" w:rsidRPr="00623D44" w:rsidRDefault="008F3481" w:rsidP="00623D44">
      <w:pPr>
        <w:rPr>
          <w:rFonts w:cs="Arial"/>
          <w:bCs/>
          <w:szCs w:val="24"/>
        </w:rPr>
      </w:pPr>
    </w:p>
    <w:p w14:paraId="613B9D31" w14:textId="77777777" w:rsidR="00F66390" w:rsidRPr="00623D44" w:rsidRDefault="00F66390" w:rsidP="00623D44">
      <w:pPr>
        <w:pStyle w:val="ListParagraph"/>
        <w:numPr>
          <w:ilvl w:val="0"/>
          <w:numId w:val="27"/>
        </w:numPr>
        <w:rPr>
          <w:rFonts w:cs="Arial"/>
          <w:szCs w:val="24"/>
        </w:rPr>
      </w:pPr>
      <w:r w:rsidRPr="00623D44">
        <w:rPr>
          <w:rFonts w:cs="Arial"/>
          <w:szCs w:val="24"/>
        </w:rPr>
        <w:t>TP</w:t>
      </w:r>
      <w:r w:rsidR="007A462A" w:rsidRPr="00623D44">
        <w:rPr>
          <w:rFonts w:cs="Arial"/>
          <w:szCs w:val="24"/>
        </w:rPr>
        <w:t xml:space="preserve"> &amp; DfE</w:t>
      </w:r>
      <w:r w:rsidRPr="00623D44">
        <w:rPr>
          <w:rFonts w:cs="Arial"/>
          <w:szCs w:val="24"/>
        </w:rPr>
        <w:t xml:space="preserve"> have a shared GDPR key theme project update published in monthly service delivery report for overall scheme governance and assurance; discussed at monthly Service Delivery Board.</w:t>
      </w:r>
      <w:r w:rsidR="007A462A" w:rsidRPr="00623D44">
        <w:rPr>
          <w:rFonts w:cs="Arial"/>
          <w:szCs w:val="24"/>
        </w:rPr>
        <w:t xml:space="preserve"> </w:t>
      </w:r>
      <w:r w:rsidR="00C12032" w:rsidRPr="00623D44">
        <w:rPr>
          <w:rFonts w:cs="Arial"/>
          <w:szCs w:val="24"/>
        </w:rPr>
        <w:t xml:space="preserve">Annex 2 gives an update on </w:t>
      </w:r>
      <w:r w:rsidR="00A52AD9" w:rsidRPr="00623D44">
        <w:rPr>
          <w:rFonts w:cs="Arial"/>
          <w:szCs w:val="24"/>
        </w:rPr>
        <w:t>activities</w:t>
      </w:r>
      <w:r w:rsidR="00C12032" w:rsidRPr="00623D44">
        <w:rPr>
          <w:rFonts w:cs="Arial"/>
          <w:szCs w:val="24"/>
        </w:rPr>
        <w:t xml:space="preserve"> against GDPR compliance.</w:t>
      </w:r>
    </w:p>
    <w:p w14:paraId="470A56D0" w14:textId="77777777" w:rsidR="00F66390" w:rsidRPr="00623D44" w:rsidRDefault="00F66390" w:rsidP="00623D44">
      <w:pPr>
        <w:rPr>
          <w:rFonts w:cs="Arial"/>
          <w:szCs w:val="24"/>
        </w:rPr>
      </w:pPr>
    </w:p>
    <w:p w14:paraId="72B1469F" w14:textId="77777777" w:rsidR="00D066B5" w:rsidRPr="00623D44" w:rsidRDefault="00D066B5" w:rsidP="00623D44">
      <w:pPr>
        <w:rPr>
          <w:rFonts w:cs="Arial"/>
          <w:b/>
          <w:szCs w:val="24"/>
        </w:rPr>
      </w:pPr>
      <w:r w:rsidRPr="00623D44">
        <w:rPr>
          <w:rFonts w:cs="Arial"/>
          <w:b/>
          <w:szCs w:val="24"/>
        </w:rPr>
        <w:t>MDC</w:t>
      </w:r>
      <w:r w:rsidR="00226104" w:rsidRPr="00623D44">
        <w:rPr>
          <w:rFonts w:cs="Arial"/>
          <w:b/>
          <w:szCs w:val="24"/>
        </w:rPr>
        <w:t xml:space="preserve"> </w:t>
      </w:r>
    </w:p>
    <w:p w14:paraId="15EF3288" w14:textId="77777777" w:rsidR="00D066B5" w:rsidRPr="00623D44" w:rsidRDefault="00D066B5" w:rsidP="00623D44">
      <w:pPr>
        <w:rPr>
          <w:rFonts w:cs="Arial"/>
          <w:szCs w:val="24"/>
        </w:rPr>
      </w:pPr>
    </w:p>
    <w:p w14:paraId="14724D1F" w14:textId="77777777" w:rsidR="00C9710D" w:rsidRDefault="00226104" w:rsidP="00AE5264">
      <w:pPr>
        <w:pStyle w:val="ListParagraph"/>
        <w:numPr>
          <w:ilvl w:val="0"/>
          <w:numId w:val="27"/>
        </w:numPr>
        <w:rPr>
          <w:rFonts w:cs="Arial"/>
          <w:szCs w:val="24"/>
        </w:rPr>
      </w:pPr>
      <w:r w:rsidRPr="00623D44">
        <w:rPr>
          <w:rFonts w:cs="Arial"/>
          <w:szCs w:val="24"/>
        </w:rPr>
        <w:t>During November 2017 through to January 2018, Teachers’ Pensions continued to on board employers to the MDC solution. The project</w:t>
      </w:r>
      <w:r w:rsidR="00C9710D">
        <w:rPr>
          <w:rFonts w:cs="Arial"/>
          <w:szCs w:val="24"/>
        </w:rPr>
        <w:t xml:space="preserve"> will ensure th</w:t>
      </w:r>
      <w:r w:rsidR="005107B4">
        <w:rPr>
          <w:rFonts w:cs="Arial"/>
          <w:szCs w:val="24"/>
        </w:rPr>
        <w:t>e vast majority of</w:t>
      </w:r>
      <w:r w:rsidRPr="00623D44">
        <w:rPr>
          <w:rFonts w:cs="Arial"/>
          <w:szCs w:val="24"/>
        </w:rPr>
        <w:t xml:space="preserve"> employer</w:t>
      </w:r>
      <w:r w:rsidR="00C9710D">
        <w:rPr>
          <w:rFonts w:cs="Arial"/>
          <w:szCs w:val="24"/>
        </w:rPr>
        <w:t>s will be</w:t>
      </w:r>
      <w:r w:rsidRPr="00623D44">
        <w:rPr>
          <w:rFonts w:cs="Arial"/>
          <w:szCs w:val="24"/>
        </w:rPr>
        <w:t xml:space="preserve"> us</w:t>
      </w:r>
      <w:r w:rsidR="005107B4">
        <w:rPr>
          <w:rFonts w:cs="Arial"/>
          <w:szCs w:val="24"/>
        </w:rPr>
        <w:t>ing MDC by April 2018</w:t>
      </w:r>
      <w:r w:rsidR="00C9710D">
        <w:rPr>
          <w:rFonts w:cs="Arial"/>
          <w:szCs w:val="24"/>
        </w:rPr>
        <w:t>.  H</w:t>
      </w:r>
      <w:r w:rsidR="005107B4">
        <w:rPr>
          <w:rFonts w:cs="Arial"/>
          <w:szCs w:val="24"/>
        </w:rPr>
        <w:t>owever,</w:t>
      </w:r>
      <w:r w:rsidR="00C9710D">
        <w:rPr>
          <w:rFonts w:cs="Arial"/>
          <w:szCs w:val="24"/>
        </w:rPr>
        <w:t xml:space="preserve"> it is now clear </w:t>
      </w:r>
      <w:r w:rsidR="005107B4">
        <w:rPr>
          <w:rFonts w:cs="Arial"/>
          <w:szCs w:val="24"/>
        </w:rPr>
        <w:t>there will be some that do not comply</w:t>
      </w:r>
      <w:r w:rsidR="00C9710D">
        <w:rPr>
          <w:rFonts w:cs="Arial"/>
          <w:szCs w:val="24"/>
        </w:rPr>
        <w:t xml:space="preserve"> fully</w:t>
      </w:r>
      <w:r w:rsidR="005107B4">
        <w:rPr>
          <w:rFonts w:cs="Arial"/>
          <w:szCs w:val="24"/>
        </w:rPr>
        <w:t>, despite TP</w:t>
      </w:r>
      <w:r w:rsidR="00C9710D">
        <w:rPr>
          <w:rFonts w:cs="Arial"/>
          <w:szCs w:val="24"/>
        </w:rPr>
        <w:t xml:space="preserve">’s best </w:t>
      </w:r>
      <w:r w:rsidR="005107B4">
        <w:rPr>
          <w:rFonts w:cs="Arial"/>
          <w:szCs w:val="24"/>
        </w:rPr>
        <w:t>efforts</w:t>
      </w:r>
      <w:r w:rsidR="00C9710D">
        <w:rPr>
          <w:rFonts w:cs="Arial"/>
          <w:szCs w:val="24"/>
        </w:rPr>
        <w:t xml:space="preserve">.  The </w:t>
      </w:r>
      <w:r w:rsidR="005107B4">
        <w:rPr>
          <w:rFonts w:cs="Arial"/>
          <w:szCs w:val="24"/>
        </w:rPr>
        <w:t xml:space="preserve">escalation process </w:t>
      </w:r>
      <w:r w:rsidR="00C9710D">
        <w:rPr>
          <w:rFonts w:cs="Arial"/>
          <w:szCs w:val="24"/>
        </w:rPr>
        <w:t>that is in</w:t>
      </w:r>
      <w:r w:rsidR="005107B4">
        <w:rPr>
          <w:rFonts w:cs="Arial"/>
          <w:szCs w:val="24"/>
        </w:rPr>
        <w:t xml:space="preserve"> place</w:t>
      </w:r>
      <w:r w:rsidR="00C9710D">
        <w:rPr>
          <w:rFonts w:cs="Arial"/>
          <w:szCs w:val="24"/>
        </w:rPr>
        <w:t xml:space="preserve"> is driving actions that seek to ensure they are helped to comply as quickly as possible</w:t>
      </w:r>
      <w:r w:rsidR="005107B4">
        <w:rPr>
          <w:rFonts w:cs="Arial"/>
          <w:szCs w:val="24"/>
        </w:rPr>
        <w:t xml:space="preserve">. </w:t>
      </w:r>
    </w:p>
    <w:p w14:paraId="00055D35" w14:textId="77777777" w:rsidR="00226104" w:rsidRPr="00623D44" w:rsidRDefault="00226104" w:rsidP="00AE5264">
      <w:pPr>
        <w:pStyle w:val="ListParagraph"/>
        <w:rPr>
          <w:rFonts w:cs="Arial"/>
          <w:szCs w:val="24"/>
        </w:rPr>
      </w:pPr>
    </w:p>
    <w:p w14:paraId="68D55D8B" w14:textId="77777777" w:rsidR="00226104" w:rsidRPr="00623D44" w:rsidRDefault="00226104" w:rsidP="00623D44">
      <w:pPr>
        <w:pStyle w:val="ListParagraph"/>
        <w:numPr>
          <w:ilvl w:val="0"/>
          <w:numId w:val="27"/>
        </w:numPr>
        <w:rPr>
          <w:rFonts w:cs="Arial"/>
          <w:szCs w:val="24"/>
        </w:rPr>
      </w:pPr>
      <w:r w:rsidRPr="00623D44">
        <w:rPr>
          <w:rFonts w:cs="Arial"/>
          <w:szCs w:val="24"/>
        </w:rPr>
        <w:t>The project continues to provide regular updates via the monthly MDC Steering Group as well as weekly checkpoint reports between the Project Manager and the Project Board. Updates are also provided via the Service Delivery Board.</w:t>
      </w:r>
    </w:p>
    <w:p w14:paraId="5C728C8A" w14:textId="77777777" w:rsidR="00226104" w:rsidRPr="00623D44" w:rsidRDefault="00226104" w:rsidP="00623D44">
      <w:pPr>
        <w:rPr>
          <w:rFonts w:cs="Arial"/>
          <w:szCs w:val="24"/>
        </w:rPr>
      </w:pPr>
    </w:p>
    <w:p w14:paraId="3186792E" w14:textId="77777777" w:rsidR="00226104" w:rsidRPr="00623D44" w:rsidRDefault="00C9710D" w:rsidP="00623D44">
      <w:pPr>
        <w:pStyle w:val="ListParagraph"/>
        <w:numPr>
          <w:ilvl w:val="0"/>
          <w:numId w:val="27"/>
        </w:numPr>
        <w:rPr>
          <w:rFonts w:cs="Arial"/>
          <w:szCs w:val="24"/>
        </w:rPr>
      </w:pPr>
      <w:r>
        <w:rPr>
          <w:rFonts w:cs="Arial"/>
          <w:szCs w:val="24"/>
        </w:rPr>
        <w:t xml:space="preserve">A significant </w:t>
      </w:r>
      <w:r w:rsidR="00226104" w:rsidRPr="00623D44">
        <w:rPr>
          <w:rFonts w:cs="Arial"/>
          <w:szCs w:val="24"/>
        </w:rPr>
        <w:t xml:space="preserve">increase in on boarding took place in January 2018 to cater for the largest cohort of on boarders </w:t>
      </w:r>
      <w:r>
        <w:rPr>
          <w:rFonts w:cs="Arial"/>
          <w:szCs w:val="24"/>
        </w:rPr>
        <w:t xml:space="preserve">ever </w:t>
      </w:r>
      <w:r w:rsidR="00226104" w:rsidRPr="00623D44">
        <w:rPr>
          <w:rFonts w:cs="Arial"/>
          <w:szCs w:val="24"/>
        </w:rPr>
        <w:t>(circa 2,000</w:t>
      </w:r>
      <w:r w:rsidR="00326803">
        <w:rPr>
          <w:rFonts w:cs="Arial"/>
          <w:szCs w:val="24"/>
        </w:rPr>
        <w:t xml:space="preserve"> from the outstanding population</w:t>
      </w:r>
      <w:r w:rsidR="00226104" w:rsidRPr="00623D44">
        <w:rPr>
          <w:rFonts w:cs="Arial"/>
          <w:szCs w:val="24"/>
        </w:rPr>
        <w:t xml:space="preserve">). This </w:t>
      </w:r>
      <w:r>
        <w:rPr>
          <w:rFonts w:cs="Arial"/>
          <w:szCs w:val="24"/>
        </w:rPr>
        <w:t xml:space="preserve">process </w:t>
      </w:r>
      <w:r w:rsidR="00226104" w:rsidRPr="00623D44">
        <w:rPr>
          <w:rFonts w:cs="Arial"/>
          <w:szCs w:val="24"/>
        </w:rPr>
        <w:t>will continue to be managed through to April 2018. Teachers’ Pensions are now concentrating on ensuring the remaining employers who have yet to on board, meet their obligations by the deadline</w:t>
      </w:r>
      <w:r>
        <w:rPr>
          <w:rFonts w:cs="Arial"/>
          <w:szCs w:val="24"/>
        </w:rPr>
        <w:t xml:space="preserve"> or as near as possible</w:t>
      </w:r>
      <w:r w:rsidR="00226104" w:rsidRPr="00623D44">
        <w:rPr>
          <w:rFonts w:cs="Arial"/>
          <w:szCs w:val="24"/>
        </w:rPr>
        <w:t>. This group of employers have deferred on boarding due to:</w:t>
      </w:r>
    </w:p>
    <w:p w14:paraId="0EE39488" w14:textId="77777777" w:rsidR="00226104" w:rsidRPr="00623D44" w:rsidRDefault="00C9710D" w:rsidP="00623D44">
      <w:pPr>
        <w:pStyle w:val="ListParagraph"/>
        <w:numPr>
          <w:ilvl w:val="0"/>
          <w:numId w:val="30"/>
        </w:numPr>
        <w:rPr>
          <w:rFonts w:cs="Arial"/>
          <w:szCs w:val="24"/>
        </w:rPr>
      </w:pPr>
      <w:r>
        <w:rPr>
          <w:rFonts w:cs="Arial"/>
          <w:szCs w:val="24"/>
        </w:rPr>
        <w:t>C</w:t>
      </w:r>
      <w:r w:rsidR="00226104" w:rsidRPr="00623D44">
        <w:rPr>
          <w:rFonts w:cs="Arial"/>
          <w:szCs w:val="24"/>
        </w:rPr>
        <w:t xml:space="preserve">ontinued issues with their software solution or payroll provider. Support is offered by Teachers’ Pensions to ensure that this can be mitigated (a manual submission would be required in the short term). </w:t>
      </w:r>
    </w:p>
    <w:p w14:paraId="4BC5EF6F" w14:textId="77777777" w:rsidR="00226104" w:rsidRPr="00623D44" w:rsidRDefault="00226104" w:rsidP="00623D44">
      <w:pPr>
        <w:pStyle w:val="ListParagraph"/>
        <w:numPr>
          <w:ilvl w:val="0"/>
          <w:numId w:val="30"/>
        </w:numPr>
        <w:rPr>
          <w:rFonts w:cs="Arial"/>
          <w:szCs w:val="24"/>
        </w:rPr>
      </w:pPr>
      <w:r w:rsidRPr="00623D44">
        <w:rPr>
          <w:rFonts w:cs="Arial"/>
          <w:szCs w:val="24"/>
        </w:rPr>
        <w:t xml:space="preserve">Employers’ identified issues with their data which needed correction prior to submitting. </w:t>
      </w:r>
    </w:p>
    <w:p w14:paraId="037F60DA" w14:textId="77777777" w:rsidR="00226104" w:rsidRPr="00623D44" w:rsidRDefault="00226104" w:rsidP="00623D44">
      <w:pPr>
        <w:rPr>
          <w:rFonts w:cs="Arial"/>
          <w:szCs w:val="24"/>
        </w:rPr>
      </w:pPr>
    </w:p>
    <w:p w14:paraId="48B33169" w14:textId="77777777" w:rsidR="007A677B" w:rsidRPr="00AE5264" w:rsidRDefault="00C9710D" w:rsidP="00623D44">
      <w:pPr>
        <w:pStyle w:val="ListParagraph"/>
        <w:numPr>
          <w:ilvl w:val="0"/>
          <w:numId w:val="27"/>
        </w:numPr>
        <w:rPr>
          <w:rFonts w:cs="Arial"/>
          <w:color w:val="262626" w:themeColor="text1" w:themeTint="D9"/>
          <w:szCs w:val="24"/>
        </w:rPr>
      </w:pPr>
      <w:r w:rsidRPr="00623D44">
        <w:rPr>
          <w:rFonts w:cs="Arial"/>
          <w:szCs w:val="24"/>
        </w:rPr>
        <w:lastRenderedPageBreak/>
        <w:t xml:space="preserve">As </w:t>
      </w:r>
      <w:r>
        <w:rPr>
          <w:rFonts w:cs="Arial"/>
          <w:szCs w:val="24"/>
        </w:rPr>
        <w:t xml:space="preserve">we </w:t>
      </w:r>
      <w:r w:rsidRPr="00623D44">
        <w:rPr>
          <w:rFonts w:cs="Arial"/>
          <w:szCs w:val="24"/>
        </w:rPr>
        <w:t xml:space="preserve">approach the deadline of April 2018, </w:t>
      </w:r>
      <w:r>
        <w:rPr>
          <w:rFonts w:cs="Arial"/>
          <w:szCs w:val="24"/>
        </w:rPr>
        <w:t xml:space="preserve">activity through the </w:t>
      </w:r>
      <w:r w:rsidRPr="00623D44">
        <w:rPr>
          <w:rFonts w:cs="Arial"/>
          <w:szCs w:val="24"/>
        </w:rPr>
        <w:t xml:space="preserve">escalation process </w:t>
      </w:r>
      <w:r>
        <w:rPr>
          <w:rFonts w:cs="Arial"/>
          <w:szCs w:val="24"/>
        </w:rPr>
        <w:t>is being ramped</w:t>
      </w:r>
      <w:r w:rsidR="000942A8">
        <w:rPr>
          <w:rFonts w:cs="Arial"/>
          <w:szCs w:val="24"/>
        </w:rPr>
        <w:t>-up</w:t>
      </w:r>
      <w:r>
        <w:rPr>
          <w:rFonts w:cs="Arial"/>
          <w:szCs w:val="24"/>
        </w:rPr>
        <w:t xml:space="preserve">, </w:t>
      </w:r>
      <w:r w:rsidRPr="00623D44">
        <w:rPr>
          <w:rFonts w:cs="Arial"/>
          <w:szCs w:val="24"/>
        </w:rPr>
        <w:t>to ensure those employers yet to join the on boarding phase of MDC do so.</w:t>
      </w:r>
      <w:r>
        <w:rPr>
          <w:rFonts w:cs="Arial"/>
          <w:szCs w:val="24"/>
        </w:rPr>
        <w:t xml:space="preserve">  </w:t>
      </w:r>
      <w:r w:rsidR="007A677B">
        <w:rPr>
          <w:rFonts w:cs="Arial"/>
          <w:szCs w:val="24"/>
        </w:rPr>
        <w:t xml:space="preserve">A total of </w:t>
      </w:r>
      <w:r w:rsidRPr="00623D44">
        <w:rPr>
          <w:rFonts w:cs="Arial"/>
          <w:szCs w:val="24"/>
        </w:rPr>
        <w:t>694 individual letters were issued to establishments on 1</w:t>
      </w:r>
      <w:r w:rsidR="007A677B">
        <w:rPr>
          <w:rFonts w:cs="Arial"/>
          <w:szCs w:val="24"/>
        </w:rPr>
        <w:t>6</w:t>
      </w:r>
      <w:r w:rsidRPr="00623D44">
        <w:rPr>
          <w:rFonts w:cs="Arial"/>
          <w:szCs w:val="24"/>
        </w:rPr>
        <w:t xml:space="preserve"> February 2018. The majority of these employers fell within the academies and independent school sectors. Teachers’ Pensions are currently managing responses and ensuring employers on board prior to the April 2018 deadline.  Teachers’ Pensions will repeat the escalation process within March 2018.</w:t>
      </w:r>
      <w:r w:rsidRPr="00C9710D">
        <w:rPr>
          <w:rFonts w:cs="Arial"/>
          <w:szCs w:val="24"/>
        </w:rPr>
        <w:t xml:space="preserve"> </w:t>
      </w:r>
    </w:p>
    <w:p w14:paraId="1D7B550D" w14:textId="77777777" w:rsidR="007A677B" w:rsidRPr="00AE5264" w:rsidRDefault="007A677B" w:rsidP="00AE5264">
      <w:pPr>
        <w:pStyle w:val="ListParagraph"/>
        <w:rPr>
          <w:rFonts w:cs="Arial"/>
          <w:color w:val="262626" w:themeColor="text1" w:themeTint="D9"/>
          <w:szCs w:val="24"/>
        </w:rPr>
      </w:pPr>
    </w:p>
    <w:p w14:paraId="1F7A8747" w14:textId="77777777" w:rsidR="007A677B" w:rsidRDefault="007A677B" w:rsidP="00C9710D">
      <w:pPr>
        <w:pStyle w:val="ListParagraph"/>
        <w:numPr>
          <w:ilvl w:val="0"/>
          <w:numId w:val="27"/>
        </w:numPr>
        <w:rPr>
          <w:rFonts w:cs="Arial"/>
          <w:szCs w:val="24"/>
        </w:rPr>
      </w:pPr>
      <w:r w:rsidRPr="007A677B">
        <w:rPr>
          <w:rFonts w:cs="Arial"/>
          <w:szCs w:val="24"/>
        </w:rPr>
        <w:t>A</w:t>
      </w:r>
      <w:r w:rsidR="00226104" w:rsidRPr="007A677B">
        <w:rPr>
          <w:rFonts w:cs="Arial"/>
          <w:szCs w:val="24"/>
        </w:rPr>
        <w:t xml:space="preserve"> number of stakeholder events have taken place including </w:t>
      </w:r>
      <w:r w:rsidR="00226104" w:rsidRPr="007A677B">
        <w:rPr>
          <w:rFonts w:cs="Arial"/>
          <w:color w:val="0D0D0D" w:themeColor="text1" w:themeTint="F2"/>
          <w:szCs w:val="24"/>
        </w:rPr>
        <w:t xml:space="preserve">the TPARG event, to discuss progress with MDC. This provided the opportunity for employers to voice potential enhancements </w:t>
      </w:r>
      <w:r w:rsidR="00226104" w:rsidRPr="007A677B">
        <w:rPr>
          <w:rFonts w:cs="Arial"/>
          <w:szCs w:val="24"/>
        </w:rPr>
        <w:t>or amendments to the solution. This has enabled Teachers’ Pensions to improve the process further</w:t>
      </w:r>
      <w:r w:rsidRPr="007A677B">
        <w:rPr>
          <w:rFonts w:cs="Arial"/>
          <w:szCs w:val="24"/>
        </w:rPr>
        <w:t xml:space="preserve"> and a </w:t>
      </w:r>
      <w:r>
        <w:rPr>
          <w:rFonts w:cs="Arial"/>
          <w:szCs w:val="24"/>
        </w:rPr>
        <w:t>n</w:t>
      </w:r>
      <w:r w:rsidR="00C9710D" w:rsidRPr="00623D44">
        <w:rPr>
          <w:rFonts w:cs="Arial"/>
          <w:szCs w:val="24"/>
        </w:rPr>
        <w:t>umber of enhancements have been installed to improve the overall effectiveness and efficiencies of MDC. These include:</w:t>
      </w:r>
      <w:r>
        <w:rPr>
          <w:rFonts w:cs="Arial"/>
          <w:szCs w:val="24"/>
        </w:rPr>
        <w:t>-</w:t>
      </w:r>
    </w:p>
    <w:p w14:paraId="3AA46112" w14:textId="77777777" w:rsidR="00C9710D" w:rsidRPr="00623D44" w:rsidRDefault="00C9710D" w:rsidP="00AE5264">
      <w:pPr>
        <w:pStyle w:val="ListParagraph"/>
        <w:rPr>
          <w:rFonts w:cs="Arial"/>
          <w:szCs w:val="24"/>
        </w:rPr>
      </w:pPr>
      <w:r w:rsidRPr="00623D44">
        <w:rPr>
          <w:rFonts w:cs="Arial"/>
          <w:szCs w:val="24"/>
        </w:rPr>
        <w:t xml:space="preserve"> </w:t>
      </w:r>
    </w:p>
    <w:p w14:paraId="4F2CC4CF" w14:textId="77777777" w:rsidR="00C9710D" w:rsidRPr="00623D44" w:rsidRDefault="00C9710D" w:rsidP="00C9710D">
      <w:pPr>
        <w:pStyle w:val="ListParagraph"/>
        <w:numPr>
          <w:ilvl w:val="0"/>
          <w:numId w:val="31"/>
        </w:numPr>
        <w:rPr>
          <w:rFonts w:cs="Arial"/>
          <w:szCs w:val="24"/>
        </w:rPr>
      </w:pPr>
      <w:r w:rsidRPr="00623D44">
        <w:rPr>
          <w:rFonts w:cs="Arial"/>
          <w:szCs w:val="24"/>
        </w:rPr>
        <w:t>Completion of a Monthly Data Collection Enhancements project (January 2018) which includes improved validation within the MDC submission to advance data quality.</w:t>
      </w:r>
    </w:p>
    <w:p w14:paraId="038707CE" w14:textId="77777777" w:rsidR="00C9710D" w:rsidRPr="00623D44" w:rsidRDefault="00C9710D" w:rsidP="00C9710D">
      <w:pPr>
        <w:pStyle w:val="ListParagraph"/>
        <w:numPr>
          <w:ilvl w:val="0"/>
          <w:numId w:val="31"/>
        </w:numPr>
        <w:rPr>
          <w:rFonts w:cs="Arial"/>
          <w:szCs w:val="24"/>
        </w:rPr>
      </w:pPr>
      <w:r w:rsidRPr="00623D44">
        <w:rPr>
          <w:rFonts w:cs="Arial"/>
          <w:szCs w:val="24"/>
        </w:rPr>
        <w:t>Progression of the MDC Reminder and Checklist functionality to offer improved data assurance to Teachers’ Pensions and the DfE with regards to missing service and overall data quality.</w:t>
      </w:r>
    </w:p>
    <w:p w14:paraId="6E430BB3" w14:textId="77777777" w:rsidR="0015281A" w:rsidRPr="00623D44" w:rsidRDefault="0015281A" w:rsidP="00AE5264">
      <w:pPr>
        <w:pStyle w:val="ListParagraph"/>
        <w:rPr>
          <w:rFonts w:cs="Arial"/>
          <w:szCs w:val="24"/>
        </w:rPr>
      </w:pPr>
    </w:p>
    <w:p w14:paraId="1D24D621" w14:textId="77777777" w:rsidR="00D066B5" w:rsidRPr="00623D44" w:rsidRDefault="00D066B5" w:rsidP="00F44D2C">
      <w:pPr>
        <w:rPr>
          <w:rFonts w:cs="Arial"/>
          <w:szCs w:val="24"/>
        </w:rPr>
      </w:pPr>
    </w:p>
    <w:p w14:paraId="29376C75" w14:textId="77777777" w:rsidR="00F47586" w:rsidRPr="00623D44" w:rsidRDefault="00F47586" w:rsidP="00F44D2C">
      <w:pPr>
        <w:rPr>
          <w:rFonts w:cs="Arial"/>
          <w:b/>
          <w:color w:val="FF0000"/>
          <w:szCs w:val="24"/>
        </w:rPr>
      </w:pPr>
      <w:r w:rsidRPr="00623D44">
        <w:rPr>
          <w:rFonts w:cs="Arial"/>
          <w:b/>
          <w:szCs w:val="24"/>
        </w:rPr>
        <w:t>Guaranteed Minimum Pension Reconciliation</w:t>
      </w:r>
    </w:p>
    <w:p w14:paraId="4E488E62" w14:textId="77777777" w:rsidR="00F44D2C" w:rsidRDefault="00F44D2C" w:rsidP="00F44D2C">
      <w:pPr>
        <w:pStyle w:val="DeptBullets"/>
        <w:numPr>
          <w:ilvl w:val="0"/>
          <w:numId w:val="0"/>
        </w:numPr>
        <w:spacing w:after="0"/>
        <w:rPr>
          <w:rFonts w:cs="Arial"/>
          <w:szCs w:val="24"/>
        </w:rPr>
      </w:pPr>
    </w:p>
    <w:p w14:paraId="508B2330" w14:textId="77777777" w:rsidR="007A677B" w:rsidRDefault="00F44D2C" w:rsidP="00F44D2C">
      <w:pPr>
        <w:pStyle w:val="DeptBullets"/>
        <w:numPr>
          <w:ilvl w:val="0"/>
          <w:numId w:val="27"/>
        </w:numPr>
        <w:spacing w:after="0"/>
        <w:rPr>
          <w:rFonts w:cs="Arial"/>
          <w:szCs w:val="24"/>
        </w:rPr>
      </w:pPr>
      <w:r w:rsidRPr="00C44077">
        <w:rPr>
          <w:rFonts w:cs="Arial"/>
          <w:szCs w:val="24"/>
        </w:rPr>
        <w:t xml:space="preserve">Work by TP on the GMP reconciliation exercise </w:t>
      </w:r>
      <w:r>
        <w:rPr>
          <w:rFonts w:cs="Arial"/>
          <w:szCs w:val="24"/>
        </w:rPr>
        <w:t xml:space="preserve">continues to progress </w:t>
      </w:r>
      <w:r w:rsidR="00A52AD9">
        <w:rPr>
          <w:rFonts w:cs="Arial"/>
          <w:szCs w:val="24"/>
        </w:rPr>
        <w:t xml:space="preserve">well </w:t>
      </w:r>
      <w:r w:rsidR="00A52AD9" w:rsidRPr="00C44077">
        <w:rPr>
          <w:rFonts w:cs="Arial"/>
          <w:szCs w:val="24"/>
        </w:rPr>
        <w:t>project</w:t>
      </w:r>
      <w:r>
        <w:rPr>
          <w:rFonts w:cs="Arial"/>
          <w:szCs w:val="24"/>
        </w:rPr>
        <w:t xml:space="preserve"> has been amended </w:t>
      </w:r>
      <w:r w:rsidR="007A677B">
        <w:rPr>
          <w:rFonts w:cs="Arial"/>
          <w:szCs w:val="24"/>
        </w:rPr>
        <w:t xml:space="preserve">downwards </w:t>
      </w:r>
      <w:r>
        <w:rPr>
          <w:rFonts w:cs="Arial"/>
          <w:szCs w:val="24"/>
        </w:rPr>
        <w:t>to Amber</w:t>
      </w:r>
      <w:r w:rsidR="007A677B">
        <w:rPr>
          <w:rFonts w:cs="Arial"/>
          <w:szCs w:val="24"/>
        </w:rPr>
        <w:t xml:space="preserve">, reflecting that the position on actions in respect of </w:t>
      </w:r>
      <w:r>
        <w:rPr>
          <w:rFonts w:cs="Arial"/>
          <w:szCs w:val="24"/>
        </w:rPr>
        <w:t>overpayment</w:t>
      </w:r>
      <w:r w:rsidR="007A677B">
        <w:rPr>
          <w:rFonts w:cs="Arial"/>
          <w:szCs w:val="24"/>
        </w:rPr>
        <w:t>s is clearer</w:t>
      </w:r>
      <w:r w:rsidRPr="00C44077">
        <w:rPr>
          <w:rFonts w:cs="Arial"/>
          <w:szCs w:val="24"/>
        </w:rPr>
        <w:t xml:space="preserve">. </w:t>
      </w:r>
    </w:p>
    <w:p w14:paraId="04D1BD43" w14:textId="77777777" w:rsidR="007A677B" w:rsidRDefault="007A677B" w:rsidP="00AE5264">
      <w:pPr>
        <w:pStyle w:val="DeptBullets"/>
        <w:numPr>
          <w:ilvl w:val="0"/>
          <w:numId w:val="0"/>
        </w:numPr>
        <w:spacing w:after="0"/>
        <w:ind w:left="720"/>
        <w:rPr>
          <w:rFonts w:cs="Arial"/>
          <w:szCs w:val="24"/>
        </w:rPr>
      </w:pPr>
    </w:p>
    <w:p w14:paraId="7D565820" w14:textId="77777777" w:rsidR="00F44D2C" w:rsidRPr="00C44077" w:rsidRDefault="00F44D2C" w:rsidP="00F44D2C">
      <w:pPr>
        <w:pStyle w:val="DeptBullets"/>
        <w:numPr>
          <w:ilvl w:val="0"/>
          <w:numId w:val="27"/>
        </w:numPr>
        <w:spacing w:after="0"/>
        <w:rPr>
          <w:rFonts w:cs="Arial"/>
          <w:szCs w:val="24"/>
        </w:rPr>
      </w:pPr>
      <w:r>
        <w:rPr>
          <w:rFonts w:cs="Arial"/>
          <w:szCs w:val="24"/>
        </w:rPr>
        <w:t>A full analysis of data has taken place following receipt of a data set from HMRC at the end of December and further data sets will be requested to monitor changes in the data.</w:t>
      </w:r>
      <w:r w:rsidRPr="00C44077">
        <w:rPr>
          <w:rFonts w:cs="Arial"/>
          <w:szCs w:val="24"/>
        </w:rPr>
        <w:t xml:space="preserve">  The total number of members to reconcile will therefore continue to fluctuate as the data is reanalysed.  </w:t>
      </w:r>
    </w:p>
    <w:p w14:paraId="747FCAF1" w14:textId="77777777" w:rsidR="00F44D2C" w:rsidRPr="00C44077" w:rsidRDefault="00F44D2C" w:rsidP="00F44D2C">
      <w:pPr>
        <w:contextualSpacing/>
        <w:rPr>
          <w:rFonts w:cs="Arial"/>
          <w:szCs w:val="24"/>
        </w:rPr>
      </w:pPr>
    </w:p>
    <w:p w14:paraId="6599818D" w14:textId="77777777" w:rsidR="00F44D2C" w:rsidRPr="00C44077" w:rsidRDefault="00F44D2C" w:rsidP="00F44D2C">
      <w:pPr>
        <w:pStyle w:val="ListParagraph"/>
        <w:numPr>
          <w:ilvl w:val="0"/>
          <w:numId w:val="27"/>
        </w:numPr>
        <w:rPr>
          <w:rFonts w:cs="Arial"/>
          <w:szCs w:val="24"/>
        </w:rPr>
      </w:pPr>
      <w:r w:rsidRPr="00C44077">
        <w:rPr>
          <w:rFonts w:cs="Arial"/>
          <w:szCs w:val="24"/>
        </w:rPr>
        <w:t xml:space="preserve">TP have analysed </w:t>
      </w:r>
      <w:r>
        <w:rPr>
          <w:rFonts w:cs="Arial"/>
          <w:szCs w:val="24"/>
        </w:rPr>
        <w:t>436</w:t>
      </w:r>
      <w:r w:rsidRPr="00C44077">
        <w:rPr>
          <w:rFonts w:cs="Arial"/>
          <w:szCs w:val="24"/>
        </w:rPr>
        <w:t>k Def/Pen</w:t>
      </w:r>
      <w:r w:rsidR="00C81404">
        <w:rPr>
          <w:rFonts w:cs="Arial"/>
          <w:szCs w:val="24"/>
        </w:rPr>
        <w:t xml:space="preserve"> (deferred/pensioner)</w:t>
      </w:r>
      <w:r w:rsidRPr="00C44077">
        <w:rPr>
          <w:rFonts w:cs="Arial"/>
          <w:szCs w:val="24"/>
        </w:rPr>
        <w:t xml:space="preserve"> and </w:t>
      </w:r>
      <w:r>
        <w:rPr>
          <w:rFonts w:cs="Arial"/>
          <w:szCs w:val="24"/>
        </w:rPr>
        <w:t xml:space="preserve">269k </w:t>
      </w:r>
      <w:r w:rsidRPr="00C44077">
        <w:rPr>
          <w:rFonts w:cs="Arial"/>
          <w:szCs w:val="24"/>
        </w:rPr>
        <w:t xml:space="preserve">Active cases to date, with </w:t>
      </w:r>
      <w:r>
        <w:rPr>
          <w:rFonts w:cs="Arial"/>
          <w:szCs w:val="24"/>
        </w:rPr>
        <w:t>273</w:t>
      </w:r>
      <w:r w:rsidRPr="00C44077">
        <w:rPr>
          <w:rFonts w:cs="Arial"/>
          <w:szCs w:val="24"/>
        </w:rPr>
        <w:t xml:space="preserve">k Def/Pen and </w:t>
      </w:r>
      <w:r>
        <w:rPr>
          <w:rFonts w:cs="Arial"/>
          <w:szCs w:val="24"/>
        </w:rPr>
        <w:t xml:space="preserve"> 256</w:t>
      </w:r>
      <w:r w:rsidRPr="00C44077">
        <w:rPr>
          <w:rFonts w:cs="Arial"/>
          <w:szCs w:val="24"/>
        </w:rPr>
        <w:t xml:space="preserve">k Active cases sent to HMRC for further consideration. </w:t>
      </w:r>
      <w:r>
        <w:rPr>
          <w:rFonts w:cs="Arial"/>
          <w:szCs w:val="24"/>
        </w:rPr>
        <w:t xml:space="preserve">All Def/Pen and 219k </w:t>
      </w:r>
      <w:r w:rsidR="00A52AD9">
        <w:rPr>
          <w:rFonts w:cs="Arial"/>
          <w:szCs w:val="24"/>
        </w:rPr>
        <w:t>active</w:t>
      </w:r>
      <w:r>
        <w:rPr>
          <w:rFonts w:cs="Arial"/>
          <w:szCs w:val="24"/>
        </w:rPr>
        <w:t xml:space="preserve"> queries have been returned to TP and are being analysed to </w:t>
      </w:r>
      <w:r w:rsidR="00A52AD9">
        <w:rPr>
          <w:rFonts w:cs="Arial"/>
          <w:szCs w:val="24"/>
        </w:rPr>
        <w:t>understand</w:t>
      </w:r>
      <w:r>
        <w:rPr>
          <w:rFonts w:cs="Arial"/>
          <w:szCs w:val="24"/>
        </w:rPr>
        <w:t xml:space="preserve"> follow up action required. </w:t>
      </w:r>
    </w:p>
    <w:p w14:paraId="4D0BDDC1" w14:textId="77777777" w:rsidR="00F44D2C" w:rsidRPr="00C44077" w:rsidRDefault="00F44D2C" w:rsidP="00F44D2C">
      <w:pPr>
        <w:rPr>
          <w:rFonts w:cs="Arial"/>
          <w:szCs w:val="24"/>
        </w:rPr>
      </w:pPr>
    </w:p>
    <w:p w14:paraId="5B4725A7" w14:textId="77777777" w:rsidR="00F44D2C" w:rsidRPr="00C44077" w:rsidRDefault="00F44D2C" w:rsidP="00F44D2C">
      <w:pPr>
        <w:pStyle w:val="ListParagraph"/>
        <w:numPr>
          <w:ilvl w:val="0"/>
          <w:numId w:val="27"/>
        </w:numPr>
        <w:rPr>
          <w:rFonts w:cs="Arial"/>
          <w:szCs w:val="24"/>
        </w:rPr>
      </w:pPr>
      <w:r>
        <w:rPr>
          <w:rFonts w:cs="Arial"/>
          <w:szCs w:val="24"/>
        </w:rPr>
        <w:t>Difficulties are still being experienced with HMRC referrals and delays in responses. Auto solutions created by HMRC have provided further data which now requires secondary investigation and may be subject to further referral.  Average response times are around 6 months and the deadline for TPS to log any further referrals is</w:t>
      </w:r>
      <w:r w:rsidR="000942A8">
        <w:rPr>
          <w:rFonts w:cs="Arial"/>
          <w:szCs w:val="24"/>
        </w:rPr>
        <w:t xml:space="preserve"> the</w:t>
      </w:r>
      <w:r>
        <w:rPr>
          <w:rFonts w:cs="Arial"/>
          <w:szCs w:val="24"/>
        </w:rPr>
        <w:t xml:space="preserve"> end </w:t>
      </w:r>
      <w:r w:rsidR="000942A8">
        <w:rPr>
          <w:rFonts w:cs="Arial"/>
          <w:szCs w:val="24"/>
        </w:rPr>
        <w:t xml:space="preserve">of </w:t>
      </w:r>
      <w:r>
        <w:rPr>
          <w:rFonts w:cs="Arial"/>
          <w:szCs w:val="24"/>
        </w:rPr>
        <w:t>October 2018.</w:t>
      </w:r>
    </w:p>
    <w:p w14:paraId="537C7120" w14:textId="77777777" w:rsidR="00F44D2C" w:rsidRPr="00C44077" w:rsidRDefault="00F44D2C" w:rsidP="00F44D2C">
      <w:pPr>
        <w:pStyle w:val="ListParagraph"/>
        <w:rPr>
          <w:rFonts w:cs="Arial"/>
          <w:szCs w:val="24"/>
        </w:rPr>
      </w:pPr>
    </w:p>
    <w:p w14:paraId="680CC352" w14:textId="77777777" w:rsidR="00F44D2C" w:rsidRPr="00C44077" w:rsidRDefault="00F44D2C" w:rsidP="00F44D2C">
      <w:pPr>
        <w:pStyle w:val="ListParagraph"/>
        <w:numPr>
          <w:ilvl w:val="0"/>
          <w:numId w:val="27"/>
        </w:numPr>
        <w:rPr>
          <w:rFonts w:cs="Arial"/>
          <w:szCs w:val="24"/>
        </w:rPr>
      </w:pPr>
      <w:r w:rsidRPr="00C44077">
        <w:rPr>
          <w:rFonts w:cs="Arial"/>
          <w:szCs w:val="24"/>
        </w:rPr>
        <w:t xml:space="preserve">TP </w:t>
      </w:r>
      <w:r>
        <w:rPr>
          <w:rFonts w:cs="Arial"/>
          <w:szCs w:val="24"/>
        </w:rPr>
        <w:t xml:space="preserve">continue to </w:t>
      </w:r>
      <w:r w:rsidR="00A52AD9">
        <w:rPr>
          <w:rFonts w:cs="Arial"/>
          <w:szCs w:val="24"/>
        </w:rPr>
        <w:t xml:space="preserve">work </w:t>
      </w:r>
      <w:r w:rsidR="00A52AD9" w:rsidRPr="00C44077">
        <w:rPr>
          <w:rFonts w:cs="Arial"/>
          <w:szCs w:val="24"/>
        </w:rPr>
        <w:t>closely</w:t>
      </w:r>
      <w:r w:rsidRPr="00C44077">
        <w:rPr>
          <w:rFonts w:cs="Arial"/>
          <w:szCs w:val="24"/>
        </w:rPr>
        <w:t xml:space="preserve"> with our HMRC colleagues to expedite queries where possible</w:t>
      </w:r>
      <w:r>
        <w:rPr>
          <w:rFonts w:cs="Arial"/>
          <w:szCs w:val="24"/>
        </w:rPr>
        <w:t>.</w:t>
      </w:r>
      <w:r w:rsidRPr="00C44077">
        <w:rPr>
          <w:rFonts w:cs="Arial"/>
          <w:szCs w:val="24"/>
        </w:rPr>
        <w:t> </w:t>
      </w:r>
      <w:r>
        <w:rPr>
          <w:rFonts w:cs="Arial"/>
          <w:szCs w:val="24"/>
        </w:rPr>
        <w:t xml:space="preserve"> HMRC </w:t>
      </w:r>
      <w:r w:rsidR="007A677B">
        <w:rPr>
          <w:rFonts w:cs="Arial"/>
          <w:szCs w:val="24"/>
        </w:rPr>
        <w:t xml:space="preserve">have now </w:t>
      </w:r>
      <w:r>
        <w:rPr>
          <w:rFonts w:cs="Arial"/>
          <w:szCs w:val="24"/>
        </w:rPr>
        <w:t>confirmed funding for running the auto solutions in 2018 and this was published at the end of January</w:t>
      </w:r>
      <w:r w:rsidRPr="00C44077">
        <w:rPr>
          <w:rFonts w:cs="Arial"/>
          <w:szCs w:val="24"/>
        </w:rPr>
        <w:t xml:space="preserve">.    </w:t>
      </w:r>
    </w:p>
    <w:p w14:paraId="4CAE13CE" w14:textId="77777777" w:rsidR="00F44D2C" w:rsidRPr="00C44077" w:rsidRDefault="00F44D2C" w:rsidP="00F44D2C">
      <w:pPr>
        <w:pStyle w:val="ListParagraph"/>
        <w:rPr>
          <w:rFonts w:cs="Arial"/>
          <w:szCs w:val="24"/>
        </w:rPr>
      </w:pPr>
    </w:p>
    <w:p w14:paraId="4D3A98B5" w14:textId="77777777" w:rsidR="00F44D2C" w:rsidRPr="00C44077" w:rsidRDefault="00F44D2C" w:rsidP="00F44D2C">
      <w:pPr>
        <w:pStyle w:val="ListParagraph"/>
        <w:numPr>
          <w:ilvl w:val="0"/>
          <w:numId w:val="27"/>
        </w:numPr>
        <w:rPr>
          <w:rFonts w:cs="Arial"/>
          <w:szCs w:val="24"/>
        </w:rPr>
      </w:pPr>
      <w:r>
        <w:rPr>
          <w:rFonts w:cs="Arial"/>
          <w:szCs w:val="24"/>
        </w:rPr>
        <w:lastRenderedPageBreak/>
        <w:t xml:space="preserve">Policy outcomes are now being confirmed and work is underway to prepare for the handling of under/overpayments.  Indexation/Equalisation decisions have been made and the current solution will continue until April ’21.  Further discussions are required to confirm the future view beyond that date. </w:t>
      </w:r>
    </w:p>
    <w:p w14:paraId="5C012D8C" w14:textId="77777777" w:rsidR="00F44D2C" w:rsidRPr="00C44077" w:rsidRDefault="00F44D2C" w:rsidP="00F44D2C">
      <w:pPr>
        <w:rPr>
          <w:rFonts w:cs="Arial"/>
          <w:szCs w:val="24"/>
        </w:rPr>
      </w:pPr>
    </w:p>
    <w:p w14:paraId="343D2CE0" w14:textId="77777777" w:rsidR="00D0438B" w:rsidRPr="00623D44" w:rsidRDefault="00D0438B" w:rsidP="00F44D2C">
      <w:pPr>
        <w:rPr>
          <w:rFonts w:cs="Arial"/>
          <w:b/>
          <w:szCs w:val="24"/>
        </w:rPr>
      </w:pPr>
      <w:r w:rsidRPr="00623D44">
        <w:rPr>
          <w:rFonts w:cs="Arial"/>
          <w:b/>
          <w:szCs w:val="24"/>
        </w:rPr>
        <w:t>Second Bite</w:t>
      </w:r>
      <w:r w:rsidR="00C1737A" w:rsidRPr="00623D44">
        <w:rPr>
          <w:rFonts w:cs="Arial"/>
          <w:b/>
          <w:szCs w:val="24"/>
        </w:rPr>
        <w:t xml:space="preserve"> PI</w:t>
      </w:r>
      <w:r w:rsidR="00A74397" w:rsidRPr="00623D44">
        <w:rPr>
          <w:rFonts w:cs="Arial"/>
          <w:b/>
          <w:szCs w:val="24"/>
        </w:rPr>
        <w:t xml:space="preserve"> </w:t>
      </w:r>
    </w:p>
    <w:p w14:paraId="29EF5F20" w14:textId="77777777" w:rsidR="00CB20FE" w:rsidRPr="00623D44" w:rsidRDefault="00CB20FE" w:rsidP="00F44D2C">
      <w:pPr>
        <w:rPr>
          <w:rFonts w:cs="Arial"/>
          <w:szCs w:val="24"/>
        </w:rPr>
      </w:pPr>
    </w:p>
    <w:p w14:paraId="5F21089E" w14:textId="77777777" w:rsidR="00FA5D2A" w:rsidRDefault="00FA5D2A" w:rsidP="00F44D2C">
      <w:pPr>
        <w:pStyle w:val="ListParagraph"/>
        <w:numPr>
          <w:ilvl w:val="0"/>
          <w:numId w:val="27"/>
        </w:numPr>
        <w:rPr>
          <w:rFonts w:cs="Arial"/>
          <w:color w:val="000000"/>
          <w:szCs w:val="24"/>
        </w:rPr>
      </w:pPr>
      <w:r w:rsidRPr="00623D44">
        <w:rPr>
          <w:rFonts w:cs="Arial"/>
          <w:color w:val="000000"/>
          <w:szCs w:val="24"/>
        </w:rPr>
        <w:t>All</w:t>
      </w:r>
      <w:r w:rsidR="00E754C0" w:rsidRPr="00623D44">
        <w:rPr>
          <w:rFonts w:cs="Arial"/>
          <w:color w:val="000000"/>
          <w:szCs w:val="24"/>
        </w:rPr>
        <w:t xml:space="preserve"> historic</w:t>
      </w:r>
      <w:r w:rsidRPr="00623D44">
        <w:rPr>
          <w:rFonts w:cs="Arial"/>
          <w:color w:val="000000"/>
          <w:szCs w:val="24"/>
        </w:rPr>
        <w:t xml:space="preserve"> Second Bite PI cases are now completed.</w:t>
      </w:r>
    </w:p>
    <w:p w14:paraId="115485DE" w14:textId="77777777" w:rsidR="00F44D2C" w:rsidRPr="00623D44" w:rsidRDefault="00F44D2C" w:rsidP="00F44D2C">
      <w:pPr>
        <w:pStyle w:val="ListParagraph"/>
        <w:rPr>
          <w:rFonts w:cs="Arial"/>
          <w:color w:val="000000"/>
          <w:szCs w:val="24"/>
        </w:rPr>
      </w:pPr>
    </w:p>
    <w:p w14:paraId="72A061C6" w14:textId="77777777" w:rsidR="00D0438B" w:rsidRPr="00623D44" w:rsidRDefault="00FA5D2A" w:rsidP="00F44D2C">
      <w:pPr>
        <w:pStyle w:val="ListParagraph"/>
        <w:numPr>
          <w:ilvl w:val="0"/>
          <w:numId w:val="27"/>
        </w:numPr>
        <w:rPr>
          <w:rFonts w:cs="Arial"/>
          <w:color w:val="000000"/>
          <w:szCs w:val="24"/>
        </w:rPr>
      </w:pPr>
      <w:r w:rsidRPr="00623D44">
        <w:rPr>
          <w:rFonts w:cs="Arial"/>
          <w:color w:val="000000"/>
          <w:szCs w:val="24"/>
        </w:rPr>
        <w:t>TP Operational team are now preparing for Second Bite PI 2018 cases</w:t>
      </w:r>
      <w:r w:rsidR="007A677B">
        <w:rPr>
          <w:rFonts w:cs="Arial"/>
          <w:color w:val="000000"/>
          <w:szCs w:val="24"/>
        </w:rPr>
        <w:t xml:space="preserve"> as part of business as usual and processes are in place to ensure this happens </w:t>
      </w:r>
      <w:r w:rsidR="000942A8">
        <w:rPr>
          <w:rFonts w:cs="Arial"/>
          <w:color w:val="000000"/>
          <w:szCs w:val="24"/>
        </w:rPr>
        <w:t xml:space="preserve">every </w:t>
      </w:r>
      <w:r w:rsidR="007A677B">
        <w:rPr>
          <w:rFonts w:cs="Arial"/>
          <w:color w:val="000000"/>
          <w:szCs w:val="24"/>
        </w:rPr>
        <w:t>year in future.  T</w:t>
      </w:r>
      <w:r w:rsidRPr="00623D44">
        <w:rPr>
          <w:rFonts w:cs="Arial"/>
          <w:color w:val="000000"/>
          <w:szCs w:val="24"/>
        </w:rPr>
        <w:t>his is being monitored via the Operational Service Delivery Group and the operational event calendar, and via SDB.</w:t>
      </w:r>
    </w:p>
    <w:p w14:paraId="0DD3D7C1" w14:textId="77777777" w:rsidR="00B371CF" w:rsidRPr="00623D44" w:rsidRDefault="00B371CF" w:rsidP="00F44D2C">
      <w:pPr>
        <w:rPr>
          <w:rFonts w:cs="Arial"/>
          <w:color w:val="000000"/>
          <w:szCs w:val="24"/>
        </w:rPr>
      </w:pPr>
    </w:p>
    <w:p w14:paraId="1308AD1B" w14:textId="77777777" w:rsidR="001C625C" w:rsidRPr="00623D44" w:rsidRDefault="0049732E" w:rsidP="00F44D2C">
      <w:pPr>
        <w:rPr>
          <w:rFonts w:cs="Arial"/>
          <w:b/>
          <w:bCs/>
          <w:color w:val="FF0000"/>
          <w:szCs w:val="24"/>
        </w:rPr>
      </w:pPr>
      <w:r w:rsidRPr="00623D44">
        <w:rPr>
          <w:rFonts w:cs="Arial"/>
          <w:b/>
          <w:bCs/>
          <w:szCs w:val="24"/>
        </w:rPr>
        <w:t>Employer Review</w:t>
      </w:r>
      <w:r w:rsidR="00AC67BB" w:rsidRPr="00623D44">
        <w:rPr>
          <w:rFonts w:cs="Arial"/>
          <w:b/>
          <w:bCs/>
          <w:szCs w:val="24"/>
        </w:rPr>
        <w:t xml:space="preserve"> </w:t>
      </w:r>
    </w:p>
    <w:p w14:paraId="4EE59BCE" w14:textId="77777777" w:rsidR="001C625C" w:rsidRPr="00623D44" w:rsidRDefault="001C625C" w:rsidP="00F44D2C">
      <w:pPr>
        <w:rPr>
          <w:rFonts w:cs="Arial"/>
          <w:bCs/>
          <w:color w:val="FF0000"/>
          <w:szCs w:val="24"/>
        </w:rPr>
      </w:pPr>
    </w:p>
    <w:p w14:paraId="5997141D" w14:textId="77777777" w:rsidR="00AC67BB" w:rsidRPr="00623D44" w:rsidRDefault="00AC67BB" w:rsidP="00F44D2C">
      <w:pPr>
        <w:pStyle w:val="ListParagraph"/>
        <w:numPr>
          <w:ilvl w:val="0"/>
          <w:numId w:val="27"/>
        </w:numPr>
        <w:rPr>
          <w:rFonts w:cs="Arial"/>
          <w:bCs/>
          <w:szCs w:val="24"/>
        </w:rPr>
      </w:pPr>
      <w:r w:rsidRPr="00623D44">
        <w:rPr>
          <w:rFonts w:cs="Arial"/>
          <w:bCs/>
          <w:szCs w:val="24"/>
        </w:rPr>
        <w:t xml:space="preserve">Starter and Leaver Project continues to run as BAU for all employers. Where Teachers’ Pensions are informed of starters, leavers or member movements, relevant communications are issued automatically to ensure scheme information is cascaded effectively. </w:t>
      </w:r>
    </w:p>
    <w:p w14:paraId="13EB740E" w14:textId="77777777" w:rsidR="00AC67BB" w:rsidRPr="00623D44" w:rsidRDefault="00AC67BB" w:rsidP="00623D44">
      <w:pPr>
        <w:rPr>
          <w:rFonts w:cs="Arial"/>
          <w:bCs/>
          <w:szCs w:val="24"/>
        </w:rPr>
      </w:pPr>
    </w:p>
    <w:p w14:paraId="4ACFF68E" w14:textId="77777777" w:rsidR="00AC67BB" w:rsidRPr="00623D44" w:rsidRDefault="00AC67BB" w:rsidP="00623D44">
      <w:pPr>
        <w:pStyle w:val="ListParagraph"/>
        <w:numPr>
          <w:ilvl w:val="0"/>
          <w:numId w:val="27"/>
        </w:numPr>
        <w:rPr>
          <w:rFonts w:cs="Arial"/>
          <w:bCs/>
          <w:szCs w:val="24"/>
        </w:rPr>
      </w:pPr>
      <w:r w:rsidRPr="00623D44">
        <w:rPr>
          <w:rFonts w:cs="Arial"/>
          <w:bCs/>
          <w:szCs w:val="24"/>
        </w:rPr>
        <w:t xml:space="preserve">An improvement has been added to this process to notify employers of circumstances where Teachers’ Pensions have been unable to issue a pack via My Pension Online (MPO), therefore, cannot confirm that the information has been absorbed. This provides additional assurance and action for employers, to ensure members are informed. </w:t>
      </w:r>
    </w:p>
    <w:p w14:paraId="27328BA4" w14:textId="77777777" w:rsidR="00AC67BB" w:rsidRPr="00623D44" w:rsidRDefault="00AC67BB" w:rsidP="00623D44">
      <w:pPr>
        <w:rPr>
          <w:rFonts w:cs="Arial"/>
          <w:bCs/>
          <w:szCs w:val="24"/>
        </w:rPr>
      </w:pPr>
    </w:p>
    <w:p w14:paraId="5923D530" w14:textId="77777777" w:rsidR="00AC67BB" w:rsidRPr="00623D44" w:rsidRDefault="00AC67BB" w:rsidP="00623D44">
      <w:pPr>
        <w:pStyle w:val="ListParagraph"/>
        <w:numPr>
          <w:ilvl w:val="0"/>
          <w:numId w:val="27"/>
        </w:numPr>
        <w:rPr>
          <w:rFonts w:cs="Arial"/>
          <w:bCs/>
          <w:szCs w:val="24"/>
        </w:rPr>
      </w:pPr>
      <w:r w:rsidRPr="00623D44">
        <w:rPr>
          <w:rFonts w:cs="Arial"/>
          <w:bCs/>
          <w:szCs w:val="24"/>
        </w:rPr>
        <w:t>T</w:t>
      </w:r>
      <w:r w:rsidRPr="00623D44">
        <w:rPr>
          <w:rFonts w:cs="Arial"/>
          <w:szCs w:val="24"/>
        </w:rPr>
        <w:t xml:space="preserve">he MPO employer report launched in mid July 2017 has continued to provide benefits on a weekly basis. MPO registrations increase by an average of </w:t>
      </w:r>
      <w:r w:rsidR="006C446A">
        <w:rPr>
          <w:rFonts w:cs="Arial"/>
          <w:szCs w:val="24"/>
        </w:rPr>
        <w:t>500</w:t>
      </w:r>
      <w:r w:rsidRPr="00623D44">
        <w:rPr>
          <w:rFonts w:cs="Arial"/>
          <w:szCs w:val="24"/>
        </w:rPr>
        <w:t xml:space="preserve"> per week. Due to the simplicity of the extract and the ease for employers to provide their members with the registration process, the project is providing positive results. </w:t>
      </w:r>
    </w:p>
    <w:p w14:paraId="4EB67EA2" w14:textId="77777777" w:rsidR="00031995" w:rsidRPr="00623D44" w:rsidRDefault="00031995" w:rsidP="00623D44">
      <w:pPr>
        <w:pStyle w:val="ListParagraph"/>
        <w:rPr>
          <w:rFonts w:cs="Arial"/>
          <w:bCs/>
          <w:szCs w:val="24"/>
        </w:rPr>
      </w:pPr>
    </w:p>
    <w:p w14:paraId="4A24F1C8" w14:textId="77777777" w:rsidR="00031995" w:rsidRPr="00623D44" w:rsidRDefault="00031995" w:rsidP="00623D44">
      <w:pPr>
        <w:ind w:left="360"/>
        <w:rPr>
          <w:rFonts w:cs="Arial"/>
          <w:b/>
          <w:bCs/>
          <w:szCs w:val="24"/>
        </w:rPr>
      </w:pPr>
      <w:r w:rsidRPr="00623D44">
        <w:rPr>
          <w:rFonts w:cs="Arial"/>
          <w:b/>
          <w:bCs/>
          <w:szCs w:val="24"/>
        </w:rPr>
        <w:t>MDC2/Risk Based Assurance</w:t>
      </w:r>
    </w:p>
    <w:p w14:paraId="065C52D6" w14:textId="77777777" w:rsidR="00AC67BB" w:rsidRPr="00623D44" w:rsidRDefault="00AC67BB" w:rsidP="00623D44">
      <w:pPr>
        <w:rPr>
          <w:rFonts w:cs="Arial"/>
          <w:bCs/>
          <w:szCs w:val="24"/>
        </w:rPr>
      </w:pPr>
    </w:p>
    <w:p w14:paraId="1EE292AB" w14:textId="77777777" w:rsidR="00031995" w:rsidRPr="00623D44" w:rsidRDefault="00031995" w:rsidP="00623D44">
      <w:pPr>
        <w:pStyle w:val="ListParagraph"/>
        <w:numPr>
          <w:ilvl w:val="0"/>
          <w:numId w:val="27"/>
        </w:numPr>
        <w:rPr>
          <w:rFonts w:cs="Arial"/>
          <w:bCs/>
          <w:szCs w:val="24"/>
        </w:rPr>
      </w:pPr>
      <w:r w:rsidRPr="00623D44">
        <w:rPr>
          <w:rFonts w:cs="Arial"/>
          <w:szCs w:val="24"/>
        </w:rPr>
        <w:t>T</w:t>
      </w:r>
      <w:r w:rsidR="00AC67BB" w:rsidRPr="00623D44">
        <w:rPr>
          <w:rFonts w:cs="Arial"/>
          <w:szCs w:val="24"/>
        </w:rPr>
        <w:t xml:space="preserve">his </w:t>
      </w:r>
      <w:r w:rsidRPr="00623D44">
        <w:rPr>
          <w:rFonts w:cs="Arial"/>
          <w:szCs w:val="24"/>
        </w:rPr>
        <w:t xml:space="preserve">project </w:t>
      </w:r>
      <w:r w:rsidR="00AC67BB" w:rsidRPr="00623D44">
        <w:rPr>
          <w:rFonts w:cs="Arial"/>
          <w:szCs w:val="24"/>
        </w:rPr>
        <w:t>addresses the risk around the proliferation of employers and how that affects data quality. </w:t>
      </w:r>
      <w:r w:rsidRPr="00623D44" w:rsidDel="00031995">
        <w:rPr>
          <w:rFonts w:cs="Arial"/>
          <w:szCs w:val="24"/>
        </w:rPr>
        <w:t xml:space="preserve"> </w:t>
      </w:r>
      <w:r w:rsidR="00AC67BB" w:rsidRPr="00623D44">
        <w:rPr>
          <w:rFonts w:cs="Arial"/>
          <w:bCs/>
          <w:szCs w:val="24"/>
        </w:rPr>
        <w:t xml:space="preserve">The project is in the initiation stage, with a formal Project Brief and Project Plan in development. Monthly Steering Groups are also held to update progress to the Project Board. </w:t>
      </w:r>
      <w:r w:rsidR="00CF114B" w:rsidRPr="00623D44">
        <w:rPr>
          <w:rFonts w:cs="Arial"/>
          <w:bCs/>
          <w:szCs w:val="24"/>
        </w:rPr>
        <w:t xml:space="preserve">This is a significant project and consideration is being made regarding whether all aspects should be delivered at the same time.  </w:t>
      </w:r>
    </w:p>
    <w:p w14:paraId="75216310" w14:textId="77777777" w:rsidR="00031995" w:rsidRPr="00623D44" w:rsidRDefault="00031995" w:rsidP="00623D44">
      <w:pPr>
        <w:pStyle w:val="ListParagraph"/>
        <w:rPr>
          <w:rFonts w:cs="Arial"/>
          <w:bCs/>
          <w:szCs w:val="24"/>
        </w:rPr>
      </w:pPr>
    </w:p>
    <w:p w14:paraId="1CE25ED1" w14:textId="77777777" w:rsidR="00AC67BB" w:rsidRPr="00623D44" w:rsidRDefault="00AC67BB" w:rsidP="00623D44">
      <w:pPr>
        <w:pStyle w:val="ListParagraph"/>
        <w:numPr>
          <w:ilvl w:val="0"/>
          <w:numId w:val="27"/>
        </w:numPr>
        <w:rPr>
          <w:rFonts w:cs="Arial"/>
          <w:bCs/>
          <w:szCs w:val="24"/>
        </w:rPr>
      </w:pPr>
      <w:r w:rsidRPr="00623D44">
        <w:rPr>
          <w:rFonts w:cs="Arial"/>
          <w:bCs/>
          <w:szCs w:val="24"/>
        </w:rPr>
        <w:t>Key activities regarding MDC Phase 2 are:</w:t>
      </w:r>
    </w:p>
    <w:p w14:paraId="335C3119" w14:textId="77777777" w:rsidR="00AC67BB" w:rsidRPr="00623D44" w:rsidRDefault="00AC67BB" w:rsidP="00623D44">
      <w:pPr>
        <w:pStyle w:val="ListParagraph"/>
        <w:numPr>
          <w:ilvl w:val="0"/>
          <w:numId w:val="29"/>
        </w:numPr>
        <w:rPr>
          <w:rFonts w:cs="Arial"/>
          <w:bCs/>
          <w:szCs w:val="24"/>
        </w:rPr>
      </w:pPr>
      <w:r w:rsidRPr="00623D44">
        <w:rPr>
          <w:rFonts w:cs="Arial"/>
          <w:bCs/>
          <w:szCs w:val="24"/>
        </w:rPr>
        <w:t>Agreement from the Project Board as to delivery dates.</w:t>
      </w:r>
    </w:p>
    <w:p w14:paraId="72D45642" w14:textId="77777777" w:rsidR="00AC67BB" w:rsidRPr="00623D44" w:rsidRDefault="00AC67BB" w:rsidP="00623D44">
      <w:pPr>
        <w:pStyle w:val="ListParagraph"/>
        <w:numPr>
          <w:ilvl w:val="0"/>
          <w:numId w:val="29"/>
        </w:numPr>
        <w:rPr>
          <w:rFonts w:cs="Arial"/>
          <w:bCs/>
          <w:szCs w:val="24"/>
        </w:rPr>
      </w:pPr>
      <w:r w:rsidRPr="00623D44">
        <w:rPr>
          <w:rFonts w:cs="Arial"/>
          <w:bCs/>
          <w:szCs w:val="24"/>
        </w:rPr>
        <w:t>The introduction and functionality of an optional Direct Debit Process.</w:t>
      </w:r>
    </w:p>
    <w:p w14:paraId="56FE1B6F" w14:textId="77777777" w:rsidR="00AC67BB" w:rsidRPr="00623D44" w:rsidRDefault="00AC67BB" w:rsidP="00623D44">
      <w:pPr>
        <w:pStyle w:val="ListParagraph"/>
        <w:numPr>
          <w:ilvl w:val="0"/>
          <w:numId w:val="29"/>
        </w:numPr>
        <w:rPr>
          <w:rFonts w:cs="Arial"/>
          <w:bCs/>
          <w:szCs w:val="24"/>
        </w:rPr>
      </w:pPr>
      <w:r w:rsidRPr="00623D44">
        <w:rPr>
          <w:rFonts w:cs="Arial"/>
          <w:bCs/>
          <w:szCs w:val="24"/>
        </w:rPr>
        <w:t>The ‘new’ MDC template and how that incorporates additional data fields (contributions data, refunds, back dated pay values etc.)</w:t>
      </w:r>
    </w:p>
    <w:p w14:paraId="6D6F5C18" w14:textId="77777777" w:rsidR="00AC67BB" w:rsidRPr="00623D44" w:rsidRDefault="00AC67BB" w:rsidP="00623D44">
      <w:pPr>
        <w:pStyle w:val="ListParagraph"/>
        <w:numPr>
          <w:ilvl w:val="0"/>
          <w:numId w:val="29"/>
        </w:numPr>
        <w:rPr>
          <w:rFonts w:cs="Arial"/>
          <w:bCs/>
          <w:szCs w:val="24"/>
        </w:rPr>
      </w:pPr>
      <w:r w:rsidRPr="00623D44">
        <w:rPr>
          <w:rFonts w:cs="Arial"/>
          <w:bCs/>
          <w:szCs w:val="24"/>
        </w:rPr>
        <w:t>Payment deadline extended to the 15</w:t>
      </w:r>
      <w:r w:rsidR="00DF6E69" w:rsidRPr="00DF6E69">
        <w:rPr>
          <w:rFonts w:cs="Arial"/>
          <w:bCs/>
          <w:szCs w:val="24"/>
          <w:vertAlign w:val="superscript"/>
        </w:rPr>
        <w:t>th</w:t>
      </w:r>
      <w:r w:rsidR="00DF6E69">
        <w:rPr>
          <w:rFonts w:cs="Arial"/>
          <w:bCs/>
          <w:szCs w:val="24"/>
        </w:rPr>
        <w:t xml:space="preserve"> </w:t>
      </w:r>
      <w:r w:rsidRPr="00623D44">
        <w:rPr>
          <w:rFonts w:cs="Arial"/>
          <w:bCs/>
          <w:szCs w:val="24"/>
        </w:rPr>
        <w:t>of the month (a key relaxation gained from HMT).</w:t>
      </w:r>
    </w:p>
    <w:p w14:paraId="642CFEB3" w14:textId="77777777" w:rsidR="00AC67BB" w:rsidRPr="00623D44" w:rsidRDefault="00AC67BB" w:rsidP="00623D44">
      <w:pPr>
        <w:pStyle w:val="ListParagraph"/>
        <w:numPr>
          <w:ilvl w:val="0"/>
          <w:numId w:val="29"/>
        </w:numPr>
        <w:rPr>
          <w:rFonts w:cs="Arial"/>
          <w:bCs/>
          <w:szCs w:val="24"/>
        </w:rPr>
      </w:pPr>
      <w:r w:rsidRPr="00623D44">
        <w:rPr>
          <w:rFonts w:cs="Arial"/>
          <w:bCs/>
          <w:szCs w:val="24"/>
        </w:rPr>
        <w:t>Reduc</w:t>
      </w:r>
      <w:r w:rsidR="000942A8">
        <w:rPr>
          <w:rFonts w:cs="Arial"/>
          <w:bCs/>
          <w:szCs w:val="24"/>
        </w:rPr>
        <w:t>ing</w:t>
      </w:r>
      <w:r w:rsidRPr="00623D44">
        <w:rPr>
          <w:rFonts w:cs="Arial"/>
          <w:bCs/>
          <w:szCs w:val="24"/>
        </w:rPr>
        <w:t xml:space="preserve"> the burden on employers to meet the objective of the </w:t>
      </w:r>
      <w:r w:rsidRPr="00623D44">
        <w:rPr>
          <w:rFonts w:cs="Arial"/>
          <w:bCs/>
          <w:szCs w:val="24"/>
        </w:rPr>
        <w:lastRenderedPageBreak/>
        <w:t>Employer Model Review</w:t>
      </w:r>
      <w:r w:rsidR="000942A8">
        <w:rPr>
          <w:rFonts w:cs="Arial"/>
          <w:bCs/>
          <w:szCs w:val="24"/>
        </w:rPr>
        <w:t>.</w:t>
      </w:r>
    </w:p>
    <w:p w14:paraId="2D340E24" w14:textId="77777777" w:rsidR="00AC67BB" w:rsidRPr="00623D44" w:rsidRDefault="00AC67BB" w:rsidP="00623D44">
      <w:pPr>
        <w:rPr>
          <w:rFonts w:cs="Arial"/>
          <w:szCs w:val="24"/>
        </w:rPr>
      </w:pPr>
    </w:p>
    <w:p w14:paraId="410F513F" w14:textId="77777777" w:rsidR="0049732E" w:rsidRPr="00623D44" w:rsidRDefault="00AC67BB" w:rsidP="00623D44">
      <w:pPr>
        <w:pStyle w:val="ListParagraph"/>
        <w:numPr>
          <w:ilvl w:val="0"/>
          <w:numId w:val="27"/>
        </w:numPr>
        <w:rPr>
          <w:rFonts w:cs="Arial"/>
          <w:szCs w:val="24"/>
        </w:rPr>
      </w:pPr>
      <w:r w:rsidRPr="00623D44">
        <w:rPr>
          <w:rFonts w:cs="Arial"/>
          <w:szCs w:val="24"/>
        </w:rPr>
        <w:t>Teachers’ Pensions have also completed the first stage of a contributions reconciliation activity. This includes performing analysis to gage an understanding of how contributions data and service data currently reconciles. This information is then to be used by a Business Analyst to formulate detailed Business Requirements to mitigate any variances from occurring in the future</w:t>
      </w:r>
      <w:r w:rsidR="00A52AD9">
        <w:rPr>
          <w:rFonts w:cs="Arial"/>
          <w:szCs w:val="24"/>
        </w:rPr>
        <w:t>.</w:t>
      </w:r>
    </w:p>
    <w:p w14:paraId="03ACB362" w14:textId="77777777" w:rsidR="00AC67BB" w:rsidRPr="00623D44" w:rsidRDefault="00AC67BB" w:rsidP="00623D44">
      <w:pPr>
        <w:rPr>
          <w:rFonts w:cs="Arial"/>
          <w:b/>
          <w:szCs w:val="24"/>
        </w:rPr>
      </w:pPr>
    </w:p>
    <w:p w14:paraId="136A73BF" w14:textId="77777777" w:rsidR="00FA6476" w:rsidRDefault="00590839" w:rsidP="00623D44">
      <w:pPr>
        <w:rPr>
          <w:rFonts w:cs="Arial"/>
          <w:b/>
          <w:szCs w:val="24"/>
        </w:rPr>
      </w:pPr>
      <w:r>
        <w:rPr>
          <w:rFonts w:cs="Arial"/>
          <w:b/>
          <w:szCs w:val="24"/>
        </w:rPr>
        <w:t>RMH Replacement</w:t>
      </w:r>
    </w:p>
    <w:p w14:paraId="75E72240" w14:textId="77777777" w:rsidR="00B776CC" w:rsidRDefault="00B776CC" w:rsidP="00B776CC">
      <w:pPr>
        <w:rPr>
          <w:rFonts w:cs="Arial"/>
          <w:szCs w:val="24"/>
        </w:rPr>
      </w:pPr>
    </w:p>
    <w:p w14:paraId="3F19F679" w14:textId="77777777" w:rsidR="00590839" w:rsidRPr="00B776CC" w:rsidRDefault="00590839" w:rsidP="00B776CC">
      <w:pPr>
        <w:pStyle w:val="ListParagraph"/>
        <w:numPr>
          <w:ilvl w:val="0"/>
          <w:numId w:val="27"/>
        </w:numPr>
        <w:rPr>
          <w:rFonts w:cs="Arial"/>
          <w:szCs w:val="24"/>
        </w:rPr>
      </w:pPr>
      <w:r w:rsidRPr="00B776CC">
        <w:rPr>
          <w:rFonts w:cs="Arial"/>
          <w:szCs w:val="24"/>
        </w:rPr>
        <w:t>A project has started to move from the current environment to a modern Cloud environment</w:t>
      </w:r>
      <w:r w:rsidR="002F3E2C" w:rsidRPr="00B776CC">
        <w:rPr>
          <w:rFonts w:cs="Arial"/>
          <w:szCs w:val="24"/>
        </w:rPr>
        <w:t xml:space="preserve">, Microsoft Azure.  This change is expected to deliver better system availability and </w:t>
      </w:r>
      <w:r w:rsidR="00A52AD9" w:rsidRPr="00B776CC">
        <w:rPr>
          <w:rFonts w:cs="Arial"/>
          <w:szCs w:val="24"/>
        </w:rPr>
        <w:t>resilience</w:t>
      </w:r>
      <w:r w:rsidR="002F3E2C" w:rsidRPr="00B776CC">
        <w:rPr>
          <w:rFonts w:cs="Arial"/>
          <w:szCs w:val="24"/>
        </w:rPr>
        <w:t xml:space="preserve"> by moving away from the specialised arrangement in place to support the current environment.  IT Security aspects are key and the Security Working Group is fully sighted of the project.  </w:t>
      </w:r>
      <w:r w:rsidR="007A677B">
        <w:rPr>
          <w:rFonts w:cs="Arial"/>
          <w:szCs w:val="24"/>
        </w:rPr>
        <w:t xml:space="preserve">Delivery is being managed via a </w:t>
      </w:r>
      <w:r w:rsidR="006F2A49">
        <w:rPr>
          <w:rFonts w:cs="Arial"/>
          <w:szCs w:val="24"/>
        </w:rPr>
        <w:t>specific project board reporting through the normal governance structure, including SDB.  Progress is on track against c</w:t>
      </w:r>
      <w:r w:rsidR="002F3E2C" w:rsidRPr="00B776CC">
        <w:rPr>
          <w:rFonts w:cs="Arial"/>
          <w:szCs w:val="24"/>
        </w:rPr>
        <w:t>urrent plans</w:t>
      </w:r>
      <w:r w:rsidR="006F2A49">
        <w:rPr>
          <w:rFonts w:cs="Arial"/>
          <w:szCs w:val="24"/>
        </w:rPr>
        <w:t>, which a</w:t>
      </w:r>
      <w:r w:rsidR="002F3E2C" w:rsidRPr="00B776CC">
        <w:rPr>
          <w:rFonts w:cs="Arial"/>
          <w:szCs w:val="24"/>
        </w:rPr>
        <w:t>re ambitious</w:t>
      </w:r>
      <w:r w:rsidR="006F2A49">
        <w:rPr>
          <w:rFonts w:cs="Arial"/>
          <w:szCs w:val="24"/>
        </w:rPr>
        <w:t xml:space="preserve"> and aim </w:t>
      </w:r>
      <w:r w:rsidR="002F3E2C" w:rsidRPr="00B776CC">
        <w:rPr>
          <w:rFonts w:cs="Arial"/>
          <w:szCs w:val="24"/>
        </w:rPr>
        <w:t xml:space="preserve">to deliver the change before the expected summer </w:t>
      </w:r>
      <w:r w:rsidR="00A52AD9" w:rsidRPr="00B776CC">
        <w:rPr>
          <w:rFonts w:cs="Arial"/>
          <w:szCs w:val="24"/>
        </w:rPr>
        <w:t>retirements</w:t>
      </w:r>
      <w:r w:rsidR="002F3E2C" w:rsidRPr="00B776CC">
        <w:rPr>
          <w:rFonts w:cs="Arial"/>
          <w:szCs w:val="24"/>
        </w:rPr>
        <w:t xml:space="preserve"> peak</w:t>
      </w:r>
      <w:r w:rsidR="006F2A49">
        <w:rPr>
          <w:rFonts w:cs="Arial"/>
          <w:szCs w:val="24"/>
        </w:rPr>
        <w:t>.  S</w:t>
      </w:r>
      <w:r w:rsidR="002F3E2C" w:rsidRPr="00B776CC">
        <w:rPr>
          <w:rFonts w:cs="Arial"/>
          <w:szCs w:val="24"/>
        </w:rPr>
        <w:t>hould this not be possible the implementation will</w:t>
      </w:r>
      <w:r w:rsidR="006F2A49">
        <w:rPr>
          <w:rFonts w:cs="Arial"/>
          <w:szCs w:val="24"/>
        </w:rPr>
        <w:t xml:space="preserve"> be delayed to </w:t>
      </w:r>
      <w:r w:rsidR="002F3E2C" w:rsidRPr="00B776CC">
        <w:rPr>
          <w:rFonts w:cs="Arial"/>
          <w:szCs w:val="24"/>
        </w:rPr>
        <w:t>avoid th</w:t>
      </w:r>
      <w:r w:rsidR="006F2A49">
        <w:rPr>
          <w:rFonts w:cs="Arial"/>
          <w:szCs w:val="24"/>
        </w:rPr>
        <w:t xml:space="preserve">is peak </w:t>
      </w:r>
      <w:r w:rsidR="002F3E2C" w:rsidRPr="00B776CC">
        <w:rPr>
          <w:rFonts w:cs="Arial"/>
          <w:szCs w:val="24"/>
        </w:rPr>
        <w:t>time.</w:t>
      </w:r>
    </w:p>
    <w:p w14:paraId="6211584C" w14:textId="77777777" w:rsidR="00623D44" w:rsidRDefault="00623D44" w:rsidP="00623D44">
      <w:pPr>
        <w:rPr>
          <w:rFonts w:cs="Arial"/>
          <w:b/>
          <w:szCs w:val="24"/>
        </w:rPr>
      </w:pPr>
    </w:p>
    <w:p w14:paraId="4E753B5E" w14:textId="77777777" w:rsidR="00E81CFF" w:rsidRPr="00623D44" w:rsidRDefault="005935FE" w:rsidP="00623D44">
      <w:pPr>
        <w:rPr>
          <w:rFonts w:cs="Arial"/>
          <w:b/>
          <w:color w:val="FF0000"/>
          <w:szCs w:val="24"/>
        </w:rPr>
      </w:pPr>
      <w:r w:rsidRPr="00623D44">
        <w:rPr>
          <w:rFonts w:cs="Arial"/>
          <w:b/>
          <w:szCs w:val="24"/>
        </w:rPr>
        <w:t>Data Strategy</w:t>
      </w:r>
      <w:r w:rsidR="006D18D6" w:rsidRPr="00623D44">
        <w:rPr>
          <w:rFonts w:cs="Arial"/>
          <w:b/>
          <w:color w:val="FF0000"/>
          <w:szCs w:val="24"/>
        </w:rPr>
        <w:t xml:space="preserve"> </w:t>
      </w:r>
    </w:p>
    <w:p w14:paraId="0273643D" w14:textId="77777777" w:rsidR="0049732E" w:rsidRPr="00623D44" w:rsidRDefault="0049732E" w:rsidP="00623D44">
      <w:pPr>
        <w:rPr>
          <w:rFonts w:cs="Arial"/>
          <w:szCs w:val="24"/>
        </w:rPr>
      </w:pPr>
    </w:p>
    <w:p w14:paraId="1FD91888" w14:textId="77777777" w:rsidR="004E2B5C" w:rsidRPr="00623D44" w:rsidRDefault="004E2B5C" w:rsidP="00623D44">
      <w:pPr>
        <w:pStyle w:val="ListParagraph"/>
        <w:numPr>
          <w:ilvl w:val="0"/>
          <w:numId w:val="27"/>
        </w:numPr>
        <w:rPr>
          <w:rFonts w:cs="Arial"/>
          <w:szCs w:val="24"/>
        </w:rPr>
      </w:pPr>
      <w:r w:rsidRPr="00623D44">
        <w:rPr>
          <w:rFonts w:cs="Arial"/>
          <w:szCs w:val="24"/>
        </w:rPr>
        <w:t>MDC continues to progress well with almost 9,000 employers now live or onboarding. This means that data is now updated monthly for over 650,000 members. TP remain on track for this to be the only means of submission of data by employers before the end of the scheme year, March 2018</w:t>
      </w:r>
      <w:r w:rsidR="006F2A49">
        <w:rPr>
          <w:rFonts w:cs="Arial"/>
          <w:szCs w:val="24"/>
        </w:rPr>
        <w:t xml:space="preserve"> – though some employers are likely to require support thereafter to enable them to comply</w:t>
      </w:r>
      <w:r w:rsidRPr="00623D44">
        <w:rPr>
          <w:rFonts w:cs="Arial"/>
          <w:szCs w:val="24"/>
        </w:rPr>
        <w:t>. A pilot exercise is now underway to automate routines to identify gaps in information and contact the employer to highlight any data issues. Once tested, this will be rolled out for all employers.</w:t>
      </w:r>
    </w:p>
    <w:p w14:paraId="668EDEDD" w14:textId="77777777" w:rsidR="004E2B5C" w:rsidRPr="00623D44" w:rsidRDefault="004E2B5C" w:rsidP="00623D44">
      <w:pPr>
        <w:pStyle w:val="ListParagraph"/>
        <w:rPr>
          <w:rFonts w:cs="Arial"/>
          <w:szCs w:val="24"/>
        </w:rPr>
      </w:pPr>
    </w:p>
    <w:p w14:paraId="1208C3BE" w14:textId="77777777" w:rsidR="004E2B5C" w:rsidRPr="00623D44" w:rsidRDefault="004E2B5C" w:rsidP="00623D44">
      <w:pPr>
        <w:pStyle w:val="ListParagraph"/>
        <w:numPr>
          <w:ilvl w:val="0"/>
          <w:numId w:val="27"/>
        </w:numPr>
        <w:rPr>
          <w:rFonts w:cs="Arial"/>
          <w:szCs w:val="24"/>
        </w:rPr>
      </w:pPr>
      <w:r w:rsidRPr="00623D44">
        <w:rPr>
          <w:rFonts w:cs="Arial"/>
          <w:szCs w:val="24"/>
        </w:rPr>
        <w:t xml:space="preserve">The focus on self-serve data checking via My Pension Online (MPO) continues with over 690,000 members with an MPO account. TP have focussed specifically on Active members during the period and continue to send a monthly report to employers, outlining their employees who do not have an MPO account and the benefits to both the employer and the member of having an account. This has generated over 13,000 member registrations since it has been running. </w:t>
      </w:r>
    </w:p>
    <w:p w14:paraId="754A025F" w14:textId="77777777" w:rsidR="00031995" w:rsidRPr="00623D44" w:rsidRDefault="00031995" w:rsidP="00623D44">
      <w:pPr>
        <w:pStyle w:val="ListParagraph"/>
        <w:rPr>
          <w:rFonts w:cs="Arial"/>
          <w:szCs w:val="24"/>
        </w:rPr>
      </w:pPr>
    </w:p>
    <w:p w14:paraId="3349F91D" w14:textId="77777777" w:rsidR="00031995" w:rsidRPr="00623D44" w:rsidRDefault="00031995" w:rsidP="00623D44">
      <w:pPr>
        <w:pStyle w:val="ListParagraph"/>
        <w:numPr>
          <w:ilvl w:val="0"/>
          <w:numId w:val="27"/>
        </w:numPr>
        <w:rPr>
          <w:rFonts w:cs="Arial"/>
          <w:szCs w:val="24"/>
        </w:rPr>
      </w:pPr>
      <w:r w:rsidRPr="00623D44">
        <w:rPr>
          <w:rFonts w:cs="Arial"/>
          <w:szCs w:val="24"/>
        </w:rPr>
        <w:t xml:space="preserve">Member Welcome/Leaver packs (again supporting </w:t>
      </w:r>
      <w:r w:rsidR="00A52AD9" w:rsidRPr="00623D44">
        <w:rPr>
          <w:rFonts w:cs="Arial"/>
          <w:szCs w:val="24"/>
        </w:rPr>
        <w:t>self-serve</w:t>
      </w:r>
      <w:r w:rsidRPr="00623D44">
        <w:rPr>
          <w:rFonts w:cs="Arial"/>
          <w:szCs w:val="24"/>
        </w:rPr>
        <w:t xml:space="preserve"> data checking) are now distributed by TP with over 80,000 issued since implementation in September</w:t>
      </w:r>
    </w:p>
    <w:p w14:paraId="37E69817" w14:textId="77777777" w:rsidR="001441D3" w:rsidRPr="00623D44" w:rsidRDefault="001441D3" w:rsidP="00623D44">
      <w:pPr>
        <w:rPr>
          <w:rFonts w:cs="Arial"/>
          <w:szCs w:val="24"/>
        </w:rPr>
      </w:pPr>
    </w:p>
    <w:p w14:paraId="246579EE" w14:textId="77777777" w:rsidR="00E81CFF" w:rsidRPr="00623D44" w:rsidRDefault="00E81CFF" w:rsidP="00623D44">
      <w:pPr>
        <w:pStyle w:val="ListParagraph"/>
        <w:numPr>
          <w:ilvl w:val="0"/>
          <w:numId w:val="27"/>
        </w:numPr>
        <w:rPr>
          <w:rFonts w:cs="Arial"/>
          <w:szCs w:val="24"/>
        </w:rPr>
      </w:pPr>
      <w:r w:rsidRPr="00623D44">
        <w:rPr>
          <w:rFonts w:cs="Arial"/>
          <w:szCs w:val="24"/>
        </w:rPr>
        <w:t xml:space="preserve">The project to trace deferred members continues </w:t>
      </w:r>
      <w:r w:rsidR="00954A19" w:rsidRPr="00623D44">
        <w:rPr>
          <w:rFonts w:cs="Arial"/>
          <w:szCs w:val="24"/>
        </w:rPr>
        <w:t>(as at January 2018, the project is at month 31 o</w:t>
      </w:r>
      <w:r w:rsidR="00E61BBD" w:rsidRPr="00623D44">
        <w:rPr>
          <w:rFonts w:cs="Arial"/>
          <w:szCs w:val="24"/>
        </w:rPr>
        <w:t>f</w:t>
      </w:r>
      <w:r w:rsidR="00954A19" w:rsidRPr="00623D44">
        <w:rPr>
          <w:rFonts w:cs="Arial"/>
          <w:szCs w:val="24"/>
        </w:rPr>
        <w:t xml:space="preserve"> 48).  O</w:t>
      </w:r>
      <w:r w:rsidRPr="00623D44">
        <w:rPr>
          <w:rFonts w:cs="Arial"/>
          <w:szCs w:val="24"/>
        </w:rPr>
        <w:t xml:space="preserve">ver </w:t>
      </w:r>
      <w:r w:rsidR="00705439" w:rsidRPr="00623D44">
        <w:rPr>
          <w:rFonts w:cs="Arial"/>
          <w:szCs w:val="24"/>
        </w:rPr>
        <w:t>95,</w:t>
      </w:r>
      <w:r w:rsidR="00954A19" w:rsidRPr="00623D44">
        <w:rPr>
          <w:rFonts w:cs="Arial"/>
          <w:szCs w:val="24"/>
        </w:rPr>
        <w:t>000</w:t>
      </w:r>
      <w:r w:rsidRPr="00623D44">
        <w:rPr>
          <w:rFonts w:cs="Arial"/>
          <w:szCs w:val="24"/>
        </w:rPr>
        <w:t xml:space="preserve"> members </w:t>
      </w:r>
      <w:r w:rsidR="00954A19" w:rsidRPr="00623D44">
        <w:rPr>
          <w:rFonts w:cs="Arial"/>
          <w:szCs w:val="24"/>
        </w:rPr>
        <w:t>have bee</w:t>
      </w:r>
      <w:r w:rsidR="00E61BBD" w:rsidRPr="00623D44">
        <w:rPr>
          <w:rFonts w:cs="Arial"/>
          <w:szCs w:val="24"/>
        </w:rPr>
        <w:t>n</w:t>
      </w:r>
      <w:r w:rsidR="00954A19" w:rsidRPr="00623D44">
        <w:rPr>
          <w:rFonts w:cs="Arial"/>
          <w:szCs w:val="24"/>
        </w:rPr>
        <w:t xml:space="preserve"> </w:t>
      </w:r>
      <w:r w:rsidRPr="00623D44">
        <w:rPr>
          <w:rFonts w:cs="Arial"/>
          <w:szCs w:val="24"/>
        </w:rPr>
        <w:t xml:space="preserve">successfully traced </w:t>
      </w:r>
      <w:r w:rsidR="00E61BBD" w:rsidRPr="00623D44">
        <w:rPr>
          <w:rFonts w:cs="Arial"/>
          <w:szCs w:val="24"/>
        </w:rPr>
        <w:t>as at the</w:t>
      </w:r>
      <w:r w:rsidRPr="00623D44">
        <w:rPr>
          <w:rFonts w:cs="Arial"/>
          <w:szCs w:val="24"/>
        </w:rPr>
        <w:t xml:space="preserve"> end</w:t>
      </w:r>
      <w:r w:rsidR="004D1372" w:rsidRPr="00623D44">
        <w:rPr>
          <w:rFonts w:cs="Arial"/>
          <w:szCs w:val="24"/>
        </w:rPr>
        <w:t xml:space="preserve"> of</w:t>
      </w:r>
      <w:r w:rsidRPr="00623D44">
        <w:rPr>
          <w:rFonts w:cs="Arial"/>
          <w:szCs w:val="24"/>
        </w:rPr>
        <w:t xml:space="preserve"> </w:t>
      </w:r>
      <w:r w:rsidR="00954A19" w:rsidRPr="00623D44">
        <w:rPr>
          <w:rFonts w:cs="Arial"/>
          <w:szCs w:val="24"/>
        </w:rPr>
        <w:t>January</w:t>
      </w:r>
      <w:r w:rsidRPr="00623D44">
        <w:rPr>
          <w:rFonts w:cs="Arial"/>
          <w:szCs w:val="24"/>
        </w:rPr>
        <w:t>.</w:t>
      </w:r>
    </w:p>
    <w:p w14:paraId="6403758D" w14:textId="77777777" w:rsidR="00996DAC" w:rsidRPr="00623D44" w:rsidRDefault="00996DAC" w:rsidP="00623D44">
      <w:pPr>
        <w:rPr>
          <w:rFonts w:cs="Arial"/>
          <w:szCs w:val="24"/>
        </w:rPr>
      </w:pPr>
    </w:p>
    <w:p w14:paraId="73C1971C" w14:textId="77777777" w:rsidR="00705439" w:rsidRDefault="00E81CFF" w:rsidP="00551966">
      <w:pPr>
        <w:pStyle w:val="ListParagraph"/>
        <w:numPr>
          <w:ilvl w:val="0"/>
          <w:numId w:val="27"/>
        </w:numPr>
        <w:rPr>
          <w:rFonts w:cs="Arial"/>
          <w:szCs w:val="24"/>
        </w:rPr>
      </w:pPr>
      <w:r w:rsidRPr="00623D44">
        <w:rPr>
          <w:rFonts w:cs="Arial"/>
          <w:szCs w:val="24"/>
        </w:rPr>
        <w:t>A project is underway to ensure compliance with the General Data Protection Regulation (GDPR).  This legislation beco</w:t>
      </w:r>
      <w:r w:rsidR="00623D44" w:rsidRPr="00623D44">
        <w:rPr>
          <w:rFonts w:cs="Arial"/>
          <w:szCs w:val="24"/>
        </w:rPr>
        <w:t>mes effective from 25 May 2018.</w:t>
      </w:r>
    </w:p>
    <w:tbl>
      <w:tblPr>
        <w:tblStyle w:val="TableGrid"/>
        <w:tblW w:w="0" w:type="auto"/>
        <w:tblInd w:w="108" w:type="dxa"/>
        <w:tblLook w:val="04A0" w:firstRow="1" w:lastRow="0" w:firstColumn="1" w:lastColumn="0" w:noHBand="0" w:noVBand="1"/>
      </w:tblPr>
      <w:tblGrid>
        <w:gridCol w:w="7230"/>
        <w:gridCol w:w="1134"/>
      </w:tblGrid>
      <w:tr w:rsidR="00E81CFF" w:rsidRPr="00623D44" w14:paraId="72C0F2D8" w14:textId="77777777" w:rsidTr="009A6007">
        <w:tc>
          <w:tcPr>
            <w:tcW w:w="7230" w:type="dxa"/>
            <w:shd w:val="clear" w:color="auto" w:fill="auto"/>
          </w:tcPr>
          <w:p w14:paraId="5645C8B7" w14:textId="77777777" w:rsidR="00E81CFF" w:rsidRPr="00623D44" w:rsidRDefault="00E81CFF" w:rsidP="00623D44">
            <w:pPr>
              <w:rPr>
                <w:rFonts w:cs="Arial"/>
                <w:b/>
                <w:szCs w:val="24"/>
              </w:rPr>
            </w:pPr>
            <w:r w:rsidRPr="00623D44">
              <w:rPr>
                <w:rFonts w:cs="Arial"/>
                <w:b/>
                <w:color w:val="000000"/>
                <w:szCs w:val="24"/>
                <w:lang w:eastAsia="en-GB"/>
              </w:rPr>
              <w:lastRenderedPageBreak/>
              <w:t>Reporting Breaches</w:t>
            </w:r>
            <w:r w:rsidR="0049732E" w:rsidRPr="00623D44">
              <w:rPr>
                <w:rFonts w:cs="Arial"/>
                <w:b/>
                <w:szCs w:val="24"/>
              </w:rPr>
              <w:tab/>
            </w:r>
          </w:p>
          <w:p w14:paraId="4E320745" w14:textId="77777777" w:rsidR="003E11C0" w:rsidRPr="00623D44" w:rsidRDefault="003E11C0" w:rsidP="00623D44">
            <w:pPr>
              <w:rPr>
                <w:rFonts w:cs="Arial"/>
                <w:b/>
                <w:szCs w:val="24"/>
              </w:rPr>
            </w:pPr>
          </w:p>
        </w:tc>
        <w:tc>
          <w:tcPr>
            <w:tcW w:w="1134" w:type="dxa"/>
            <w:shd w:val="clear" w:color="auto" w:fill="00B050"/>
          </w:tcPr>
          <w:p w14:paraId="704DC665" w14:textId="77777777" w:rsidR="00E81CFF" w:rsidRPr="00623D44" w:rsidRDefault="00E81CFF" w:rsidP="00623D44">
            <w:pPr>
              <w:rPr>
                <w:rFonts w:cs="Arial"/>
                <w:color w:val="FFC000"/>
                <w:szCs w:val="24"/>
              </w:rPr>
            </w:pPr>
            <w:r w:rsidRPr="00623D44">
              <w:rPr>
                <w:rFonts w:cs="Arial"/>
                <w:noProof/>
                <w:color w:val="00B050"/>
                <w:szCs w:val="24"/>
                <w:lang w:eastAsia="en-GB"/>
              </w:rPr>
              <mc:AlternateContent>
                <mc:Choice Requires="wps">
                  <w:drawing>
                    <wp:anchor distT="0" distB="0" distL="114300" distR="114300" simplePos="0" relativeHeight="251664896" behindDoc="0" locked="0" layoutInCell="1" allowOverlap="1" wp14:anchorId="1113785B" wp14:editId="32FCEC36">
                      <wp:simplePos x="0" y="0"/>
                      <wp:positionH relativeFrom="column">
                        <wp:posOffset>87630</wp:posOffset>
                      </wp:positionH>
                      <wp:positionV relativeFrom="paragraph">
                        <wp:posOffset>175895</wp:posOffset>
                      </wp:positionV>
                      <wp:extent cx="350520" cy="0"/>
                      <wp:effectExtent l="0" t="76200" r="30480" b="152400"/>
                      <wp:wrapNone/>
                      <wp:docPr id="8" name="Straight Arrow Connector 8"/>
                      <wp:cNvGraphicFramePr/>
                      <a:graphic xmlns:a="http://schemas.openxmlformats.org/drawingml/2006/main">
                        <a:graphicData uri="http://schemas.microsoft.com/office/word/2010/wordprocessingShape">
                          <wps:wsp>
                            <wps:cNvCnPr/>
                            <wps:spPr>
                              <a:xfrm>
                                <a:off x="0" y="0"/>
                                <a:ext cx="35052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D30ABF4" id="Straight Arrow Connector 8" o:spid="_x0000_s1026" type="#_x0000_t32" style="position:absolute;margin-left:6.9pt;margin-top:13.85pt;width:27.6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UR4HgIAADwEAAAOAAAAZHJzL2Uyb0RvYy54bWysU8GO2jAQvVfqP1i+lwS2VAgRVhV0e6la&#10;VLba82A7iSXHtsaGwN937ASWtrdVc3A8Hs/Me2/Gq8dzZ9hJYdDOVnw6KTlTVjipbVPxX89PHxac&#10;hQhWgnFWVfyiAn9cv3+36v1SzVzrjFTIKIkNy95XvI3RL4siiFZ1ECbOK0vO2mEHkUxsConQU/bO&#10;FLOy/FT0DqVHJ1QIdLodnHyd89e1EvFHXQcVmak4YYt5xbwe0lqsV7BsEHyrxQgD3oCiA22p6C3V&#10;FiKwI+p/UnVaoAuujhPhusLVtRYqcyA20/IvNvsWvMpcSJzgbzKF/5dWfD/tkGlZcWqUhY5atI8I&#10;umkj+4zoerZx1pKMDtkiqdX7sKSgjd3haAW/w0T9XGOX/kSKnbPCl5vC6hyZoMOHeTmfUR/E1VW8&#10;xnkM8atyHUubiocRxq3+NAsMp28hUmUKvAakotY9aWNyN41lfcVn849lKgQ0VLWBSNvOE81gG87A&#10;NDStImJOGZzRMoWnROESNgbZCWhgaM6k658JPGcGQiQHMcpfkoIg/BGa8GwhtENwdg3zFUGbL1ay&#10;ePGkLyRZx3hjU02VB5V4ZfmOUeG+lT07mCP+BMJMTBIXqZMuNPWDQVgSx2yhiy86tnlgkuiZCTaH&#10;G5V8bzgH41sYMD4sUvRIZbieabkrhmzdwStS+4eGp93ByUueg3xOI5rvj88pvYF7m/b3j379GwAA&#10;//8DAFBLAwQUAAYACAAAACEAInYgRNoAAAAHAQAADwAAAGRycy9kb3ducmV2LnhtbEyPy07DMBBF&#10;90j9B2sqsaMORSQQ4lS8pW4qEfgANx6S0Hgcxc6jfD2DWJTl0R3deybbzLYVI/a+caTgchWBQCqd&#10;aahS8PH+cnEDwgdNRreOUMERPWzyxVmmU+MmesOxCJXgEvKpVlCH0KVS+rJGq/3KdUicfbre6sDY&#10;V9L0euJy28p1FMXS6oZ4odYdPtZYHorBKvi2T/Rsx+vX4WuMt9Pu4RgdkkKp8+V8fwci4BxOx/Cr&#10;z+qQs9PeDWS8aJmv2DwoWCcJCM7jW35t/8cyz+R///wHAAD//wMAUEsBAi0AFAAGAAgAAAAhALaD&#10;OJL+AAAA4QEAABMAAAAAAAAAAAAAAAAAAAAAAFtDb250ZW50X1R5cGVzXS54bWxQSwECLQAUAAYA&#10;CAAAACEAOP0h/9YAAACUAQAACwAAAAAAAAAAAAAAAAAvAQAAX3JlbHMvLnJlbHNQSwECLQAUAAYA&#10;CAAAACEANIFEeB4CAAA8BAAADgAAAAAAAAAAAAAAAAAuAgAAZHJzL2Uyb0RvYy54bWxQSwECLQAU&#10;AAYACAAAACEAInYgRNoAAAAHAQAADwAAAAAAAAAAAAAAAAB4BAAAZHJzL2Rvd25yZXYueG1sUEsF&#10;BgAAAAAEAAQA8wAAAH8FAAAAAA==&#10;" strokecolor="windowText" strokeweight="2pt">
                      <v:stroke endarrow="open"/>
                      <v:shadow on="t" color="black" opacity="24903f" origin=",.5" offset="0,.55556mm"/>
                    </v:shape>
                  </w:pict>
                </mc:Fallback>
              </mc:AlternateContent>
            </w:r>
          </w:p>
        </w:tc>
      </w:tr>
    </w:tbl>
    <w:p w14:paraId="6F3146DF" w14:textId="77777777" w:rsidR="00E81CFF" w:rsidRPr="00623D44" w:rsidRDefault="00E81CFF" w:rsidP="00623D44">
      <w:pPr>
        <w:rPr>
          <w:rFonts w:cs="Arial"/>
          <w:szCs w:val="24"/>
        </w:rPr>
      </w:pPr>
    </w:p>
    <w:tbl>
      <w:tblPr>
        <w:tblW w:w="8791" w:type="dxa"/>
        <w:tblInd w:w="-140" w:type="dxa"/>
        <w:tblCellMar>
          <w:left w:w="0" w:type="dxa"/>
          <w:right w:w="0" w:type="dxa"/>
        </w:tblCellMar>
        <w:tblLook w:val="0420" w:firstRow="1" w:lastRow="0" w:firstColumn="0" w:lastColumn="0" w:noHBand="0" w:noVBand="1"/>
      </w:tblPr>
      <w:tblGrid>
        <w:gridCol w:w="2480"/>
        <w:gridCol w:w="6311"/>
      </w:tblGrid>
      <w:tr w:rsidR="00E81CFF" w:rsidRPr="00623D44" w14:paraId="17CFCBDB" w14:textId="77777777" w:rsidTr="009A6007">
        <w:trPr>
          <w:trHeight w:val="299"/>
        </w:trPr>
        <w:tc>
          <w:tcPr>
            <w:tcW w:w="248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5078C356" w14:textId="77777777" w:rsidR="00E81CFF" w:rsidRPr="00623D44" w:rsidRDefault="00E81CFF" w:rsidP="00623D44">
            <w:pPr>
              <w:rPr>
                <w:rFonts w:cs="Arial"/>
                <w:szCs w:val="24"/>
                <w:lang w:eastAsia="en-GB"/>
              </w:rPr>
            </w:pPr>
            <w:r w:rsidRPr="00623D44">
              <w:rPr>
                <w:rFonts w:cs="Arial"/>
                <w:bCs/>
                <w:color w:val="FFFFFF" w:themeColor="light1"/>
                <w:kern w:val="24"/>
                <w:szCs w:val="24"/>
                <w:lang w:eastAsia="en-GB"/>
              </w:rPr>
              <w:t>Subject Area</w:t>
            </w:r>
          </w:p>
        </w:tc>
        <w:tc>
          <w:tcPr>
            <w:tcW w:w="631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43EA8A7E" w14:textId="77777777" w:rsidR="00E81CFF" w:rsidRPr="00623D44" w:rsidRDefault="00E81CFF" w:rsidP="00623D44">
            <w:pPr>
              <w:rPr>
                <w:rFonts w:cs="Arial"/>
                <w:szCs w:val="24"/>
                <w:lang w:eastAsia="en-GB"/>
              </w:rPr>
            </w:pPr>
            <w:r w:rsidRPr="00623D44">
              <w:rPr>
                <w:rFonts w:cs="Arial"/>
                <w:bCs/>
                <w:color w:val="FFFFFF" w:themeColor="light1"/>
                <w:kern w:val="24"/>
                <w:szCs w:val="24"/>
                <w:lang w:eastAsia="en-GB"/>
              </w:rPr>
              <w:t>Typical Breaches</w:t>
            </w:r>
          </w:p>
        </w:tc>
      </w:tr>
      <w:tr w:rsidR="00E81CFF" w:rsidRPr="00623D44" w14:paraId="4B55DE14" w14:textId="77777777" w:rsidTr="009A6007">
        <w:trPr>
          <w:trHeight w:val="506"/>
        </w:trPr>
        <w:tc>
          <w:tcPr>
            <w:tcW w:w="24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9CC605C" w14:textId="77777777" w:rsidR="00E81CFF" w:rsidRPr="00623D44" w:rsidRDefault="00E81CFF" w:rsidP="00623D44">
            <w:pPr>
              <w:rPr>
                <w:rFonts w:eastAsiaTheme="minorEastAsia" w:cs="Arial"/>
                <w:bCs/>
                <w:color w:val="000000" w:themeColor="dark1"/>
                <w:kern w:val="24"/>
                <w:szCs w:val="24"/>
                <w:lang w:eastAsia="en-GB"/>
              </w:rPr>
            </w:pPr>
            <w:r w:rsidRPr="00623D44">
              <w:rPr>
                <w:rFonts w:eastAsiaTheme="minorEastAsia" w:cs="Arial"/>
                <w:bCs/>
                <w:color w:val="000000" w:themeColor="dark1"/>
                <w:kern w:val="24"/>
                <w:szCs w:val="24"/>
                <w:lang w:eastAsia="en-GB"/>
              </w:rPr>
              <w:t xml:space="preserve">Access to Data </w:t>
            </w:r>
          </w:p>
          <w:p w14:paraId="50996E0E" w14:textId="77777777" w:rsidR="00E81CFF" w:rsidRPr="00623D44" w:rsidRDefault="00E81CFF" w:rsidP="00623D44">
            <w:pPr>
              <w:rPr>
                <w:rFonts w:eastAsiaTheme="minorEastAsia" w:cs="Arial"/>
                <w:bCs/>
                <w:color w:val="000000" w:themeColor="dark1"/>
                <w:kern w:val="24"/>
                <w:szCs w:val="24"/>
                <w:lang w:eastAsia="en-GB"/>
              </w:rPr>
            </w:pPr>
          </w:p>
          <w:p w14:paraId="291FF79D" w14:textId="77777777" w:rsidR="00E81CFF" w:rsidRPr="00623D44" w:rsidRDefault="00470EF1" w:rsidP="00623D44">
            <w:pPr>
              <w:rPr>
                <w:rFonts w:cs="Arial"/>
                <w:szCs w:val="24"/>
                <w:lang w:eastAsia="en-GB"/>
              </w:rPr>
            </w:pPr>
            <w:r w:rsidRPr="00623D44">
              <w:rPr>
                <w:rFonts w:eastAsiaTheme="minorEastAsia" w:cs="Arial"/>
                <w:bCs/>
                <w:color w:val="000000" w:themeColor="dark1"/>
                <w:kern w:val="24"/>
                <w:szCs w:val="24"/>
                <w:lang w:eastAsia="en-GB"/>
              </w:rPr>
              <w:t>Occurrences in the 3 months to 31</w:t>
            </w:r>
            <w:r w:rsidRPr="00623D44">
              <w:rPr>
                <w:rFonts w:eastAsiaTheme="minorEastAsia" w:cs="Arial"/>
                <w:bCs/>
                <w:color w:val="000000" w:themeColor="dark1"/>
                <w:kern w:val="24"/>
                <w:szCs w:val="24"/>
                <w:vertAlign w:val="superscript"/>
                <w:lang w:eastAsia="en-GB"/>
              </w:rPr>
              <w:t>st</w:t>
            </w:r>
            <w:r w:rsidRPr="00623D44">
              <w:rPr>
                <w:rFonts w:eastAsiaTheme="minorEastAsia" w:cs="Arial"/>
                <w:bCs/>
                <w:color w:val="000000" w:themeColor="dark1"/>
                <w:kern w:val="24"/>
                <w:szCs w:val="24"/>
                <w:lang w:eastAsia="en-GB"/>
              </w:rPr>
              <w:t xml:space="preserve"> January 2018</w:t>
            </w:r>
            <w:r w:rsidR="00E81CFF" w:rsidRPr="00623D44">
              <w:rPr>
                <w:rFonts w:eastAsiaTheme="minorEastAsia" w:cs="Arial"/>
                <w:color w:val="000000" w:themeColor="dark1"/>
                <w:kern w:val="24"/>
                <w:szCs w:val="24"/>
                <w:lang w:eastAsia="en-GB"/>
              </w:rPr>
              <w:tab/>
            </w:r>
          </w:p>
        </w:tc>
        <w:tc>
          <w:tcPr>
            <w:tcW w:w="631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A6B046C" w14:textId="77777777" w:rsidR="00E81CFF" w:rsidRPr="00623D44" w:rsidRDefault="00E81CFF" w:rsidP="00623D44">
            <w:pPr>
              <w:rPr>
                <w:rFonts w:cs="Arial"/>
                <w:szCs w:val="24"/>
                <w:lang w:eastAsia="en-GB"/>
              </w:rPr>
            </w:pPr>
            <w:r w:rsidRPr="00623D44">
              <w:rPr>
                <w:rFonts w:eastAsiaTheme="minorEastAsia" w:cs="Arial"/>
                <w:color w:val="000000" w:themeColor="dark1"/>
                <w:kern w:val="24"/>
                <w:szCs w:val="24"/>
                <w:lang w:eastAsia="en-GB"/>
              </w:rPr>
              <w:t xml:space="preserve">  Unauthorised access to data; </w:t>
            </w:r>
          </w:p>
          <w:p w14:paraId="06957A88" w14:textId="77777777" w:rsidR="00E81CFF" w:rsidRPr="00623D44" w:rsidRDefault="00E81CFF" w:rsidP="00623D44">
            <w:pPr>
              <w:rPr>
                <w:rFonts w:cs="Arial"/>
                <w:szCs w:val="24"/>
                <w:lang w:eastAsia="en-GB"/>
              </w:rPr>
            </w:pPr>
            <w:r w:rsidRPr="00623D44">
              <w:rPr>
                <w:rFonts w:eastAsiaTheme="minorEastAsia" w:cs="Arial"/>
                <w:color w:val="000000" w:themeColor="dark1"/>
                <w:kern w:val="24"/>
                <w:szCs w:val="24"/>
                <w:lang w:eastAsia="en-GB"/>
              </w:rPr>
              <w:t xml:space="preserve">  Security/IS breaches. </w:t>
            </w:r>
            <w:r w:rsidRPr="00623D44">
              <w:rPr>
                <w:rFonts w:eastAsiaTheme="minorEastAsia" w:cs="Arial"/>
                <w:color w:val="000000" w:themeColor="dark1"/>
                <w:kern w:val="24"/>
                <w:szCs w:val="24"/>
                <w:lang w:eastAsia="en-GB"/>
              </w:rPr>
              <w:tab/>
            </w:r>
          </w:p>
          <w:p w14:paraId="2F8A57F9" w14:textId="77777777" w:rsidR="00E81CFF" w:rsidRPr="00623D44" w:rsidRDefault="00E81CFF" w:rsidP="00623D44">
            <w:pPr>
              <w:rPr>
                <w:rFonts w:cs="Arial"/>
                <w:szCs w:val="24"/>
                <w:lang w:eastAsia="en-GB"/>
              </w:rPr>
            </w:pPr>
          </w:p>
          <w:p w14:paraId="695DB782" w14:textId="77777777" w:rsidR="00E81CFF" w:rsidRPr="00623D44" w:rsidRDefault="00470EF1" w:rsidP="00C36B88">
            <w:pPr>
              <w:rPr>
                <w:rFonts w:cs="Arial"/>
                <w:szCs w:val="24"/>
                <w:lang w:eastAsia="en-GB"/>
              </w:rPr>
            </w:pPr>
            <w:r w:rsidRPr="00623D44">
              <w:rPr>
                <w:rFonts w:cs="Arial"/>
                <w:szCs w:val="24"/>
                <w:lang w:eastAsia="en-GB"/>
              </w:rPr>
              <w:t xml:space="preserve">1 instance of a potential external security issue </w:t>
            </w:r>
            <w:r w:rsidR="00E81CFF" w:rsidRPr="00623D44">
              <w:rPr>
                <w:rFonts w:cs="Arial"/>
                <w:szCs w:val="24"/>
                <w:lang w:eastAsia="en-GB"/>
              </w:rPr>
              <w:t xml:space="preserve"> </w:t>
            </w:r>
          </w:p>
        </w:tc>
      </w:tr>
      <w:tr w:rsidR="00E81CFF" w:rsidRPr="00623D44" w14:paraId="3BA5CB0F" w14:textId="77777777" w:rsidTr="009A6007">
        <w:trPr>
          <w:trHeight w:val="475"/>
        </w:trPr>
        <w:tc>
          <w:tcPr>
            <w:tcW w:w="24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83575AA" w14:textId="77777777" w:rsidR="00E81CFF" w:rsidRPr="00623D44" w:rsidRDefault="00E81CFF" w:rsidP="00623D44">
            <w:pPr>
              <w:rPr>
                <w:rFonts w:eastAsiaTheme="minorEastAsia" w:cs="Arial"/>
                <w:bCs/>
                <w:color w:val="000000" w:themeColor="dark1"/>
                <w:kern w:val="24"/>
                <w:szCs w:val="24"/>
                <w:lang w:eastAsia="en-GB"/>
              </w:rPr>
            </w:pPr>
            <w:r w:rsidRPr="00623D44">
              <w:rPr>
                <w:rFonts w:eastAsiaTheme="minorEastAsia" w:cs="Arial"/>
                <w:bCs/>
                <w:color w:val="000000" w:themeColor="dark1"/>
                <w:kern w:val="24"/>
                <w:szCs w:val="24"/>
                <w:lang w:eastAsia="en-GB"/>
              </w:rPr>
              <w:t xml:space="preserve">Disclosure of Data </w:t>
            </w:r>
          </w:p>
          <w:p w14:paraId="75EFD0C6" w14:textId="77777777" w:rsidR="00E81CFF" w:rsidRPr="00623D44" w:rsidRDefault="00E81CFF" w:rsidP="00623D44">
            <w:pPr>
              <w:rPr>
                <w:rFonts w:eastAsiaTheme="minorEastAsia" w:cs="Arial"/>
                <w:bCs/>
                <w:color w:val="000000" w:themeColor="dark1"/>
                <w:kern w:val="24"/>
                <w:szCs w:val="24"/>
                <w:lang w:eastAsia="en-GB"/>
              </w:rPr>
            </w:pPr>
          </w:p>
          <w:p w14:paraId="0C2929DA" w14:textId="77777777" w:rsidR="00E81CFF" w:rsidRPr="00623D44" w:rsidRDefault="00470EF1" w:rsidP="00623D44">
            <w:pPr>
              <w:rPr>
                <w:rFonts w:cs="Arial"/>
                <w:szCs w:val="24"/>
                <w:lang w:eastAsia="en-GB"/>
              </w:rPr>
            </w:pPr>
            <w:r w:rsidRPr="00623D44">
              <w:rPr>
                <w:rFonts w:eastAsiaTheme="minorEastAsia" w:cs="Arial"/>
                <w:bCs/>
                <w:color w:val="000000" w:themeColor="dark1"/>
                <w:kern w:val="24"/>
                <w:szCs w:val="24"/>
                <w:lang w:eastAsia="en-GB"/>
              </w:rPr>
              <w:t>Occurrences in the 3 months to 31</w:t>
            </w:r>
            <w:r w:rsidRPr="00623D44">
              <w:rPr>
                <w:rFonts w:eastAsiaTheme="minorEastAsia" w:cs="Arial"/>
                <w:bCs/>
                <w:color w:val="000000" w:themeColor="dark1"/>
                <w:kern w:val="24"/>
                <w:szCs w:val="24"/>
                <w:vertAlign w:val="superscript"/>
                <w:lang w:eastAsia="en-GB"/>
              </w:rPr>
              <w:t>st</w:t>
            </w:r>
            <w:r w:rsidRPr="00623D44">
              <w:rPr>
                <w:rFonts w:eastAsiaTheme="minorEastAsia" w:cs="Arial"/>
                <w:bCs/>
                <w:color w:val="000000" w:themeColor="dark1"/>
                <w:kern w:val="24"/>
                <w:szCs w:val="24"/>
                <w:lang w:eastAsia="en-GB"/>
              </w:rPr>
              <w:t xml:space="preserve"> January 2018</w:t>
            </w:r>
          </w:p>
        </w:tc>
        <w:tc>
          <w:tcPr>
            <w:tcW w:w="631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23755A8" w14:textId="77777777" w:rsidR="00470EF1" w:rsidRPr="00623D44" w:rsidRDefault="00470EF1" w:rsidP="00623D44">
            <w:pPr>
              <w:rPr>
                <w:rFonts w:cs="Arial"/>
                <w:szCs w:val="24"/>
                <w:lang w:eastAsia="en-GB"/>
              </w:rPr>
            </w:pPr>
            <w:r w:rsidRPr="00623D44">
              <w:rPr>
                <w:rFonts w:eastAsiaTheme="minorEastAsia" w:cs="Arial"/>
                <w:color w:val="000000" w:themeColor="dark1"/>
                <w:kern w:val="24"/>
                <w:szCs w:val="24"/>
                <w:lang w:eastAsia="en-GB"/>
              </w:rPr>
              <w:t xml:space="preserve">0 Unauthorised/inappropriate disclosure of data; </w:t>
            </w:r>
          </w:p>
          <w:p w14:paraId="3FDDD01E" w14:textId="77777777" w:rsidR="00470EF1" w:rsidRPr="00623D44" w:rsidRDefault="00470EF1" w:rsidP="00623D44">
            <w:pPr>
              <w:rPr>
                <w:rFonts w:cs="Arial"/>
                <w:szCs w:val="24"/>
                <w:lang w:eastAsia="en-GB"/>
              </w:rPr>
            </w:pPr>
            <w:r w:rsidRPr="00623D44">
              <w:rPr>
                <w:rFonts w:eastAsiaTheme="minorEastAsia" w:cs="Arial"/>
                <w:color w:val="000000" w:themeColor="dark1"/>
                <w:kern w:val="24"/>
                <w:szCs w:val="24"/>
                <w:lang w:eastAsia="en-GB"/>
              </w:rPr>
              <w:t xml:space="preserve">2 Disclosures of personal data to incorrect Data Subject; </w:t>
            </w:r>
          </w:p>
          <w:p w14:paraId="3B85F0AE" w14:textId="77777777" w:rsidR="00470EF1" w:rsidRPr="00623D44" w:rsidRDefault="00470EF1" w:rsidP="00623D44">
            <w:pPr>
              <w:rPr>
                <w:rFonts w:cs="Arial"/>
                <w:szCs w:val="24"/>
                <w:lang w:eastAsia="en-GB"/>
              </w:rPr>
            </w:pPr>
            <w:r w:rsidRPr="00623D44">
              <w:rPr>
                <w:rFonts w:eastAsiaTheme="minorEastAsia" w:cs="Arial"/>
                <w:color w:val="000000" w:themeColor="dark1"/>
                <w:kern w:val="24"/>
                <w:szCs w:val="24"/>
                <w:lang w:eastAsia="en-GB"/>
              </w:rPr>
              <w:t xml:space="preserve">0 Failure to verify identity before releasing information; </w:t>
            </w:r>
          </w:p>
          <w:p w14:paraId="1C6F1EA0" w14:textId="77777777" w:rsidR="00470EF1" w:rsidRPr="00623D44" w:rsidRDefault="00470EF1" w:rsidP="00623D44">
            <w:pPr>
              <w:rPr>
                <w:rFonts w:cs="Arial"/>
                <w:szCs w:val="24"/>
                <w:lang w:eastAsia="en-GB"/>
              </w:rPr>
            </w:pPr>
            <w:r w:rsidRPr="00623D44">
              <w:rPr>
                <w:rFonts w:eastAsiaTheme="minorEastAsia" w:cs="Arial"/>
                <w:color w:val="000000" w:themeColor="dark1"/>
                <w:kern w:val="24"/>
                <w:szCs w:val="24"/>
                <w:lang w:eastAsia="en-GB"/>
              </w:rPr>
              <w:t xml:space="preserve">0 Medical/sensitive information inappropriately disclosed; </w:t>
            </w:r>
          </w:p>
          <w:p w14:paraId="6DF6AAAD" w14:textId="77777777" w:rsidR="00470EF1" w:rsidRPr="00623D44" w:rsidRDefault="00470EF1" w:rsidP="00623D44">
            <w:pPr>
              <w:rPr>
                <w:rFonts w:cs="Arial"/>
                <w:szCs w:val="24"/>
                <w:lang w:eastAsia="en-GB"/>
              </w:rPr>
            </w:pPr>
            <w:r w:rsidRPr="00623D44">
              <w:rPr>
                <w:rFonts w:eastAsiaTheme="minorEastAsia" w:cs="Arial"/>
                <w:color w:val="000000" w:themeColor="dark1"/>
                <w:kern w:val="24"/>
                <w:szCs w:val="24"/>
                <w:lang w:eastAsia="en-GB"/>
              </w:rPr>
              <w:t xml:space="preserve">0 Selling personal data. </w:t>
            </w:r>
            <w:r w:rsidRPr="00623D44">
              <w:rPr>
                <w:rFonts w:eastAsiaTheme="minorEastAsia" w:cs="Arial"/>
                <w:color w:val="000000" w:themeColor="dark1"/>
                <w:kern w:val="24"/>
                <w:szCs w:val="24"/>
                <w:lang w:eastAsia="en-GB"/>
              </w:rPr>
              <w:tab/>
            </w:r>
          </w:p>
          <w:p w14:paraId="2AFEA4C9" w14:textId="77777777" w:rsidR="00470EF1" w:rsidRPr="00623D44" w:rsidRDefault="00470EF1" w:rsidP="00623D44">
            <w:pPr>
              <w:rPr>
                <w:rFonts w:cs="Arial"/>
                <w:szCs w:val="24"/>
                <w:lang w:eastAsia="en-GB"/>
              </w:rPr>
            </w:pPr>
          </w:p>
          <w:p w14:paraId="06048944" w14:textId="77777777" w:rsidR="00470EF1" w:rsidRPr="00623D44" w:rsidRDefault="00470EF1" w:rsidP="00623D44">
            <w:pPr>
              <w:rPr>
                <w:rFonts w:cs="Arial"/>
                <w:szCs w:val="24"/>
              </w:rPr>
            </w:pPr>
            <w:r w:rsidRPr="00623D44">
              <w:rPr>
                <w:rFonts w:cs="Arial"/>
                <w:szCs w:val="24"/>
              </w:rPr>
              <w:t xml:space="preserve">Included in the above are: </w:t>
            </w:r>
          </w:p>
          <w:p w14:paraId="7712ABCC" w14:textId="77777777" w:rsidR="00470EF1" w:rsidRPr="00623D44" w:rsidRDefault="00470EF1" w:rsidP="00623D44">
            <w:pPr>
              <w:rPr>
                <w:rFonts w:cs="Arial"/>
                <w:szCs w:val="24"/>
              </w:rPr>
            </w:pPr>
            <w:r w:rsidRPr="00623D44">
              <w:rPr>
                <w:rFonts w:cs="Arial"/>
                <w:szCs w:val="24"/>
              </w:rPr>
              <w:t>1 instance where incorrect information was enclosed with correspondence to a member.</w:t>
            </w:r>
          </w:p>
          <w:p w14:paraId="2255B6DC" w14:textId="77777777" w:rsidR="00470EF1" w:rsidRPr="00623D44" w:rsidRDefault="00470EF1" w:rsidP="00623D44">
            <w:pPr>
              <w:rPr>
                <w:rFonts w:cs="Arial"/>
                <w:szCs w:val="24"/>
              </w:rPr>
            </w:pPr>
            <w:r w:rsidRPr="00623D44">
              <w:rPr>
                <w:rFonts w:cs="Arial"/>
                <w:szCs w:val="24"/>
              </w:rPr>
              <w:t>1 instance where details of 54 members were issued to the incorrect employer.</w:t>
            </w:r>
          </w:p>
          <w:p w14:paraId="4D54D23D" w14:textId="77777777" w:rsidR="00470EF1" w:rsidRPr="00623D44" w:rsidRDefault="00470EF1" w:rsidP="00623D44">
            <w:pPr>
              <w:rPr>
                <w:rFonts w:cs="Arial"/>
                <w:szCs w:val="24"/>
                <w:lang w:eastAsia="en-GB"/>
              </w:rPr>
            </w:pPr>
          </w:p>
          <w:p w14:paraId="4A125077" w14:textId="77777777" w:rsidR="00E81CFF" w:rsidRPr="00623D44" w:rsidRDefault="00470EF1" w:rsidP="00623D44">
            <w:pPr>
              <w:rPr>
                <w:rFonts w:cs="Arial"/>
                <w:szCs w:val="24"/>
                <w:lang w:eastAsia="en-GB"/>
              </w:rPr>
            </w:pPr>
            <w:r w:rsidRPr="00623D44">
              <w:rPr>
                <w:rFonts w:cs="Arial"/>
                <w:szCs w:val="24"/>
                <w:lang w:eastAsia="en-GB"/>
              </w:rPr>
              <w:t>Both instances were as a result of human error. Feedback has been delivered/improved controls implemented as appropriate.</w:t>
            </w:r>
          </w:p>
        </w:tc>
      </w:tr>
      <w:tr w:rsidR="00E81CFF" w:rsidRPr="00623D44" w14:paraId="146B866D" w14:textId="77777777" w:rsidTr="009A6007">
        <w:trPr>
          <w:trHeight w:val="973"/>
        </w:trPr>
        <w:tc>
          <w:tcPr>
            <w:tcW w:w="24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26BD284" w14:textId="77777777" w:rsidR="00E81CFF" w:rsidRPr="00623D44" w:rsidRDefault="00E81CFF" w:rsidP="00623D44">
            <w:pPr>
              <w:rPr>
                <w:rFonts w:eastAsiaTheme="minorEastAsia" w:cs="Arial"/>
                <w:color w:val="000000" w:themeColor="dark1"/>
                <w:kern w:val="24"/>
                <w:szCs w:val="24"/>
                <w:lang w:eastAsia="en-GB"/>
              </w:rPr>
            </w:pPr>
            <w:r w:rsidRPr="00623D44">
              <w:rPr>
                <w:rFonts w:eastAsiaTheme="minorEastAsia" w:cs="Arial"/>
                <w:bCs/>
                <w:color w:val="000000" w:themeColor="dark1"/>
                <w:kern w:val="24"/>
                <w:szCs w:val="24"/>
                <w:lang w:eastAsia="en-GB"/>
              </w:rPr>
              <w:t xml:space="preserve">Processing of Data </w:t>
            </w:r>
            <w:r w:rsidRPr="00623D44">
              <w:rPr>
                <w:rFonts w:eastAsiaTheme="minorEastAsia" w:cs="Arial"/>
                <w:color w:val="000000" w:themeColor="dark1"/>
                <w:kern w:val="24"/>
                <w:szCs w:val="24"/>
                <w:lang w:eastAsia="en-GB"/>
              </w:rPr>
              <w:tab/>
            </w:r>
          </w:p>
          <w:p w14:paraId="5D780A83" w14:textId="77777777" w:rsidR="00470EF1" w:rsidRPr="00623D44" w:rsidRDefault="00470EF1" w:rsidP="00623D44">
            <w:pPr>
              <w:rPr>
                <w:rFonts w:eastAsiaTheme="minorEastAsia" w:cs="Arial"/>
                <w:bCs/>
                <w:color w:val="000000" w:themeColor="dark1"/>
                <w:kern w:val="24"/>
                <w:szCs w:val="24"/>
                <w:lang w:eastAsia="en-GB"/>
              </w:rPr>
            </w:pPr>
          </w:p>
          <w:p w14:paraId="61382765" w14:textId="77777777" w:rsidR="00E81CFF" w:rsidRPr="00623D44" w:rsidRDefault="00470EF1" w:rsidP="00623D44">
            <w:pPr>
              <w:rPr>
                <w:rFonts w:cs="Arial"/>
                <w:szCs w:val="24"/>
                <w:lang w:eastAsia="en-GB"/>
              </w:rPr>
            </w:pPr>
            <w:r w:rsidRPr="00623D44">
              <w:rPr>
                <w:rFonts w:eastAsiaTheme="minorEastAsia" w:cs="Arial"/>
                <w:bCs/>
                <w:color w:val="000000" w:themeColor="dark1"/>
                <w:kern w:val="24"/>
                <w:szCs w:val="24"/>
                <w:lang w:eastAsia="en-GB"/>
              </w:rPr>
              <w:t>Occurrences in the 3 months to 31</w:t>
            </w:r>
            <w:r w:rsidRPr="00623D44">
              <w:rPr>
                <w:rFonts w:eastAsiaTheme="minorEastAsia" w:cs="Arial"/>
                <w:bCs/>
                <w:color w:val="000000" w:themeColor="dark1"/>
                <w:kern w:val="24"/>
                <w:szCs w:val="24"/>
                <w:vertAlign w:val="superscript"/>
                <w:lang w:eastAsia="en-GB"/>
              </w:rPr>
              <w:t>st</w:t>
            </w:r>
            <w:r w:rsidRPr="00623D44">
              <w:rPr>
                <w:rFonts w:eastAsiaTheme="minorEastAsia" w:cs="Arial"/>
                <w:bCs/>
                <w:color w:val="000000" w:themeColor="dark1"/>
                <w:kern w:val="24"/>
                <w:szCs w:val="24"/>
                <w:lang w:eastAsia="en-GB"/>
              </w:rPr>
              <w:t xml:space="preserve"> January 2018</w:t>
            </w:r>
          </w:p>
        </w:tc>
        <w:tc>
          <w:tcPr>
            <w:tcW w:w="631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24C256F" w14:textId="77777777" w:rsidR="00E81CFF" w:rsidRPr="00623D44" w:rsidRDefault="00E81CFF" w:rsidP="00623D44">
            <w:pPr>
              <w:rPr>
                <w:rFonts w:cs="Arial"/>
                <w:szCs w:val="24"/>
                <w:lang w:eastAsia="en-GB"/>
              </w:rPr>
            </w:pPr>
            <w:r w:rsidRPr="00623D44">
              <w:rPr>
                <w:rFonts w:eastAsiaTheme="minorEastAsia" w:cs="Arial"/>
                <w:color w:val="000000" w:themeColor="dark1"/>
                <w:kern w:val="24"/>
                <w:szCs w:val="24"/>
                <w:lang w:eastAsia="en-GB"/>
              </w:rPr>
              <w:t xml:space="preserve"> Misuse of data; </w:t>
            </w:r>
          </w:p>
          <w:p w14:paraId="7E44E1B2" w14:textId="77777777" w:rsidR="00E81CFF" w:rsidRPr="00623D44" w:rsidRDefault="00E81CFF" w:rsidP="00623D44">
            <w:pPr>
              <w:rPr>
                <w:rFonts w:cs="Arial"/>
                <w:szCs w:val="24"/>
                <w:lang w:eastAsia="en-GB"/>
              </w:rPr>
            </w:pPr>
            <w:r w:rsidRPr="00623D44">
              <w:rPr>
                <w:rFonts w:eastAsiaTheme="minorEastAsia" w:cs="Arial"/>
                <w:color w:val="000000" w:themeColor="dark1"/>
                <w:kern w:val="24"/>
                <w:szCs w:val="24"/>
                <w:lang w:eastAsia="en-GB"/>
              </w:rPr>
              <w:t xml:space="preserve"> Removal of data without permission; </w:t>
            </w:r>
          </w:p>
          <w:p w14:paraId="339369B8" w14:textId="77777777" w:rsidR="00E81CFF" w:rsidRPr="00623D44" w:rsidRDefault="00E81CFF" w:rsidP="00623D44">
            <w:pPr>
              <w:rPr>
                <w:rFonts w:cs="Arial"/>
                <w:szCs w:val="24"/>
                <w:lang w:eastAsia="en-GB"/>
              </w:rPr>
            </w:pPr>
            <w:r w:rsidRPr="00623D44">
              <w:rPr>
                <w:rFonts w:eastAsiaTheme="minorEastAsia" w:cs="Arial"/>
                <w:color w:val="000000" w:themeColor="dark1"/>
                <w:kern w:val="24"/>
                <w:szCs w:val="24"/>
                <w:lang w:eastAsia="en-GB"/>
              </w:rPr>
              <w:t xml:space="preserve"> Failure to rectify incorrect personal data. </w:t>
            </w:r>
          </w:p>
          <w:p w14:paraId="394B7BA8" w14:textId="77777777" w:rsidR="00E81CFF" w:rsidRPr="00623D44" w:rsidRDefault="00E81CFF" w:rsidP="00623D44">
            <w:pPr>
              <w:rPr>
                <w:rFonts w:eastAsiaTheme="minorEastAsia" w:cs="Arial"/>
                <w:color w:val="000000" w:themeColor="dark1"/>
                <w:kern w:val="24"/>
                <w:szCs w:val="24"/>
                <w:lang w:eastAsia="en-GB"/>
              </w:rPr>
            </w:pPr>
          </w:p>
          <w:p w14:paraId="1FD39E45" w14:textId="77777777" w:rsidR="00E81CFF" w:rsidRPr="00623D44" w:rsidRDefault="00E81CFF" w:rsidP="00623D44">
            <w:pPr>
              <w:rPr>
                <w:rFonts w:cs="Arial"/>
                <w:szCs w:val="24"/>
                <w:lang w:eastAsia="en-GB"/>
              </w:rPr>
            </w:pPr>
            <w:r w:rsidRPr="00623D44">
              <w:rPr>
                <w:rFonts w:cs="Arial"/>
                <w:szCs w:val="24"/>
                <w:lang w:eastAsia="en-GB"/>
              </w:rPr>
              <w:t>nil</w:t>
            </w:r>
          </w:p>
        </w:tc>
      </w:tr>
    </w:tbl>
    <w:p w14:paraId="7C10B067" w14:textId="77777777" w:rsidR="00CB20FE" w:rsidRPr="00623D44" w:rsidRDefault="00CB20FE" w:rsidP="00623D44">
      <w:pPr>
        <w:rPr>
          <w:rFonts w:cs="Arial"/>
          <w:szCs w:val="24"/>
        </w:rPr>
      </w:pPr>
    </w:p>
    <w:p w14:paraId="274C5116" w14:textId="77777777" w:rsidR="000307EE" w:rsidRPr="00623D44" w:rsidRDefault="000307EE" w:rsidP="00623D44">
      <w:pPr>
        <w:pStyle w:val="ListParagraph"/>
        <w:numPr>
          <w:ilvl w:val="0"/>
          <w:numId w:val="27"/>
        </w:numPr>
        <w:rPr>
          <w:rFonts w:cs="Arial"/>
          <w:szCs w:val="24"/>
        </w:rPr>
      </w:pPr>
      <w:r w:rsidRPr="00623D44">
        <w:rPr>
          <w:rFonts w:cs="Arial"/>
          <w:szCs w:val="24"/>
        </w:rPr>
        <w:t>In all cases the breach is resolved with the member/employer and action is taken to reinforce processes that have failed.</w:t>
      </w:r>
      <w:r w:rsidR="00232AC5">
        <w:rPr>
          <w:rFonts w:cs="Arial"/>
          <w:szCs w:val="24"/>
        </w:rPr>
        <w:t xml:space="preserve">  </w:t>
      </w:r>
    </w:p>
    <w:p w14:paraId="35CF8199" w14:textId="77777777" w:rsidR="000307EE" w:rsidRPr="00623D44" w:rsidRDefault="000307EE" w:rsidP="00623D44">
      <w:pPr>
        <w:rPr>
          <w:rFonts w:cs="Arial"/>
          <w:szCs w:val="24"/>
        </w:rPr>
      </w:pPr>
    </w:p>
    <w:p w14:paraId="74ABA4CB" w14:textId="77777777" w:rsidR="000307EE" w:rsidRPr="00623D44" w:rsidRDefault="000307EE" w:rsidP="00623D44">
      <w:pPr>
        <w:pStyle w:val="ListParagraph"/>
        <w:numPr>
          <w:ilvl w:val="0"/>
          <w:numId w:val="27"/>
        </w:numPr>
        <w:rPr>
          <w:rFonts w:cs="Arial"/>
          <w:szCs w:val="24"/>
        </w:rPr>
      </w:pPr>
      <w:r w:rsidRPr="00623D44">
        <w:rPr>
          <w:rFonts w:cs="Arial"/>
          <w:szCs w:val="24"/>
        </w:rPr>
        <w:t>A Pensions Act breach was recorded and reported to the Pensions Regulator in January, whereby 62 divorce cases exceeded the regulatory timeframes. Th</w:t>
      </w:r>
      <w:r w:rsidR="006F2A49">
        <w:rPr>
          <w:rFonts w:cs="Arial"/>
          <w:szCs w:val="24"/>
        </w:rPr>
        <w:t xml:space="preserve">is was a technical breach in that there was a delay in formally recording </w:t>
      </w:r>
      <w:r w:rsidRPr="00623D44">
        <w:rPr>
          <w:rFonts w:cs="Arial"/>
          <w:szCs w:val="24"/>
        </w:rPr>
        <w:t xml:space="preserve">the implementation of the pension sharing order </w:t>
      </w:r>
      <w:r w:rsidR="006F2A49">
        <w:rPr>
          <w:rFonts w:cs="Arial"/>
          <w:szCs w:val="24"/>
        </w:rPr>
        <w:t>on</w:t>
      </w:r>
      <w:r w:rsidRPr="00623D44">
        <w:rPr>
          <w:rFonts w:cs="Arial"/>
          <w:szCs w:val="24"/>
        </w:rPr>
        <w:t xml:space="preserve"> the Hartlink systems</w:t>
      </w:r>
      <w:r w:rsidR="006F2A49">
        <w:rPr>
          <w:rFonts w:cs="Arial"/>
          <w:szCs w:val="24"/>
        </w:rPr>
        <w:t xml:space="preserve">.   Previous practice was to record this when a pension event subsequently occurred (e.g. when either the pension credit or debit member applied for benefits) but there is now a time limit for doing so which was missed in these cases.  </w:t>
      </w:r>
      <w:r w:rsidR="006F2A49">
        <w:t>Th</w:t>
      </w:r>
      <w:r w:rsidR="00232AC5">
        <w:t xml:space="preserve">ere was no detriment </w:t>
      </w:r>
      <w:r w:rsidR="006F2A49">
        <w:t xml:space="preserve">to members </w:t>
      </w:r>
      <w:r w:rsidR="00232AC5">
        <w:t xml:space="preserve">and </w:t>
      </w:r>
      <w:r w:rsidR="006F2A49">
        <w:t xml:space="preserve">the accuracy of pensions or </w:t>
      </w:r>
      <w:r w:rsidR="00232AC5">
        <w:t xml:space="preserve">payments </w:t>
      </w:r>
      <w:r w:rsidR="006F2A49">
        <w:t>was not affected</w:t>
      </w:r>
      <w:r w:rsidR="00232AC5">
        <w:t xml:space="preserve">.  </w:t>
      </w:r>
      <w:r w:rsidRPr="00623D44">
        <w:rPr>
          <w:rFonts w:cs="Arial"/>
          <w:szCs w:val="24"/>
        </w:rPr>
        <w:t xml:space="preserve">A review of the process has been undertaken to ensure that </w:t>
      </w:r>
      <w:r w:rsidR="006F2A49">
        <w:rPr>
          <w:rFonts w:cs="Arial"/>
          <w:szCs w:val="24"/>
        </w:rPr>
        <w:t>correct</w:t>
      </w:r>
      <w:r w:rsidR="00F06C75">
        <w:rPr>
          <w:rFonts w:cs="Arial"/>
          <w:szCs w:val="24"/>
        </w:rPr>
        <w:t xml:space="preserve">ed </w:t>
      </w:r>
      <w:r w:rsidRPr="00623D44">
        <w:rPr>
          <w:rFonts w:cs="Arial"/>
          <w:szCs w:val="24"/>
        </w:rPr>
        <w:t>p</w:t>
      </w:r>
      <w:r w:rsidR="00F06C75">
        <w:rPr>
          <w:rFonts w:cs="Arial"/>
          <w:szCs w:val="24"/>
        </w:rPr>
        <w:t>rocedures are now in place</w:t>
      </w:r>
      <w:r w:rsidRPr="00623D44">
        <w:rPr>
          <w:rFonts w:cs="Arial"/>
          <w:szCs w:val="24"/>
        </w:rPr>
        <w:t>.</w:t>
      </w:r>
    </w:p>
    <w:p w14:paraId="77DDF442" w14:textId="77777777" w:rsidR="00C027C3" w:rsidRPr="00623D44" w:rsidRDefault="00C027C3" w:rsidP="00623D44">
      <w:pPr>
        <w:rPr>
          <w:rFonts w:cs="Arial"/>
          <w:szCs w:val="24"/>
        </w:rPr>
      </w:pPr>
    </w:p>
    <w:p w14:paraId="5B8042AB" w14:textId="77777777" w:rsidR="002F689D" w:rsidRDefault="002F689D" w:rsidP="00623D44">
      <w:pPr>
        <w:rPr>
          <w:rFonts w:cs="Arial"/>
          <w:b/>
          <w:szCs w:val="24"/>
        </w:rPr>
      </w:pPr>
    </w:p>
    <w:p w14:paraId="79B1FED8" w14:textId="77777777" w:rsidR="004750E0" w:rsidRDefault="004750E0" w:rsidP="00623D44">
      <w:pPr>
        <w:rPr>
          <w:rFonts w:cs="Arial"/>
          <w:b/>
          <w:szCs w:val="24"/>
        </w:rPr>
      </w:pPr>
    </w:p>
    <w:p w14:paraId="628A7D79" w14:textId="05A3D86A" w:rsidR="00996DAC" w:rsidRPr="00623D44" w:rsidRDefault="00E771E5" w:rsidP="00623D44">
      <w:pPr>
        <w:rPr>
          <w:rFonts w:cs="Arial"/>
          <w:b/>
          <w:szCs w:val="24"/>
        </w:rPr>
      </w:pPr>
      <w:r w:rsidRPr="00623D44">
        <w:rPr>
          <w:rFonts w:cs="Arial"/>
          <w:b/>
          <w:szCs w:val="24"/>
        </w:rPr>
        <w:lastRenderedPageBreak/>
        <w:t xml:space="preserve">Employers reported to The Pensions </w:t>
      </w:r>
      <w:r w:rsidR="003B3B04" w:rsidRPr="00623D44">
        <w:rPr>
          <w:rFonts w:cs="Arial"/>
          <w:b/>
          <w:szCs w:val="24"/>
        </w:rPr>
        <w:t>Regulator (</w:t>
      </w:r>
      <w:r w:rsidR="00247FC2" w:rsidRPr="00623D44">
        <w:rPr>
          <w:rFonts w:cs="Arial"/>
          <w:b/>
          <w:szCs w:val="24"/>
        </w:rPr>
        <w:t>t</w:t>
      </w:r>
      <w:r w:rsidR="00E24732" w:rsidRPr="00623D44">
        <w:rPr>
          <w:rFonts w:cs="Arial"/>
          <w:b/>
          <w:szCs w:val="24"/>
        </w:rPr>
        <w:t>PR)</w:t>
      </w:r>
    </w:p>
    <w:p w14:paraId="75FC859D" w14:textId="77777777" w:rsidR="00996DAC" w:rsidRPr="00623D44" w:rsidRDefault="00996DAC" w:rsidP="00623D44">
      <w:pPr>
        <w:rPr>
          <w:rFonts w:cs="Arial"/>
          <w:color w:val="FF0000"/>
          <w:szCs w:val="24"/>
        </w:rPr>
      </w:pPr>
    </w:p>
    <w:p w14:paraId="739EBF22" w14:textId="77777777" w:rsidR="00E81CFF" w:rsidRPr="00623D44" w:rsidRDefault="005D0BFA" w:rsidP="00623D44">
      <w:pPr>
        <w:pStyle w:val="ListParagraph"/>
        <w:numPr>
          <w:ilvl w:val="0"/>
          <w:numId w:val="27"/>
        </w:numPr>
        <w:rPr>
          <w:rFonts w:cs="Arial"/>
          <w:szCs w:val="24"/>
        </w:rPr>
      </w:pPr>
      <w:r w:rsidRPr="00623D44">
        <w:rPr>
          <w:rFonts w:cs="Arial"/>
          <w:szCs w:val="24"/>
        </w:rPr>
        <w:t xml:space="preserve">In </w:t>
      </w:r>
      <w:r w:rsidR="00EA1CE7" w:rsidRPr="00623D44">
        <w:rPr>
          <w:rFonts w:cs="Arial"/>
          <w:szCs w:val="24"/>
        </w:rPr>
        <w:t>November</w:t>
      </w:r>
      <w:r w:rsidRPr="00623D44">
        <w:rPr>
          <w:rFonts w:cs="Arial"/>
          <w:szCs w:val="24"/>
        </w:rPr>
        <w:t xml:space="preserve">, </w:t>
      </w:r>
      <w:r w:rsidR="00EA1CE7" w:rsidRPr="00623D44">
        <w:rPr>
          <w:rFonts w:cs="Arial"/>
          <w:szCs w:val="24"/>
        </w:rPr>
        <w:t>2</w:t>
      </w:r>
      <w:r w:rsidRPr="00623D44">
        <w:rPr>
          <w:rFonts w:cs="Arial"/>
          <w:szCs w:val="24"/>
        </w:rPr>
        <w:t xml:space="preserve"> employers </w:t>
      </w:r>
      <w:r w:rsidR="00EA1CE7" w:rsidRPr="00623D44">
        <w:rPr>
          <w:rFonts w:cs="Arial"/>
          <w:szCs w:val="24"/>
        </w:rPr>
        <w:t xml:space="preserve">were </w:t>
      </w:r>
      <w:r w:rsidRPr="00623D44">
        <w:rPr>
          <w:rFonts w:cs="Arial"/>
          <w:szCs w:val="24"/>
        </w:rPr>
        <w:t>reported for outstanding contributions over 90 days old</w:t>
      </w:r>
      <w:r w:rsidR="004D1372" w:rsidRPr="00623D44">
        <w:rPr>
          <w:rFonts w:cs="Arial"/>
          <w:szCs w:val="24"/>
        </w:rPr>
        <w:t>.</w:t>
      </w:r>
      <w:r w:rsidRPr="00623D44">
        <w:rPr>
          <w:rFonts w:cs="Arial"/>
          <w:szCs w:val="24"/>
        </w:rPr>
        <w:t xml:space="preserve"> </w:t>
      </w:r>
      <w:r w:rsidR="00EA1CE7" w:rsidRPr="00623D44">
        <w:rPr>
          <w:rFonts w:cs="Arial"/>
          <w:szCs w:val="24"/>
        </w:rPr>
        <w:t xml:space="preserve">December </w:t>
      </w:r>
      <w:r w:rsidRPr="00623D44">
        <w:rPr>
          <w:rFonts w:cs="Arial"/>
          <w:szCs w:val="24"/>
        </w:rPr>
        <w:t xml:space="preserve">saw </w:t>
      </w:r>
      <w:r w:rsidR="00EA1CE7" w:rsidRPr="00623D44">
        <w:rPr>
          <w:rFonts w:cs="Arial"/>
          <w:szCs w:val="24"/>
        </w:rPr>
        <w:t>28</w:t>
      </w:r>
      <w:r w:rsidRPr="00623D44">
        <w:rPr>
          <w:rFonts w:cs="Arial"/>
          <w:szCs w:val="24"/>
        </w:rPr>
        <w:t xml:space="preserve"> employers reported for outstanding contributions over 90 days old</w:t>
      </w:r>
      <w:r w:rsidR="00315F4C" w:rsidRPr="00623D44">
        <w:rPr>
          <w:rFonts w:cs="Arial"/>
          <w:szCs w:val="24"/>
        </w:rPr>
        <w:t xml:space="preserve"> and</w:t>
      </w:r>
      <w:r w:rsidRPr="00623D44">
        <w:rPr>
          <w:rFonts w:cs="Arial"/>
          <w:szCs w:val="24"/>
        </w:rPr>
        <w:t xml:space="preserve"> </w:t>
      </w:r>
      <w:r w:rsidR="00315F4C" w:rsidRPr="00623D44">
        <w:rPr>
          <w:rFonts w:cs="Arial"/>
          <w:szCs w:val="24"/>
        </w:rPr>
        <w:t xml:space="preserve">January </w:t>
      </w:r>
      <w:r w:rsidRPr="00623D44">
        <w:rPr>
          <w:rFonts w:cs="Arial"/>
          <w:szCs w:val="24"/>
        </w:rPr>
        <w:t xml:space="preserve">saw </w:t>
      </w:r>
      <w:r w:rsidR="00315F4C" w:rsidRPr="00623D44">
        <w:rPr>
          <w:rFonts w:cs="Arial"/>
          <w:szCs w:val="24"/>
        </w:rPr>
        <w:t>16</w:t>
      </w:r>
      <w:r w:rsidRPr="00623D44">
        <w:rPr>
          <w:rFonts w:cs="Arial"/>
          <w:szCs w:val="24"/>
        </w:rPr>
        <w:t xml:space="preserve"> employers reported.  </w:t>
      </w:r>
    </w:p>
    <w:p w14:paraId="2C177928" w14:textId="77777777" w:rsidR="00996DAC" w:rsidRPr="00623D44" w:rsidRDefault="00996DAC" w:rsidP="00623D44">
      <w:pPr>
        <w:rPr>
          <w:rFonts w:cs="Arial"/>
          <w:szCs w:val="24"/>
        </w:rPr>
      </w:pPr>
    </w:p>
    <w:p w14:paraId="1B8FCC79" w14:textId="77777777" w:rsidR="00C137CC" w:rsidRPr="00623D44" w:rsidRDefault="00E24732" w:rsidP="00623D44">
      <w:pPr>
        <w:pStyle w:val="ListParagraph"/>
        <w:numPr>
          <w:ilvl w:val="0"/>
          <w:numId w:val="27"/>
        </w:numPr>
        <w:rPr>
          <w:rFonts w:cs="Arial"/>
          <w:szCs w:val="24"/>
        </w:rPr>
      </w:pPr>
      <w:r w:rsidRPr="00623D44">
        <w:rPr>
          <w:rFonts w:cs="Arial"/>
          <w:szCs w:val="24"/>
        </w:rPr>
        <w:t xml:space="preserve">In the period, </w:t>
      </w:r>
      <w:r w:rsidR="00C137CC" w:rsidRPr="00623D44">
        <w:rPr>
          <w:rFonts w:cs="Arial"/>
          <w:szCs w:val="24"/>
        </w:rPr>
        <w:t>6</w:t>
      </w:r>
      <w:r w:rsidR="00D15EA3" w:rsidRPr="00623D44">
        <w:rPr>
          <w:rFonts w:cs="Arial"/>
          <w:szCs w:val="24"/>
        </w:rPr>
        <w:t xml:space="preserve"> </w:t>
      </w:r>
      <w:r w:rsidR="00E771E5" w:rsidRPr="00623D44">
        <w:rPr>
          <w:rFonts w:cs="Arial"/>
          <w:szCs w:val="24"/>
        </w:rPr>
        <w:t xml:space="preserve">employers </w:t>
      </w:r>
      <w:r w:rsidR="00D15EA3" w:rsidRPr="00623D44">
        <w:rPr>
          <w:rFonts w:cs="Arial"/>
          <w:szCs w:val="24"/>
        </w:rPr>
        <w:t>with outstanding</w:t>
      </w:r>
      <w:r w:rsidR="00C137CC" w:rsidRPr="00623D44">
        <w:rPr>
          <w:rFonts w:cs="Arial"/>
          <w:szCs w:val="24"/>
        </w:rPr>
        <w:t xml:space="preserve"> 2015-16 End of Year Certificate (EoYC)</w:t>
      </w:r>
      <w:r w:rsidR="00D15EA3" w:rsidRPr="00623D44">
        <w:rPr>
          <w:rFonts w:cs="Arial"/>
          <w:szCs w:val="24"/>
        </w:rPr>
        <w:t xml:space="preserve"> returns </w:t>
      </w:r>
      <w:r w:rsidR="00E771E5" w:rsidRPr="00623D44">
        <w:rPr>
          <w:rFonts w:cs="Arial"/>
          <w:szCs w:val="24"/>
        </w:rPr>
        <w:t>were reported for failing to submit.</w:t>
      </w:r>
      <w:r w:rsidR="005D0BFA" w:rsidRPr="00623D44">
        <w:rPr>
          <w:rFonts w:cs="Arial"/>
          <w:szCs w:val="24"/>
        </w:rPr>
        <w:t xml:space="preserve">  The next stage is to </w:t>
      </w:r>
      <w:r w:rsidR="00C137CC" w:rsidRPr="00623D44">
        <w:rPr>
          <w:rFonts w:cs="Arial"/>
          <w:szCs w:val="24"/>
        </w:rPr>
        <w:t>contact tPR to request their assistance in contacting these establishments</w:t>
      </w:r>
      <w:r w:rsidR="005D0BFA" w:rsidRPr="00623D44">
        <w:rPr>
          <w:rFonts w:cs="Arial"/>
          <w:szCs w:val="24"/>
        </w:rPr>
        <w:t>.</w:t>
      </w:r>
      <w:r w:rsidR="00C137CC" w:rsidRPr="00623D44">
        <w:rPr>
          <w:rFonts w:cs="Arial"/>
          <w:szCs w:val="24"/>
        </w:rPr>
        <w:t xml:space="preserve">  </w:t>
      </w:r>
      <w:r w:rsidR="00590839">
        <w:rPr>
          <w:rFonts w:cs="Arial"/>
          <w:szCs w:val="24"/>
        </w:rPr>
        <w:t>One employer</w:t>
      </w:r>
      <w:r w:rsidR="00CF114B" w:rsidRPr="00623D44">
        <w:rPr>
          <w:rFonts w:cs="Arial"/>
          <w:szCs w:val="24"/>
        </w:rPr>
        <w:t xml:space="preserve"> has subsequently submitted their return and tPR have agreed to contact the remaining 5.</w:t>
      </w:r>
    </w:p>
    <w:p w14:paraId="76A408BC" w14:textId="77777777" w:rsidR="00C137CC" w:rsidRPr="00623D44" w:rsidRDefault="00C137CC" w:rsidP="00623D44">
      <w:pPr>
        <w:pStyle w:val="ListParagraph"/>
        <w:rPr>
          <w:rFonts w:cs="Arial"/>
          <w:szCs w:val="24"/>
        </w:rPr>
      </w:pPr>
    </w:p>
    <w:p w14:paraId="0DEFF8C7" w14:textId="77777777" w:rsidR="00C44077" w:rsidRPr="00623D44" w:rsidRDefault="00C137CC" w:rsidP="00623D44">
      <w:pPr>
        <w:pStyle w:val="ListParagraph"/>
        <w:numPr>
          <w:ilvl w:val="0"/>
          <w:numId w:val="27"/>
        </w:numPr>
        <w:rPr>
          <w:rFonts w:cs="Arial"/>
          <w:szCs w:val="24"/>
        </w:rPr>
      </w:pPr>
      <w:r w:rsidRPr="00623D44">
        <w:rPr>
          <w:rFonts w:cs="Arial"/>
          <w:szCs w:val="24"/>
        </w:rPr>
        <w:t xml:space="preserve">In respect of the 2016-17 exercise, 93.6% of returns have been received, with 497 returns outstanding.  The first reminder was issued in December with a second reminder issued in early January.  The third escalated reminder is due to be issued in early February.  </w:t>
      </w:r>
      <w:r w:rsidR="002E50F1" w:rsidRPr="00623D44">
        <w:rPr>
          <w:rFonts w:cs="Arial"/>
          <w:szCs w:val="24"/>
        </w:rPr>
        <w:t xml:space="preserve">  </w:t>
      </w:r>
    </w:p>
    <w:p w14:paraId="4A27B419" w14:textId="77777777" w:rsidR="004D1372" w:rsidRPr="00623D44" w:rsidRDefault="004D1372" w:rsidP="00623D44">
      <w:pPr>
        <w:rPr>
          <w:rFonts w:cs="Arial"/>
          <w:szCs w:val="24"/>
        </w:rPr>
      </w:pPr>
    </w:p>
    <w:p w14:paraId="7034F9B2" w14:textId="77777777" w:rsidR="004D1372" w:rsidRPr="00623D44" w:rsidRDefault="004D1372" w:rsidP="00623D44">
      <w:pPr>
        <w:pStyle w:val="ListParagraph"/>
        <w:numPr>
          <w:ilvl w:val="0"/>
          <w:numId w:val="27"/>
        </w:numPr>
        <w:rPr>
          <w:rFonts w:cs="Arial"/>
          <w:szCs w:val="24"/>
        </w:rPr>
      </w:pPr>
      <w:r w:rsidRPr="00623D44">
        <w:rPr>
          <w:rFonts w:cs="Arial"/>
          <w:szCs w:val="24"/>
        </w:rPr>
        <w:t xml:space="preserve">DfE </w:t>
      </w:r>
      <w:r w:rsidR="00DA4D22" w:rsidRPr="00623D44">
        <w:rPr>
          <w:rFonts w:cs="Arial"/>
          <w:szCs w:val="24"/>
        </w:rPr>
        <w:t xml:space="preserve">have </w:t>
      </w:r>
      <w:r w:rsidR="00C137CC" w:rsidRPr="00623D44">
        <w:rPr>
          <w:rFonts w:cs="Arial"/>
          <w:szCs w:val="24"/>
        </w:rPr>
        <w:t xml:space="preserve">continued to </w:t>
      </w:r>
      <w:r w:rsidR="00DA4D22" w:rsidRPr="00623D44">
        <w:rPr>
          <w:rFonts w:cs="Arial"/>
          <w:szCs w:val="24"/>
        </w:rPr>
        <w:t xml:space="preserve">challenge TP to </w:t>
      </w:r>
      <w:r w:rsidRPr="00623D44">
        <w:rPr>
          <w:rFonts w:cs="Arial"/>
          <w:szCs w:val="24"/>
        </w:rPr>
        <w:t xml:space="preserve">review </w:t>
      </w:r>
      <w:r w:rsidR="00C137CC" w:rsidRPr="00623D44">
        <w:rPr>
          <w:rFonts w:cs="Arial"/>
          <w:szCs w:val="24"/>
        </w:rPr>
        <w:t>late payment</w:t>
      </w:r>
      <w:r w:rsidR="00F06C75">
        <w:rPr>
          <w:rFonts w:cs="Arial"/>
          <w:szCs w:val="24"/>
        </w:rPr>
        <w:t>s</w:t>
      </w:r>
      <w:r w:rsidR="00C137CC" w:rsidRPr="00623D44">
        <w:rPr>
          <w:rFonts w:cs="Arial"/>
          <w:szCs w:val="24"/>
        </w:rPr>
        <w:t xml:space="preserve"> and </w:t>
      </w:r>
      <w:r w:rsidR="00F06C75">
        <w:rPr>
          <w:rFonts w:cs="Arial"/>
          <w:szCs w:val="24"/>
        </w:rPr>
        <w:t xml:space="preserve">ensure </w:t>
      </w:r>
      <w:r w:rsidR="00C137CC" w:rsidRPr="00623D44">
        <w:rPr>
          <w:rFonts w:cs="Arial"/>
          <w:szCs w:val="24"/>
        </w:rPr>
        <w:t xml:space="preserve">insolvency </w:t>
      </w:r>
      <w:r w:rsidRPr="00623D44">
        <w:rPr>
          <w:rFonts w:cs="Arial"/>
          <w:szCs w:val="24"/>
        </w:rPr>
        <w:t xml:space="preserve">processes </w:t>
      </w:r>
      <w:r w:rsidR="00C137CC" w:rsidRPr="00623D44">
        <w:rPr>
          <w:rFonts w:cs="Arial"/>
          <w:szCs w:val="24"/>
        </w:rPr>
        <w:t xml:space="preserve">are robust </w:t>
      </w:r>
      <w:r w:rsidRPr="00623D44">
        <w:rPr>
          <w:rFonts w:cs="Arial"/>
          <w:szCs w:val="24"/>
        </w:rPr>
        <w:t xml:space="preserve">to ensure that all </w:t>
      </w:r>
      <w:r w:rsidR="00C137CC" w:rsidRPr="00623D44">
        <w:rPr>
          <w:rFonts w:cs="Arial"/>
          <w:szCs w:val="24"/>
        </w:rPr>
        <w:t>action is taken as</w:t>
      </w:r>
      <w:r w:rsidR="00DA4D22" w:rsidRPr="00623D44">
        <w:rPr>
          <w:rFonts w:cs="Arial"/>
          <w:szCs w:val="24"/>
        </w:rPr>
        <w:t xml:space="preserve"> soon as there is a suggestion of </w:t>
      </w:r>
      <w:r w:rsidRPr="00623D44">
        <w:rPr>
          <w:rFonts w:cs="Arial"/>
          <w:szCs w:val="24"/>
        </w:rPr>
        <w:t>non</w:t>
      </w:r>
      <w:r w:rsidR="00DA4D22" w:rsidRPr="00623D44">
        <w:rPr>
          <w:rFonts w:cs="Arial"/>
          <w:szCs w:val="24"/>
        </w:rPr>
        <w:t>-</w:t>
      </w:r>
      <w:r w:rsidRPr="00623D44">
        <w:rPr>
          <w:rFonts w:cs="Arial"/>
          <w:szCs w:val="24"/>
        </w:rPr>
        <w:t xml:space="preserve">compliance </w:t>
      </w:r>
      <w:r w:rsidR="00DA4D22" w:rsidRPr="00623D44">
        <w:rPr>
          <w:rFonts w:cs="Arial"/>
          <w:szCs w:val="24"/>
        </w:rPr>
        <w:t xml:space="preserve">by an employer.  This is being managed via the </w:t>
      </w:r>
      <w:r w:rsidRPr="00623D44">
        <w:rPr>
          <w:rFonts w:cs="Arial"/>
          <w:szCs w:val="24"/>
        </w:rPr>
        <w:t>DfE led finance meetings.</w:t>
      </w:r>
    </w:p>
    <w:p w14:paraId="3B5C20F8" w14:textId="77777777" w:rsidR="00DA4D22" w:rsidRPr="00623D44" w:rsidRDefault="00DA4D22" w:rsidP="00623D44">
      <w:pPr>
        <w:rPr>
          <w:rFonts w:cs="Arial"/>
          <w:szCs w:val="24"/>
        </w:rPr>
      </w:pPr>
    </w:p>
    <w:p w14:paraId="586994F2" w14:textId="77777777" w:rsidR="00DA4D22" w:rsidRPr="00623D44" w:rsidRDefault="00DA4D22" w:rsidP="00623D44">
      <w:pPr>
        <w:rPr>
          <w:rFonts w:cs="Arial"/>
          <w:b/>
          <w:color w:val="FF0000"/>
          <w:szCs w:val="24"/>
        </w:rPr>
      </w:pPr>
      <w:r w:rsidRPr="00623D44">
        <w:rPr>
          <w:rFonts w:cs="Arial"/>
          <w:b/>
          <w:szCs w:val="24"/>
        </w:rPr>
        <w:t xml:space="preserve">Summary </w:t>
      </w:r>
    </w:p>
    <w:p w14:paraId="6583F35C" w14:textId="77777777" w:rsidR="004D1372" w:rsidRPr="00623D44" w:rsidRDefault="004D1372" w:rsidP="00623D44">
      <w:pPr>
        <w:rPr>
          <w:rFonts w:cs="Arial"/>
          <w:szCs w:val="24"/>
        </w:rPr>
      </w:pPr>
    </w:p>
    <w:p w14:paraId="121BFC66" w14:textId="77777777" w:rsidR="009E71EF" w:rsidRPr="00623D44" w:rsidRDefault="004D1372" w:rsidP="00623D44">
      <w:pPr>
        <w:pStyle w:val="ListParagraph"/>
        <w:numPr>
          <w:ilvl w:val="0"/>
          <w:numId w:val="27"/>
        </w:numPr>
        <w:rPr>
          <w:rFonts w:cs="Arial"/>
          <w:szCs w:val="24"/>
        </w:rPr>
      </w:pPr>
      <w:r w:rsidRPr="00623D44">
        <w:rPr>
          <w:rFonts w:cs="Arial"/>
          <w:szCs w:val="24"/>
        </w:rPr>
        <w:t xml:space="preserve">DfE consider TP performance is good in most areas </w:t>
      </w:r>
      <w:r w:rsidR="009E71EF" w:rsidRPr="00623D44">
        <w:rPr>
          <w:rFonts w:cs="Arial"/>
          <w:szCs w:val="24"/>
        </w:rPr>
        <w:t xml:space="preserve">and acknowledge an improvement in the contact centre area.  DfE are maintaining a challenge with TP to deliver a more robust </w:t>
      </w:r>
      <w:r w:rsidR="00A52AD9" w:rsidRPr="00623D44">
        <w:rPr>
          <w:rFonts w:cs="Arial"/>
          <w:szCs w:val="24"/>
        </w:rPr>
        <w:t>digitalised</w:t>
      </w:r>
      <w:r w:rsidR="009E71EF" w:rsidRPr="00623D44">
        <w:rPr>
          <w:rFonts w:cs="Arial"/>
          <w:szCs w:val="24"/>
        </w:rPr>
        <w:t xml:space="preserve"> customer contact service and this is being worked through with TP.</w:t>
      </w:r>
    </w:p>
    <w:p w14:paraId="56AE7EB7" w14:textId="77777777" w:rsidR="009E71EF" w:rsidRPr="00623D44" w:rsidRDefault="009E71EF" w:rsidP="00623D44">
      <w:pPr>
        <w:pStyle w:val="ListParagraph"/>
        <w:rPr>
          <w:rFonts w:cs="Arial"/>
          <w:szCs w:val="24"/>
        </w:rPr>
      </w:pPr>
    </w:p>
    <w:p w14:paraId="7F400C04" w14:textId="77777777" w:rsidR="00CF114B" w:rsidRPr="00623D44" w:rsidRDefault="009E71EF" w:rsidP="00623D44">
      <w:pPr>
        <w:pStyle w:val="ListParagraph"/>
        <w:numPr>
          <w:ilvl w:val="0"/>
          <w:numId w:val="27"/>
        </w:numPr>
        <w:rPr>
          <w:rFonts w:cs="Arial"/>
          <w:szCs w:val="24"/>
        </w:rPr>
      </w:pPr>
      <w:r w:rsidRPr="00623D44">
        <w:rPr>
          <w:rFonts w:cs="Arial"/>
          <w:szCs w:val="24"/>
        </w:rPr>
        <w:t>C</w:t>
      </w:r>
      <w:r w:rsidR="00DA4D22" w:rsidRPr="00623D44">
        <w:rPr>
          <w:rFonts w:cs="Arial"/>
          <w:szCs w:val="24"/>
        </w:rPr>
        <w:t>ontinued action is needed to improve performan</w:t>
      </w:r>
      <w:r w:rsidRPr="00623D44">
        <w:rPr>
          <w:rFonts w:cs="Arial"/>
          <w:szCs w:val="24"/>
        </w:rPr>
        <w:t xml:space="preserve">ce in some areas, specifically </w:t>
      </w:r>
      <w:r w:rsidR="004D1372" w:rsidRPr="00623D44">
        <w:rPr>
          <w:rFonts w:cs="Arial"/>
          <w:szCs w:val="24"/>
        </w:rPr>
        <w:t>SLA4</w:t>
      </w:r>
      <w:r w:rsidR="00DA4D22" w:rsidRPr="00623D44">
        <w:rPr>
          <w:rFonts w:cs="Arial"/>
          <w:szCs w:val="24"/>
        </w:rPr>
        <w:t xml:space="preserve"> – death benefits</w:t>
      </w:r>
      <w:r w:rsidR="004D1372" w:rsidRPr="00623D44">
        <w:rPr>
          <w:rFonts w:cs="Arial"/>
          <w:szCs w:val="24"/>
        </w:rPr>
        <w:t xml:space="preserve">.  DfE </w:t>
      </w:r>
      <w:r w:rsidRPr="00623D44">
        <w:rPr>
          <w:rFonts w:cs="Arial"/>
          <w:szCs w:val="24"/>
        </w:rPr>
        <w:t xml:space="preserve">continue to </w:t>
      </w:r>
      <w:r w:rsidR="004D1372" w:rsidRPr="00623D44">
        <w:rPr>
          <w:rFonts w:cs="Arial"/>
          <w:szCs w:val="24"/>
        </w:rPr>
        <w:t>challeng</w:t>
      </w:r>
      <w:r w:rsidRPr="00623D44">
        <w:rPr>
          <w:rFonts w:cs="Arial"/>
          <w:szCs w:val="24"/>
        </w:rPr>
        <w:t>e</w:t>
      </w:r>
      <w:r w:rsidR="004D1372" w:rsidRPr="00623D44">
        <w:rPr>
          <w:rFonts w:cs="Arial"/>
          <w:szCs w:val="24"/>
        </w:rPr>
        <w:t xml:space="preserve"> and work with TP to ad</w:t>
      </w:r>
      <w:r w:rsidRPr="00623D44">
        <w:rPr>
          <w:rFonts w:cs="Arial"/>
          <w:szCs w:val="24"/>
        </w:rPr>
        <w:t>dress the issues identified</w:t>
      </w:r>
      <w:r w:rsidR="00CF114B" w:rsidRPr="00623D44">
        <w:rPr>
          <w:rFonts w:cs="Arial"/>
          <w:szCs w:val="24"/>
        </w:rPr>
        <w:t xml:space="preserve"> and discussions are going including commercial colleagues regarding the </w:t>
      </w:r>
      <w:r w:rsidR="00A52AD9" w:rsidRPr="00623D44">
        <w:rPr>
          <w:rFonts w:cs="Arial"/>
          <w:szCs w:val="24"/>
        </w:rPr>
        <w:t>effect</w:t>
      </w:r>
      <w:r w:rsidR="00CF114B" w:rsidRPr="00623D44">
        <w:rPr>
          <w:rFonts w:cs="Arial"/>
          <w:szCs w:val="24"/>
        </w:rPr>
        <w:t xml:space="preserve"> of the increase in membership and challenge to capita regarding what they have done to </w:t>
      </w:r>
      <w:r w:rsidR="00A52AD9" w:rsidRPr="00623D44">
        <w:rPr>
          <w:rFonts w:cs="Arial"/>
          <w:szCs w:val="24"/>
        </w:rPr>
        <w:t>minimise</w:t>
      </w:r>
      <w:r w:rsidR="00CF114B" w:rsidRPr="00623D44">
        <w:rPr>
          <w:rFonts w:cs="Arial"/>
          <w:szCs w:val="24"/>
        </w:rPr>
        <w:t xml:space="preserve"> the impact of the increase.</w:t>
      </w:r>
    </w:p>
    <w:p w14:paraId="5719F7FA" w14:textId="77777777" w:rsidR="00CF114B" w:rsidRPr="00623D44" w:rsidRDefault="00CF114B" w:rsidP="00623D44">
      <w:pPr>
        <w:pStyle w:val="ListParagraph"/>
        <w:rPr>
          <w:rFonts w:cs="Arial"/>
          <w:szCs w:val="24"/>
        </w:rPr>
      </w:pPr>
    </w:p>
    <w:p w14:paraId="1A4B1BD9" w14:textId="77777777" w:rsidR="002E50F1" w:rsidRPr="00623D44" w:rsidRDefault="009E71EF" w:rsidP="00623D44">
      <w:pPr>
        <w:pStyle w:val="ListParagraph"/>
        <w:numPr>
          <w:ilvl w:val="0"/>
          <w:numId w:val="27"/>
        </w:numPr>
        <w:rPr>
          <w:rFonts w:cs="Arial"/>
          <w:szCs w:val="24"/>
        </w:rPr>
      </w:pPr>
      <w:r w:rsidRPr="00623D44">
        <w:rPr>
          <w:rFonts w:cs="Arial"/>
          <w:szCs w:val="24"/>
        </w:rPr>
        <w:t xml:space="preserve">Annex 3 shows the </w:t>
      </w:r>
      <w:r w:rsidR="004D1372" w:rsidRPr="00623D44">
        <w:rPr>
          <w:rFonts w:cs="Arial"/>
          <w:szCs w:val="24"/>
        </w:rPr>
        <w:t>governance meetings</w:t>
      </w:r>
      <w:r w:rsidR="00DA4D22" w:rsidRPr="00623D44">
        <w:rPr>
          <w:rFonts w:cs="Arial"/>
          <w:szCs w:val="24"/>
        </w:rPr>
        <w:t xml:space="preserve"> </w:t>
      </w:r>
      <w:r w:rsidR="00A15469" w:rsidRPr="00623D44">
        <w:rPr>
          <w:rFonts w:cs="Arial"/>
          <w:szCs w:val="24"/>
        </w:rPr>
        <w:t xml:space="preserve">that are </w:t>
      </w:r>
      <w:r w:rsidR="00DA4D22" w:rsidRPr="00623D44">
        <w:rPr>
          <w:rFonts w:cs="Arial"/>
          <w:szCs w:val="24"/>
        </w:rPr>
        <w:t>held between DfE and TP over the period, which</w:t>
      </w:r>
      <w:r w:rsidR="004D1372" w:rsidRPr="00623D44">
        <w:rPr>
          <w:rFonts w:cs="Arial"/>
          <w:szCs w:val="24"/>
        </w:rPr>
        <w:t xml:space="preserve"> </w:t>
      </w:r>
      <w:r w:rsidR="00A15469" w:rsidRPr="00623D44">
        <w:rPr>
          <w:rFonts w:cs="Arial"/>
          <w:szCs w:val="24"/>
        </w:rPr>
        <w:t xml:space="preserve">details the challenges made and </w:t>
      </w:r>
      <w:r w:rsidR="004D1372" w:rsidRPr="00623D44">
        <w:rPr>
          <w:rFonts w:cs="Arial"/>
          <w:szCs w:val="24"/>
        </w:rPr>
        <w:t>activities involved.  TP are also making good progress on key projects</w:t>
      </w:r>
      <w:r w:rsidR="00A15469" w:rsidRPr="00623D44">
        <w:rPr>
          <w:rFonts w:cs="Arial"/>
          <w:szCs w:val="24"/>
        </w:rPr>
        <w:t xml:space="preserve"> such as GMP and Valuation</w:t>
      </w:r>
      <w:r w:rsidR="004D1372" w:rsidRPr="00623D44">
        <w:rPr>
          <w:rFonts w:cs="Arial"/>
          <w:szCs w:val="24"/>
        </w:rPr>
        <w:t xml:space="preserve">, </w:t>
      </w:r>
      <w:r w:rsidR="00A15469" w:rsidRPr="00623D44">
        <w:rPr>
          <w:rFonts w:cs="Arial"/>
          <w:szCs w:val="24"/>
        </w:rPr>
        <w:t>but where service challenges remain</w:t>
      </w:r>
      <w:r w:rsidR="004D1372" w:rsidRPr="00623D44">
        <w:rPr>
          <w:rFonts w:cs="Arial"/>
          <w:szCs w:val="24"/>
        </w:rPr>
        <w:t>, DfE are working with TP to resolve the issues involved.</w:t>
      </w:r>
    </w:p>
    <w:p w14:paraId="4E780822" w14:textId="77777777" w:rsidR="00A15469" w:rsidRPr="00623D44" w:rsidRDefault="00A15469" w:rsidP="00623D44">
      <w:pPr>
        <w:rPr>
          <w:rFonts w:cs="Arial"/>
          <w:szCs w:val="24"/>
        </w:rPr>
      </w:pPr>
    </w:p>
    <w:p w14:paraId="6DDCD1F2" w14:textId="77777777" w:rsidR="00894961" w:rsidRPr="00623D44" w:rsidRDefault="00C44077" w:rsidP="00623D44">
      <w:pPr>
        <w:rPr>
          <w:rFonts w:cs="Arial"/>
          <w:szCs w:val="24"/>
        </w:rPr>
      </w:pPr>
      <w:r w:rsidRPr="00623D44">
        <w:rPr>
          <w:rFonts w:cs="Arial"/>
          <w:color w:val="000000" w:themeColor="text1"/>
          <w:szCs w:val="24"/>
        </w:rPr>
        <w:t xml:space="preserve"> </w:t>
      </w:r>
      <w:r w:rsidR="000307EE" w:rsidRPr="00623D44">
        <w:rPr>
          <w:rFonts w:cs="Arial"/>
          <w:szCs w:val="24"/>
        </w:rPr>
        <w:t>A</w:t>
      </w:r>
      <w:r w:rsidR="00894961" w:rsidRPr="00623D44">
        <w:rPr>
          <w:rFonts w:cs="Arial"/>
          <w:szCs w:val="24"/>
        </w:rPr>
        <w:t>cronyms used within this report:</w:t>
      </w:r>
    </w:p>
    <w:p w14:paraId="4B6F29B3" w14:textId="77777777" w:rsidR="00894961" w:rsidRPr="00623D44" w:rsidRDefault="00894961" w:rsidP="00623D44">
      <w:pPr>
        <w:rPr>
          <w:rFonts w:cs="Arial"/>
          <w:szCs w:val="24"/>
        </w:rPr>
      </w:pPr>
    </w:p>
    <w:tbl>
      <w:tblPr>
        <w:tblStyle w:val="TableGrid"/>
        <w:tblW w:w="0" w:type="auto"/>
        <w:tblInd w:w="137" w:type="dxa"/>
        <w:tblLook w:val="04A0" w:firstRow="1" w:lastRow="0" w:firstColumn="1" w:lastColumn="0" w:noHBand="0" w:noVBand="1"/>
      </w:tblPr>
      <w:tblGrid>
        <w:gridCol w:w="992"/>
        <w:gridCol w:w="3402"/>
        <w:gridCol w:w="851"/>
        <w:gridCol w:w="3503"/>
      </w:tblGrid>
      <w:tr w:rsidR="00894961" w:rsidRPr="002F689D" w14:paraId="5FA90E56" w14:textId="77777777" w:rsidTr="00DF6E69">
        <w:tc>
          <w:tcPr>
            <w:tcW w:w="992" w:type="dxa"/>
          </w:tcPr>
          <w:p w14:paraId="029F8A61" w14:textId="77777777" w:rsidR="00894961" w:rsidRPr="002F689D" w:rsidRDefault="006029F1" w:rsidP="00623D44">
            <w:pPr>
              <w:rPr>
                <w:rFonts w:cs="Arial"/>
                <w:sz w:val="20"/>
              </w:rPr>
            </w:pPr>
            <w:r w:rsidRPr="002F689D">
              <w:rPr>
                <w:rFonts w:cs="Arial"/>
                <w:sz w:val="20"/>
              </w:rPr>
              <w:t>GMP</w:t>
            </w:r>
          </w:p>
        </w:tc>
        <w:tc>
          <w:tcPr>
            <w:tcW w:w="3402" w:type="dxa"/>
          </w:tcPr>
          <w:p w14:paraId="3D8C5041" w14:textId="77777777" w:rsidR="00894961" w:rsidRPr="002F689D" w:rsidRDefault="006029F1" w:rsidP="00623D44">
            <w:pPr>
              <w:rPr>
                <w:rFonts w:cs="Arial"/>
                <w:sz w:val="20"/>
              </w:rPr>
            </w:pPr>
            <w:r w:rsidRPr="002F689D">
              <w:rPr>
                <w:rFonts w:cs="Arial"/>
                <w:sz w:val="20"/>
              </w:rPr>
              <w:t>Guaranteed Minimum Pension</w:t>
            </w:r>
          </w:p>
        </w:tc>
        <w:tc>
          <w:tcPr>
            <w:tcW w:w="851" w:type="dxa"/>
          </w:tcPr>
          <w:p w14:paraId="4AEF9D1D" w14:textId="77777777" w:rsidR="00894961" w:rsidRPr="002F689D" w:rsidRDefault="006029F1" w:rsidP="00623D44">
            <w:pPr>
              <w:rPr>
                <w:rFonts w:cs="Arial"/>
                <w:sz w:val="20"/>
              </w:rPr>
            </w:pPr>
            <w:r w:rsidRPr="002F689D">
              <w:rPr>
                <w:rFonts w:cs="Arial"/>
                <w:sz w:val="20"/>
              </w:rPr>
              <w:t>SLA</w:t>
            </w:r>
          </w:p>
        </w:tc>
        <w:tc>
          <w:tcPr>
            <w:tcW w:w="3503" w:type="dxa"/>
          </w:tcPr>
          <w:p w14:paraId="656B47A9" w14:textId="77777777" w:rsidR="00894961" w:rsidRPr="002F689D" w:rsidRDefault="006029F1" w:rsidP="00623D44">
            <w:pPr>
              <w:rPr>
                <w:rFonts w:cs="Arial"/>
                <w:sz w:val="20"/>
              </w:rPr>
            </w:pPr>
            <w:r w:rsidRPr="002F689D">
              <w:rPr>
                <w:rFonts w:cs="Arial"/>
                <w:sz w:val="20"/>
              </w:rPr>
              <w:t>Service Level Agreement</w:t>
            </w:r>
          </w:p>
        </w:tc>
      </w:tr>
      <w:tr w:rsidR="006029F1" w:rsidRPr="002F689D" w14:paraId="65B4EE19" w14:textId="77777777" w:rsidTr="00DF6E69">
        <w:tc>
          <w:tcPr>
            <w:tcW w:w="992" w:type="dxa"/>
          </w:tcPr>
          <w:p w14:paraId="7397E151" w14:textId="77777777" w:rsidR="006029F1" w:rsidRPr="002F689D" w:rsidRDefault="006029F1" w:rsidP="00623D44">
            <w:pPr>
              <w:rPr>
                <w:rFonts w:cs="Arial"/>
                <w:sz w:val="20"/>
              </w:rPr>
            </w:pPr>
            <w:r w:rsidRPr="002F689D">
              <w:rPr>
                <w:rFonts w:cs="Arial"/>
                <w:sz w:val="20"/>
              </w:rPr>
              <w:t>MDC</w:t>
            </w:r>
          </w:p>
        </w:tc>
        <w:tc>
          <w:tcPr>
            <w:tcW w:w="3402" w:type="dxa"/>
          </w:tcPr>
          <w:p w14:paraId="24ABC5BB" w14:textId="77777777" w:rsidR="006029F1" w:rsidRPr="002F689D" w:rsidRDefault="006029F1" w:rsidP="00623D44">
            <w:pPr>
              <w:rPr>
                <w:rFonts w:cs="Arial"/>
                <w:sz w:val="20"/>
              </w:rPr>
            </w:pPr>
            <w:r w:rsidRPr="002F689D">
              <w:rPr>
                <w:rFonts w:cs="Arial"/>
                <w:sz w:val="20"/>
              </w:rPr>
              <w:t>Monthly Data Collection</w:t>
            </w:r>
          </w:p>
        </w:tc>
        <w:tc>
          <w:tcPr>
            <w:tcW w:w="851" w:type="dxa"/>
          </w:tcPr>
          <w:p w14:paraId="6CCD6096" w14:textId="77777777" w:rsidR="006029F1" w:rsidRPr="002F689D" w:rsidRDefault="00DF6E69" w:rsidP="00623D44">
            <w:pPr>
              <w:rPr>
                <w:rFonts w:cs="Arial"/>
                <w:sz w:val="20"/>
              </w:rPr>
            </w:pPr>
            <w:r>
              <w:rPr>
                <w:rFonts w:cs="Arial"/>
                <w:sz w:val="20"/>
              </w:rPr>
              <w:t>GDPR</w:t>
            </w:r>
          </w:p>
        </w:tc>
        <w:tc>
          <w:tcPr>
            <w:tcW w:w="3503" w:type="dxa"/>
          </w:tcPr>
          <w:p w14:paraId="1DFF498A" w14:textId="77777777" w:rsidR="006029F1" w:rsidRPr="002F689D" w:rsidRDefault="00DF6E69" w:rsidP="00623D44">
            <w:pPr>
              <w:rPr>
                <w:rFonts w:cs="Arial"/>
                <w:sz w:val="20"/>
              </w:rPr>
            </w:pPr>
            <w:r>
              <w:rPr>
                <w:rFonts w:cs="Arial"/>
                <w:sz w:val="20"/>
              </w:rPr>
              <w:t>General Data Protection Regulation</w:t>
            </w:r>
          </w:p>
        </w:tc>
      </w:tr>
      <w:tr w:rsidR="006029F1" w:rsidRPr="002F689D" w14:paraId="012A2613" w14:textId="77777777" w:rsidTr="00DF6E69">
        <w:tc>
          <w:tcPr>
            <w:tcW w:w="992" w:type="dxa"/>
          </w:tcPr>
          <w:p w14:paraId="691F3369" w14:textId="77777777" w:rsidR="006029F1" w:rsidRPr="002F689D" w:rsidRDefault="006029F1" w:rsidP="00623D44">
            <w:pPr>
              <w:rPr>
                <w:rFonts w:cs="Arial"/>
                <w:sz w:val="20"/>
              </w:rPr>
            </w:pPr>
            <w:r w:rsidRPr="002F689D">
              <w:rPr>
                <w:rFonts w:cs="Arial"/>
                <w:sz w:val="20"/>
              </w:rPr>
              <w:t>MPO</w:t>
            </w:r>
          </w:p>
        </w:tc>
        <w:tc>
          <w:tcPr>
            <w:tcW w:w="3402" w:type="dxa"/>
          </w:tcPr>
          <w:p w14:paraId="6D04266C" w14:textId="77777777" w:rsidR="006029F1" w:rsidRPr="002F689D" w:rsidRDefault="006029F1" w:rsidP="00623D44">
            <w:pPr>
              <w:rPr>
                <w:rFonts w:cs="Arial"/>
                <w:sz w:val="20"/>
              </w:rPr>
            </w:pPr>
            <w:r w:rsidRPr="002F689D">
              <w:rPr>
                <w:rFonts w:cs="Arial"/>
                <w:sz w:val="20"/>
              </w:rPr>
              <w:t>My Pension On-line</w:t>
            </w:r>
          </w:p>
        </w:tc>
        <w:tc>
          <w:tcPr>
            <w:tcW w:w="851" w:type="dxa"/>
          </w:tcPr>
          <w:p w14:paraId="5342F0EC" w14:textId="77777777" w:rsidR="006029F1" w:rsidRPr="002F689D" w:rsidRDefault="00DF6E69" w:rsidP="00623D44">
            <w:pPr>
              <w:rPr>
                <w:rFonts w:cs="Arial"/>
                <w:sz w:val="20"/>
              </w:rPr>
            </w:pPr>
            <w:r>
              <w:rPr>
                <w:rFonts w:cs="Arial"/>
                <w:sz w:val="20"/>
              </w:rPr>
              <w:t>CC</w:t>
            </w:r>
          </w:p>
        </w:tc>
        <w:tc>
          <w:tcPr>
            <w:tcW w:w="3503" w:type="dxa"/>
          </w:tcPr>
          <w:p w14:paraId="4A2178F5" w14:textId="77777777" w:rsidR="006029F1" w:rsidRPr="002F689D" w:rsidRDefault="00DF6E69" w:rsidP="00623D44">
            <w:pPr>
              <w:rPr>
                <w:rFonts w:cs="Arial"/>
                <w:sz w:val="20"/>
              </w:rPr>
            </w:pPr>
            <w:r>
              <w:rPr>
                <w:rFonts w:cs="Arial"/>
                <w:sz w:val="20"/>
              </w:rPr>
              <w:t>Contacat Centre</w:t>
            </w:r>
          </w:p>
        </w:tc>
      </w:tr>
      <w:tr w:rsidR="00894961" w:rsidRPr="002F689D" w14:paraId="738002B4" w14:textId="77777777" w:rsidTr="00DF6E69">
        <w:tc>
          <w:tcPr>
            <w:tcW w:w="992" w:type="dxa"/>
          </w:tcPr>
          <w:p w14:paraId="49035CED" w14:textId="77777777" w:rsidR="00894961" w:rsidRPr="002F689D" w:rsidRDefault="00894961" w:rsidP="00623D44">
            <w:pPr>
              <w:rPr>
                <w:rFonts w:cs="Arial"/>
                <w:sz w:val="20"/>
              </w:rPr>
            </w:pPr>
            <w:r w:rsidRPr="002F689D">
              <w:rPr>
                <w:rFonts w:cs="Arial"/>
                <w:sz w:val="20"/>
              </w:rPr>
              <w:t>KPI</w:t>
            </w:r>
          </w:p>
        </w:tc>
        <w:tc>
          <w:tcPr>
            <w:tcW w:w="3402" w:type="dxa"/>
          </w:tcPr>
          <w:p w14:paraId="2110C884" w14:textId="77777777" w:rsidR="00894961" w:rsidRPr="002F689D" w:rsidRDefault="00894961" w:rsidP="00623D44">
            <w:pPr>
              <w:rPr>
                <w:rFonts w:cs="Arial"/>
                <w:sz w:val="20"/>
              </w:rPr>
            </w:pPr>
            <w:r w:rsidRPr="002F689D">
              <w:rPr>
                <w:rFonts w:cs="Arial"/>
                <w:sz w:val="20"/>
              </w:rPr>
              <w:t>Key Performance Indicator(s)</w:t>
            </w:r>
          </w:p>
        </w:tc>
        <w:tc>
          <w:tcPr>
            <w:tcW w:w="851" w:type="dxa"/>
          </w:tcPr>
          <w:p w14:paraId="1BE93BC8" w14:textId="77777777" w:rsidR="00894961" w:rsidRPr="002F689D" w:rsidRDefault="00FE037C" w:rsidP="00623D44">
            <w:pPr>
              <w:rPr>
                <w:rFonts w:cs="Arial"/>
                <w:sz w:val="20"/>
              </w:rPr>
            </w:pPr>
            <w:r w:rsidRPr="002F689D">
              <w:rPr>
                <w:rFonts w:cs="Arial"/>
                <w:sz w:val="20"/>
              </w:rPr>
              <w:t>OM</w:t>
            </w:r>
          </w:p>
        </w:tc>
        <w:tc>
          <w:tcPr>
            <w:tcW w:w="3503" w:type="dxa"/>
          </w:tcPr>
          <w:p w14:paraId="5DA73A9A" w14:textId="77777777" w:rsidR="00894961" w:rsidRPr="002F689D" w:rsidRDefault="00FE037C" w:rsidP="00623D44">
            <w:pPr>
              <w:rPr>
                <w:rFonts w:cs="Arial"/>
                <w:sz w:val="20"/>
              </w:rPr>
            </w:pPr>
            <w:r w:rsidRPr="002F689D">
              <w:rPr>
                <w:rFonts w:cs="Arial"/>
                <w:sz w:val="20"/>
              </w:rPr>
              <w:t>Outcome Measure</w:t>
            </w:r>
          </w:p>
        </w:tc>
      </w:tr>
      <w:tr w:rsidR="00FE037C" w:rsidRPr="002F689D" w14:paraId="3931DFA4" w14:textId="77777777" w:rsidTr="00DF6E69">
        <w:tc>
          <w:tcPr>
            <w:tcW w:w="992" w:type="dxa"/>
          </w:tcPr>
          <w:p w14:paraId="10F4AEA7" w14:textId="77777777" w:rsidR="00FE037C" w:rsidRPr="002F689D" w:rsidRDefault="00DF6E69" w:rsidP="00623D44">
            <w:pPr>
              <w:rPr>
                <w:rFonts w:cs="Arial"/>
                <w:sz w:val="20"/>
              </w:rPr>
            </w:pPr>
            <w:r>
              <w:rPr>
                <w:rFonts w:cs="Arial"/>
                <w:sz w:val="20"/>
              </w:rPr>
              <w:t>QSB</w:t>
            </w:r>
          </w:p>
        </w:tc>
        <w:tc>
          <w:tcPr>
            <w:tcW w:w="3402" w:type="dxa"/>
          </w:tcPr>
          <w:p w14:paraId="15DCE881" w14:textId="77777777" w:rsidR="00FE037C" w:rsidRPr="002F689D" w:rsidRDefault="00DF6E69" w:rsidP="00623D44">
            <w:pPr>
              <w:rPr>
                <w:rFonts w:cs="Arial"/>
                <w:sz w:val="20"/>
              </w:rPr>
            </w:pPr>
            <w:r>
              <w:rPr>
                <w:rFonts w:cs="Arial"/>
                <w:sz w:val="20"/>
              </w:rPr>
              <w:t>Quarterly Strategy Board</w:t>
            </w:r>
          </w:p>
        </w:tc>
        <w:tc>
          <w:tcPr>
            <w:tcW w:w="851" w:type="dxa"/>
          </w:tcPr>
          <w:p w14:paraId="56D05A4E" w14:textId="77777777" w:rsidR="00FE037C" w:rsidRPr="002F689D" w:rsidRDefault="00FE037C" w:rsidP="00623D44">
            <w:pPr>
              <w:rPr>
                <w:rFonts w:cs="Arial"/>
                <w:sz w:val="20"/>
              </w:rPr>
            </w:pPr>
            <w:r w:rsidRPr="002F689D">
              <w:rPr>
                <w:rFonts w:cs="Arial"/>
                <w:sz w:val="20"/>
              </w:rPr>
              <w:t>tPR</w:t>
            </w:r>
          </w:p>
        </w:tc>
        <w:tc>
          <w:tcPr>
            <w:tcW w:w="3503" w:type="dxa"/>
          </w:tcPr>
          <w:p w14:paraId="12253A15" w14:textId="77777777" w:rsidR="00FE037C" w:rsidRPr="002F689D" w:rsidRDefault="00FE037C" w:rsidP="00623D44">
            <w:pPr>
              <w:rPr>
                <w:rFonts w:cs="Arial"/>
                <w:sz w:val="20"/>
              </w:rPr>
            </w:pPr>
            <w:r w:rsidRPr="002F689D">
              <w:rPr>
                <w:rFonts w:cs="Arial"/>
                <w:sz w:val="20"/>
              </w:rPr>
              <w:t>The Pensions Regulator</w:t>
            </w:r>
          </w:p>
        </w:tc>
      </w:tr>
      <w:tr w:rsidR="00FE037C" w:rsidRPr="002F689D" w14:paraId="5B767450" w14:textId="77777777" w:rsidTr="00DF6E69">
        <w:tc>
          <w:tcPr>
            <w:tcW w:w="992" w:type="dxa"/>
          </w:tcPr>
          <w:p w14:paraId="495D7044" w14:textId="77777777" w:rsidR="00FE037C" w:rsidRPr="002F689D" w:rsidRDefault="00FE037C" w:rsidP="00623D44">
            <w:pPr>
              <w:rPr>
                <w:rFonts w:cs="Arial"/>
                <w:sz w:val="20"/>
              </w:rPr>
            </w:pPr>
            <w:r w:rsidRPr="002F689D">
              <w:rPr>
                <w:rFonts w:cs="Arial"/>
                <w:sz w:val="20"/>
              </w:rPr>
              <w:t>HMRC</w:t>
            </w:r>
          </w:p>
        </w:tc>
        <w:tc>
          <w:tcPr>
            <w:tcW w:w="3402" w:type="dxa"/>
          </w:tcPr>
          <w:p w14:paraId="20A8CACE" w14:textId="77777777" w:rsidR="00FE037C" w:rsidRPr="002F689D" w:rsidRDefault="00FE037C" w:rsidP="00623D44">
            <w:pPr>
              <w:rPr>
                <w:rFonts w:cs="Arial"/>
                <w:sz w:val="20"/>
              </w:rPr>
            </w:pPr>
            <w:r w:rsidRPr="002F689D">
              <w:rPr>
                <w:rFonts w:cs="Arial"/>
                <w:sz w:val="20"/>
              </w:rPr>
              <w:t>Her Majesty’s Revenue &amp; Customs</w:t>
            </w:r>
          </w:p>
        </w:tc>
        <w:tc>
          <w:tcPr>
            <w:tcW w:w="851" w:type="dxa"/>
          </w:tcPr>
          <w:p w14:paraId="0678FC1C" w14:textId="77777777" w:rsidR="00FE037C" w:rsidRPr="002F689D" w:rsidRDefault="00FE037C" w:rsidP="00623D44">
            <w:pPr>
              <w:rPr>
                <w:rFonts w:cs="Arial"/>
                <w:sz w:val="20"/>
              </w:rPr>
            </w:pPr>
            <w:r w:rsidRPr="002F689D">
              <w:rPr>
                <w:rFonts w:cs="Arial"/>
                <w:sz w:val="20"/>
              </w:rPr>
              <w:t>HMT</w:t>
            </w:r>
          </w:p>
        </w:tc>
        <w:tc>
          <w:tcPr>
            <w:tcW w:w="3503" w:type="dxa"/>
          </w:tcPr>
          <w:p w14:paraId="6A6C6548" w14:textId="77777777" w:rsidR="00FE037C" w:rsidRPr="002F689D" w:rsidRDefault="00FE037C" w:rsidP="00623D44">
            <w:pPr>
              <w:rPr>
                <w:rFonts w:cs="Arial"/>
                <w:sz w:val="20"/>
              </w:rPr>
            </w:pPr>
            <w:r w:rsidRPr="002F689D">
              <w:rPr>
                <w:rFonts w:cs="Arial"/>
                <w:sz w:val="20"/>
              </w:rPr>
              <w:t>Her Majesty’s Treasury</w:t>
            </w:r>
          </w:p>
        </w:tc>
      </w:tr>
      <w:tr w:rsidR="00DF6E69" w:rsidRPr="002F689D" w14:paraId="2BA4E7CA" w14:textId="77777777" w:rsidTr="00DF6E69">
        <w:tc>
          <w:tcPr>
            <w:tcW w:w="992" w:type="dxa"/>
          </w:tcPr>
          <w:p w14:paraId="6A591640" w14:textId="77777777" w:rsidR="00DF6E69" w:rsidRPr="002F689D" w:rsidRDefault="00DF6E69" w:rsidP="00623D44">
            <w:pPr>
              <w:rPr>
                <w:rFonts w:cs="Arial"/>
                <w:sz w:val="20"/>
              </w:rPr>
            </w:pPr>
            <w:r>
              <w:rPr>
                <w:rFonts w:cs="Arial"/>
                <w:sz w:val="20"/>
              </w:rPr>
              <w:t>BAU</w:t>
            </w:r>
          </w:p>
        </w:tc>
        <w:tc>
          <w:tcPr>
            <w:tcW w:w="3402" w:type="dxa"/>
          </w:tcPr>
          <w:p w14:paraId="76B77262" w14:textId="77777777" w:rsidR="00DF6E69" w:rsidRPr="002F689D" w:rsidRDefault="00DF6E69" w:rsidP="00623D44">
            <w:pPr>
              <w:rPr>
                <w:rFonts w:cs="Arial"/>
                <w:sz w:val="20"/>
              </w:rPr>
            </w:pPr>
            <w:r>
              <w:rPr>
                <w:rFonts w:cs="Arial"/>
                <w:sz w:val="20"/>
              </w:rPr>
              <w:t>Business as Usual</w:t>
            </w:r>
          </w:p>
        </w:tc>
        <w:tc>
          <w:tcPr>
            <w:tcW w:w="851" w:type="dxa"/>
          </w:tcPr>
          <w:p w14:paraId="76AC1155" w14:textId="77777777" w:rsidR="00DF6E69" w:rsidRPr="002F689D" w:rsidRDefault="00DF6E69" w:rsidP="00623D44">
            <w:pPr>
              <w:rPr>
                <w:rFonts w:cs="Arial"/>
                <w:sz w:val="20"/>
              </w:rPr>
            </w:pPr>
            <w:r>
              <w:rPr>
                <w:rFonts w:cs="Arial"/>
                <w:sz w:val="20"/>
              </w:rPr>
              <w:t>YTD</w:t>
            </w:r>
          </w:p>
        </w:tc>
        <w:tc>
          <w:tcPr>
            <w:tcW w:w="3503" w:type="dxa"/>
          </w:tcPr>
          <w:p w14:paraId="4221F446" w14:textId="77777777" w:rsidR="00DF6E69" w:rsidRPr="002F689D" w:rsidRDefault="00DF6E69" w:rsidP="00623D44">
            <w:pPr>
              <w:rPr>
                <w:rFonts w:cs="Arial"/>
                <w:sz w:val="20"/>
              </w:rPr>
            </w:pPr>
            <w:r>
              <w:rPr>
                <w:rFonts w:cs="Arial"/>
                <w:sz w:val="20"/>
              </w:rPr>
              <w:t>Year to Date</w:t>
            </w:r>
          </w:p>
        </w:tc>
      </w:tr>
    </w:tbl>
    <w:p w14:paraId="705CF95C" w14:textId="77777777" w:rsidR="002F689D" w:rsidRDefault="002F689D" w:rsidP="00623D44">
      <w:pPr>
        <w:jc w:val="right"/>
        <w:rPr>
          <w:rFonts w:cs="Arial"/>
          <w:b/>
          <w:szCs w:val="24"/>
        </w:rPr>
      </w:pPr>
    </w:p>
    <w:p w14:paraId="39D73B7A" w14:textId="77777777" w:rsidR="0028689E" w:rsidRPr="00623D44" w:rsidRDefault="0028689E" w:rsidP="00623D44">
      <w:pPr>
        <w:jc w:val="right"/>
        <w:rPr>
          <w:rFonts w:cs="Arial"/>
          <w:b/>
          <w:szCs w:val="24"/>
        </w:rPr>
      </w:pPr>
      <w:r w:rsidRPr="00623D44">
        <w:rPr>
          <w:rFonts w:cs="Arial"/>
          <w:b/>
          <w:szCs w:val="24"/>
        </w:rPr>
        <w:lastRenderedPageBreak/>
        <w:t>Annex 1</w:t>
      </w:r>
    </w:p>
    <w:p w14:paraId="1111974F" w14:textId="77777777" w:rsidR="0028689E" w:rsidRPr="00623D44" w:rsidRDefault="0028689E" w:rsidP="00623D44">
      <w:pPr>
        <w:rPr>
          <w:rFonts w:cs="Arial"/>
          <w:szCs w:val="24"/>
        </w:rPr>
      </w:pPr>
    </w:p>
    <w:p w14:paraId="6AE658F6" w14:textId="77777777" w:rsidR="0028689E" w:rsidRPr="00623D44" w:rsidRDefault="0028689E" w:rsidP="00623D44">
      <w:pPr>
        <w:rPr>
          <w:rFonts w:cs="Arial"/>
          <w:b/>
          <w:szCs w:val="24"/>
        </w:rPr>
      </w:pPr>
      <w:r w:rsidRPr="00623D44">
        <w:rPr>
          <w:rFonts w:cs="Arial"/>
          <w:b/>
          <w:szCs w:val="24"/>
        </w:rPr>
        <w:t>TP Administration Update</w:t>
      </w:r>
    </w:p>
    <w:p w14:paraId="21EFB61A" w14:textId="77777777" w:rsidR="007871BF" w:rsidRPr="00623D44" w:rsidRDefault="007871BF" w:rsidP="00623D44">
      <w:pPr>
        <w:rPr>
          <w:rFonts w:cs="Arial"/>
          <w:b/>
          <w:szCs w:val="24"/>
        </w:rPr>
      </w:pPr>
    </w:p>
    <w:p w14:paraId="0429CA1B" w14:textId="77777777" w:rsidR="0028689E" w:rsidRPr="00623D44" w:rsidRDefault="0028689E" w:rsidP="00623D44">
      <w:pPr>
        <w:rPr>
          <w:rFonts w:cs="Arial"/>
          <w:szCs w:val="24"/>
        </w:rPr>
      </w:pPr>
      <w:r w:rsidRPr="00623D44">
        <w:rPr>
          <w:rFonts w:cs="Arial"/>
          <w:szCs w:val="24"/>
        </w:rPr>
        <w:t>The purpose of this document is to advise the Service Delivery and Maintenance of Data sub-committee, and the TPS Pension Board, of recent key events relating to the administration of the scheme so as to assist with its assurance role.  In particular in the areas of maintaining the quality of member data and record keeping (in line with the requirements of the Pensions Regulator), and reporting certain breaches of the law.  The report also aims to assist the Board (via the sub-committee) in its strategic role by providing information on specific actions and projects that aim to ensure the administration continues to improve and best serve all stakeholders’ needs.</w:t>
      </w:r>
    </w:p>
    <w:p w14:paraId="523B2C4C" w14:textId="77777777" w:rsidR="0028689E" w:rsidRPr="00623D44" w:rsidRDefault="0028689E" w:rsidP="00623D44">
      <w:pPr>
        <w:rPr>
          <w:rFonts w:cs="Arial"/>
          <w:szCs w:val="24"/>
        </w:rPr>
      </w:pPr>
    </w:p>
    <w:p w14:paraId="431F4C2E" w14:textId="77777777" w:rsidR="0028689E" w:rsidRPr="00623D44" w:rsidRDefault="0028689E" w:rsidP="00623D44">
      <w:pPr>
        <w:rPr>
          <w:rFonts w:cs="Arial"/>
          <w:szCs w:val="24"/>
        </w:rPr>
      </w:pPr>
      <w:r w:rsidRPr="00623D44">
        <w:rPr>
          <w:rFonts w:cs="Arial"/>
          <w:szCs w:val="24"/>
        </w:rPr>
        <w:t>Within the above, Teachers’ Pensions primary role is to pay the right pensions to the right people at the right time.  The Department seeks to ensure that happens through: having the right contract arrangements in place; monitoring TP’s (and other contractors), performance against expected outcomes; and working with TP and others to continuously improve the service/keep up to date with wider developments.  The Board’s role is to assess and offer a view on whether these are the right arrangements and whether they are working effectively.</w:t>
      </w:r>
    </w:p>
    <w:p w14:paraId="22BA621F" w14:textId="77777777" w:rsidR="0028689E" w:rsidRPr="00623D44" w:rsidRDefault="0028689E" w:rsidP="00623D44">
      <w:pPr>
        <w:rPr>
          <w:rFonts w:cs="Arial"/>
          <w:szCs w:val="24"/>
        </w:rPr>
      </w:pPr>
    </w:p>
    <w:p w14:paraId="6352F7D5" w14:textId="77777777" w:rsidR="0028689E" w:rsidRPr="00623D44" w:rsidRDefault="0028689E" w:rsidP="00623D44">
      <w:pPr>
        <w:rPr>
          <w:rFonts w:cs="Arial"/>
          <w:szCs w:val="24"/>
        </w:rPr>
      </w:pPr>
      <w:r w:rsidRPr="00623D44">
        <w:rPr>
          <w:rFonts w:cs="Arial"/>
          <w:szCs w:val="24"/>
        </w:rPr>
        <w:t>This report therefore covers details on performance and activity in the following areas:</w:t>
      </w:r>
    </w:p>
    <w:p w14:paraId="00FA858B" w14:textId="77777777" w:rsidR="0028689E" w:rsidRPr="00623D44" w:rsidRDefault="0028689E" w:rsidP="00623D44">
      <w:pPr>
        <w:pStyle w:val="ListParagraph"/>
        <w:numPr>
          <w:ilvl w:val="0"/>
          <w:numId w:val="14"/>
        </w:numPr>
        <w:rPr>
          <w:rFonts w:cs="Arial"/>
          <w:szCs w:val="24"/>
        </w:rPr>
      </w:pPr>
      <w:r w:rsidRPr="00623D44">
        <w:rPr>
          <w:rFonts w:cs="Arial"/>
          <w:szCs w:val="24"/>
        </w:rPr>
        <w:t>delivery against performance and outcome standards (e.g. service delivery, annual service returns) ; and</w:t>
      </w:r>
    </w:p>
    <w:p w14:paraId="25E1CCD6" w14:textId="77777777" w:rsidR="0028689E" w:rsidRPr="00623D44" w:rsidRDefault="00A52AD9" w:rsidP="00623D44">
      <w:pPr>
        <w:pStyle w:val="ListParagraph"/>
        <w:numPr>
          <w:ilvl w:val="0"/>
          <w:numId w:val="14"/>
        </w:numPr>
        <w:rPr>
          <w:rFonts w:cs="Arial"/>
          <w:szCs w:val="24"/>
        </w:rPr>
      </w:pPr>
      <w:r w:rsidRPr="00623D44">
        <w:rPr>
          <w:rFonts w:cs="Arial"/>
          <w:szCs w:val="24"/>
        </w:rPr>
        <w:t>Steps</w:t>
      </w:r>
      <w:r w:rsidR="0028689E" w:rsidRPr="00623D44">
        <w:rPr>
          <w:rFonts w:cs="Arial"/>
          <w:szCs w:val="24"/>
        </w:rPr>
        <w:t xml:space="preserve"> to improve the service and to adapt to/adopt change in over-riding pension arrangements, education or best practice elsewhere (e.g. monthly data collection, the employer review, deferred member project, etc.</w:t>
      </w:r>
    </w:p>
    <w:p w14:paraId="627BEF14" w14:textId="77777777" w:rsidR="00996DAC" w:rsidRPr="00623D44" w:rsidRDefault="00996DAC" w:rsidP="00623D44">
      <w:pPr>
        <w:rPr>
          <w:rFonts w:cs="Arial"/>
          <w:szCs w:val="24"/>
        </w:rPr>
      </w:pPr>
    </w:p>
    <w:p w14:paraId="478FC697" w14:textId="77777777" w:rsidR="00996DAC" w:rsidRPr="00623D44" w:rsidRDefault="00996DAC" w:rsidP="00623D44">
      <w:pPr>
        <w:rPr>
          <w:rFonts w:cs="Arial"/>
          <w:szCs w:val="24"/>
        </w:rPr>
      </w:pPr>
    </w:p>
    <w:p w14:paraId="71C27BCC" w14:textId="77777777" w:rsidR="00996DAC" w:rsidRPr="00623D44" w:rsidRDefault="00996DAC" w:rsidP="00623D44">
      <w:pPr>
        <w:rPr>
          <w:rFonts w:cs="Arial"/>
          <w:szCs w:val="24"/>
        </w:rPr>
      </w:pPr>
      <w:r w:rsidRPr="00623D44">
        <w:rPr>
          <w:rFonts w:cs="Arial"/>
          <w:szCs w:val="24"/>
        </w:rPr>
        <w:br w:type="page"/>
      </w:r>
    </w:p>
    <w:p w14:paraId="4D14455B" w14:textId="77777777" w:rsidR="00065D8C" w:rsidRPr="00623D44" w:rsidRDefault="00065D8C" w:rsidP="00623D44">
      <w:pPr>
        <w:jc w:val="right"/>
        <w:rPr>
          <w:rFonts w:cs="Arial"/>
          <w:b/>
          <w:szCs w:val="24"/>
        </w:rPr>
      </w:pPr>
      <w:r w:rsidRPr="00623D44">
        <w:rPr>
          <w:rFonts w:cs="Arial"/>
          <w:b/>
          <w:szCs w:val="24"/>
        </w:rPr>
        <w:lastRenderedPageBreak/>
        <w:t>Annex 2</w:t>
      </w:r>
    </w:p>
    <w:p w14:paraId="1DB5A4D4" w14:textId="77777777" w:rsidR="00065D8C" w:rsidRPr="00623D44" w:rsidRDefault="00065D8C" w:rsidP="00623D44">
      <w:pPr>
        <w:rPr>
          <w:rFonts w:cs="Arial"/>
          <w:szCs w:val="24"/>
        </w:rPr>
      </w:pPr>
    </w:p>
    <w:p w14:paraId="5C811AA7" w14:textId="77777777" w:rsidR="00065D8C" w:rsidRPr="00623D44" w:rsidRDefault="00065D8C" w:rsidP="00623D44">
      <w:pPr>
        <w:rPr>
          <w:rFonts w:cs="Arial"/>
          <w:b/>
          <w:szCs w:val="24"/>
        </w:rPr>
      </w:pPr>
      <w:r w:rsidRPr="00623D44">
        <w:rPr>
          <w:rFonts w:cs="Arial"/>
          <w:b/>
          <w:szCs w:val="24"/>
        </w:rPr>
        <w:t>12 steps to prepare for the General Data Protection Regulation (GDPR)</w:t>
      </w:r>
    </w:p>
    <w:p w14:paraId="5FE85700" w14:textId="77777777" w:rsidR="00065D8C" w:rsidRPr="00623D44" w:rsidRDefault="00065D8C" w:rsidP="00623D44">
      <w:pPr>
        <w:rPr>
          <w:rFonts w:cs="Arial"/>
          <w:szCs w:val="24"/>
        </w:rPr>
      </w:pPr>
    </w:p>
    <w:p w14:paraId="6F5E8F23" w14:textId="77777777" w:rsidR="00065D8C" w:rsidRPr="00623D44" w:rsidRDefault="00065D8C" w:rsidP="00623D44">
      <w:pPr>
        <w:rPr>
          <w:rFonts w:cs="Arial"/>
          <w:szCs w:val="24"/>
        </w:rPr>
      </w:pPr>
      <w:r w:rsidRPr="00623D44">
        <w:rPr>
          <w:rFonts w:cs="Arial"/>
          <w:szCs w:val="24"/>
        </w:rPr>
        <w:t>Awareness: You should make sure that decision makers and key people in your organisation are aware that the law is changing to the GDPR. They need to appreciate the impact this is likely to have</w:t>
      </w:r>
    </w:p>
    <w:p w14:paraId="19A62063" w14:textId="77777777" w:rsidR="00065D8C" w:rsidRPr="00623D44" w:rsidRDefault="00065D8C" w:rsidP="00623D44">
      <w:pPr>
        <w:rPr>
          <w:rFonts w:cs="Arial"/>
          <w:szCs w:val="24"/>
        </w:rPr>
      </w:pPr>
    </w:p>
    <w:p w14:paraId="15353462" w14:textId="77777777" w:rsidR="00065D8C" w:rsidRPr="00623D44" w:rsidRDefault="00065D8C" w:rsidP="00623D44">
      <w:pPr>
        <w:rPr>
          <w:rFonts w:cs="Arial"/>
          <w:szCs w:val="24"/>
        </w:rPr>
      </w:pPr>
      <w:r w:rsidRPr="00623D44">
        <w:rPr>
          <w:rFonts w:cs="Arial"/>
          <w:bCs/>
          <w:szCs w:val="24"/>
        </w:rPr>
        <w:t>There are two GDPR project leads</w:t>
      </w:r>
      <w:r w:rsidRPr="00623D44">
        <w:rPr>
          <w:rFonts w:cs="Arial"/>
          <w:szCs w:val="24"/>
        </w:rPr>
        <w:t xml:space="preserve"> for DfE &amp; Capita. A </w:t>
      </w:r>
      <w:r w:rsidRPr="00623D44">
        <w:rPr>
          <w:rFonts w:cs="Arial"/>
          <w:bCs/>
          <w:szCs w:val="24"/>
        </w:rPr>
        <w:t>GDPR action log o</w:t>
      </w:r>
      <w:r w:rsidRPr="00623D44">
        <w:rPr>
          <w:rFonts w:cs="Arial"/>
          <w:szCs w:val="24"/>
        </w:rPr>
        <w:t xml:space="preserve">wned by the project leads captures all GDPR related actions and are reviewed in regular KiT meetings.  </w:t>
      </w:r>
    </w:p>
    <w:p w14:paraId="352752D8" w14:textId="77777777" w:rsidR="00065D8C" w:rsidRPr="00623D44" w:rsidRDefault="00065D8C" w:rsidP="00623D44">
      <w:pPr>
        <w:rPr>
          <w:rFonts w:cs="Arial"/>
          <w:szCs w:val="24"/>
        </w:rPr>
      </w:pPr>
    </w:p>
    <w:p w14:paraId="40A1E7A2" w14:textId="77777777" w:rsidR="00065D8C" w:rsidRPr="00623D44" w:rsidRDefault="00065D8C" w:rsidP="00623D44">
      <w:pPr>
        <w:rPr>
          <w:rFonts w:cs="Arial"/>
          <w:szCs w:val="24"/>
        </w:rPr>
      </w:pPr>
      <w:r w:rsidRPr="00623D44">
        <w:rPr>
          <w:rFonts w:cs="Arial"/>
          <w:szCs w:val="24"/>
        </w:rPr>
        <w:t>Information you hold:  You should document what personal data you hold, where it came from and who you share it with. You may need to organise an information audit.</w:t>
      </w:r>
    </w:p>
    <w:p w14:paraId="1E40106A" w14:textId="77777777" w:rsidR="00065D8C" w:rsidRPr="00623D44" w:rsidRDefault="00065D8C" w:rsidP="00623D44">
      <w:pPr>
        <w:rPr>
          <w:rFonts w:cs="Arial"/>
          <w:szCs w:val="24"/>
        </w:rPr>
      </w:pPr>
    </w:p>
    <w:p w14:paraId="1AC26ED4" w14:textId="77777777" w:rsidR="00065D8C" w:rsidRPr="00623D44" w:rsidRDefault="00065D8C" w:rsidP="00623D44">
      <w:pPr>
        <w:rPr>
          <w:rFonts w:cs="Arial"/>
          <w:szCs w:val="24"/>
        </w:rPr>
      </w:pPr>
      <w:r w:rsidRPr="00623D44">
        <w:rPr>
          <w:rFonts w:cs="Arial"/>
          <w:szCs w:val="24"/>
        </w:rPr>
        <w:t>TP &amp; DfE have a shared GDPR key theme project update published in monthly service delivery report for overall scheme governance and assurance; discussed at monthly Service Delivery Board. An audit of all data functions has been commissioned to confirm compliance with ISO regulations to support GDPR implementation.</w:t>
      </w:r>
    </w:p>
    <w:p w14:paraId="302276F6" w14:textId="77777777" w:rsidR="00065D8C" w:rsidRPr="00623D44" w:rsidRDefault="00065D8C" w:rsidP="00623D44">
      <w:pPr>
        <w:rPr>
          <w:rFonts w:cs="Arial"/>
          <w:szCs w:val="24"/>
        </w:rPr>
      </w:pPr>
    </w:p>
    <w:p w14:paraId="353A7AD5" w14:textId="77777777" w:rsidR="00065D8C" w:rsidRPr="00623D44" w:rsidRDefault="00065D8C" w:rsidP="00623D44">
      <w:pPr>
        <w:rPr>
          <w:rFonts w:cs="Arial"/>
          <w:szCs w:val="24"/>
        </w:rPr>
      </w:pPr>
      <w:r w:rsidRPr="00623D44">
        <w:rPr>
          <w:rFonts w:cs="Arial"/>
          <w:szCs w:val="24"/>
        </w:rPr>
        <w:t>Communicating privacy information: You should review your current privacy notices (PN) and put a plan in place for making any necessary changes in time for GDPR implementation.</w:t>
      </w:r>
    </w:p>
    <w:p w14:paraId="1F871173" w14:textId="77777777" w:rsidR="00065D8C" w:rsidRPr="00623D44" w:rsidRDefault="00065D8C" w:rsidP="00623D44">
      <w:pPr>
        <w:rPr>
          <w:rFonts w:cs="Arial"/>
          <w:szCs w:val="24"/>
        </w:rPr>
      </w:pPr>
    </w:p>
    <w:p w14:paraId="1BB53AFA" w14:textId="77777777" w:rsidR="00065D8C" w:rsidRPr="00623D44" w:rsidRDefault="00065D8C" w:rsidP="00623D44">
      <w:pPr>
        <w:rPr>
          <w:rFonts w:cs="Arial"/>
          <w:szCs w:val="24"/>
        </w:rPr>
      </w:pPr>
      <w:r w:rsidRPr="00623D44">
        <w:rPr>
          <w:rFonts w:cs="Arial"/>
          <w:szCs w:val="24"/>
        </w:rPr>
        <w:t>DfE have reviewed all PNs within the Teachers’ Pensions contract and draft PNs are now in place.  DfE are working internal legal teams to ensure the draft PNs are GDPR compliant prior to notification to TP and publication on the TP website.  Formal communications to both members and employers have commenced, and engagement with stakeholders is in place.  The TPS contract is being reviewed against GDPR with a draft contract amendment notice being reviewed by DfE legal teams.</w:t>
      </w:r>
    </w:p>
    <w:p w14:paraId="12A44644" w14:textId="77777777" w:rsidR="00065D8C" w:rsidRPr="00623D44" w:rsidRDefault="00065D8C" w:rsidP="00623D44">
      <w:pPr>
        <w:rPr>
          <w:rFonts w:cs="Arial"/>
          <w:szCs w:val="24"/>
        </w:rPr>
      </w:pPr>
    </w:p>
    <w:p w14:paraId="43285015" w14:textId="77777777" w:rsidR="00065D8C" w:rsidRPr="00623D44" w:rsidRDefault="00065D8C" w:rsidP="00623D44">
      <w:pPr>
        <w:rPr>
          <w:rFonts w:cs="Arial"/>
          <w:szCs w:val="24"/>
        </w:rPr>
      </w:pPr>
      <w:r w:rsidRPr="00623D44">
        <w:rPr>
          <w:rFonts w:cs="Arial"/>
          <w:szCs w:val="24"/>
        </w:rPr>
        <w:t>Individuals’ rights:  You should check your procedures to ensure they cover all the rights individuals have, including how you would delete personal data or provide data electronically and in a commonly used format.</w:t>
      </w:r>
    </w:p>
    <w:p w14:paraId="7C950400" w14:textId="77777777" w:rsidR="00065D8C" w:rsidRPr="00623D44" w:rsidRDefault="00065D8C" w:rsidP="00623D44">
      <w:pPr>
        <w:rPr>
          <w:rFonts w:cs="Arial"/>
          <w:szCs w:val="24"/>
        </w:rPr>
      </w:pPr>
    </w:p>
    <w:p w14:paraId="7BC7740D" w14:textId="77777777" w:rsidR="00065D8C" w:rsidRPr="00623D44" w:rsidRDefault="00065D8C" w:rsidP="00623D44">
      <w:pPr>
        <w:rPr>
          <w:rFonts w:cs="Arial"/>
          <w:szCs w:val="24"/>
        </w:rPr>
      </w:pPr>
      <w:r w:rsidRPr="00623D44">
        <w:rPr>
          <w:rFonts w:cs="Arial"/>
          <w:szCs w:val="24"/>
        </w:rPr>
        <w:t>DfE &amp; TP are reviewing all procedures within the Teachers’ Pensions contract and are working with TP and DfE legal teams to ensure all are updated to reflect GDPR.</w:t>
      </w:r>
    </w:p>
    <w:p w14:paraId="2DBC00E6" w14:textId="77777777" w:rsidR="00065D8C" w:rsidRPr="00623D44" w:rsidRDefault="00065D8C" w:rsidP="00623D44">
      <w:pPr>
        <w:rPr>
          <w:rFonts w:cs="Arial"/>
          <w:szCs w:val="24"/>
        </w:rPr>
      </w:pPr>
    </w:p>
    <w:p w14:paraId="207B39DE" w14:textId="77777777" w:rsidR="00065D8C" w:rsidRPr="00623D44" w:rsidRDefault="00065D8C" w:rsidP="00623D44">
      <w:pPr>
        <w:rPr>
          <w:rFonts w:cs="Arial"/>
          <w:szCs w:val="24"/>
        </w:rPr>
      </w:pPr>
      <w:r w:rsidRPr="00623D44">
        <w:rPr>
          <w:rFonts w:cs="Arial"/>
          <w:szCs w:val="24"/>
        </w:rPr>
        <w:t>Subject Access Requests (SAR): You should update your procedures and plan how you will handle requests within the new timescales and provide any additional information</w:t>
      </w:r>
    </w:p>
    <w:p w14:paraId="3267C9F9" w14:textId="77777777" w:rsidR="00065D8C" w:rsidRPr="00623D44" w:rsidRDefault="00065D8C" w:rsidP="00623D44">
      <w:pPr>
        <w:rPr>
          <w:rFonts w:cs="Arial"/>
          <w:szCs w:val="24"/>
        </w:rPr>
      </w:pPr>
    </w:p>
    <w:p w14:paraId="52BC2481" w14:textId="77777777" w:rsidR="00065D8C" w:rsidRPr="00623D44" w:rsidRDefault="00065D8C" w:rsidP="00623D44">
      <w:pPr>
        <w:rPr>
          <w:rFonts w:cs="Arial"/>
          <w:szCs w:val="24"/>
        </w:rPr>
      </w:pPr>
      <w:r w:rsidRPr="00623D44">
        <w:rPr>
          <w:rFonts w:cs="Arial"/>
          <w:szCs w:val="24"/>
        </w:rPr>
        <w:t>TP are informed of the new GDPR guidance for SAR requests, and are working with DfE GDPR lead and DfE legal teams to ensure all processes are updated to reflect GDPR.</w:t>
      </w:r>
    </w:p>
    <w:p w14:paraId="16D15AE8" w14:textId="77777777" w:rsidR="00065D8C" w:rsidRPr="00623D44" w:rsidRDefault="00065D8C" w:rsidP="00623D44">
      <w:pPr>
        <w:rPr>
          <w:rFonts w:cs="Arial"/>
          <w:szCs w:val="24"/>
        </w:rPr>
      </w:pPr>
    </w:p>
    <w:p w14:paraId="78993B49" w14:textId="77777777" w:rsidR="00065D8C" w:rsidRPr="00623D44" w:rsidRDefault="00065D8C" w:rsidP="00623D44">
      <w:pPr>
        <w:rPr>
          <w:rFonts w:cs="Arial"/>
          <w:szCs w:val="24"/>
        </w:rPr>
      </w:pPr>
      <w:r w:rsidRPr="00623D44">
        <w:rPr>
          <w:rFonts w:cs="Arial"/>
          <w:szCs w:val="24"/>
        </w:rPr>
        <w:t xml:space="preserve">Lawful basis for processing personal data: You should identify the lawful basis for your processing activity in the GDPR, document it and update your privacy notice to </w:t>
      </w:r>
      <w:r w:rsidRPr="00623D44">
        <w:rPr>
          <w:rFonts w:cs="Arial"/>
          <w:szCs w:val="24"/>
        </w:rPr>
        <w:lastRenderedPageBreak/>
        <w:t>explain it.</w:t>
      </w:r>
    </w:p>
    <w:p w14:paraId="29846AE3" w14:textId="77777777" w:rsidR="00065D8C" w:rsidRPr="00623D44" w:rsidRDefault="00065D8C" w:rsidP="00623D44">
      <w:pPr>
        <w:rPr>
          <w:rFonts w:cs="Arial"/>
          <w:szCs w:val="24"/>
        </w:rPr>
      </w:pPr>
    </w:p>
    <w:p w14:paraId="58055A9C" w14:textId="77777777" w:rsidR="00065D8C" w:rsidRPr="00623D44" w:rsidRDefault="00065D8C" w:rsidP="00623D44">
      <w:pPr>
        <w:rPr>
          <w:rFonts w:cs="Arial"/>
          <w:szCs w:val="24"/>
        </w:rPr>
      </w:pPr>
      <w:r w:rsidRPr="00623D44">
        <w:rPr>
          <w:rFonts w:cs="Arial"/>
          <w:szCs w:val="24"/>
        </w:rPr>
        <w:t xml:space="preserve">DfE have reviewed all PNs within the Teachers’ Pensions contract and draft PNs are now in place.  DfE are working internal legal teams to ensure the draft PNs are GDPR compliant prior to notification to TP and publication on the TP website.  </w:t>
      </w:r>
    </w:p>
    <w:p w14:paraId="6071EBD6" w14:textId="77777777" w:rsidR="00065D8C" w:rsidRPr="00623D44" w:rsidRDefault="00065D8C" w:rsidP="00623D44">
      <w:pPr>
        <w:rPr>
          <w:rFonts w:cs="Arial"/>
          <w:szCs w:val="24"/>
        </w:rPr>
      </w:pPr>
    </w:p>
    <w:p w14:paraId="0D71506E" w14:textId="77777777" w:rsidR="00065D8C" w:rsidRPr="00623D44" w:rsidRDefault="00065D8C" w:rsidP="00623D44">
      <w:pPr>
        <w:rPr>
          <w:rFonts w:cs="Arial"/>
          <w:szCs w:val="24"/>
        </w:rPr>
      </w:pPr>
      <w:r w:rsidRPr="00623D44">
        <w:rPr>
          <w:rFonts w:cs="Arial"/>
          <w:szCs w:val="24"/>
        </w:rPr>
        <w:t>Consent:  You should review how you seek, record and manage consent and whether you need to make any changes. Refresh existing consents now if they don’t meet the GDPR standard.</w:t>
      </w:r>
    </w:p>
    <w:p w14:paraId="4F273DB6" w14:textId="77777777" w:rsidR="00065D8C" w:rsidRPr="00623D44" w:rsidRDefault="00065D8C" w:rsidP="00623D44">
      <w:pPr>
        <w:rPr>
          <w:rFonts w:cs="Arial"/>
          <w:szCs w:val="24"/>
        </w:rPr>
      </w:pPr>
    </w:p>
    <w:p w14:paraId="2F776056" w14:textId="77777777" w:rsidR="00065D8C" w:rsidRPr="00623D44" w:rsidRDefault="00065D8C" w:rsidP="00623D44">
      <w:pPr>
        <w:rPr>
          <w:rFonts w:cs="Arial"/>
          <w:szCs w:val="24"/>
        </w:rPr>
      </w:pPr>
      <w:r w:rsidRPr="00623D44">
        <w:rPr>
          <w:rFonts w:cs="Arial"/>
          <w:szCs w:val="24"/>
        </w:rPr>
        <w:t>DfE &amp; TP are reviewing the ‘opt-out ‘policies within the Teachers’ Pensions contract and are working with TP and DfE legal teams to ensure policies are updated (where necessary) to reflect GDPR.</w:t>
      </w:r>
    </w:p>
    <w:p w14:paraId="11B78854" w14:textId="77777777" w:rsidR="00065D8C" w:rsidRPr="00623D44" w:rsidRDefault="00065D8C" w:rsidP="00623D44">
      <w:pPr>
        <w:rPr>
          <w:rFonts w:cs="Arial"/>
          <w:szCs w:val="24"/>
        </w:rPr>
      </w:pPr>
    </w:p>
    <w:p w14:paraId="48F5C420" w14:textId="77777777" w:rsidR="00065D8C" w:rsidRPr="00623D44" w:rsidRDefault="00065D8C" w:rsidP="00623D44">
      <w:pPr>
        <w:rPr>
          <w:rFonts w:cs="Arial"/>
          <w:szCs w:val="24"/>
        </w:rPr>
      </w:pPr>
      <w:r w:rsidRPr="00623D44">
        <w:rPr>
          <w:rFonts w:cs="Arial"/>
          <w:szCs w:val="24"/>
        </w:rPr>
        <w:t>Children: You should start thinking now about whether you need to put systems in place to verify individuals’ ages and to obtain parental or guardian consent for any data processing activity.</w:t>
      </w:r>
    </w:p>
    <w:p w14:paraId="1771CFA7" w14:textId="77777777" w:rsidR="00065D8C" w:rsidRPr="00623D44" w:rsidRDefault="00065D8C" w:rsidP="00623D44">
      <w:pPr>
        <w:rPr>
          <w:rFonts w:cs="Arial"/>
          <w:szCs w:val="24"/>
        </w:rPr>
      </w:pPr>
    </w:p>
    <w:p w14:paraId="0437ECD9" w14:textId="77777777" w:rsidR="00065D8C" w:rsidRPr="00623D44" w:rsidRDefault="00065D8C" w:rsidP="00623D44">
      <w:pPr>
        <w:rPr>
          <w:rFonts w:cs="Arial"/>
          <w:szCs w:val="24"/>
        </w:rPr>
      </w:pPr>
      <w:r w:rsidRPr="00623D44">
        <w:rPr>
          <w:rFonts w:cs="Arial"/>
          <w:szCs w:val="24"/>
        </w:rPr>
        <w:t>DfE &amp; TP are reviewing all policies within the Teachers’ Pensions contract and are working with TP and DfE legal teams to ensure policies are updated (where necessary) to reflect GDPR.</w:t>
      </w:r>
    </w:p>
    <w:p w14:paraId="7085F6A1" w14:textId="77777777" w:rsidR="00065D8C" w:rsidRPr="00623D44" w:rsidRDefault="00065D8C" w:rsidP="00623D44">
      <w:pPr>
        <w:rPr>
          <w:rFonts w:cs="Arial"/>
          <w:szCs w:val="24"/>
        </w:rPr>
      </w:pPr>
    </w:p>
    <w:p w14:paraId="5E53685C" w14:textId="77777777" w:rsidR="00065D8C" w:rsidRPr="00623D44" w:rsidRDefault="00065D8C" w:rsidP="00623D44">
      <w:pPr>
        <w:rPr>
          <w:rFonts w:cs="Arial"/>
          <w:szCs w:val="24"/>
        </w:rPr>
      </w:pPr>
      <w:r w:rsidRPr="00623D44">
        <w:rPr>
          <w:rFonts w:cs="Arial"/>
          <w:szCs w:val="24"/>
        </w:rPr>
        <w:t>Data breaches: You should make sure you have the right procedures in place to detect, report and investigate a personal data breach.</w:t>
      </w:r>
    </w:p>
    <w:p w14:paraId="40D78496" w14:textId="77777777" w:rsidR="00065D8C" w:rsidRPr="00623D44" w:rsidRDefault="00065D8C" w:rsidP="00623D44">
      <w:pPr>
        <w:rPr>
          <w:rFonts w:cs="Arial"/>
          <w:szCs w:val="24"/>
        </w:rPr>
      </w:pPr>
    </w:p>
    <w:p w14:paraId="27064F4D" w14:textId="77777777" w:rsidR="00065D8C" w:rsidRPr="00623D44" w:rsidRDefault="00065D8C" w:rsidP="00623D44">
      <w:pPr>
        <w:rPr>
          <w:rFonts w:cs="Arial"/>
          <w:szCs w:val="24"/>
        </w:rPr>
      </w:pPr>
      <w:r w:rsidRPr="00623D44">
        <w:rPr>
          <w:rFonts w:cs="Arial"/>
          <w:szCs w:val="24"/>
        </w:rPr>
        <w:t xml:space="preserve">DfE are the GDPR Data Controller; TP are informed of the data breach process, DfE are informed of the escalation process. </w:t>
      </w:r>
    </w:p>
    <w:p w14:paraId="381D0A86" w14:textId="77777777" w:rsidR="00065D8C" w:rsidRPr="00623D44" w:rsidRDefault="00065D8C" w:rsidP="00623D44">
      <w:pPr>
        <w:rPr>
          <w:rFonts w:cs="Arial"/>
          <w:szCs w:val="24"/>
        </w:rPr>
      </w:pPr>
    </w:p>
    <w:p w14:paraId="4D299071" w14:textId="77777777" w:rsidR="00065D8C" w:rsidRPr="00623D44" w:rsidRDefault="00065D8C" w:rsidP="00623D44">
      <w:pPr>
        <w:rPr>
          <w:rFonts w:cs="Arial"/>
          <w:szCs w:val="24"/>
        </w:rPr>
      </w:pPr>
      <w:r w:rsidRPr="00623D44">
        <w:rPr>
          <w:rFonts w:cs="Arial"/>
          <w:szCs w:val="24"/>
        </w:rPr>
        <w:t>Data Protection by Design and Data Protection Impact Assessments: You should familiarise yourself now with the ICO’s code of practice on Privacy Impact Assessments as well as the latest guidance from the Article 29 Working Party, and work out how and when to implement them in your organisation.</w:t>
      </w:r>
    </w:p>
    <w:p w14:paraId="4E97301E" w14:textId="77777777" w:rsidR="00065D8C" w:rsidRPr="00623D44" w:rsidRDefault="00065D8C" w:rsidP="00623D44">
      <w:pPr>
        <w:rPr>
          <w:rFonts w:cs="Arial"/>
          <w:szCs w:val="24"/>
        </w:rPr>
      </w:pPr>
    </w:p>
    <w:p w14:paraId="191DCC69" w14:textId="77777777" w:rsidR="00065D8C" w:rsidRPr="00623D44" w:rsidRDefault="00065D8C" w:rsidP="00623D44">
      <w:pPr>
        <w:rPr>
          <w:rFonts w:cs="Arial"/>
          <w:szCs w:val="24"/>
        </w:rPr>
      </w:pPr>
      <w:r w:rsidRPr="00623D44">
        <w:rPr>
          <w:rFonts w:cs="Arial"/>
          <w:szCs w:val="24"/>
        </w:rPr>
        <w:t xml:space="preserve">DfE and TP are informed of the GDPR policies and guidance and follow the ICO website closely.  </w:t>
      </w:r>
    </w:p>
    <w:p w14:paraId="2737A5FF" w14:textId="77777777" w:rsidR="00065D8C" w:rsidRPr="00623D44" w:rsidRDefault="00065D8C" w:rsidP="00623D44">
      <w:pPr>
        <w:rPr>
          <w:rFonts w:cs="Arial"/>
          <w:szCs w:val="24"/>
        </w:rPr>
      </w:pPr>
    </w:p>
    <w:p w14:paraId="1CE7F6EA" w14:textId="77777777" w:rsidR="00065D8C" w:rsidRPr="00623D44" w:rsidRDefault="00065D8C" w:rsidP="00623D44">
      <w:pPr>
        <w:rPr>
          <w:rFonts w:cs="Arial"/>
          <w:szCs w:val="24"/>
        </w:rPr>
      </w:pPr>
      <w:r w:rsidRPr="00623D44">
        <w:rPr>
          <w:rFonts w:cs="Arial"/>
          <w:szCs w:val="24"/>
        </w:rPr>
        <w:t>Data Protection Officers (DPO):  You should designate someone to take responsibility for data protection compliance and assess where this role will sit within your organisation’s structure and governance arrangements. You should consider whether you are required to formally designate a Data Protection Officer.</w:t>
      </w:r>
    </w:p>
    <w:p w14:paraId="09F8293B" w14:textId="77777777" w:rsidR="00065D8C" w:rsidRPr="00623D44" w:rsidRDefault="00065D8C" w:rsidP="00623D44">
      <w:pPr>
        <w:rPr>
          <w:rFonts w:cs="Arial"/>
          <w:szCs w:val="24"/>
        </w:rPr>
      </w:pPr>
    </w:p>
    <w:p w14:paraId="10527515" w14:textId="77777777" w:rsidR="00065D8C" w:rsidRPr="00623D44" w:rsidRDefault="00065D8C" w:rsidP="00623D44">
      <w:pPr>
        <w:rPr>
          <w:rFonts w:cs="Arial"/>
          <w:szCs w:val="24"/>
        </w:rPr>
      </w:pPr>
      <w:r w:rsidRPr="00623D44">
        <w:rPr>
          <w:rFonts w:cs="Arial"/>
          <w:szCs w:val="24"/>
        </w:rPr>
        <w:t>DfE will appoint a GDPR DPO; this will be notified to TP for publication on the TP website.</w:t>
      </w:r>
    </w:p>
    <w:p w14:paraId="46626665" w14:textId="77777777" w:rsidR="00065D8C" w:rsidRPr="00623D44" w:rsidRDefault="00065D8C" w:rsidP="00623D44">
      <w:pPr>
        <w:rPr>
          <w:rFonts w:cs="Arial"/>
          <w:szCs w:val="24"/>
        </w:rPr>
      </w:pPr>
    </w:p>
    <w:p w14:paraId="47FEFA45" w14:textId="77777777" w:rsidR="00065D8C" w:rsidRDefault="00065D8C" w:rsidP="00623D44">
      <w:pPr>
        <w:rPr>
          <w:rFonts w:cs="Arial"/>
          <w:szCs w:val="24"/>
        </w:rPr>
      </w:pPr>
      <w:r w:rsidRPr="00623D44">
        <w:rPr>
          <w:rFonts w:cs="Arial"/>
          <w:szCs w:val="24"/>
        </w:rPr>
        <w:t>International:  If your organisation operates in more than one EU member state (i.e. you carry out cross-border processing), you should determine your lead data protection supervisory authority. Article 29 Working Party guidelines will help you do this: Not applicable to Teachers’ Pensions Scheme.</w:t>
      </w:r>
    </w:p>
    <w:p w14:paraId="1BD41125" w14:textId="77777777" w:rsidR="00C5207D" w:rsidRDefault="00C5207D" w:rsidP="00623D44">
      <w:pPr>
        <w:rPr>
          <w:rFonts w:cs="Arial"/>
          <w:szCs w:val="24"/>
        </w:rPr>
      </w:pPr>
    </w:p>
    <w:p w14:paraId="31A27762" w14:textId="77777777" w:rsidR="00C5207D" w:rsidRDefault="00C5207D" w:rsidP="00623D44">
      <w:pPr>
        <w:rPr>
          <w:rFonts w:cs="Arial"/>
          <w:szCs w:val="24"/>
        </w:rPr>
      </w:pPr>
      <w:bookmarkStart w:id="0" w:name="_GoBack"/>
      <w:bookmarkEnd w:id="0"/>
    </w:p>
    <w:sectPr w:rsidR="00C5207D" w:rsidSect="00216CB0">
      <w:headerReference w:type="default" r:id="rId12"/>
      <w:footerReference w:type="default" r:id="rId13"/>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D4BBC" w14:textId="77777777" w:rsidR="000E2AB7" w:rsidRDefault="000E2AB7">
      <w:r>
        <w:separator/>
      </w:r>
    </w:p>
  </w:endnote>
  <w:endnote w:type="continuationSeparator" w:id="0">
    <w:p w14:paraId="34E6152E" w14:textId="77777777" w:rsidR="000E2AB7" w:rsidRDefault="000E2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369876"/>
      <w:docPartObj>
        <w:docPartGallery w:val="Page Numbers (Bottom of Page)"/>
        <w:docPartUnique/>
      </w:docPartObj>
    </w:sdtPr>
    <w:sdtEndPr>
      <w:rPr>
        <w:noProof/>
        <w:sz w:val="16"/>
        <w:szCs w:val="16"/>
      </w:rPr>
    </w:sdtEndPr>
    <w:sdtContent>
      <w:p w14:paraId="14FF7D38" w14:textId="59241C7D" w:rsidR="006001AD" w:rsidRPr="00455B7D" w:rsidRDefault="006001AD">
        <w:pPr>
          <w:pStyle w:val="Footer"/>
          <w:jc w:val="center"/>
          <w:rPr>
            <w:sz w:val="16"/>
            <w:szCs w:val="16"/>
          </w:rPr>
        </w:pPr>
        <w:r w:rsidRPr="00455B7D">
          <w:rPr>
            <w:sz w:val="16"/>
            <w:szCs w:val="16"/>
          </w:rPr>
          <w:fldChar w:fldCharType="begin"/>
        </w:r>
        <w:r w:rsidRPr="00455B7D">
          <w:rPr>
            <w:sz w:val="16"/>
            <w:szCs w:val="16"/>
          </w:rPr>
          <w:instrText xml:space="preserve"> PAGE   \* MERGEFORMAT </w:instrText>
        </w:r>
        <w:r w:rsidRPr="00455B7D">
          <w:rPr>
            <w:sz w:val="16"/>
            <w:szCs w:val="16"/>
          </w:rPr>
          <w:fldChar w:fldCharType="separate"/>
        </w:r>
        <w:r w:rsidR="00764972">
          <w:rPr>
            <w:noProof/>
            <w:sz w:val="16"/>
            <w:szCs w:val="16"/>
          </w:rPr>
          <w:t>10</w:t>
        </w:r>
        <w:r w:rsidRPr="00455B7D">
          <w:rPr>
            <w:noProof/>
            <w:sz w:val="16"/>
            <w:szCs w:val="16"/>
          </w:rPr>
          <w:fldChar w:fldCharType="end"/>
        </w:r>
      </w:p>
    </w:sdtContent>
  </w:sdt>
  <w:p w14:paraId="2873914E" w14:textId="77777777" w:rsidR="006001AD" w:rsidRDefault="00600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EB374" w14:textId="77777777" w:rsidR="000E2AB7" w:rsidRDefault="000E2AB7">
      <w:r>
        <w:separator/>
      </w:r>
    </w:p>
  </w:footnote>
  <w:footnote w:type="continuationSeparator" w:id="0">
    <w:p w14:paraId="102635FE" w14:textId="77777777" w:rsidR="000E2AB7" w:rsidRDefault="000E2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2369D" w14:textId="7424F9DC" w:rsidR="006001AD" w:rsidRPr="008D1093" w:rsidRDefault="006001AD">
    <w:pPr>
      <w:pStyle w:val="Header"/>
      <w:rPr>
        <w:szCs w:val="24"/>
      </w:rPr>
    </w:pPr>
    <w:r w:rsidRPr="008D1093">
      <w:rPr>
        <w:szCs w:val="24"/>
      </w:rPr>
      <w:t xml:space="preserve">Paper </w:t>
    </w:r>
    <w:r w:rsidR="00FD21F2" w:rsidRPr="008D1093">
      <w:rPr>
        <w:szCs w:val="24"/>
      </w:rPr>
      <w:t>7</w:t>
    </w:r>
    <w:r w:rsidRPr="008D1093">
      <w:rPr>
        <w:szCs w:val="24"/>
      </w:rPr>
      <w:t xml:space="preserve"> (Agenda Item</w:t>
    </w:r>
    <w:r w:rsidR="00210A4C" w:rsidRPr="008D1093">
      <w:rPr>
        <w:szCs w:val="24"/>
      </w:rPr>
      <w:t xml:space="preserve"> </w:t>
    </w:r>
    <w:r w:rsidR="00FD21F2" w:rsidRPr="008D1093">
      <w:rPr>
        <w:szCs w:val="24"/>
      </w:rPr>
      <w:t>3</w:t>
    </w:r>
    <w:r w:rsidR="008D1093">
      <w:rPr>
        <w:szCs w:val="24"/>
      </w:rPr>
      <w:t xml:space="preserve">) </w:t>
    </w:r>
    <w:r w:rsidR="00210A4C" w:rsidRPr="008D1093">
      <w:rPr>
        <w:szCs w:val="24"/>
      </w:rPr>
      <w:t xml:space="preserve">                                               </w:t>
    </w:r>
    <w:r w:rsidRPr="008D1093">
      <w:rPr>
        <w:szCs w:val="24"/>
      </w:rPr>
      <w:t xml:space="preserve">TPSPB </w:t>
    </w:r>
    <w:r w:rsidR="00210A4C" w:rsidRPr="008D1093">
      <w:rPr>
        <w:szCs w:val="24"/>
      </w:rPr>
      <w:t xml:space="preserve">Meeting 18 April </w:t>
    </w:r>
    <w:r w:rsidRPr="008D1093">
      <w:rPr>
        <w:szCs w:val="24"/>
      </w:rPr>
      <w:t>2018</w:t>
    </w:r>
  </w:p>
  <w:p w14:paraId="34860552" w14:textId="77777777" w:rsidR="006001AD" w:rsidRDefault="006001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2CA55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53A97"/>
    <w:multiLevelType w:val="hybridMultilevel"/>
    <w:tmpl w:val="CCAA25BE"/>
    <w:lvl w:ilvl="0" w:tplc="A168973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F51A6"/>
    <w:multiLevelType w:val="hybridMultilevel"/>
    <w:tmpl w:val="4880DA98"/>
    <w:lvl w:ilvl="0" w:tplc="7242ECB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307B5F"/>
    <w:multiLevelType w:val="hybridMultilevel"/>
    <w:tmpl w:val="85E4E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478FE"/>
    <w:multiLevelType w:val="hybridMultilevel"/>
    <w:tmpl w:val="FB7456B6"/>
    <w:lvl w:ilvl="0" w:tplc="A168973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546468"/>
    <w:multiLevelType w:val="hybridMultilevel"/>
    <w:tmpl w:val="527A7ED0"/>
    <w:lvl w:ilvl="0" w:tplc="2E48D1C6">
      <w:numFmt w:val="bullet"/>
      <w:lvlText w:val="•"/>
      <w:lvlJc w:val="left"/>
      <w:pPr>
        <w:ind w:left="1440" w:hanging="72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FAB452F"/>
    <w:multiLevelType w:val="hybridMultilevel"/>
    <w:tmpl w:val="3452898A"/>
    <w:lvl w:ilvl="0" w:tplc="A168973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FD7726"/>
    <w:multiLevelType w:val="hybridMultilevel"/>
    <w:tmpl w:val="88B62F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15A6982"/>
    <w:multiLevelType w:val="hybridMultilevel"/>
    <w:tmpl w:val="EA38E2F0"/>
    <w:lvl w:ilvl="0" w:tplc="A168973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8B3D04"/>
    <w:multiLevelType w:val="hybridMultilevel"/>
    <w:tmpl w:val="0F08E5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D0465E"/>
    <w:multiLevelType w:val="hybridMultilevel"/>
    <w:tmpl w:val="B1CC4C36"/>
    <w:lvl w:ilvl="0" w:tplc="A168973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32E63"/>
    <w:multiLevelType w:val="hybridMultilevel"/>
    <w:tmpl w:val="7374B9EA"/>
    <w:lvl w:ilvl="0" w:tplc="A168973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15:restartNumberingAfterBreak="0">
    <w:nsid w:val="1D811175"/>
    <w:multiLevelType w:val="hybridMultilevel"/>
    <w:tmpl w:val="92A2F38A"/>
    <w:lvl w:ilvl="0" w:tplc="A168973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5" w15:restartNumberingAfterBreak="0">
    <w:nsid w:val="2A3E436C"/>
    <w:multiLevelType w:val="hybridMultilevel"/>
    <w:tmpl w:val="D1D09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A1181F"/>
    <w:multiLevelType w:val="hybridMultilevel"/>
    <w:tmpl w:val="E9143A0C"/>
    <w:lvl w:ilvl="0" w:tplc="7242ECB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AB78D0"/>
    <w:multiLevelType w:val="hybridMultilevel"/>
    <w:tmpl w:val="17C2F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812A12"/>
    <w:multiLevelType w:val="hybridMultilevel"/>
    <w:tmpl w:val="573C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792BED"/>
    <w:multiLevelType w:val="hybridMultilevel"/>
    <w:tmpl w:val="C4DCBAAA"/>
    <w:lvl w:ilvl="0" w:tplc="A168973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657E56"/>
    <w:multiLevelType w:val="hybridMultilevel"/>
    <w:tmpl w:val="E3DC2C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7F90891"/>
    <w:multiLevelType w:val="hybridMultilevel"/>
    <w:tmpl w:val="B24A51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3C239F"/>
    <w:multiLevelType w:val="hybridMultilevel"/>
    <w:tmpl w:val="8B3E4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BC3479"/>
    <w:multiLevelType w:val="hybridMultilevel"/>
    <w:tmpl w:val="9D929B4A"/>
    <w:lvl w:ilvl="0" w:tplc="A168973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F657F1"/>
    <w:multiLevelType w:val="hybridMultilevel"/>
    <w:tmpl w:val="6E4A7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905653"/>
    <w:multiLevelType w:val="hybridMultilevel"/>
    <w:tmpl w:val="0CF8D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7" w15:restartNumberingAfterBreak="0">
    <w:nsid w:val="4CDE26CC"/>
    <w:multiLevelType w:val="hybridMultilevel"/>
    <w:tmpl w:val="19320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3C4366"/>
    <w:multiLevelType w:val="hybridMultilevel"/>
    <w:tmpl w:val="E9143A0C"/>
    <w:lvl w:ilvl="0" w:tplc="7242ECB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2CE72C3"/>
    <w:multiLevelType w:val="hybridMultilevel"/>
    <w:tmpl w:val="018E1370"/>
    <w:lvl w:ilvl="0" w:tplc="A168973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142F45"/>
    <w:multiLevelType w:val="hybridMultilevel"/>
    <w:tmpl w:val="E36A1962"/>
    <w:lvl w:ilvl="0" w:tplc="7242ECB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853358"/>
    <w:multiLevelType w:val="hybridMultilevel"/>
    <w:tmpl w:val="2ADCB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8721EF"/>
    <w:multiLevelType w:val="hybridMultilevel"/>
    <w:tmpl w:val="2814D3E6"/>
    <w:lvl w:ilvl="0" w:tplc="A168973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88799F"/>
    <w:multiLevelType w:val="hybridMultilevel"/>
    <w:tmpl w:val="359C2B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F431C73"/>
    <w:multiLevelType w:val="hybridMultilevel"/>
    <w:tmpl w:val="B4F46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49220C"/>
    <w:multiLevelType w:val="hybridMultilevel"/>
    <w:tmpl w:val="C09230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4F93F7C"/>
    <w:multiLevelType w:val="hybridMultilevel"/>
    <w:tmpl w:val="80165B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C680151"/>
    <w:multiLevelType w:val="hybridMultilevel"/>
    <w:tmpl w:val="DDBE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871C6B"/>
    <w:multiLevelType w:val="hybridMultilevel"/>
    <w:tmpl w:val="889A20E4"/>
    <w:lvl w:ilvl="0" w:tplc="2E48D1C6">
      <w:numFmt w:val="bullet"/>
      <w:lvlText w:val="•"/>
      <w:lvlJc w:val="left"/>
      <w:pPr>
        <w:ind w:left="720" w:hanging="360"/>
      </w:pPr>
      <w:rPr>
        <w:rFonts w:ascii="Arial" w:eastAsiaTheme="minorHAnsi" w:hAnsi="Arial" w:cs="Aria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12"/>
  </w:num>
  <w:num w:numId="4">
    <w:abstractNumId w:val="29"/>
  </w:num>
  <w:num w:numId="5">
    <w:abstractNumId w:val="0"/>
  </w:num>
  <w:num w:numId="6">
    <w:abstractNumId w:val="5"/>
  </w:num>
  <w:num w:numId="7">
    <w:abstractNumId w:val="13"/>
  </w:num>
  <w:num w:numId="8">
    <w:abstractNumId w:val="10"/>
  </w:num>
  <w:num w:numId="9">
    <w:abstractNumId w:val="39"/>
  </w:num>
  <w:num w:numId="10">
    <w:abstractNumId w:val="30"/>
  </w:num>
  <w:num w:numId="11">
    <w:abstractNumId w:val="32"/>
  </w:num>
  <w:num w:numId="12">
    <w:abstractNumId w:val="35"/>
  </w:num>
  <w:num w:numId="13">
    <w:abstractNumId w:val="38"/>
  </w:num>
  <w:num w:numId="14">
    <w:abstractNumId w:val="22"/>
  </w:num>
  <w:num w:numId="15">
    <w:abstractNumId w:val="11"/>
  </w:num>
  <w:num w:numId="16">
    <w:abstractNumId w:val="33"/>
  </w:num>
  <w:num w:numId="17">
    <w:abstractNumId w:val="23"/>
  </w:num>
  <w:num w:numId="18">
    <w:abstractNumId w:val="1"/>
  </w:num>
  <w:num w:numId="19">
    <w:abstractNumId w:val="4"/>
  </w:num>
  <w:num w:numId="20">
    <w:abstractNumId w:val="8"/>
  </w:num>
  <w:num w:numId="21">
    <w:abstractNumId w:val="6"/>
  </w:num>
  <w:num w:numId="22">
    <w:abstractNumId w:val="19"/>
  </w:num>
  <w:num w:numId="23">
    <w:abstractNumId w:val="15"/>
  </w:num>
  <w:num w:numId="24">
    <w:abstractNumId w:val="3"/>
  </w:num>
  <w:num w:numId="25">
    <w:abstractNumId w:val="27"/>
  </w:num>
  <w:num w:numId="26">
    <w:abstractNumId w:val="18"/>
  </w:num>
  <w:num w:numId="27">
    <w:abstractNumId w:val="31"/>
  </w:num>
  <w:num w:numId="28">
    <w:abstractNumId w:val="16"/>
  </w:num>
  <w:num w:numId="29">
    <w:abstractNumId w:val="7"/>
  </w:num>
  <w:num w:numId="30">
    <w:abstractNumId w:val="36"/>
  </w:num>
  <w:num w:numId="31">
    <w:abstractNumId w:val="20"/>
  </w:num>
  <w:num w:numId="32">
    <w:abstractNumId w:val="37"/>
  </w:num>
  <w:num w:numId="33">
    <w:abstractNumId w:val="28"/>
  </w:num>
  <w:num w:numId="34">
    <w:abstractNumId w:val="9"/>
  </w:num>
  <w:num w:numId="35">
    <w:abstractNumId w:val="34"/>
  </w:num>
  <w:num w:numId="36">
    <w:abstractNumId w:val="21"/>
  </w:num>
  <w:num w:numId="37">
    <w:abstractNumId w:val="2"/>
  </w:num>
  <w:num w:numId="38">
    <w:abstractNumId w:val="25"/>
  </w:num>
  <w:num w:numId="39">
    <w:abstractNumId w:val="24"/>
  </w:num>
  <w:num w:numId="40">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5FE"/>
    <w:rsid w:val="00001B65"/>
    <w:rsid w:val="00011F78"/>
    <w:rsid w:val="000129B6"/>
    <w:rsid w:val="00015017"/>
    <w:rsid w:val="00020A49"/>
    <w:rsid w:val="00020EAD"/>
    <w:rsid w:val="00022DB6"/>
    <w:rsid w:val="000239DB"/>
    <w:rsid w:val="0002617C"/>
    <w:rsid w:val="000307EE"/>
    <w:rsid w:val="00031995"/>
    <w:rsid w:val="00032AFD"/>
    <w:rsid w:val="00033CC1"/>
    <w:rsid w:val="0003532F"/>
    <w:rsid w:val="0003653E"/>
    <w:rsid w:val="0004102E"/>
    <w:rsid w:val="00041864"/>
    <w:rsid w:val="00044CFB"/>
    <w:rsid w:val="00044D7A"/>
    <w:rsid w:val="00045CB0"/>
    <w:rsid w:val="00046B86"/>
    <w:rsid w:val="0004718B"/>
    <w:rsid w:val="0004776A"/>
    <w:rsid w:val="0005004C"/>
    <w:rsid w:val="000534BE"/>
    <w:rsid w:val="00053B0E"/>
    <w:rsid w:val="00053F8C"/>
    <w:rsid w:val="00055402"/>
    <w:rsid w:val="000557D6"/>
    <w:rsid w:val="000560D0"/>
    <w:rsid w:val="0005679B"/>
    <w:rsid w:val="000602A8"/>
    <w:rsid w:val="00065019"/>
    <w:rsid w:val="00065D8C"/>
    <w:rsid w:val="00066F57"/>
    <w:rsid w:val="000767B9"/>
    <w:rsid w:val="000833EF"/>
    <w:rsid w:val="00085462"/>
    <w:rsid w:val="00091043"/>
    <w:rsid w:val="0009109E"/>
    <w:rsid w:val="00092B81"/>
    <w:rsid w:val="000942A8"/>
    <w:rsid w:val="0009692B"/>
    <w:rsid w:val="000A0C1B"/>
    <w:rsid w:val="000A2898"/>
    <w:rsid w:val="000A5FDA"/>
    <w:rsid w:val="000A7C3D"/>
    <w:rsid w:val="000B1468"/>
    <w:rsid w:val="000B2985"/>
    <w:rsid w:val="000B2A7D"/>
    <w:rsid w:val="000C06A0"/>
    <w:rsid w:val="000C1030"/>
    <w:rsid w:val="000C371B"/>
    <w:rsid w:val="000D0CD0"/>
    <w:rsid w:val="000D29D8"/>
    <w:rsid w:val="000E0632"/>
    <w:rsid w:val="000E256E"/>
    <w:rsid w:val="000E2AB7"/>
    <w:rsid w:val="000E41F4"/>
    <w:rsid w:val="000F3CC8"/>
    <w:rsid w:val="000F43AE"/>
    <w:rsid w:val="000F4E59"/>
    <w:rsid w:val="000F688D"/>
    <w:rsid w:val="00101D3E"/>
    <w:rsid w:val="00104F07"/>
    <w:rsid w:val="00105941"/>
    <w:rsid w:val="001063B7"/>
    <w:rsid w:val="00106464"/>
    <w:rsid w:val="00116F59"/>
    <w:rsid w:val="00117D57"/>
    <w:rsid w:val="00120219"/>
    <w:rsid w:val="00120A03"/>
    <w:rsid w:val="001268DC"/>
    <w:rsid w:val="0012764D"/>
    <w:rsid w:val="001333D7"/>
    <w:rsid w:val="001362FD"/>
    <w:rsid w:val="001366BB"/>
    <w:rsid w:val="00137259"/>
    <w:rsid w:val="001372F2"/>
    <w:rsid w:val="001418A7"/>
    <w:rsid w:val="001420B1"/>
    <w:rsid w:val="00142D2F"/>
    <w:rsid w:val="0014361D"/>
    <w:rsid w:val="001441D3"/>
    <w:rsid w:val="0014626D"/>
    <w:rsid w:val="0015137E"/>
    <w:rsid w:val="0015281A"/>
    <w:rsid w:val="00153EDA"/>
    <w:rsid w:val="00153F85"/>
    <w:rsid w:val="001610B2"/>
    <w:rsid w:val="001610B6"/>
    <w:rsid w:val="00162DD6"/>
    <w:rsid w:val="00164348"/>
    <w:rsid w:val="001651AE"/>
    <w:rsid w:val="00165747"/>
    <w:rsid w:val="00172C67"/>
    <w:rsid w:val="00175C28"/>
    <w:rsid w:val="00180A06"/>
    <w:rsid w:val="00182783"/>
    <w:rsid w:val="0018515E"/>
    <w:rsid w:val="00195EB6"/>
    <w:rsid w:val="00195F8E"/>
    <w:rsid w:val="001A33D2"/>
    <w:rsid w:val="001A54FA"/>
    <w:rsid w:val="001A5F68"/>
    <w:rsid w:val="001A6201"/>
    <w:rsid w:val="001A6A6D"/>
    <w:rsid w:val="001A7A25"/>
    <w:rsid w:val="001B05C8"/>
    <w:rsid w:val="001B1304"/>
    <w:rsid w:val="001B4D11"/>
    <w:rsid w:val="001B5858"/>
    <w:rsid w:val="001B6DF9"/>
    <w:rsid w:val="001C0A90"/>
    <w:rsid w:val="001C2776"/>
    <w:rsid w:val="001C2D3C"/>
    <w:rsid w:val="001C625C"/>
    <w:rsid w:val="001D3CF0"/>
    <w:rsid w:val="001D55BC"/>
    <w:rsid w:val="001D70BA"/>
    <w:rsid w:val="001D7FB3"/>
    <w:rsid w:val="001E2983"/>
    <w:rsid w:val="001E4DD8"/>
    <w:rsid w:val="001E50C3"/>
    <w:rsid w:val="001E64BE"/>
    <w:rsid w:val="001F4527"/>
    <w:rsid w:val="001F59A7"/>
    <w:rsid w:val="002009C2"/>
    <w:rsid w:val="00204BE1"/>
    <w:rsid w:val="002101BD"/>
    <w:rsid w:val="00210A4C"/>
    <w:rsid w:val="00211C37"/>
    <w:rsid w:val="00212D24"/>
    <w:rsid w:val="00216CB0"/>
    <w:rsid w:val="00217581"/>
    <w:rsid w:val="0022190C"/>
    <w:rsid w:val="00221E48"/>
    <w:rsid w:val="00224177"/>
    <w:rsid w:val="00225EBE"/>
    <w:rsid w:val="00226104"/>
    <w:rsid w:val="00227781"/>
    <w:rsid w:val="00232AC5"/>
    <w:rsid w:val="002335B0"/>
    <w:rsid w:val="002338A1"/>
    <w:rsid w:val="00234F15"/>
    <w:rsid w:val="002412E4"/>
    <w:rsid w:val="00244A88"/>
    <w:rsid w:val="00244B2A"/>
    <w:rsid w:val="00247FC2"/>
    <w:rsid w:val="00256380"/>
    <w:rsid w:val="0026223E"/>
    <w:rsid w:val="002624C8"/>
    <w:rsid w:val="00266064"/>
    <w:rsid w:val="0027303C"/>
    <w:rsid w:val="00273493"/>
    <w:rsid w:val="0027611C"/>
    <w:rsid w:val="0027728D"/>
    <w:rsid w:val="002840D0"/>
    <w:rsid w:val="00285408"/>
    <w:rsid w:val="0028689E"/>
    <w:rsid w:val="00287895"/>
    <w:rsid w:val="00292A44"/>
    <w:rsid w:val="0029327F"/>
    <w:rsid w:val="00295EFC"/>
    <w:rsid w:val="0029755F"/>
    <w:rsid w:val="002A1019"/>
    <w:rsid w:val="002A5E0A"/>
    <w:rsid w:val="002B00DA"/>
    <w:rsid w:val="002B1583"/>
    <w:rsid w:val="002B1922"/>
    <w:rsid w:val="002B5648"/>
    <w:rsid w:val="002B651E"/>
    <w:rsid w:val="002C2FEE"/>
    <w:rsid w:val="002C3FE7"/>
    <w:rsid w:val="002C5F4C"/>
    <w:rsid w:val="002C69CF"/>
    <w:rsid w:val="002D2A7A"/>
    <w:rsid w:val="002E06AA"/>
    <w:rsid w:val="002E0D9A"/>
    <w:rsid w:val="002E28FA"/>
    <w:rsid w:val="002E35C3"/>
    <w:rsid w:val="002E3D97"/>
    <w:rsid w:val="002E50F1"/>
    <w:rsid w:val="002E5E1B"/>
    <w:rsid w:val="002E63ED"/>
    <w:rsid w:val="002F0D4F"/>
    <w:rsid w:val="002F3E2C"/>
    <w:rsid w:val="002F689D"/>
    <w:rsid w:val="002F6EF6"/>
    <w:rsid w:val="0030285F"/>
    <w:rsid w:val="00302A0E"/>
    <w:rsid w:val="00304C38"/>
    <w:rsid w:val="00305191"/>
    <w:rsid w:val="00306322"/>
    <w:rsid w:val="00310708"/>
    <w:rsid w:val="00312BD3"/>
    <w:rsid w:val="00315F4C"/>
    <w:rsid w:val="00321ACC"/>
    <w:rsid w:val="003222A6"/>
    <w:rsid w:val="00322728"/>
    <w:rsid w:val="00324593"/>
    <w:rsid w:val="00325930"/>
    <w:rsid w:val="00326803"/>
    <w:rsid w:val="0032690D"/>
    <w:rsid w:val="00327299"/>
    <w:rsid w:val="003322CD"/>
    <w:rsid w:val="003337D8"/>
    <w:rsid w:val="003340AD"/>
    <w:rsid w:val="00336857"/>
    <w:rsid w:val="003378F2"/>
    <w:rsid w:val="00346480"/>
    <w:rsid w:val="00346D9B"/>
    <w:rsid w:val="00347A3B"/>
    <w:rsid w:val="00353314"/>
    <w:rsid w:val="00354B0F"/>
    <w:rsid w:val="0036086F"/>
    <w:rsid w:val="00360BF6"/>
    <w:rsid w:val="00367EEB"/>
    <w:rsid w:val="00370158"/>
    <w:rsid w:val="00370895"/>
    <w:rsid w:val="003712C2"/>
    <w:rsid w:val="003716EB"/>
    <w:rsid w:val="00373027"/>
    <w:rsid w:val="003778EE"/>
    <w:rsid w:val="00380F54"/>
    <w:rsid w:val="00381BA1"/>
    <w:rsid w:val="00385A6C"/>
    <w:rsid w:val="00386B15"/>
    <w:rsid w:val="00386D6F"/>
    <w:rsid w:val="00392AE9"/>
    <w:rsid w:val="00392DE7"/>
    <w:rsid w:val="003A0000"/>
    <w:rsid w:val="003A3AF6"/>
    <w:rsid w:val="003B16C0"/>
    <w:rsid w:val="003B2B29"/>
    <w:rsid w:val="003B3B04"/>
    <w:rsid w:val="003B3F52"/>
    <w:rsid w:val="003B78F9"/>
    <w:rsid w:val="003C44E4"/>
    <w:rsid w:val="003D17F1"/>
    <w:rsid w:val="003D2640"/>
    <w:rsid w:val="003D37BB"/>
    <w:rsid w:val="003D68C1"/>
    <w:rsid w:val="003D74A2"/>
    <w:rsid w:val="003D7A13"/>
    <w:rsid w:val="003D7CFA"/>
    <w:rsid w:val="003E11C0"/>
    <w:rsid w:val="003E1B86"/>
    <w:rsid w:val="003E6089"/>
    <w:rsid w:val="003E628B"/>
    <w:rsid w:val="003E74A3"/>
    <w:rsid w:val="003F013E"/>
    <w:rsid w:val="003F1179"/>
    <w:rsid w:val="003F784F"/>
    <w:rsid w:val="00400B4C"/>
    <w:rsid w:val="0040142A"/>
    <w:rsid w:val="00402829"/>
    <w:rsid w:val="00404362"/>
    <w:rsid w:val="00410D91"/>
    <w:rsid w:val="004161FD"/>
    <w:rsid w:val="00416D13"/>
    <w:rsid w:val="00424A42"/>
    <w:rsid w:val="00430B94"/>
    <w:rsid w:val="00430DC5"/>
    <w:rsid w:val="004314BD"/>
    <w:rsid w:val="004323CF"/>
    <w:rsid w:val="00437191"/>
    <w:rsid w:val="00437C62"/>
    <w:rsid w:val="00440033"/>
    <w:rsid w:val="00440047"/>
    <w:rsid w:val="004405B2"/>
    <w:rsid w:val="00440B25"/>
    <w:rsid w:val="0044241F"/>
    <w:rsid w:val="0044303E"/>
    <w:rsid w:val="00444350"/>
    <w:rsid w:val="00444536"/>
    <w:rsid w:val="00444DEB"/>
    <w:rsid w:val="00444EF5"/>
    <w:rsid w:val="00446867"/>
    <w:rsid w:val="00450D89"/>
    <w:rsid w:val="00451634"/>
    <w:rsid w:val="00452C69"/>
    <w:rsid w:val="004533A7"/>
    <w:rsid w:val="0045433D"/>
    <w:rsid w:val="00455B7D"/>
    <w:rsid w:val="00457727"/>
    <w:rsid w:val="00460505"/>
    <w:rsid w:val="00463122"/>
    <w:rsid w:val="0046418D"/>
    <w:rsid w:val="004669DF"/>
    <w:rsid w:val="00470EF1"/>
    <w:rsid w:val="004750E0"/>
    <w:rsid w:val="0047565F"/>
    <w:rsid w:val="00480E77"/>
    <w:rsid w:val="00484C39"/>
    <w:rsid w:val="004867B4"/>
    <w:rsid w:val="00487061"/>
    <w:rsid w:val="0049353C"/>
    <w:rsid w:val="00494F0A"/>
    <w:rsid w:val="004955D9"/>
    <w:rsid w:val="00495B2F"/>
    <w:rsid w:val="0049732E"/>
    <w:rsid w:val="004977A1"/>
    <w:rsid w:val="00497AB9"/>
    <w:rsid w:val="004A2081"/>
    <w:rsid w:val="004A26DD"/>
    <w:rsid w:val="004A41A2"/>
    <w:rsid w:val="004A7966"/>
    <w:rsid w:val="004B5643"/>
    <w:rsid w:val="004B65EA"/>
    <w:rsid w:val="004B7824"/>
    <w:rsid w:val="004C25EA"/>
    <w:rsid w:val="004C742C"/>
    <w:rsid w:val="004D1372"/>
    <w:rsid w:val="004D752F"/>
    <w:rsid w:val="004D783A"/>
    <w:rsid w:val="004E2B5C"/>
    <w:rsid w:val="004E633C"/>
    <w:rsid w:val="004F0CE3"/>
    <w:rsid w:val="004F278A"/>
    <w:rsid w:val="004F2A01"/>
    <w:rsid w:val="004F515B"/>
    <w:rsid w:val="004F6A59"/>
    <w:rsid w:val="004F759E"/>
    <w:rsid w:val="00500CAD"/>
    <w:rsid w:val="00501DF6"/>
    <w:rsid w:val="00502302"/>
    <w:rsid w:val="0050359C"/>
    <w:rsid w:val="00503FCE"/>
    <w:rsid w:val="005065AB"/>
    <w:rsid w:val="005107B4"/>
    <w:rsid w:val="00511C80"/>
    <w:rsid w:val="00511CA5"/>
    <w:rsid w:val="005150CE"/>
    <w:rsid w:val="00521323"/>
    <w:rsid w:val="00522094"/>
    <w:rsid w:val="00522C40"/>
    <w:rsid w:val="005253ED"/>
    <w:rsid w:val="00526ACB"/>
    <w:rsid w:val="00530814"/>
    <w:rsid w:val="00533928"/>
    <w:rsid w:val="0053430A"/>
    <w:rsid w:val="0054208E"/>
    <w:rsid w:val="00542484"/>
    <w:rsid w:val="00545301"/>
    <w:rsid w:val="00546576"/>
    <w:rsid w:val="00546D75"/>
    <w:rsid w:val="00547B5C"/>
    <w:rsid w:val="0055086E"/>
    <w:rsid w:val="00550B79"/>
    <w:rsid w:val="00551966"/>
    <w:rsid w:val="005520A0"/>
    <w:rsid w:val="00554396"/>
    <w:rsid w:val="0055592F"/>
    <w:rsid w:val="00557B13"/>
    <w:rsid w:val="0056050E"/>
    <w:rsid w:val="00560B42"/>
    <w:rsid w:val="00562F3D"/>
    <w:rsid w:val="00565333"/>
    <w:rsid w:val="00573F17"/>
    <w:rsid w:val="00582BF7"/>
    <w:rsid w:val="00585845"/>
    <w:rsid w:val="00586042"/>
    <w:rsid w:val="0058731A"/>
    <w:rsid w:val="005900CC"/>
    <w:rsid w:val="00590839"/>
    <w:rsid w:val="00591B39"/>
    <w:rsid w:val="005935FE"/>
    <w:rsid w:val="00594F61"/>
    <w:rsid w:val="00595D5E"/>
    <w:rsid w:val="00596A0A"/>
    <w:rsid w:val="00597C1C"/>
    <w:rsid w:val="005A1779"/>
    <w:rsid w:val="005A600D"/>
    <w:rsid w:val="005A66F0"/>
    <w:rsid w:val="005B1CC3"/>
    <w:rsid w:val="005B1F28"/>
    <w:rsid w:val="005B44D4"/>
    <w:rsid w:val="005B5A07"/>
    <w:rsid w:val="005C1372"/>
    <w:rsid w:val="005C7799"/>
    <w:rsid w:val="005D0BFA"/>
    <w:rsid w:val="005D0D2C"/>
    <w:rsid w:val="005D188B"/>
    <w:rsid w:val="005D4080"/>
    <w:rsid w:val="005E0072"/>
    <w:rsid w:val="005E158F"/>
    <w:rsid w:val="005E5010"/>
    <w:rsid w:val="005E678A"/>
    <w:rsid w:val="005F18CA"/>
    <w:rsid w:val="005F2C3E"/>
    <w:rsid w:val="005F309C"/>
    <w:rsid w:val="005F32F3"/>
    <w:rsid w:val="005F5E08"/>
    <w:rsid w:val="006001AD"/>
    <w:rsid w:val="006029F1"/>
    <w:rsid w:val="00607A4B"/>
    <w:rsid w:val="00623D44"/>
    <w:rsid w:val="0062704E"/>
    <w:rsid w:val="00632679"/>
    <w:rsid w:val="00634682"/>
    <w:rsid w:val="0063507E"/>
    <w:rsid w:val="006350C7"/>
    <w:rsid w:val="006363E9"/>
    <w:rsid w:val="006404AA"/>
    <w:rsid w:val="00641E03"/>
    <w:rsid w:val="00644853"/>
    <w:rsid w:val="00644BAB"/>
    <w:rsid w:val="0064576A"/>
    <w:rsid w:val="0064642E"/>
    <w:rsid w:val="00654828"/>
    <w:rsid w:val="00654954"/>
    <w:rsid w:val="00661A29"/>
    <w:rsid w:val="00665861"/>
    <w:rsid w:val="006661DE"/>
    <w:rsid w:val="0067747F"/>
    <w:rsid w:val="006778DD"/>
    <w:rsid w:val="00680E05"/>
    <w:rsid w:val="006812D9"/>
    <w:rsid w:val="006833DC"/>
    <w:rsid w:val="0068381E"/>
    <w:rsid w:val="00683827"/>
    <w:rsid w:val="00684782"/>
    <w:rsid w:val="006858D6"/>
    <w:rsid w:val="006872B4"/>
    <w:rsid w:val="00687908"/>
    <w:rsid w:val="0069047F"/>
    <w:rsid w:val="0069537E"/>
    <w:rsid w:val="00695F95"/>
    <w:rsid w:val="00696A8F"/>
    <w:rsid w:val="006A0189"/>
    <w:rsid w:val="006A1127"/>
    <w:rsid w:val="006A2F72"/>
    <w:rsid w:val="006A3278"/>
    <w:rsid w:val="006A4BC6"/>
    <w:rsid w:val="006B1F2D"/>
    <w:rsid w:val="006B2D18"/>
    <w:rsid w:val="006B55BB"/>
    <w:rsid w:val="006B661D"/>
    <w:rsid w:val="006C446A"/>
    <w:rsid w:val="006C44FA"/>
    <w:rsid w:val="006C78DA"/>
    <w:rsid w:val="006D102D"/>
    <w:rsid w:val="006D18D6"/>
    <w:rsid w:val="006D3EBD"/>
    <w:rsid w:val="006D5F84"/>
    <w:rsid w:val="006D6027"/>
    <w:rsid w:val="006E2823"/>
    <w:rsid w:val="006E3AEF"/>
    <w:rsid w:val="006E5082"/>
    <w:rsid w:val="006E6F0B"/>
    <w:rsid w:val="006E77BB"/>
    <w:rsid w:val="006F1BCB"/>
    <w:rsid w:val="006F2A49"/>
    <w:rsid w:val="006F6E69"/>
    <w:rsid w:val="00700793"/>
    <w:rsid w:val="007011E3"/>
    <w:rsid w:val="00702EA7"/>
    <w:rsid w:val="00705439"/>
    <w:rsid w:val="007104E4"/>
    <w:rsid w:val="00710EE7"/>
    <w:rsid w:val="007118C3"/>
    <w:rsid w:val="007124BC"/>
    <w:rsid w:val="00714817"/>
    <w:rsid w:val="00715F9A"/>
    <w:rsid w:val="007232F9"/>
    <w:rsid w:val="0074222F"/>
    <w:rsid w:val="007442BB"/>
    <w:rsid w:val="00745F92"/>
    <w:rsid w:val="007463C5"/>
    <w:rsid w:val="00746846"/>
    <w:rsid w:val="007501D2"/>
    <w:rsid w:val="007510C3"/>
    <w:rsid w:val="0075140F"/>
    <w:rsid w:val="007565C9"/>
    <w:rsid w:val="00757E4B"/>
    <w:rsid w:val="00761CE2"/>
    <w:rsid w:val="0076458E"/>
    <w:rsid w:val="00764972"/>
    <w:rsid w:val="00764BFF"/>
    <w:rsid w:val="00767063"/>
    <w:rsid w:val="007711DA"/>
    <w:rsid w:val="007723FA"/>
    <w:rsid w:val="00774A15"/>
    <w:rsid w:val="007750BB"/>
    <w:rsid w:val="00775B4D"/>
    <w:rsid w:val="0078063A"/>
    <w:rsid w:val="00783942"/>
    <w:rsid w:val="007871BF"/>
    <w:rsid w:val="00790B89"/>
    <w:rsid w:val="0079261D"/>
    <w:rsid w:val="007940AE"/>
    <w:rsid w:val="0079500F"/>
    <w:rsid w:val="00795F99"/>
    <w:rsid w:val="007969FB"/>
    <w:rsid w:val="00797245"/>
    <w:rsid w:val="007A10F9"/>
    <w:rsid w:val="007A462A"/>
    <w:rsid w:val="007A4C02"/>
    <w:rsid w:val="007A677B"/>
    <w:rsid w:val="007A69CF"/>
    <w:rsid w:val="007A76A8"/>
    <w:rsid w:val="007A7FE3"/>
    <w:rsid w:val="007B1561"/>
    <w:rsid w:val="007B31B3"/>
    <w:rsid w:val="007B31E7"/>
    <w:rsid w:val="007B49CD"/>
    <w:rsid w:val="007B593B"/>
    <w:rsid w:val="007B5A46"/>
    <w:rsid w:val="007B5B46"/>
    <w:rsid w:val="007B6617"/>
    <w:rsid w:val="007C1BC2"/>
    <w:rsid w:val="007C456F"/>
    <w:rsid w:val="007C74F3"/>
    <w:rsid w:val="007D0DBA"/>
    <w:rsid w:val="007D4DB0"/>
    <w:rsid w:val="007D51C9"/>
    <w:rsid w:val="007D5CB6"/>
    <w:rsid w:val="007D63CD"/>
    <w:rsid w:val="007E144F"/>
    <w:rsid w:val="007E37C9"/>
    <w:rsid w:val="007F073B"/>
    <w:rsid w:val="007F5D89"/>
    <w:rsid w:val="00802EB7"/>
    <w:rsid w:val="00805C72"/>
    <w:rsid w:val="008063A3"/>
    <w:rsid w:val="0081249F"/>
    <w:rsid w:val="00814555"/>
    <w:rsid w:val="008173E9"/>
    <w:rsid w:val="00831225"/>
    <w:rsid w:val="00835EA8"/>
    <w:rsid w:val="00836575"/>
    <w:rsid w:val="00837484"/>
    <w:rsid w:val="008411EA"/>
    <w:rsid w:val="00842628"/>
    <w:rsid w:val="008428AB"/>
    <w:rsid w:val="008441A2"/>
    <w:rsid w:val="0084445F"/>
    <w:rsid w:val="00844D31"/>
    <w:rsid w:val="0085204D"/>
    <w:rsid w:val="008616EC"/>
    <w:rsid w:val="00861E62"/>
    <w:rsid w:val="00863664"/>
    <w:rsid w:val="00863E76"/>
    <w:rsid w:val="008675F5"/>
    <w:rsid w:val="00877F04"/>
    <w:rsid w:val="008805EC"/>
    <w:rsid w:val="0088151C"/>
    <w:rsid w:val="008817AB"/>
    <w:rsid w:val="008843A4"/>
    <w:rsid w:val="00886F5D"/>
    <w:rsid w:val="0089141C"/>
    <w:rsid w:val="0089397B"/>
    <w:rsid w:val="00894961"/>
    <w:rsid w:val="00896099"/>
    <w:rsid w:val="008A4A43"/>
    <w:rsid w:val="008B1C49"/>
    <w:rsid w:val="008B1EB7"/>
    <w:rsid w:val="008B479F"/>
    <w:rsid w:val="008B67CC"/>
    <w:rsid w:val="008B71E0"/>
    <w:rsid w:val="008B7421"/>
    <w:rsid w:val="008C357A"/>
    <w:rsid w:val="008C4BB9"/>
    <w:rsid w:val="008C7B24"/>
    <w:rsid w:val="008D1093"/>
    <w:rsid w:val="008D1228"/>
    <w:rsid w:val="008D4C7D"/>
    <w:rsid w:val="008E08DB"/>
    <w:rsid w:val="008E3BDA"/>
    <w:rsid w:val="008E522B"/>
    <w:rsid w:val="008F0497"/>
    <w:rsid w:val="008F1CD0"/>
    <w:rsid w:val="008F27AE"/>
    <w:rsid w:val="008F3481"/>
    <w:rsid w:val="008F452F"/>
    <w:rsid w:val="008F55E8"/>
    <w:rsid w:val="00901462"/>
    <w:rsid w:val="00902A8E"/>
    <w:rsid w:val="0090345E"/>
    <w:rsid w:val="00904502"/>
    <w:rsid w:val="00905ADC"/>
    <w:rsid w:val="00906C33"/>
    <w:rsid w:val="00914556"/>
    <w:rsid w:val="00915166"/>
    <w:rsid w:val="009173AF"/>
    <w:rsid w:val="009208DC"/>
    <w:rsid w:val="009230BF"/>
    <w:rsid w:val="00923DC9"/>
    <w:rsid w:val="00931847"/>
    <w:rsid w:val="00932946"/>
    <w:rsid w:val="009424FA"/>
    <w:rsid w:val="009426CB"/>
    <w:rsid w:val="00946874"/>
    <w:rsid w:val="00954A19"/>
    <w:rsid w:val="009612EF"/>
    <w:rsid w:val="00962FD4"/>
    <w:rsid w:val="00963073"/>
    <w:rsid w:val="00967A09"/>
    <w:rsid w:val="009709AF"/>
    <w:rsid w:val="00970ED4"/>
    <w:rsid w:val="0097263E"/>
    <w:rsid w:val="0097315A"/>
    <w:rsid w:val="00974D9F"/>
    <w:rsid w:val="00974DA5"/>
    <w:rsid w:val="009819A6"/>
    <w:rsid w:val="00983723"/>
    <w:rsid w:val="009923C0"/>
    <w:rsid w:val="00995F53"/>
    <w:rsid w:val="00996DAC"/>
    <w:rsid w:val="009A198B"/>
    <w:rsid w:val="009A3F0A"/>
    <w:rsid w:val="009A5B80"/>
    <w:rsid w:val="009A6007"/>
    <w:rsid w:val="009A7D1B"/>
    <w:rsid w:val="009B1FC3"/>
    <w:rsid w:val="009B3EFE"/>
    <w:rsid w:val="009B493A"/>
    <w:rsid w:val="009C2CBF"/>
    <w:rsid w:val="009C42BB"/>
    <w:rsid w:val="009D3D73"/>
    <w:rsid w:val="009E31A2"/>
    <w:rsid w:val="009E71EF"/>
    <w:rsid w:val="009E73AD"/>
    <w:rsid w:val="009F3653"/>
    <w:rsid w:val="009F5357"/>
    <w:rsid w:val="009F54D3"/>
    <w:rsid w:val="009F7653"/>
    <w:rsid w:val="00A00569"/>
    <w:rsid w:val="00A03FAB"/>
    <w:rsid w:val="00A05BD2"/>
    <w:rsid w:val="00A13237"/>
    <w:rsid w:val="00A136AF"/>
    <w:rsid w:val="00A1435A"/>
    <w:rsid w:val="00A14CF5"/>
    <w:rsid w:val="00A15469"/>
    <w:rsid w:val="00A155B1"/>
    <w:rsid w:val="00A17900"/>
    <w:rsid w:val="00A21E85"/>
    <w:rsid w:val="00A2495C"/>
    <w:rsid w:val="00A25C56"/>
    <w:rsid w:val="00A26F88"/>
    <w:rsid w:val="00A2712A"/>
    <w:rsid w:val="00A3306B"/>
    <w:rsid w:val="00A35DD4"/>
    <w:rsid w:val="00A36044"/>
    <w:rsid w:val="00A366A9"/>
    <w:rsid w:val="00A41B0D"/>
    <w:rsid w:val="00A422A0"/>
    <w:rsid w:val="00A439E0"/>
    <w:rsid w:val="00A45031"/>
    <w:rsid w:val="00A46912"/>
    <w:rsid w:val="00A46F5F"/>
    <w:rsid w:val="00A5043A"/>
    <w:rsid w:val="00A52AD9"/>
    <w:rsid w:val="00A5494C"/>
    <w:rsid w:val="00A5652A"/>
    <w:rsid w:val="00A64099"/>
    <w:rsid w:val="00A6626C"/>
    <w:rsid w:val="00A66F95"/>
    <w:rsid w:val="00A70F3A"/>
    <w:rsid w:val="00A74397"/>
    <w:rsid w:val="00A77649"/>
    <w:rsid w:val="00A81F3E"/>
    <w:rsid w:val="00A82B59"/>
    <w:rsid w:val="00A84A82"/>
    <w:rsid w:val="00A84CFB"/>
    <w:rsid w:val="00A90F10"/>
    <w:rsid w:val="00A96425"/>
    <w:rsid w:val="00A97DB5"/>
    <w:rsid w:val="00AA491C"/>
    <w:rsid w:val="00AA5A83"/>
    <w:rsid w:val="00AA64FC"/>
    <w:rsid w:val="00AB0566"/>
    <w:rsid w:val="00AB5C1D"/>
    <w:rsid w:val="00AB6016"/>
    <w:rsid w:val="00AB6517"/>
    <w:rsid w:val="00AC2A37"/>
    <w:rsid w:val="00AC3AA5"/>
    <w:rsid w:val="00AC540A"/>
    <w:rsid w:val="00AC67BB"/>
    <w:rsid w:val="00AD0978"/>
    <w:rsid w:val="00AD0E50"/>
    <w:rsid w:val="00AD1F1A"/>
    <w:rsid w:val="00AD632D"/>
    <w:rsid w:val="00AD7E27"/>
    <w:rsid w:val="00AE0CD9"/>
    <w:rsid w:val="00AE1F27"/>
    <w:rsid w:val="00AE2A9D"/>
    <w:rsid w:val="00AE5264"/>
    <w:rsid w:val="00AE5B2D"/>
    <w:rsid w:val="00AE6052"/>
    <w:rsid w:val="00AE6776"/>
    <w:rsid w:val="00AE6798"/>
    <w:rsid w:val="00AE74DB"/>
    <w:rsid w:val="00AF0554"/>
    <w:rsid w:val="00AF1C07"/>
    <w:rsid w:val="00AF31F3"/>
    <w:rsid w:val="00AF3600"/>
    <w:rsid w:val="00AF4463"/>
    <w:rsid w:val="00AF737F"/>
    <w:rsid w:val="00AF7E64"/>
    <w:rsid w:val="00B00563"/>
    <w:rsid w:val="00B006DF"/>
    <w:rsid w:val="00B0076F"/>
    <w:rsid w:val="00B01B81"/>
    <w:rsid w:val="00B01DC7"/>
    <w:rsid w:val="00B02322"/>
    <w:rsid w:val="00B0263F"/>
    <w:rsid w:val="00B02F28"/>
    <w:rsid w:val="00B03301"/>
    <w:rsid w:val="00B05EA0"/>
    <w:rsid w:val="00B05ECD"/>
    <w:rsid w:val="00B06172"/>
    <w:rsid w:val="00B10497"/>
    <w:rsid w:val="00B11110"/>
    <w:rsid w:val="00B1111A"/>
    <w:rsid w:val="00B1404D"/>
    <w:rsid w:val="00B166D5"/>
    <w:rsid w:val="00B16A24"/>
    <w:rsid w:val="00B16A8C"/>
    <w:rsid w:val="00B17BC1"/>
    <w:rsid w:val="00B2430E"/>
    <w:rsid w:val="00B24318"/>
    <w:rsid w:val="00B27400"/>
    <w:rsid w:val="00B274A1"/>
    <w:rsid w:val="00B275C1"/>
    <w:rsid w:val="00B27A0B"/>
    <w:rsid w:val="00B32155"/>
    <w:rsid w:val="00B32704"/>
    <w:rsid w:val="00B3483C"/>
    <w:rsid w:val="00B34D1C"/>
    <w:rsid w:val="00B371CF"/>
    <w:rsid w:val="00B61511"/>
    <w:rsid w:val="00B6522B"/>
    <w:rsid w:val="00B65709"/>
    <w:rsid w:val="00B67DF2"/>
    <w:rsid w:val="00B776CC"/>
    <w:rsid w:val="00B831C8"/>
    <w:rsid w:val="00B85BF7"/>
    <w:rsid w:val="00B87090"/>
    <w:rsid w:val="00B939CC"/>
    <w:rsid w:val="00B93BD6"/>
    <w:rsid w:val="00BB04F4"/>
    <w:rsid w:val="00BB2E63"/>
    <w:rsid w:val="00BB40DD"/>
    <w:rsid w:val="00BC2C8E"/>
    <w:rsid w:val="00BC4659"/>
    <w:rsid w:val="00BC547B"/>
    <w:rsid w:val="00BC5AA4"/>
    <w:rsid w:val="00BD2B77"/>
    <w:rsid w:val="00BD34CF"/>
    <w:rsid w:val="00BD4B6C"/>
    <w:rsid w:val="00BE3370"/>
    <w:rsid w:val="00BE4D0A"/>
    <w:rsid w:val="00BE6BD9"/>
    <w:rsid w:val="00BF2CDB"/>
    <w:rsid w:val="00BF327A"/>
    <w:rsid w:val="00BF56A8"/>
    <w:rsid w:val="00BF6323"/>
    <w:rsid w:val="00BF703C"/>
    <w:rsid w:val="00C006DD"/>
    <w:rsid w:val="00C027C3"/>
    <w:rsid w:val="00C12032"/>
    <w:rsid w:val="00C137CC"/>
    <w:rsid w:val="00C139E6"/>
    <w:rsid w:val="00C13C67"/>
    <w:rsid w:val="00C16668"/>
    <w:rsid w:val="00C1737A"/>
    <w:rsid w:val="00C21C74"/>
    <w:rsid w:val="00C24D6D"/>
    <w:rsid w:val="00C25E89"/>
    <w:rsid w:val="00C263A3"/>
    <w:rsid w:val="00C2790A"/>
    <w:rsid w:val="00C279E5"/>
    <w:rsid w:val="00C309CD"/>
    <w:rsid w:val="00C30B89"/>
    <w:rsid w:val="00C32019"/>
    <w:rsid w:val="00C34E34"/>
    <w:rsid w:val="00C35C95"/>
    <w:rsid w:val="00C36B88"/>
    <w:rsid w:val="00C37933"/>
    <w:rsid w:val="00C37F87"/>
    <w:rsid w:val="00C408C7"/>
    <w:rsid w:val="00C410EF"/>
    <w:rsid w:val="00C43964"/>
    <w:rsid w:val="00C44077"/>
    <w:rsid w:val="00C47EEA"/>
    <w:rsid w:val="00C50AAF"/>
    <w:rsid w:val="00C519D0"/>
    <w:rsid w:val="00C5207D"/>
    <w:rsid w:val="00C52A8F"/>
    <w:rsid w:val="00C53A8E"/>
    <w:rsid w:val="00C55D7D"/>
    <w:rsid w:val="00C56E2E"/>
    <w:rsid w:val="00C62287"/>
    <w:rsid w:val="00C6370B"/>
    <w:rsid w:val="00C64D46"/>
    <w:rsid w:val="00C70ACB"/>
    <w:rsid w:val="00C71D46"/>
    <w:rsid w:val="00C721D4"/>
    <w:rsid w:val="00C81404"/>
    <w:rsid w:val="00C819FB"/>
    <w:rsid w:val="00C86034"/>
    <w:rsid w:val="00C9097E"/>
    <w:rsid w:val="00C92573"/>
    <w:rsid w:val="00C935C9"/>
    <w:rsid w:val="00C9710D"/>
    <w:rsid w:val="00CA2249"/>
    <w:rsid w:val="00CA4FEC"/>
    <w:rsid w:val="00CA5FF6"/>
    <w:rsid w:val="00CA78A0"/>
    <w:rsid w:val="00CB20FE"/>
    <w:rsid w:val="00CB2362"/>
    <w:rsid w:val="00CB3CA5"/>
    <w:rsid w:val="00CB63A7"/>
    <w:rsid w:val="00CB7F53"/>
    <w:rsid w:val="00CC204F"/>
    <w:rsid w:val="00CC222C"/>
    <w:rsid w:val="00CC40CB"/>
    <w:rsid w:val="00CC6A9A"/>
    <w:rsid w:val="00CD471B"/>
    <w:rsid w:val="00CD7921"/>
    <w:rsid w:val="00CE084B"/>
    <w:rsid w:val="00CE4BE2"/>
    <w:rsid w:val="00CE5046"/>
    <w:rsid w:val="00CE7583"/>
    <w:rsid w:val="00CF0658"/>
    <w:rsid w:val="00CF0E80"/>
    <w:rsid w:val="00CF114B"/>
    <w:rsid w:val="00CF5FCD"/>
    <w:rsid w:val="00CF7276"/>
    <w:rsid w:val="00D00AF5"/>
    <w:rsid w:val="00D01C2C"/>
    <w:rsid w:val="00D02D57"/>
    <w:rsid w:val="00D0438B"/>
    <w:rsid w:val="00D066B5"/>
    <w:rsid w:val="00D07943"/>
    <w:rsid w:val="00D118D6"/>
    <w:rsid w:val="00D15052"/>
    <w:rsid w:val="00D15EA3"/>
    <w:rsid w:val="00D20266"/>
    <w:rsid w:val="00D20C29"/>
    <w:rsid w:val="00D23658"/>
    <w:rsid w:val="00D24E4B"/>
    <w:rsid w:val="00D25530"/>
    <w:rsid w:val="00D302C3"/>
    <w:rsid w:val="00D30EAC"/>
    <w:rsid w:val="00D33842"/>
    <w:rsid w:val="00D379F0"/>
    <w:rsid w:val="00D4016E"/>
    <w:rsid w:val="00D4616E"/>
    <w:rsid w:val="00D47915"/>
    <w:rsid w:val="00D519F8"/>
    <w:rsid w:val="00D54A88"/>
    <w:rsid w:val="00D55902"/>
    <w:rsid w:val="00D57BD8"/>
    <w:rsid w:val="00D57D6E"/>
    <w:rsid w:val="00D60174"/>
    <w:rsid w:val="00D603C0"/>
    <w:rsid w:val="00D61F5A"/>
    <w:rsid w:val="00D656C2"/>
    <w:rsid w:val="00D670CC"/>
    <w:rsid w:val="00D703CC"/>
    <w:rsid w:val="00D80FA5"/>
    <w:rsid w:val="00D8440C"/>
    <w:rsid w:val="00D8684C"/>
    <w:rsid w:val="00D919D0"/>
    <w:rsid w:val="00D9316B"/>
    <w:rsid w:val="00D93238"/>
    <w:rsid w:val="00D9657C"/>
    <w:rsid w:val="00DA06BC"/>
    <w:rsid w:val="00DA4D22"/>
    <w:rsid w:val="00DB0314"/>
    <w:rsid w:val="00DB2E46"/>
    <w:rsid w:val="00DB4C12"/>
    <w:rsid w:val="00DB50AD"/>
    <w:rsid w:val="00DC5CA8"/>
    <w:rsid w:val="00DC6CE3"/>
    <w:rsid w:val="00DD12A9"/>
    <w:rsid w:val="00DD283F"/>
    <w:rsid w:val="00DD60B6"/>
    <w:rsid w:val="00DD7911"/>
    <w:rsid w:val="00DE20A7"/>
    <w:rsid w:val="00DE3D79"/>
    <w:rsid w:val="00DE6972"/>
    <w:rsid w:val="00DE6A29"/>
    <w:rsid w:val="00DE7DF5"/>
    <w:rsid w:val="00DF09E7"/>
    <w:rsid w:val="00DF1885"/>
    <w:rsid w:val="00DF232D"/>
    <w:rsid w:val="00DF30E4"/>
    <w:rsid w:val="00DF6E69"/>
    <w:rsid w:val="00E0081E"/>
    <w:rsid w:val="00E009E9"/>
    <w:rsid w:val="00E02094"/>
    <w:rsid w:val="00E10F4C"/>
    <w:rsid w:val="00E12618"/>
    <w:rsid w:val="00E144CF"/>
    <w:rsid w:val="00E16A49"/>
    <w:rsid w:val="00E20669"/>
    <w:rsid w:val="00E21163"/>
    <w:rsid w:val="00E224E2"/>
    <w:rsid w:val="00E231A3"/>
    <w:rsid w:val="00E2419F"/>
    <w:rsid w:val="00E241A6"/>
    <w:rsid w:val="00E24732"/>
    <w:rsid w:val="00E24748"/>
    <w:rsid w:val="00E2707B"/>
    <w:rsid w:val="00E30A04"/>
    <w:rsid w:val="00E3482E"/>
    <w:rsid w:val="00E354AD"/>
    <w:rsid w:val="00E366D6"/>
    <w:rsid w:val="00E371D3"/>
    <w:rsid w:val="00E37882"/>
    <w:rsid w:val="00E37F07"/>
    <w:rsid w:val="00E405E9"/>
    <w:rsid w:val="00E44110"/>
    <w:rsid w:val="00E5380C"/>
    <w:rsid w:val="00E53EB9"/>
    <w:rsid w:val="00E54D59"/>
    <w:rsid w:val="00E54F72"/>
    <w:rsid w:val="00E61BBD"/>
    <w:rsid w:val="00E63D8B"/>
    <w:rsid w:val="00E650FE"/>
    <w:rsid w:val="00E6720D"/>
    <w:rsid w:val="00E70109"/>
    <w:rsid w:val="00E704AD"/>
    <w:rsid w:val="00E71935"/>
    <w:rsid w:val="00E73DDF"/>
    <w:rsid w:val="00E7408A"/>
    <w:rsid w:val="00E754C0"/>
    <w:rsid w:val="00E7586D"/>
    <w:rsid w:val="00E7624F"/>
    <w:rsid w:val="00E771E5"/>
    <w:rsid w:val="00E779FF"/>
    <w:rsid w:val="00E81C9A"/>
    <w:rsid w:val="00E81CFF"/>
    <w:rsid w:val="00E81F4B"/>
    <w:rsid w:val="00E84DF7"/>
    <w:rsid w:val="00E90FE8"/>
    <w:rsid w:val="00E953DA"/>
    <w:rsid w:val="00E96075"/>
    <w:rsid w:val="00EA041C"/>
    <w:rsid w:val="00EA11BE"/>
    <w:rsid w:val="00EA16B5"/>
    <w:rsid w:val="00EA1CE7"/>
    <w:rsid w:val="00EA3627"/>
    <w:rsid w:val="00EA6E2B"/>
    <w:rsid w:val="00EB15F7"/>
    <w:rsid w:val="00EB30DA"/>
    <w:rsid w:val="00EB3649"/>
    <w:rsid w:val="00EB4F1E"/>
    <w:rsid w:val="00EC417C"/>
    <w:rsid w:val="00EC4BB0"/>
    <w:rsid w:val="00EC56D3"/>
    <w:rsid w:val="00EC644A"/>
    <w:rsid w:val="00EC6A3F"/>
    <w:rsid w:val="00EC7FEA"/>
    <w:rsid w:val="00ED3596"/>
    <w:rsid w:val="00EE4903"/>
    <w:rsid w:val="00EF44C5"/>
    <w:rsid w:val="00F012A7"/>
    <w:rsid w:val="00F04C27"/>
    <w:rsid w:val="00F05F87"/>
    <w:rsid w:val="00F06C75"/>
    <w:rsid w:val="00F07DC9"/>
    <w:rsid w:val="00F11496"/>
    <w:rsid w:val="00F12C06"/>
    <w:rsid w:val="00F13537"/>
    <w:rsid w:val="00F13AD1"/>
    <w:rsid w:val="00F16E33"/>
    <w:rsid w:val="00F1700E"/>
    <w:rsid w:val="00F24720"/>
    <w:rsid w:val="00F30554"/>
    <w:rsid w:val="00F348D2"/>
    <w:rsid w:val="00F367C7"/>
    <w:rsid w:val="00F405C6"/>
    <w:rsid w:val="00F41061"/>
    <w:rsid w:val="00F4159D"/>
    <w:rsid w:val="00F4485F"/>
    <w:rsid w:val="00F44B6A"/>
    <w:rsid w:val="00F44D2C"/>
    <w:rsid w:val="00F44F2A"/>
    <w:rsid w:val="00F47586"/>
    <w:rsid w:val="00F47B98"/>
    <w:rsid w:val="00F47BCD"/>
    <w:rsid w:val="00F50830"/>
    <w:rsid w:val="00F50F19"/>
    <w:rsid w:val="00F521C7"/>
    <w:rsid w:val="00F52B8C"/>
    <w:rsid w:val="00F53196"/>
    <w:rsid w:val="00F533D5"/>
    <w:rsid w:val="00F554ED"/>
    <w:rsid w:val="00F60695"/>
    <w:rsid w:val="00F60BF8"/>
    <w:rsid w:val="00F62672"/>
    <w:rsid w:val="00F63479"/>
    <w:rsid w:val="00F64863"/>
    <w:rsid w:val="00F66390"/>
    <w:rsid w:val="00F67F7B"/>
    <w:rsid w:val="00F82C4F"/>
    <w:rsid w:val="00F82F46"/>
    <w:rsid w:val="00F83925"/>
    <w:rsid w:val="00F85B74"/>
    <w:rsid w:val="00F90B86"/>
    <w:rsid w:val="00F94134"/>
    <w:rsid w:val="00F941CC"/>
    <w:rsid w:val="00F949E2"/>
    <w:rsid w:val="00F95149"/>
    <w:rsid w:val="00F960C1"/>
    <w:rsid w:val="00FA0331"/>
    <w:rsid w:val="00FA0917"/>
    <w:rsid w:val="00FA16A7"/>
    <w:rsid w:val="00FA534D"/>
    <w:rsid w:val="00FA5D2A"/>
    <w:rsid w:val="00FA6476"/>
    <w:rsid w:val="00FA656D"/>
    <w:rsid w:val="00FA7CA3"/>
    <w:rsid w:val="00FB3D85"/>
    <w:rsid w:val="00FB78F7"/>
    <w:rsid w:val="00FC049C"/>
    <w:rsid w:val="00FC1C0E"/>
    <w:rsid w:val="00FC5ED8"/>
    <w:rsid w:val="00FC620D"/>
    <w:rsid w:val="00FD002C"/>
    <w:rsid w:val="00FD1074"/>
    <w:rsid w:val="00FD150A"/>
    <w:rsid w:val="00FD21F2"/>
    <w:rsid w:val="00FD3490"/>
    <w:rsid w:val="00FD6209"/>
    <w:rsid w:val="00FE037C"/>
    <w:rsid w:val="00FE13ED"/>
    <w:rsid w:val="00FE2509"/>
    <w:rsid w:val="00FE336C"/>
    <w:rsid w:val="00FE7C0A"/>
    <w:rsid w:val="00FF0942"/>
    <w:rsid w:val="00FF1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4F0ED32"/>
  <w15:docId w15:val="{45F93BA0-C438-4251-B7F8-6CAB9021C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5FE"/>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link w:val="Heading3Char"/>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uiPriority w:val="99"/>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link w:val="DfESOutNumberedChar"/>
    <w:uiPriority w:val="99"/>
    <w:rsid w:val="00AF1C07"/>
    <w:pPr>
      <w:numPr>
        <w:numId w:val="3"/>
      </w:numPr>
      <w:spacing w:after="240"/>
    </w:pPr>
    <w:rPr>
      <w:rFonts w:cs="Arial"/>
      <w:sz w:val="22"/>
    </w:rPr>
  </w:style>
  <w:style w:type="paragraph" w:customStyle="1" w:styleId="DfESBullets">
    <w:name w:val="DfESBullets"/>
    <w:basedOn w:val="Normal"/>
    <w:rsid w:val="00AF1C07"/>
    <w:pPr>
      <w:numPr>
        <w:numId w:val="4"/>
      </w:numPr>
      <w:spacing w:after="240"/>
    </w:pPr>
    <w:rPr>
      <w:rFonts w:cs="Arial"/>
      <w:sz w:val="22"/>
    </w:rPr>
  </w:style>
  <w:style w:type="paragraph" w:styleId="ListParagraph">
    <w:name w:val="List Paragraph"/>
    <w:basedOn w:val="Normal"/>
    <w:link w:val="ListParagraphChar"/>
    <w:uiPriority w:val="34"/>
    <w:qFormat/>
    <w:rsid w:val="007463C5"/>
    <w:pPr>
      <w:ind w:left="720"/>
      <w:contextualSpacing/>
    </w:pPr>
  </w:style>
  <w:style w:type="character" w:customStyle="1" w:styleId="FooterChar">
    <w:name w:val="Footer Char"/>
    <w:basedOn w:val="DefaultParagraphFont"/>
    <w:link w:val="Footer"/>
    <w:uiPriority w:val="99"/>
    <w:rsid w:val="005935FE"/>
    <w:rPr>
      <w:rFonts w:ascii="Arial" w:hAnsi="Arial"/>
      <w:sz w:val="24"/>
      <w:lang w:eastAsia="en-US"/>
    </w:rPr>
  </w:style>
  <w:style w:type="character" w:customStyle="1" w:styleId="HeaderChar">
    <w:name w:val="Header Char"/>
    <w:basedOn w:val="DefaultParagraphFont"/>
    <w:link w:val="Header"/>
    <w:uiPriority w:val="99"/>
    <w:rsid w:val="005935FE"/>
    <w:rPr>
      <w:rFonts w:ascii="Arial" w:hAnsi="Arial"/>
      <w:sz w:val="24"/>
      <w:lang w:eastAsia="en-US"/>
    </w:rPr>
  </w:style>
  <w:style w:type="table" w:styleId="TableGrid">
    <w:name w:val="Table Grid"/>
    <w:basedOn w:val="TableNormal"/>
    <w:uiPriority w:val="39"/>
    <w:rsid w:val="00593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35FE"/>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3712C2"/>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Revision">
    <w:name w:val="Revision"/>
    <w:hidden/>
    <w:uiPriority w:val="99"/>
    <w:semiHidden/>
    <w:rsid w:val="00D8440C"/>
    <w:rPr>
      <w:rFonts w:ascii="Arial" w:hAnsi="Arial"/>
      <w:sz w:val="24"/>
      <w:lang w:eastAsia="en-US"/>
    </w:rPr>
  </w:style>
  <w:style w:type="paragraph" w:styleId="BalloonText">
    <w:name w:val="Balloon Text"/>
    <w:basedOn w:val="Normal"/>
    <w:link w:val="BalloonTextChar"/>
    <w:rsid w:val="00D8440C"/>
    <w:rPr>
      <w:rFonts w:ascii="Tahoma" w:hAnsi="Tahoma" w:cs="Tahoma"/>
      <w:sz w:val="16"/>
      <w:szCs w:val="16"/>
    </w:rPr>
  </w:style>
  <w:style w:type="character" w:customStyle="1" w:styleId="BalloonTextChar">
    <w:name w:val="Balloon Text Char"/>
    <w:basedOn w:val="DefaultParagraphFont"/>
    <w:link w:val="BalloonText"/>
    <w:rsid w:val="00D8440C"/>
    <w:rPr>
      <w:rFonts w:ascii="Tahoma" w:hAnsi="Tahoma" w:cs="Tahoma"/>
      <w:sz w:val="16"/>
      <w:szCs w:val="16"/>
      <w:lang w:eastAsia="en-US"/>
    </w:rPr>
  </w:style>
  <w:style w:type="character" w:styleId="CommentReference">
    <w:name w:val="annotation reference"/>
    <w:basedOn w:val="DefaultParagraphFont"/>
    <w:rsid w:val="00495B2F"/>
    <w:rPr>
      <w:sz w:val="16"/>
      <w:szCs w:val="16"/>
    </w:rPr>
  </w:style>
  <w:style w:type="paragraph" w:styleId="CommentText">
    <w:name w:val="annotation text"/>
    <w:basedOn w:val="Normal"/>
    <w:link w:val="CommentTextChar"/>
    <w:rsid w:val="00495B2F"/>
    <w:rPr>
      <w:sz w:val="20"/>
    </w:rPr>
  </w:style>
  <w:style w:type="character" w:customStyle="1" w:styleId="CommentTextChar">
    <w:name w:val="Comment Text Char"/>
    <w:basedOn w:val="DefaultParagraphFont"/>
    <w:link w:val="CommentText"/>
    <w:rsid w:val="00495B2F"/>
    <w:rPr>
      <w:rFonts w:ascii="Arial" w:hAnsi="Arial"/>
      <w:lang w:eastAsia="en-US"/>
    </w:rPr>
  </w:style>
  <w:style w:type="paragraph" w:styleId="CommentSubject">
    <w:name w:val="annotation subject"/>
    <w:basedOn w:val="CommentText"/>
    <w:next w:val="CommentText"/>
    <w:link w:val="CommentSubjectChar"/>
    <w:rsid w:val="00495B2F"/>
    <w:rPr>
      <w:b/>
      <w:bCs/>
    </w:rPr>
  </w:style>
  <w:style w:type="character" w:customStyle="1" w:styleId="CommentSubjectChar">
    <w:name w:val="Comment Subject Char"/>
    <w:basedOn w:val="CommentTextChar"/>
    <w:link w:val="CommentSubject"/>
    <w:rsid w:val="00495B2F"/>
    <w:rPr>
      <w:rFonts w:ascii="Arial" w:hAnsi="Arial"/>
      <w:b/>
      <w:bCs/>
      <w:lang w:eastAsia="en-US"/>
    </w:rPr>
  </w:style>
  <w:style w:type="character" w:styleId="Hyperlink">
    <w:name w:val="Hyperlink"/>
    <w:basedOn w:val="DefaultParagraphFont"/>
    <w:uiPriority w:val="99"/>
    <w:semiHidden/>
    <w:unhideWhenUsed/>
    <w:rsid w:val="00EC417C"/>
    <w:rPr>
      <w:color w:val="0000FF"/>
      <w:u w:val="single"/>
    </w:rPr>
  </w:style>
  <w:style w:type="paragraph" w:styleId="ListBullet">
    <w:name w:val="List Bullet"/>
    <w:basedOn w:val="List"/>
    <w:uiPriority w:val="1"/>
    <w:qFormat/>
    <w:rsid w:val="00B0263F"/>
    <w:pPr>
      <w:widowControl/>
      <w:numPr>
        <w:numId w:val="5"/>
      </w:numPr>
      <w:tabs>
        <w:tab w:val="clear" w:pos="360"/>
        <w:tab w:val="num" w:pos="720"/>
      </w:tabs>
      <w:overflowPunct/>
      <w:autoSpaceDE/>
      <w:autoSpaceDN/>
      <w:adjustRightInd/>
      <w:spacing w:before="120" w:after="120" w:line="276" w:lineRule="auto"/>
      <w:ind w:left="357" w:hanging="357"/>
      <w:contextualSpacing w:val="0"/>
      <w:textAlignment w:val="auto"/>
    </w:pPr>
    <w:rPr>
      <w:rFonts w:asciiTheme="minorHAnsi" w:eastAsiaTheme="minorHAnsi" w:hAnsiTheme="minorHAnsi" w:cs="Arial"/>
      <w:color w:val="111111"/>
      <w:sz w:val="22"/>
      <w:lang w:val="en-US"/>
    </w:rPr>
  </w:style>
  <w:style w:type="paragraph" w:styleId="List">
    <w:name w:val="List"/>
    <w:basedOn w:val="Normal"/>
    <w:semiHidden/>
    <w:unhideWhenUsed/>
    <w:rsid w:val="00B0263F"/>
    <w:pPr>
      <w:ind w:left="283" w:hanging="283"/>
      <w:contextualSpacing/>
    </w:pPr>
  </w:style>
  <w:style w:type="paragraph" w:customStyle="1" w:styleId="Body">
    <w:name w:val="Body"/>
    <w:basedOn w:val="Normal"/>
    <w:link w:val="BodyChar"/>
    <w:rsid w:val="003778EE"/>
    <w:pPr>
      <w:widowControl/>
      <w:overflowPunct/>
      <w:autoSpaceDE/>
      <w:autoSpaceDN/>
      <w:adjustRightInd/>
      <w:spacing w:after="240"/>
      <w:jc w:val="both"/>
      <w:textAlignment w:val="auto"/>
    </w:pPr>
    <w:rPr>
      <w:rFonts w:cs="Arial"/>
      <w:sz w:val="20"/>
      <w:lang w:eastAsia="en-GB"/>
    </w:rPr>
  </w:style>
  <w:style w:type="character" w:customStyle="1" w:styleId="BodyChar">
    <w:name w:val="Body Char"/>
    <w:basedOn w:val="DefaultParagraphFont"/>
    <w:link w:val="Body"/>
    <w:locked/>
    <w:rsid w:val="003778EE"/>
    <w:rPr>
      <w:rFonts w:ascii="Arial" w:hAnsi="Arial" w:cs="Arial"/>
    </w:rPr>
  </w:style>
  <w:style w:type="character" w:customStyle="1" w:styleId="Heading3Char">
    <w:name w:val="Heading 3 Char"/>
    <w:aliases w:val="Numbered - 3 Char"/>
    <w:basedOn w:val="DefaultParagraphFont"/>
    <w:link w:val="Heading3"/>
    <w:rsid w:val="00894961"/>
    <w:rPr>
      <w:rFonts w:ascii="Arial" w:hAnsi="Arial"/>
      <w:kern w:val="28"/>
      <w:sz w:val="24"/>
      <w:lang w:eastAsia="en-US"/>
    </w:rPr>
  </w:style>
  <w:style w:type="character" w:customStyle="1" w:styleId="ListParagraphChar">
    <w:name w:val="List Paragraph Char"/>
    <w:basedOn w:val="DefaultParagraphFont"/>
    <w:link w:val="ListParagraph"/>
    <w:uiPriority w:val="34"/>
    <w:locked/>
    <w:rsid w:val="00032AFD"/>
    <w:rPr>
      <w:rFonts w:ascii="Arial" w:hAnsi="Arial"/>
      <w:sz w:val="24"/>
      <w:lang w:eastAsia="en-US"/>
    </w:rPr>
  </w:style>
  <w:style w:type="character" w:customStyle="1" w:styleId="DfESOutNumberedChar">
    <w:name w:val="DfESOutNumbered Char"/>
    <w:basedOn w:val="DefaultParagraphFont"/>
    <w:link w:val="DfESOutNumbered"/>
    <w:uiPriority w:val="99"/>
    <w:locked/>
    <w:rsid w:val="00A97DB5"/>
    <w:rPr>
      <w:rFonts w:ascii="Arial"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8896">
      <w:bodyDiv w:val="1"/>
      <w:marLeft w:val="0"/>
      <w:marRight w:val="0"/>
      <w:marTop w:val="0"/>
      <w:marBottom w:val="0"/>
      <w:divBdr>
        <w:top w:val="none" w:sz="0" w:space="0" w:color="auto"/>
        <w:left w:val="none" w:sz="0" w:space="0" w:color="auto"/>
        <w:bottom w:val="none" w:sz="0" w:space="0" w:color="auto"/>
        <w:right w:val="none" w:sz="0" w:space="0" w:color="auto"/>
      </w:divBdr>
    </w:div>
    <w:div w:id="46879240">
      <w:bodyDiv w:val="1"/>
      <w:marLeft w:val="0"/>
      <w:marRight w:val="0"/>
      <w:marTop w:val="0"/>
      <w:marBottom w:val="0"/>
      <w:divBdr>
        <w:top w:val="none" w:sz="0" w:space="0" w:color="auto"/>
        <w:left w:val="none" w:sz="0" w:space="0" w:color="auto"/>
        <w:bottom w:val="none" w:sz="0" w:space="0" w:color="auto"/>
        <w:right w:val="none" w:sz="0" w:space="0" w:color="auto"/>
      </w:divBdr>
    </w:div>
    <w:div w:id="143620002">
      <w:bodyDiv w:val="1"/>
      <w:marLeft w:val="0"/>
      <w:marRight w:val="0"/>
      <w:marTop w:val="0"/>
      <w:marBottom w:val="0"/>
      <w:divBdr>
        <w:top w:val="none" w:sz="0" w:space="0" w:color="auto"/>
        <w:left w:val="none" w:sz="0" w:space="0" w:color="auto"/>
        <w:bottom w:val="none" w:sz="0" w:space="0" w:color="auto"/>
        <w:right w:val="none" w:sz="0" w:space="0" w:color="auto"/>
      </w:divBdr>
    </w:div>
    <w:div w:id="203910077">
      <w:bodyDiv w:val="1"/>
      <w:marLeft w:val="0"/>
      <w:marRight w:val="0"/>
      <w:marTop w:val="0"/>
      <w:marBottom w:val="0"/>
      <w:divBdr>
        <w:top w:val="none" w:sz="0" w:space="0" w:color="auto"/>
        <w:left w:val="none" w:sz="0" w:space="0" w:color="auto"/>
        <w:bottom w:val="none" w:sz="0" w:space="0" w:color="auto"/>
        <w:right w:val="none" w:sz="0" w:space="0" w:color="auto"/>
      </w:divBdr>
    </w:div>
    <w:div w:id="208423984">
      <w:bodyDiv w:val="1"/>
      <w:marLeft w:val="0"/>
      <w:marRight w:val="0"/>
      <w:marTop w:val="0"/>
      <w:marBottom w:val="0"/>
      <w:divBdr>
        <w:top w:val="none" w:sz="0" w:space="0" w:color="auto"/>
        <w:left w:val="none" w:sz="0" w:space="0" w:color="auto"/>
        <w:bottom w:val="none" w:sz="0" w:space="0" w:color="auto"/>
        <w:right w:val="none" w:sz="0" w:space="0" w:color="auto"/>
      </w:divBdr>
    </w:div>
    <w:div w:id="394161847">
      <w:bodyDiv w:val="1"/>
      <w:marLeft w:val="0"/>
      <w:marRight w:val="0"/>
      <w:marTop w:val="0"/>
      <w:marBottom w:val="0"/>
      <w:divBdr>
        <w:top w:val="none" w:sz="0" w:space="0" w:color="auto"/>
        <w:left w:val="none" w:sz="0" w:space="0" w:color="auto"/>
        <w:bottom w:val="none" w:sz="0" w:space="0" w:color="auto"/>
        <w:right w:val="none" w:sz="0" w:space="0" w:color="auto"/>
      </w:divBdr>
    </w:div>
    <w:div w:id="413891334">
      <w:bodyDiv w:val="1"/>
      <w:marLeft w:val="0"/>
      <w:marRight w:val="0"/>
      <w:marTop w:val="0"/>
      <w:marBottom w:val="0"/>
      <w:divBdr>
        <w:top w:val="none" w:sz="0" w:space="0" w:color="auto"/>
        <w:left w:val="none" w:sz="0" w:space="0" w:color="auto"/>
        <w:bottom w:val="none" w:sz="0" w:space="0" w:color="auto"/>
        <w:right w:val="none" w:sz="0" w:space="0" w:color="auto"/>
      </w:divBdr>
    </w:div>
    <w:div w:id="422342958">
      <w:bodyDiv w:val="1"/>
      <w:marLeft w:val="0"/>
      <w:marRight w:val="0"/>
      <w:marTop w:val="0"/>
      <w:marBottom w:val="0"/>
      <w:divBdr>
        <w:top w:val="none" w:sz="0" w:space="0" w:color="auto"/>
        <w:left w:val="none" w:sz="0" w:space="0" w:color="auto"/>
        <w:bottom w:val="none" w:sz="0" w:space="0" w:color="auto"/>
        <w:right w:val="none" w:sz="0" w:space="0" w:color="auto"/>
      </w:divBdr>
    </w:div>
    <w:div w:id="455295413">
      <w:bodyDiv w:val="1"/>
      <w:marLeft w:val="0"/>
      <w:marRight w:val="0"/>
      <w:marTop w:val="0"/>
      <w:marBottom w:val="0"/>
      <w:divBdr>
        <w:top w:val="none" w:sz="0" w:space="0" w:color="auto"/>
        <w:left w:val="none" w:sz="0" w:space="0" w:color="auto"/>
        <w:bottom w:val="none" w:sz="0" w:space="0" w:color="auto"/>
        <w:right w:val="none" w:sz="0" w:space="0" w:color="auto"/>
      </w:divBdr>
      <w:divsChild>
        <w:div w:id="200241369">
          <w:marLeft w:val="490"/>
          <w:marRight w:val="0"/>
          <w:marTop w:val="0"/>
          <w:marBottom w:val="0"/>
          <w:divBdr>
            <w:top w:val="none" w:sz="0" w:space="0" w:color="auto"/>
            <w:left w:val="none" w:sz="0" w:space="0" w:color="auto"/>
            <w:bottom w:val="none" w:sz="0" w:space="0" w:color="auto"/>
            <w:right w:val="none" w:sz="0" w:space="0" w:color="auto"/>
          </w:divBdr>
        </w:div>
        <w:div w:id="234584106">
          <w:marLeft w:val="490"/>
          <w:marRight w:val="0"/>
          <w:marTop w:val="0"/>
          <w:marBottom w:val="0"/>
          <w:divBdr>
            <w:top w:val="none" w:sz="0" w:space="0" w:color="auto"/>
            <w:left w:val="none" w:sz="0" w:space="0" w:color="auto"/>
            <w:bottom w:val="none" w:sz="0" w:space="0" w:color="auto"/>
            <w:right w:val="none" w:sz="0" w:space="0" w:color="auto"/>
          </w:divBdr>
        </w:div>
      </w:divsChild>
    </w:div>
    <w:div w:id="541478500">
      <w:bodyDiv w:val="1"/>
      <w:marLeft w:val="0"/>
      <w:marRight w:val="0"/>
      <w:marTop w:val="0"/>
      <w:marBottom w:val="0"/>
      <w:divBdr>
        <w:top w:val="none" w:sz="0" w:space="0" w:color="auto"/>
        <w:left w:val="none" w:sz="0" w:space="0" w:color="auto"/>
        <w:bottom w:val="none" w:sz="0" w:space="0" w:color="auto"/>
        <w:right w:val="none" w:sz="0" w:space="0" w:color="auto"/>
      </w:divBdr>
    </w:div>
    <w:div w:id="632057055">
      <w:bodyDiv w:val="1"/>
      <w:marLeft w:val="0"/>
      <w:marRight w:val="0"/>
      <w:marTop w:val="0"/>
      <w:marBottom w:val="0"/>
      <w:divBdr>
        <w:top w:val="none" w:sz="0" w:space="0" w:color="auto"/>
        <w:left w:val="none" w:sz="0" w:space="0" w:color="auto"/>
        <w:bottom w:val="none" w:sz="0" w:space="0" w:color="auto"/>
        <w:right w:val="none" w:sz="0" w:space="0" w:color="auto"/>
      </w:divBdr>
    </w:div>
    <w:div w:id="715743965">
      <w:bodyDiv w:val="1"/>
      <w:marLeft w:val="0"/>
      <w:marRight w:val="0"/>
      <w:marTop w:val="0"/>
      <w:marBottom w:val="0"/>
      <w:divBdr>
        <w:top w:val="none" w:sz="0" w:space="0" w:color="auto"/>
        <w:left w:val="none" w:sz="0" w:space="0" w:color="auto"/>
        <w:bottom w:val="none" w:sz="0" w:space="0" w:color="auto"/>
        <w:right w:val="none" w:sz="0" w:space="0" w:color="auto"/>
      </w:divBdr>
    </w:div>
    <w:div w:id="719860995">
      <w:bodyDiv w:val="1"/>
      <w:marLeft w:val="0"/>
      <w:marRight w:val="0"/>
      <w:marTop w:val="0"/>
      <w:marBottom w:val="0"/>
      <w:divBdr>
        <w:top w:val="none" w:sz="0" w:space="0" w:color="auto"/>
        <w:left w:val="none" w:sz="0" w:space="0" w:color="auto"/>
        <w:bottom w:val="none" w:sz="0" w:space="0" w:color="auto"/>
        <w:right w:val="none" w:sz="0" w:space="0" w:color="auto"/>
      </w:divBdr>
    </w:div>
    <w:div w:id="816342595">
      <w:bodyDiv w:val="1"/>
      <w:marLeft w:val="0"/>
      <w:marRight w:val="0"/>
      <w:marTop w:val="0"/>
      <w:marBottom w:val="0"/>
      <w:divBdr>
        <w:top w:val="none" w:sz="0" w:space="0" w:color="auto"/>
        <w:left w:val="none" w:sz="0" w:space="0" w:color="auto"/>
        <w:bottom w:val="none" w:sz="0" w:space="0" w:color="auto"/>
        <w:right w:val="none" w:sz="0" w:space="0" w:color="auto"/>
      </w:divBdr>
    </w:div>
    <w:div w:id="853152311">
      <w:bodyDiv w:val="1"/>
      <w:marLeft w:val="0"/>
      <w:marRight w:val="0"/>
      <w:marTop w:val="0"/>
      <w:marBottom w:val="0"/>
      <w:divBdr>
        <w:top w:val="none" w:sz="0" w:space="0" w:color="auto"/>
        <w:left w:val="none" w:sz="0" w:space="0" w:color="auto"/>
        <w:bottom w:val="none" w:sz="0" w:space="0" w:color="auto"/>
        <w:right w:val="none" w:sz="0" w:space="0" w:color="auto"/>
      </w:divBdr>
    </w:div>
    <w:div w:id="1030226187">
      <w:bodyDiv w:val="1"/>
      <w:marLeft w:val="0"/>
      <w:marRight w:val="0"/>
      <w:marTop w:val="0"/>
      <w:marBottom w:val="0"/>
      <w:divBdr>
        <w:top w:val="none" w:sz="0" w:space="0" w:color="auto"/>
        <w:left w:val="none" w:sz="0" w:space="0" w:color="auto"/>
        <w:bottom w:val="none" w:sz="0" w:space="0" w:color="auto"/>
        <w:right w:val="none" w:sz="0" w:space="0" w:color="auto"/>
      </w:divBdr>
    </w:div>
    <w:div w:id="1075975901">
      <w:bodyDiv w:val="1"/>
      <w:marLeft w:val="0"/>
      <w:marRight w:val="0"/>
      <w:marTop w:val="0"/>
      <w:marBottom w:val="0"/>
      <w:divBdr>
        <w:top w:val="none" w:sz="0" w:space="0" w:color="auto"/>
        <w:left w:val="none" w:sz="0" w:space="0" w:color="auto"/>
        <w:bottom w:val="none" w:sz="0" w:space="0" w:color="auto"/>
        <w:right w:val="none" w:sz="0" w:space="0" w:color="auto"/>
      </w:divBdr>
    </w:div>
    <w:div w:id="1263420274">
      <w:bodyDiv w:val="1"/>
      <w:marLeft w:val="0"/>
      <w:marRight w:val="0"/>
      <w:marTop w:val="0"/>
      <w:marBottom w:val="0"/>
      <w:divBdr>
        <w:top w:val="none" w:sz="0" w:space="0" w:color="auto"/>
        <w:left w:val="none" w:sz="0" w:space="0" w:color="auto"/>
        <w:bottom w:val="none" w:sz="0" w:space="0" w:color="auto"/>
        <w:right w:val="none" w:sz="0" w:space="0" w:color="auto"/>
      </w:divBdr>
    </w:div>
    <w:div w:id="1268538767">
      <w:bodyDiv w:val="1"/>
      <w:marLeft w:val="0"/>
      <w:marRight w:val="0"/>
      <w:marTop w:val="0"/>
      <w:marBottom w:val="0"/>
      <w:divBdr>
        <w:top w:val="none" w:sz="0" w:space="0" w:color="auto"/>
        <w:left w:val="none" w:sz="0" w:space="0" w:color="auto"/>
        <w:bottom w:val="none" w:sz="0" w:space="0" w:color="auto"/>
        <w:right w:val="none" w:sz="0" w:space="0" w:color="auto"/>
      </w:divBdr>
      <w:divsChild>
        <w:div w:id="863444735">
          <w:marLeft w:val="490"/>
          <w:marRight w:val="0"/>
          <w:marTop w:val="50"/>
          <w:marBottom w:val="0"/>
          <w:divBdr>
            <w:top w:val="none" w:sz="0" w:space="0" w:color="auto"/>
            <w:left w:val="none" w:sz="0" w:space="0" w:color="auto"/>
            <w:bottom w:val="none" w:sz="0" w:space="0" w:color="auto"/>
            <w:right w:val="none" w:sz="0" w:space="0" w:color="auto"/>
          </w:divBdr>
        </w:div>
        <w:div w:id="1919288752">
          <w:marLeft w:val="490"/>
          <w:marRight w:val="0"/>
          <w:marTop w:val="50"/>
          <w:marBottom w:val="0"/>
          <w:divBdr>
            <w:top w:val="none" w:sz="0" w:space="0" w:color="auto"/>
            <w:left w:val="none" w:sz="0" w:space="0" w:color="auto"/>
            <w:bottom w:val="none" w:sz="0" w:space="0" w:color="auto"/>
            <w:right w:val="none" w:sz="0" w:space="0" w:color="auto"/>
          </w:divBdr>
        </w:div>
        <w:div w:id="1219131569">
          <w:marLeft w:val="490"/>
          <w:marRight w:val="0"/>
          <w:marTop w:val="50"/>
          <w:marBottom w:val="0"/>
          <w:divBdr>
            <w:top w:val="none" w:sz="0" w:space="0" w:color="auto"/>
            <w:left w:val="none" w:sz="0" w:space="0" w:color="auto"/>
            <w:bottom w:val="none" w:sz="0" w:space="0" w:color="auto"/>
            <w:right w:val="none" w:sz="0" w:space="0" w:color="auto"/>
          </w:divBdr>
        </w:div>
      </w:divsChild>
    </w:div>
    <w:div w:id="1275557217">
      <w:bodyDiv w:val="1"/>
      <w:marLeft w:val="0"/>
      <w:marRight w:val="0"/>
      <w:marTop w:val="0"/>
      <w:marBottom w:val="0"/>
      <w:divBdr>
        <w:top w:val="none" w:sz="0" w:space="0" w:color="auto"/>
        <w:left w:val="none" w:sz="0" w:space="0" w:color="auto"/>
        <w:bottom w:val="none" w:sz="0" w:space="0" w:color="auto"/>
        <w:right w:val="none" w:sz="0" w:space="0" w:color="auto"/>
      </w:divBdr>
    </w:div>
    <w:div w:id="1301495005">
      <w:bodyDiv w:val="1"/>
      <w:marLeft w:val="0"/>
      <w:marRight w:val="0"/>
      <w:marTop w:val="0"/>
      <w:marBottom w:val="0"/>
      <w:divBdr>
        <w:top w:val="none" w:sz="0" w:space="0" w:color="auto"/>
        <w:left w:val="none" w:sz="0" w:space="0" w:color="auto"/>
        <w:bottom w:val="none" w:sz="0" w:space="0" w:color="auto"/>
        <w:right w:val="none" w:sz="0" w:space="0" w:color="auto"/>
      </w:divBdr>
    </w:div>
    <w:div w:id="1527209051">
      <w:bodyDiv w:val="1"/>
      <w:marLeft w:val="0"/>
      <w:marRight w:val="0"/>
      <w:marTop w:val="0"/>
      <w:marBottom w:val="0"/>
      <w:divBdr>
        <w:top w:val="none" w:sz="0" w:space="0" w:color="auto"/>
        <w:left w:val="none" w:sz="0" w:space="0" w:color="auto"/>
        <w:bottom w:val="none" w:sz="0" w:space="0" w:color="auto"/>
        <w:right w:val="none" w:sz="0" w:space="0" w:color="auto"/>
      </w:divBdr>
    </w:div>
    <w:div w:id="1575428822">
      <w:bodyDiv w:val="1"/>
      <w:marLeft w:val="0"/>
      <w:marRight w:val="0"/>
      <w:marTop w:val="0"/>
      <w:marBottom w:val="0"/>
      <w:divBdr>
        <w:top w:val="none" w:sz="0" w:space="0" w:color="auto"/>
        <w:left w:val="none" w:sz="0" w:space="0" w:color="auto"/>
        <w:bottom w:val="none" w:sz="0" w:space="0" w:color="auto"/>
        <w:right w:val="none" w:sz="0" w:space="0" w:color="auto"/>
      </w:divBdr>
    </w:div>
    <w:div w:id="1611089866">
      <w:bodyDiv w:val="1"/>
      <w:marLeft w:val="0"/>
      <w:marRight w:val="0"/>
      <w:marTop w:val="0"/>
      <w:marBottom w:val="0"/>
      <w:divBdr>
        <w:top w:val="none" w:sz="0" w:space="0" w:color="auto"/>
        <w:left w:val="none" w:sz="0" w:space="0" w:color="auto"/>
        <w:bottom w:val="none" w:sz="0" w:space="0" w:color="auto"/>
        <w:right w:val="none" w:sz="0" w:space="0" w:color="auto"/>
      </w:divBdr>
    </w:div>
    <w:div w:id="1613131345">
      <w:bodyDiv w:val="1"/>
      <w:marLeft w:val="0"/>
      <w:marRight w:val="0"/>
      <w:marTop w:val="0"/>
      <w:marBottom w:val="0"/>
      <w:divBdr>
        <w:top w:val="none" w:sz="0" w:space="0" w:color="auto"/>
        <w:left w:val="none" w:sz="0" w:space="0" w:color="auto"/>
        <w:bottom w:val="none" w:sz="0" w:space="0" w:color="auto"/>
        <w:right w:val="none" w:sz="0" w:space="0" w:color="auto"/>
      </w:divBdr>
    </w:div>
    <w:div w:id="1773435080">
      <w:bodyDiv w:val="1"/>
      <w:marLeft w:val="0"/>
      <w:marRight w:val="0"/>
      <w:marTop w:val="0"/>
      <w:marBottom w:val="0"/>
      <w:divBdr>
        <w:top w:val="none" w:sz="0" w:space="0" w:color="auto"/>
        <w:left w:val="none" w:sz="0" w:space="0" w:color="auto"/>
        <w:bottom w:val="none" w:sz="0" w:space="0" w:color="auto"/>
        <w:right w:val="none" w:sz="0" w:space="0" w:color="auto"/>
      </w:divBdr>
    </w:div>
    <w:div w:id="1813206777">
      <w:bodyDiv w:val="1"/>
      <w:marLeft w:val="0"/>
      <w:marRight w:val="0"/>
      <w:marTop w:val="0"/>
      <w:marBottom w:val="0"/>
      <w:divBdr>
        <w:top w:val="none" w:sz="0" w:space="0" w:color="auto"/>
        <w:left w:val="none" w:sz="0" w:space="0" w:color="auto"/>
        <w:bottom w:val="none" w:sz="0" w:space="0" w:color="auto"/>
        <w:right w:val="none" w:sz="0" w:space="0" w:color="auto"/>
      </w:divBdr>
    </w:div>
    <w:div w:id="1919097644">
      <w:bodyDiv w:val="1"/>
      <w:marLeft w:val="0"/>
      <w:marRight w:val="0"/>
      <w:marTop w:val="0"/>
      <w:marBottom w:val="0"/>
      <w:divBdr>
        <w:top w:val="none" w:sz="0" w:space="0" w:color="auto"/>
        <w:left w:val="none" w:sz="0" w:space="0" w:color="auto"/>
        <w:bottom w:val="none" w:sz="0" w:space="0" w:color="auto"/>
        <w:right w:val="none" w:sz="0" w:space="0" w:color="auto"/>
      </w:divBdr>
    </w:div>
    <w:div w:id="2019037670">
      <w:bodyDiv w:val="1"/>
      <w:marLeft w:val="0"/>
      <w:marRight w:val="0"/>
      <w:marTop w:val="0"/>
      <w:marBottom w:val="0"/>
      <w:divBdr>
        <w:top w:val="none" w:sz="0" w:space="0" w:color="auto"/>
        <w:left w:val="none" w:sz="0" w:space="0" w:color="auto"/>
        <w:bottom w:val="none" w:sz="0" w:space="0" w:color="auto"/>
        <w:right w:val="none" w:sz="0" w:space="0" w:color="auto"/>
      </w:divBdr>
    </w:div>
    <w:div w:id="2050956960">
      <w:bodyDiv w:val="1"/>
      <w:marLeft w:val="0"/>
      <w:marRight w:val="0"/>
      <w:marTop w:val="0"/>
      <w:marBottom w:val="0"/>
      <w:divBdr>
        <w:top w:val="none" w:sz="0" w:space="0" w:color="auto"/>
        <w:left w:val="none" w:sz="0" w:space="0" w:color="auto"/>
        <w:bottom w:val="none" w:sz="0" w:space="0" w:color="auto"/>
        <w:right w:val="none" w:sz="0" w:space="0" w:color="auto"/>
      </w:divBdr>
    </w:div>
    <w:div w:id="2099252278">
      <w:bodyDiv w:val="1"/>
      <w:marLeft w:val="0"/>
      <w:marRight w:val="0"/>
      <w:marTop w:val="0"/>
      <w:marBottom w:val="0"/>
      <w:divBdr>
        <w:top w:val="none" w:sz="0" w:space="0" w:color="auto"/>
        <w:left w:val="none" w:sz="0" w:space="0" w:color="auto"/>
        <w:bottom w:val="none" w:sz="0" w:space="0" w:color="auto"/>
        <w:right w:val="none" w:sz="0" w:space="0" w:color="auto"/>
      </w:divBdr>
    </w:div>
    <w:div w:id="21003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C0CEC24BA925D4599EEE9FC09FB56F1" ma:contentTypeVersion="16" ma:contentTypeDescription="Create a new document." ma:contentTypeScope="" ma:versionID="eb6b6d3ac316e2659c6af11a1d504e4c">
  <xsd:schema xmlns:xsd="http://www.w3.org/2001/XMLSchema" xmlns:xs="http://www.w3.org/2001/XMLSchema" xmlns:p="http://schemas.microsoft.com/office/2006/metadata/properties" xmlns:ns1="http://schemas.microsoft.com/sharepoint/v3" xmlns:ns2="4259d123-e6a2-4a39-9cc4-e247171b8278" xmlns:ns3="01d2705b-266c-471f-bbad-ca9cc3733704" xmlns:ns4="9f3f92a8-473c-4608-bac3-6eb86d935198" targetNamespace="http://schemas.microsoft.com/office/2006/metadata/properties" ma:root="true" ma:fieldsID="a25e8ebe65d14b4008427a53e97631a4" ns1:_="" ns2:_="" ns3:_="" ns4:_="">
    <xsd:import namespace="http://schemas.microsoft.com/sharepoint/v3"/>
    <xsd:import namespace="4259d123-e6a2-4a39-9cc4-e247171b8278"/>
    <xsd:import namespace="01d2705b-266c-471f-bbad-ca9cc3733704"/>
    <xsd:import namespace="9f3f92a8-473c-4608-bac3-6eb86d935198"/>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2:b11dec6ce0c448c0844aaa6ccb665a34" minOccurs="0"/>
                <xsd:element ref="ns2:TaxCatchAll" minOccurs="0"/>
                <xsd:element ref="ns4:h5181134883947a99a38d116ffff0102" minOccurs="0"/>
                <xsd:element ref="ns2:ce5af11cf85042fda4c4f1f7f633f15b" minOccurs="0"/>
                <xsd:element ref="ns4:h5181134883947a99a38d116ffff0006" minOccurs="0"/>
                <xsd:element ref="ns2:fcfa2e3a102f492eb9989c5396408ed9" minOccurs="0"/>
                <xsd:element ref="ns2:ba8d4f2c4b764194bae6c355bbdcc1eb"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6" nillable="true" ma:displayName="Declared Record" ma:description=""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259d123-e6a2-4a39-9cc4-e247171b82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11dec6ce0c448c0844aaa6ccb665a34" ma:index="14" nillable="true" ma:taxonomy="true" ma:internalName="b11dec6ce0c448c0844aaa6ccb665a34" ma:taxonomyFieldName="IWPFunction" ma:displayName="Function" ma:readOnly="false" ma:fieldId="{b11dec6c-e0c4-48c0-844a-aa6ccb665a34}"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da1b62f6-7c55-4857-80e2-86b00f747f63}" ma:internalName="TaxCatchAll" ma:showField="CatchAllData" ma:web="4259d123-e6a2-4a39-9cc4-e247171b8278">
      <xsd:complexType>
        <xsd:complexContent>
          <xsd:extension base="dms:MultiChoiceLookup">
            <xsd:sequence>
              <xsd:element name="Value" type="dms:Lookup" maxOccurs="unbounded" minOccurs="0" nillable="true"/>
            </xsd:sequence>
          </xsd:extension>
        </xsd:complexContent>
      </xsd:complexType>
    </xsd:element>
    <xsd:element name="ce5af11cf85042fda4c4f1f7f633f15b" ma:index="19" ma:taxonomy="true" ma:internalName="ce5af11cf85042fda4c4f1f7f633f15b" ma:taxonomyFieldName="IWPRightsProtectiveMarking" ma:displayName="Rights: Protective Marking" ma:readOnly="false" ma:default="1;#Official|0884c477-2e62-47ea-b19c-5af6e91124c5" ma:fieldId="{ce5af11c-f850-42fd-a4c4-f1f7f633f15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fcfa2e3a102f492eb9989c5396408ed9" ma:index="23" nillable="true" ma:taxonomy="true" ma:internalName="fcfa2e3a102f492eb9989c5396408ed9" ma:taxonomyFieldName="IWPSiteType" ma:displayName="Site Type" ma:readOnly="false" ma:fieldId="{fcfa2e3a-102f-492e-b998-9c5396408ed9}"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ba8d4f2c4b764194bae6c355bbdcc1eb" ma:index="25" nillable="true" ma:taxonomy="true" ma:internalName="ba8d4f2c4b764194bae6c355bbdcc1eb" ma:taxonomyFieldName="IWPOrganisationalUnit" ma:displayName="Organisational Unit" ma:readOnly="false" ma:default="2;#DfE|cc08a6d4-dfde-4d0f-bd85-069ebcef80d5" ma:fieldId="{ba8d4f2c-4b76-4194-bae6-c355bbdcc1eb}"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d2705b-266c-471f-bbad-ca9cc3733704" elementFormDefault="qualified">
    <xsd:import namespace="http://schemas.microsoft.com/office/2006/documentManagement/types"/>
    <xsd:import namespace="http://schemas.microsoft.com/office/infopath/2007/PartnerControls"/>
    <xsd:element name="IWPContributor" ma:index="12"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3f92a8-473c-4608-bac3-6eb86d935198" elementFormDefault="qualified">
    <xsd:import namespace="http://schemas.microsoft.com/office/2006/documentManagement/types"/>
    <xsd:import namespace="http://schemas.microsoft.com/office/infopath/2007/PartnerControls"/>
    <xsd:element name="h5181134883947a99a38d116ffff0102" ma:index="17" ma:taxonomy="true" ma:internalName="h5181134883947a99a38d116ffff0102" ma:taxonomyFieldName="IWPOwner" ma:displayName="Owner" ma:readOnly="false" ma:default="3;#DfE|a484111e-5b24-4ad9-9778-c536c8c88985"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1"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WPContributor xmlns="01d2705b-266c-471f-bbad-ca9cc3733704">
      <UserInfo>
        <DisplayName/>
        <AccountId xsi:nil="true"/>
        <AccountType/>
      </UserInfo>
    </IWPContributor>
    <Comments xmlns="http://schemas.microsoft.com/sharepoint/v3" xsi:nil="true"/>
    <TaxCatchAll xmlns="4259d123-e6a2-4a39-9cc4-e247171b8278">
      <Value>3</Value>
      <Value>2</Value>
      <Value>1</Value>
    </TaxCatchAll>
    <_dlc_DocId xmlns="4259d123-e6a2-4a39-9cc4-e247171b8278">HKPH4XM4QHZ4-1883831546-50121</_dlc_DocId>
    <_dlc_DocIdUrl xmlns="4259d123-e6a2-4a39-9cc4-e247171b8278">
      <Url>https://educationgovuk.sharepoint.com/sites/ttg/d/_layouts/15/DocIdRedir.aspx?ID=HKPH4XM4QHZ4-1883831546-50121</Url>
      <Description>HKPH4XM4QHZ4-1883831546-50121</Description>
    </_dlc_DocIdUrl>
    <fcfa2e3a102f492eb9989c5396408ed9 xmlns="4259d123-e6a2-4a39-9cc4-e247171b8278">
      <Terms xmlns="http://schemas.microsoft.com/office/infopath/2007/PartnerControls"/>
    </fcfa2e3a102f492eb9989c5396408ed9>
    <ce5af11cf85042fda4c4f1f7f633f15b xmlns="4259d123-e6a2-4a39-9cc4-e247171b827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e5af11cf85042fda4c4f1f7f633f15b>
    <ba8d4f2c4b764194bae6c355bbdcc1eb xmlns="4259d123-e6a2-4a39-9cc4-e247171b8278">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ba8d4f2c4b764194bae6c355bbdcc1eb>
    <_vti_ItemDeclaredRecord xmlns="http://schemas.microsoft.com/sharepoint/v3" xsi:nil="true"/>
    <b11dec6ce0c448c0844aaa6ccb665a34 xmlns="4259d123-e6a2-4a39-9cc4-e247171b8278">
      <Terms xmlns="http://schemas.microsoft.com/office/infopath/2007/PartnerControls"/>
    </b11dec6ce0c448c0844aaa6ccb665a34>
    <h5181134883947a99a38d116ffff0102 xmlns="9f3f92a8-473c-4608-bac3-6eb86d935198">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h5181134883947a99a38d116ffff0102>
    <h5181134883947a99a38d116ffff0006 xmlns="9f3f92a8-473c-4608-bac3-6eb86d935198">
      <Terms xmlns="http://schemas.microsoft.com/office/infopath/2007/PartnerControls"/>
    </h5181134883947a99a38d116ffff0006>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72AB2-381A-4FDE-8C58-9D92FB9CBF2D}">
  <ds:schemaRefs>
    <ds:schemaRef ds:uri="http://schemas.microsoft.com/sharepoint/v3/contenttype/forms"/>
  </ds:schemaRefs>
</ds:datastoreItem>
</file>

<file path=customXml/itemProps2.xml><?xml version="1.0" encoding="utf-8"?>
<ds:datastoreItem xmlns:ds="http://schemas.openxmlformats.org/officeDocument/2006/customXml" ds:itemID="{2B6BE1EA-A6A8-4405-B180-4F5DF4240435}">
  <ds:schemaRefs>
    <ds:schemaRef ds:uri="http://schemas.microsoft.com/sharepoint/events"/>
  </ds:schemaRefs>
</ds:datastoreItem>
</file>

<file path=customXml/itemProps3.xml><?xml version="1.0" encoding="utf-8"?>
<ds:datastoreItem xmlns:ds="http://schemas.openxmlformats.org/officeDocument/2006/customXml" ds:itemID="{A61E528D-45E8-4DA3-AF0B-94441E67B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59d123-e6a2-4a39-9cc4-e247171b8278"/>
    <ds:schemaRef ds:uri="01d2705b-266c-471f-bbad-ca9cc3733704"/>
    <ds:schemaRef ds:uri="9f3f92a8-473c-4608-bac3-6eb86d935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02C5EF-BE93-4D37-A632-460124542AFF}">
  <ds:schemaRefs>
    <ds:schemaRef ds:uri="http://purl.org/dc/elements/1.1/"/>
    <ds:schemaRef ds:uri="http://schemas.microsoft.com/office/2006/metadata/properties"/>
    <ds:schemaRef ds:uri="4259d123-e6a2-4a39-9cc4-e247171b8278"/>
    <ds:schemaRef ds:uri="http://schemas.microsoft.com/sharepoint/v3"/>
    <ds:schemaRef ds:uri="http://purl.org/dc/terms/"/>
    <ds:schemaRef ds:uri="http://schemas.openxmlformats.org/package/2006/metadata/core-properties"/>
    <ds:schemaRef ds:uri="9f3f92a8-473c-4608-bac3-6eb86d935198"/>
    <ds:schemaRef ds:uri="http://schemas.microsoft.com/office/2006/documentManagement/types"/>
    <ds:schemaRef ds:uri="http://schemas.microsoft.com/office/infopath/2007/PartnerControls"/>
    <ds:schemaRef ds:uri="01d2705b-266c-471f-bbad-ca9cc3733704"/>
    <ds:schemaRef ds:uri="http://www.w3.org/XML/1998/namespace"/>
    <ds:schemaRef ds:uri="http://purl.org/dc/dcmitype/"/>
  </ds:schemaRefs>
</ds:datastoreItem>
</file>

<file path=customXml/itemProps5.xml><?xml version="1.0" encoding="utf-8"?>
<ds:datastoreItem xmlns:ds="http://schemas.openxmlformats.org/officeDocument/2006/customXml" ds:itemID="{3300E812-41DB-4B8B-8AEE-421890B5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4624</Words>
  <Characters>24411</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to be used for July Board</vt:lpstr>
    </vt:vector>
  </TitlesOfParts>
  <Company>Employment Benefits</Company>
  <LinksUpToDate>false</LinksUpToDate>
  <CharactersWithSpaces>28978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used for July Board</dc:title>
  <dc:creator>CAMMACK, Karen</dc:creator>
  <cp:lastModifiedBy>LAUNDY, Fiona</cp:lastModifiedBy>
  <cp:revision>2</cp:revision>
  <cp:lastPrinted>2018-03-13T15:02:00Z</cp:lastPrinted>
  <dcterms:created xsi:type="dcterms:W3CDTF">2018-04-24T12:58:00Z</dcterms:created>
  <dcterms:modified xsi:type="dcterms:W3CDTF">2018-04-24T12:58:00Z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0x0101004C0CEC24BA925D4599EEE9FC09FB56F1</vt:lpwstr>
  </property>
  <property fmtid="{D5CDD505-2E9C-101B-9397-08002B2CF9AE}" pid="3" name="IWPOrganisationalUnit">
    <vt:lpwstr>2;#DfE|cc08a6d4-dfde-4d0f-bd85-069ebcef80d5</vt:lpwstr>
  </property>
  <property fmtid="{D5CDD505-2E9C-101B-9397-08002B2CF9AE}" pid="4" name="IWPOwner">
    <vt:lpwstr>3;#DfE|a484111e-5b24-4ad9-9778-c536c8c88985</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1;#Official|0884c477-2e62-47ea-b19c-5af6e91124c5</vt:lpwstr>
  </property>
  <property fmtid="{D5CDD505-2E9C-101B-9397-08002B2CF9AE}" pid="9" name="_dlc_DocIdItemGuid">
    <vt:lpwstr>1e28b28d-4e59-423e-97e7-f51df74d6065</vt:lpwstr>
  </property>
</Properties>
</file>