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B3962" w14:textId="77777777" w:rsidR="00AF1C07" w:rsidRPr="00D73078" w:rsidRDefault="00D73078" w:rsidP="00327FA8">
      <w:pPr>
        <w:pStyle w:val="DeptBullets"/>
        <w:numPr>
          <w:ilvl w:val="0"/>
          <w:numId w:val="0"/>
        </w:numPr>
        <w:spacing w:after="0"/>
        <w:rPr>
          <w:b/>
        </w:rPr>
      </w:pPr>
      <w:r w:rsidRPr="00D73078">
        <w:rPr>
          <w:b/>
        </w:rPr>
        <w:t>Engagement August – October 2015</w:t>
      </w:r>
    </w:p>
    <w:p w14:paraId="0AF51EAD" w14:textId="77777777" w:rsidR="00A51A34" w:rsidRDefault="00A51A34" w:rsidP="00327FA8">
      <w:pPr>
        <w:pStyle w:val="DeptBullets"/>
        <w:numPr>
          <w:ilvl w:val="0"/>
          <w:numId w:val="0"/>
        </w:numPr>
        <w:spacing w:after="0"/>
        <w:rPr>
          <w:u w:val="single"/>
        </w:rPr>
      </w:pPr>
    </w:p>
    <w:p w14:paraId="78A67D8E" w14:textId="77777777" w:rsidR="00EA3463" w:rsidRPr="00EA3463" w:rsidRDefault="00B60C22" w:rsidP="00327FA8">
      <w:pPr>
        <w:pStyle w:val="DeptBullets"/>
        <w:numPr>
          <w:ilvl w:val="0"/>
          <w:numId w:val="0"/>
        </w:numPr>
        <w:spacing w:after="0"/>
        <w:rPr>
          <w:u w:val="single"/>
        </w:rPr>
      </w:pPr>
      <w:r>
        <w:rPr>
          <w:u w:val="single"/>
        </w:rPr>
        <w:t>Quarterly u</w:t>
      </w:r>
      <w:r w:rsidR="00EA3463" w:rsidRPr="00EA3463">
        <w:rPr>
          <w:u w:val="single"/>
        </w:rPr>
        <w:t>pdate</w:t>
      </w:r>
    </w:p>
    <w:p w14:paraId="262B9EF5" w14:textId="77777777" w:rsidR="00A51A34" w:rsidRDefault="00A51A34" w:rsidP="00327FA8">
      <w:pPr>
        <w:pStyle w:val="DeptBullets"/>
        <w:numPr>
          <w:ilvl w:val="0"/>
          <w:numId w:val="0"/>
        </w:numPr>
        <w:spacing w:after="0"/>
      </w:pPr>
    </w:p>
    <w:p w14:paraId="727DE5E8" w14:textId="77777777" w:rsidR="00040188" w:rsidRDefault="00040188" w:rsidP="00327FA8">
      <w:pPr>
        <w:pStyle w:val="DeptBullets"/>
        <w:numPr>
          <w:ilvl w:val="0"/>
          <w:numId w:val="0"/>
        </w:numPr>
        <w:spacing w:after="0"/>
      </w:pPr>
      <w:r>
        <w:t>Kerry Tate-</w:t>
      </w:r>
      <w:proofErr w:type="spellStart"/>
      <w:r>
        <w:t>Maskill</w:t>
      </w:r>
      <w:proofErr w:type="spellEnd"/>
      <w:r>
        <w:t xml:space="preserve"> </w:t>
      </w:r>
      <w:r w:rsidR="001B46E4">
        <w:t xml:space="preserve">has been </w:t>
      </w:r>
      <w:r>
        <w:t>appointed as the new</w:t>
      </w:r>
      <w:r w:rsidR="001B46E4">
        <w:t xml:space="preserve"> Teachers’ Pension</w:t>
      </w:r>
      <w:r w:rsidR="00214F2C">
        <w:t>s</w:t>
      </w:r>
      <w:r w:rsidR="001B46E4">
        <w:t xml:space="preserve"> </w:t>
      </w:r>
      <w:r>
        <w:t>‘Head of Engagement’</w:t>
      </w:r>
      <w:r w:rsidR="001B46E4">
        <w:t xml:space="preserve">, taking up post in October.  She replaces Claire Boston-Smithson, who has now left TP.  As a </w:t>
      </w:r>
      <w:r w:rsidR="001B46E4" w:rsidRPr="001B46E4">
        <w:t xml:space="preserve">driven and creative Communications, PR &amp; Marketing professional, Kerry brings with her a wealth of experience from both the public and private sectors. </w:t>
      </w:r>
    </w:p>
    <w:p w14:paraId="62E9EB5E" w14:textId="77777777" w:rsidR="00327FA8" w:rsidRDefault="00327FA8" w:rsidP="00327FA8">
      <w:pPr>
        <w:pStyle w:val="DeptBullets"/>
        <w:numPr>
          <w:ilvl w:val="0"/>
          <w:numId w:val="0"/>
        </w:numPr>
        <w:spacing w:after="0"/>
      </w:pPr>
    </w:p>
    <w:p w14:paraId="42F7592E" w14:textId="4AB6CA02" w:rsidR="00040188" w:rsidRDefault="00D73078" w:rsidP="00327FA8">
      <w:pPr>
        <w:pStyle w:val="DeptBullets"/>
        <w:numPr>
          <w:ilvl w:val="0"/>
          <w:numId w:val="0"/>
        </w:numPr>
        <w:spacing w:after="0"/>
      </w:pPr>
      <w:r>
        <w:t xml:space="preserve">The </w:t>
      </w:r>
      <w:r w:rsidR="00EA3463">
        <w:t xml:space="preserve">TPS communications strategy for the current contract year was approved in September.  This included </w:t>
      </w:r>
      <w:r>
        <w:t>Marketing Exemption</w:t>
      </w:r>
      <w:r w:rsidR="00EA3463">
        <w:t xml:space="preserve"> for </w:t>
      </w:r>
      <w:r w:rsidR="00EA3463" w:rsidRPr="00EA3463">
        <w:t xml:space="preserve">8 </w:t>
      </w:r>
      <w:r w:rsidR="00EA3463" w:rsidRPr="0060005C">
        <w:t>promoted post</w:t>
      </w:r>
      <w:r w:rsidR="00214F2C" w:rsidRPr="0060005C">
        <w:t>s</w:t>
      </w:r>
      <w:r w:rsidR="00214F2C">
        <w:t xml:space="preserve"> </w:t>
      </w:r>
      <w:r w:rsidR="0060005C">
        <w:t>(a facility to promote TP</w:t>
      </w:r>
      <w:r w:rsidR="00767062">
        <w:t>S</w:t>
      </w:r>
      <w:r w:rsidR="0060005C">
        <w:t xml:space="preserve"> information, news and events on users’ </w:t>
      </w:r>
      <w:r w:rsidR="00DA437B">
        <w:t>Facebook or website ne</w:t>
      </w:r>
      <w:r w:rsidR="0060005C">
        <w:t xml:space="preserve">ws feeds) </w:t>
      </w:r>
      <w:r w:rsidR="00214F2C">
        <w:t>for</w:t>
      </w:r>
      <w:r w:rsidR="00EA3463" w:rsidRPr="00EA3463">
        <w:t xml:space="preserve"> social media campaigns delivered across the year</w:t>
      </w:r>
      <w:r w:rsidR="00174676">
        <w:t>. These</w:t>
      </w:r>
      <w:r w:rsidR="00EA3463">
        <w:t xml:space="preserve"> wi</w:t>
      </w:r>
      <w:r w:rsidR="00EA3463" w:rsidRPr="00EA3463">
        <w:t>ll be targeted at key points across the year when teachers are likely to be thinking about their pensions, for example, the New Year, the end of the financial year and the beginning of a school term.</w:t>
      </w:r>
      <w:r w:rsidR="00327FA8">
        <w:t xml:space="preserve">  R</w:t>
      </w:r>
      <w:r w:rsidR="00040188">
        <w:t xml:space="preserve">eporting </w:t>
      </w:r>
      <w:r w:rsidR="00327FA8">
        <w:t>arrangements are under discussion with Department campaign managers and will be provided monthly.</w:t>
      </w:r>
      <w:r w:rsidR="00391549">
        <w:t xml:space="preserve">  Output from this will also feed into future quarterly reports for the Board.</w:t>
      </w:r>
    </w:p>
    <w:p w14:paraId="2624FFFF" w14:textId="77777777" w:rsidR="00090B99" w:rsidRDefault="00090B99" w:rsidP="00327FA8">
      <w:pPr>
        <w:pStyle w:val="DeptBullets"/>
        <w:numPr>
          <w:ilvl w:val="0"/>
          <w:numId w:val="0"/>
        </w:numPr>
        <w:spacing w:after="0"/>
      </w:pPr>
    </w:p>
    <w:p w14:paraId="747D9BA5" w14:textId="7D69573D" w:rsidR="00391549" w:rsidRDefault="00E15B34" w:rsidP="00327FA8">
      <w:pPr>
        <w:pStyle w:val="DeptBullets"/>
        <w:numPr>
          <w:ilvl w:val="0"/>
          <w:numId w:val="0"/>
        </w:numPr>
        <w:spacing w:after="0"/>
      </w:pPr>
      <w:r>
        <w:t xml:space="preserve">Understanding </w:t>
      </w:r>
      <w:r w:rsidR="00477AEA">
        <w:t xml:space="preserve">the </w:t>
      </w:r>
      <w:r>
        <w:t xml:space="preserve">social media landscape as a key engagement tool has continued to develop during the quarter.  </w:t>
      </w:r>
      <w:r w:rsidR="005323E9">
        <w:t>TP’s</w:t>
      </w:r>
      <w:r w:rsidR="005323E9" w:rsidRPr="00FA3B8B">
        <w:rPr>
          <w:rFonts w:cs="Arial"/>
        </w:rPr>
        <w:t xml:space="preserve"> Engagement Team </w:t>
      </w:r>
      <w:r w:rsidR="005323E9">
        <w:rPr>
          <w:rFonts w:cs="Arial"/>
        </w:rPr>
        <w:t>continu</w:t>
      </w:r>
      <w:r w:rsidR="00477AEA">
        <w:rPr>
          <w:rFonts w:cs="Arial"/>
        </w:rPr>
        <w:t>e to</w:t>
      </w:r>
      <w:r w:rsidR="005323E9">
        <w:rPr>
          <w:rFonts w:cs="Arial"/>
        </w:rPr>
        <w:t xml:space="preserve"> </w:t>
      </w:r>
      <w:r w:rsidR="005323E9" w:rsidRPr="00FA3B8B">
        <w:rPr>
          <w:rFonts w:cs="Arial"/>
        </w:rPr>
        <w:t>monitor</w:t>
      </w:r>
      <w:r w:rsidR="005323E9">
        <w:rPr>
          <w:rFonts w:cs="Arial"/>
        </w:rPr>
        <w:t xml:space="preserve"> </w:t>
      </w:r>
      <w:r w:rsidR="005323E9" w:rsidRPr="00FA3B8B">
        <w:rPr>
          <w:rFonts w:cs="Arial"/>
        </w:rPr>
        <w:t xml:space="preserve">social media interaction and is instantly alerted of any tweet, Facebook posting or comment on YouTube.  </w:t>
      </w:r>
      <w:r>
        <w:t>Th</w:t>
      </w:r>
      <w:r w:rsidR="005323E9">
        <w:t>e benefit of this was amply demonstrated in resolving</w:t>
      </w:r>
      <w:r>
        <w:t xml:space="preserve"> some particularly negative feedback (which had gained a groundswell of interest) from the relative of one scheme member about the service they had received</w:t>
      </w:r>
      <w:r w:rsidR="00174676">
        <w:t>.</w:t>
      </w:r>
      <w:r w:rsidR="00D67226">
        <w:t xml:space="preserve"> </w:t>
      </w:r>
      <w:r w:rsidR="00174676">
        <w:t>This</w:t>
      </w:r>
      <w:r>
        <w:t xml:space="preserve"> has led to the development </w:t>
      </w:r>
      <w:proofErr w:type="gramStart"/>
      <w:r>
        <w:t>of  standardised</w:t>
      </w:r>
      <w:proofErr w:type="gramEnd"/>
      <w:r>
        <w:t xml:space="preserve"> ‘social media guidance’, the principles from which will be </w:t>
      </w:r>
      <w:r w:rsidR="00DD4072">
        <w:t>applied when dealing with future i</w:t>
      </w:r>
      <w:r>
        <w:t xml:space="preserve">nstances.   </w:t>
      </w:r>
    </w:p>
    <w:p w14:paraId="11C90A1F" w14:textId="77777777" w:rsidR="005323E9" w:rsidRDefault="005323E9" w:rsidP="00327FA8">
      <w:pPr>
        <w:pStyle w:val="DeptBullets"/>
        <w:numPr>
          <w:ilvl w:val="0"/>
          <w:numId w:val="0"/>
        </w:numPr>
        <w:spacing w:after="0"/>
      </w:pPr>
    </w:p>
    <w:p w14:paraId="6896006E" w14:textId="77777777" w:rsidR="00D73078" w:rsidRDefault="00D73078" w:rsidP="00327FA8">
      <w:pPr>
        <w:pStyle w:val="DeptBullets"/>
        <w:numPr>
          <w:ilvl w:val="0"/>
          <w:numId w:val="0"/>
        </w:numPr>
        <w:spacing w:after="0"/>
      </w:pPr>
    </w:p>
    <w:tbl>
      <w:tblPr>
        <w:tblStyle w:val="TableGrid"/>
        <w:tblW w:w="0" w:type="auto"/>
        <w:tblInd w:w="108" w:type="dxa"/>
        <w:tblLook w:val="04A0" w:firstRow="1" w:lastRow="0" w:firstColumn="1" w:lastColumn="0" w:noHBand="0" w:noVBand="1"/>
      </w:tblPr>
      <w:tblGrid>
        <w:gridCol w:w="7230"/>
        <w:gridCol w:w="1134"/>
      </w:tblGrid>
      <w:tr w:rsidR="00D73078" w:rsidRPr="009758AE" w14:paraId="3C29BEDE" w14:textId="77777777" w:rsidTr="0025657D">
        <w:tc>
          <w:tcPr>
            <w:tcW w:w="7230" w:type="dxa"/>
          </w:tcPr>
          <w:p w14:paraId="5D9B6C80" w14:textId="77777777" w:rsidR="00D73078" w:rsidRPr="00A553F5" w:rsidRDefault="00D73078" w:rsidP="00327FA8">
            <w:pPr>
              <w:rPr>
                <w:rFonts w:cs="Arial"/>
                <w:b/>
                <w:color w:val="000000"/>
                <w:szCs w:val="24"/>
                <w:lang w:eastAsia="en-GB"/>
              </w:rPr>
            </w:pPr>
            <w:r w:rsidRPr="00A553F5">
              <w:rPr>
                <w:rFonts w:cs="Arial"/>
                <w:b/>
                <w:color w:val="000000"/>
                <w:szCs w:val="24"/>
                <w:lang w:eastAsia="en-GB"/>
              </w:rPr>
              <w:t xml:space="preserve">Member </w:t>
            </w:r>
            <w:r w:rsidR="00EF5BA6" w:rsidRPr="00A553F5">
              <w:rPr>
                <w:rFonts w:cs="Arial"/>
                <w:b/>
                <w:color w:val="000000"/>
                <w:szCs w:val="24"/>
                <w:lang w:eastAsia="en-GB"/>
              </w:rPr>
              <w:t xml:space="preserve">engagement and </w:t>
            </w:r>
            <w:r w:rsidRPr="00A553F5">
              <w:rPr>
                <w:rFonts w:cs="Arial"/>
                <w:b/>
                <w:color w:val="000000"/>
                <w:szCs w:val="24"/>
                <w:lang w:eastAsia="en-GB"/>
              </w:rPr>
              <w:t>Campaigns</w:t>
            </w:r>
          </w:p>
          <w:p w14:paraId="2E9E63F6" w14:textId="77777777" w:rsidR="00D73078" w:rsidRPr="009758AE" w:rsidRDefault="00D73078" w:rsidP="00327FA8">
            <w:pPr>
              <w:rPr>
                <w:rFonts w:ascii="Trebuchet MS" w:hAnsi="Trebuchet MS" w:cs="Arial"/>
                <w:b/>
                <w:sz w:val="22"/>
                <w:szCs w:val="22"/>
              </w:rPr>
            </w:pPr>
          </w:p>
        </w:tc>
        <w:tc>
          <w:tcPr>
            <w:tcW w:w="1134" w:type="dxa"/>
            <w:shd w:val="clear" w:color="auto" w:fill="00B050"/>
          </w:tcPr>
          <w:p w14:paraId="0D6D98B5" w14:textId="0BC066CB" w:rsidR="00D73078" w:rsidRPr="009758AE" w:rsidRDefault="00C4763E" w:rsidP="00327FA8">
            <w:pPr>
              <w:rPr>
                <w:rFonts w:ascii="Trebuchet MS" w:hAnsi="Trebuchet MS" w:cs="Calibri"/>
                <w:color w:val="FFC000"/>
                <w:sz w:val="22"/>
                <w:szCs w:val="22"/>
              </w:rPr>
            </w:pPr>
            <w:r>
              <w:rPr>
                <w:b/>
                <w:noProof/>
                <w:lang w:eastAsia="en-GB"/>
              </w:rPr>
              <mc:AlternateContent>
                <mc:Choice Requires="wps">
                  <w:drawing>
                    <wp:anchor distT="0" distB="0" distL="114300" distR="114300" simplePos="0" relativeHeight="251658240" behindDoc="0" locked="0" layoutInCell="1" allowOverlap="1" wp14:anchorId="2564D4B2" wp14:editId="2B558AF3">
                      <wp:simplePos x="0" y="0"/>
                      <wp:positionH relativeFrom="column">
                        <wp:posOffset>186690</wp:posOffset>
                      </wp:positionH>
                      <wp:positionV relativeFrom="paragraph">
                        <wp:posOffset>93345</wp:posOffset>
                      </wp:positionV>
                      <wp:extent cx="205740" cy="114300"/>
                      <wp:effectExtent l="7620" t="59055" r="43815" b="762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 cy="114300"/>
                              </a:xfrm>
                              <a:prstGeom prst="straightConnector1">
                                <a:avLst/>
                              </a:prstGeom>
                              <a:noFill/>
                              <a:ln w="1270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7pt;margin-top:7.35pt;width:16.2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" strokecolor="black [3200]" strokeweight="1pt">
                      <v:stroke endarrow="block"/>
                      <v:shadow color="#7f7f7f [1601]" offset="1pt"/>
                    </v:shape>
                  </w:pict>
                </mc:Fallback>
              </mc:AlternateContent>
            </w:r>
          </w:p>
          <w:p w14:paraId="4087FE0B" w14:textId="77777777" w:rsidR="00D73078" w:rsidRPr="009758AE" w:rsidRDefault="00D73078" w:rsidP="00327FA8">
            <w:pPr>
              <w:rPr>
                <w:rFonts w:ascii="Trebuchet MS" w:hAnsi="Trebuchet MS" w:cs="Calibri"/>
                <w:color w:val="FFC000"/>
                <w:sz w:val="22"/>
                <w:szCs w:val="22"/>
              </w:rPr>
            </w:pPr>
          </w:p>
        </w:tc>
      </w:tr>
    </w:tbl>
    <w:p w14:paraId="288C2071" w14:textId="77777777" w:rsidR="00D73078" w:rsidRDefault="00D73078" w:rsidP="00327FA8">
      <w:pPr>
        <w:pStyle w:val="DeptBullets"/>
        <w:numPr>
          <w:ilvl w:val="0"/>
          <w:numId w:val="0"/>
        </w:numPr>
        <w:spacing w:after="0"/>
      </w:pPr>
    </w:p>
    <w:p w14:paraId="22C56811" w14:textId="0CDB6B14" w:rsidR="000225E4" w:rsidRDefault="003219B9" w:rsidP="00327FA8">
      <w:pPr>
        <w:pStyle w:val="DeptBullets"/>
        <w:numPr>
          <w:ilvl w:val="0"/>
          <w:numId w:val="0"/>
        </w:numPr>
        <w:spacing w:after="0"/>
      </w:pPr>
      <w:r>
        <w:t>TP</w:t>
      </w:r>
      <w:r w:rsidR="000E52A0">
        <w:t xml:space="preserve"> have continued to see a steady reduction </w:t>
      </w:r>
      <w:r w:rsidR="00A94D45">
        <w:t>in website interest when compared to</w:t>
      </w:r>
      <w:r w:rsidR="00075239">
        <w:t xml:space="preserve"> the same period</w:t>
      </w:r>
      <w:r w:rsidR="00A94D45">
        <w:t xml:space="preserve"> </w:t>
      </w:r>
      <w:r w:rsidR="00075239">
        <w:t>last year</w:t>
      </w:r>
      <w:r w:rsidR="000225E4">
        <w:t>, although the total number of visits remains healthy at 2.58 million since the beginning of the calendar year</w:t>
      </w:r>
      <w:r w:rsidR="00A94D45">
        <w:t xml:space="preserve">.  </w:t>
      </w:r>
    </w:p>
    <w:p w14:paraId="0A3625ED" w14:textId="77777777" w:rsidR="000225E4" w:rsidRDefault="000225E4" w:rsidP="00327FA8">
      <w:pPr>
        <w:pStyle w:val="DeptBullets"/>
        <w:numPr>
          <w:ilvl w:val="0"/>
          <w:numId w:val="0"/>
        </w:numPr>
        <w:spacing w:after="0"/>
      </w:pPr>
    </w:p>
    <w:p w14:paraId="5A59AF17" w14:textId="77777777" w:rsidR="000E52A0" w:rsidRDefault="00A94D45" w:rsidP="00327FA8">
      <w:pPr>
        <w:pStyle w:val="DeptBullets"/>
        <w:numPr>
          <w:ilvl w:val="0"/>
          <w:numId w:val="0"/>
        </w:numPr>
        <w:spacing w:after="0"/>
      </w:pPr>
      <w:r>
        <w:t xml:space="preserve">This </w:t>
      </w:r>
      <w:r w:rsidR="000225E4">
        <w:t xml:space="preserve">drop when compared to last year </w:t>
      </w:r>
      <w:r>
        <w:t>is almost certainly the corollary of a spike in interest in</w:t>
      </w:r>
      <w:r w:rsidR="00075239">
        <w:t xml:space="preserve"> 2014</w:t>
      </w:r>
      <w:r>
        <w:t xml:space="preserve"> </w:t>
      </w:r>
      <w:r w:rsidR="000225E4">
        <w:t xml:space="preserve">as </w:t>
      </w:r>
      <w:r>
        <w:t xml:space="preserve">part of the build up to the implementation of </w:t>
      </w:r>
      <w:r w:rsidR="004E45EC">
        <w:t xml:space="preserve">scheme </w:t>
      </w:r>
      <w:r w:rsidR="0004336F">
        <w:t>R</w:t>
      </w:r>
      <w:r w:rsidR="004E45EC">
        <w:t>eform.  Th</w:t>
      </w:r>
      <w:r w:rsidR="000225E4">
        <w:t xml:space="preserve">e fall in numbers </w:t>
      </w:r>
      <w:r w:rsidR="004E45EC">
        <w:t xml:space="preserve">is not a cause for particular concern, particularly as there continues to be a steady increase in social media interaction, </w:t>
      </w:r>
      <w:r w:rsidR="00075239">
        <w:t>suggesting</w:t>
      </w:r>
      <w:r w:rsidR="004E45EC">
        <w:t xml:space="preserve"> retention of membership engagement, but </w:t>
      </w:r>
      <w:r w:rsidR="00075239">
        <w:t>via</w:t>
      </w:r>
      <w:r w:rsidR="004E45EC">
        <w:t xml:space="preserve"> alternative means.</w:t>
      </w:r>
    </w:p>
    <w:p w14:paraId="3D9EF5D3" w14:textId="77777777" w:rsidR="000225E4" w:rsidRDefault="000225E4" w:rsidP="00327FA8">
      <w:pPr>
        <w:pStyle w:val="DeptBullets"/>
        <w:numPr>
          <w:ilvl w:val="0"/>
          <w:numId w:val="0"/>
        </w:numPr>
        <w:spacing w:after="0"/>
      </w:pPr>
    </w:p>
    <w:p w14:paraId="16496BC8" w14:textId="77777777" w:rsidR="00BD5914" w:rsidRDefault="00BD5914" w:rsidP="00327FA8">
      <w:pPr>
        <w:pStyle w:val="DeptBullets"/>
        <w:numPr>
          <w:ilvl w:val="0"/>
          <w:numId w:val="0"/>
        </w:numPr>
        <w:spacing w:after="0"/>
      </w:pPr>
      <w:bookmarkStart w:id="0" w:name="_GoBack"/>
      <w:bookmarkEnd w:id="0"/>
      <w:r>
        <w:rPr>
          <w:rFonts w:ascii="Trebuchet MS" w:hAnsi="Trebuchet MS"/>
          <w:noProof/>
          <w:color w:val="1F497D"/>
          <w:lang w:eastAsia="en-GB"/>
        </w:rPr>
        <w:lastRenderedPageBreak/>
        <w:drawing>
          <wp:inline distT="0" distB="0" distL="0" distR="0" wp14:anchorId="28407407" wp14:editId="4BAFEF55">
            <wp:extent cx="5274310" cy="2485151"/>
            <wp:effectExtent l="19050" t="0" r="2540" b="0"/>
            <wp:docPr id="2" name="Picture 9" descr="cid:image006.png@01D12079.3B10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6.png@01D12079.3B102320"/>
                    <pic:cNvPicPr>
                      <a:picLocks noChangeAspect="1" noChangeArrowheads="1"/>
                    </pic:cNvPicPr>
                  </pic:nvPicPr>
                  <pic:blipFill>
                    <a:blip r:embed="rId14" r:link="rId15" cstate="print"/>
                    <a:srcRect/>
                    <a:stretch>
                      <a:fillRect/>
                    </a:stretch>
                  </pic:blipFill>
                  <pic:spPr bwMode="auto">
                    <a:xfrm>
                      <a:off x="0" y="0"/>
                      <a:ext cx="5274310" cy="2485151"/>
                    </a:xfrm>
                    <a:prstGeom prst="rect">
                      <a:avLst/>
                    </a:prstGeom>
                    <a:noFill/>
                    <a:ln w="9525">
                      <a:noFill/>
                      <a:miter lim="800000"/>
                      <a:headEnd/>
                      <a:tailEnd/>
                    </a:ln>
                  </pic:spPr>
                </pic:pic>
              </a:graphicData>
            </a:graphic>
          </wp:inline>
        </w:drawing>
      </w:r>
    </w:p>
    <w:p w14:paraId="19B8A01D" w14:textId="77777777" w:rsidR="00BD5914" w:rsidRPr="00B60C22" w:rsidRDefault="00BD5914" w:rsidP="00BD5914">
      <w:pPr>
        <w:rPr>
          <w:rFonts w:cs="Arial"/>
          <w:b/>
          <w:bCs/>
        </w:rPr>
      </w:pPr>
      <w:r w:rsidRPr="00B60C22">
        <w:rPr>
          <w:rFonts w:cs="Arial"/>
          <w:b/>
          <w:bCs/>
        </w:rPr>
        <w:t>Sessions from November 1 2014 – October 31 2015</w:t>
      </w:r>
    </w:p>
    <w:p w14:paraId="5AE344D0" w14:textId="77777777" w:rsidR="00BD5914" w:rsidRPr="00B60C22" w:rsidRDefault="00BD5914" w:rsidP="00BD5914">
      <w:pPr>
        <w:rPr>
          <w:rFonts w:cs="Arial"/>
        </w:rPr>
      </w:pPr>
      <w:r w:rsidRPr="00B60C22">
        <w:rPr>
          <w:rFonts w:cs="Arial"/>
        </w:rPr>
        <w:t>This report is based on 498,251 sessions (16.52% of sessions).</w:t>
      </w:r>
    </w:p>
    <w:p w14:paraId="5BD3B5F4" w14:textId="77777777" w:rsidR="00BD5914" w:rsidRDefault="00BD5914" w:rsidP="00327FA8">
      <w:pPr>
        <w:pStyle w:val="DeptBullets"/>
        <w:numPr>
          <w:ilvl w:val="0"/>
          <w:numId w:val="0"/>
        </w:numPr>
        <w:spacing w:after="0"/>
      </w:pPr>
    </w:p>
    <w:p w14:paraId="63F83C09" w14:textId="77777777" w:rsidR="00BD5914" w:rsidRDefault="00BD5914" w:rsidP="00327FA8">
      <w:pPr>
        <w:pStyle w:val="DeptBullets"/>
        <w:numPr>
          <w:ilvl w:val="0"/>
          <w:numId w:val="0"/>
        </w:numPr>
        <w:spacing w:after="0"/>
      </w:pPr>
    </w:p>
    <w:p w14:paraId="452422C6" w14:textId="77777777" w:rsidR="00BD5914" w:rsidRDefault="00BD5914" w:rsidP="00327FA8">
      <w:pPr>
        <w:pStyle w:val="DeptBullets"/>
        <w:numPr>
          <w:ilvl w:val="0"/>
          <w:numId w:val="0"/>
        </w:numPr>
        <w:spacing w:after="0"/>
      </w:pPr>
    </w:p>
    <w:p w14:paraId="1656E94A" w14:textId="77777777" w:rsidR="00904D28" w:rsidRDefault="00904D28" w:rsidP="00327FA8">
      <w:pPr>
        <w:pStyle w:val="DeptBullets"/>
        <w:numPr>
          <w:ilvl w:val="0"/>
          <w:numId w:val="0"/>
        </w:numPr>
        <w:spacing w:after="0"/>
        <w:rPr>
          <w:color w:val="FF0000"/>
        </w:rPr>
      </w:pPr>
      <w:r>
        <w:rPr>
          <w:rFonts w:ascii="Trebuchet MS" w:hAnsi="Trebuchet MS"/>
          <w:noProof/>
          <w:color w:val="1F497D"/>
          <w:lang w:eastAsia="en-GB"/>
        </w:rPr>
        <w:drawing>
          <wp:inline distT="0" distB="0" distL="0" distR="0" wp14:anchorId="377D71F6" wp14:editId="6289BB4A">
            <wp:extent cx="5274310" cy="2547719"/>
            <wp:effectExtent l="19050" t="0" r="2540" b="0"/>
            <wp:docPr id="1" name="Picture 51" descr="cid:image004.png@01D12079.59426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id:image004.png@01D12079.59426470"/>
                    <pic:cNvPicPr>
                      <a:picLocks noChangeAspect="1" noChangeArrowheads="1"/>
                    </pic:cNvPicPr>
                  </pic:nvPicPr>
                  <pic:blipFill>
                    <a:blip r:embed="rId16" r:link="rId17" cstate="print"/>
                    <a:srcRect/>
                    <a:stretch>
                      <a:fillRect/>
                    </a:stretch>
                  </pic:blipFill>
                  <pic:spPr bwMode="auto">
                    <a:xfrm>
                      <a:off x="0" y="0"/>
                      <a:ext cx="5274310" cy="2547719"/>
                    </a:xfrm>
                    <a:prstGeom prst="rect">
                      <a:avLst/>
                    </a:prstGeom>
                    <a:noFill/>
                    <a:ln w="9525">
                      <a:noFill/>
                      <a:miter lim="800000"/>
                      <a:headEnd/>
                      <a:tailEnd/>
                    </a:ln>
                  </pic:spPr>
                </pic:pic>
              </a:graphicData>
            </a:graphic>
          </wp:inline>
        </w:drawing>
      </w:r>
    </w:p>
    <w:p w14:paraId="1F4069D1" w14:textId="77777777" w:rsidR="00904D28" w:rsidRDefault="00904D28" w:rsidP="00327FA8">
      <w:pPr>
        <w:pStyle w:val="DeptBullets"/>
        <w:numPr>
          <w:ilvl w:val="0"/>
          <w:numId w:val="0"/>
        </w:numPr>
        <w:spacing w:after="0"/>
        <w:rPr>
          <w:color w:val="FF0000"/>
        </w:rPr>
      </w:pPr>
    </w:p>
    <w:p w14:paraId="052837AB" w14:textId="77777777" w:rsidR="00BD5914" w:rsidRDefault="00BD5914" w:rsidP="00BD5914">
      <w:pPr>
        <w:rPr>
          <w:rFonts w:ascii="Trebuchet MS" w:hAnsi="Trebuchet MS"/>
          <w:color w:val="1F497D"/>
        </w:rPr>
      </w:pPr>
    </w:p>
    <w:p w14:paraId="72EC4C32" w14:textId="45A29C52" w:rsidR="00BD5914" w:rsidRPr="00B60C22" w:rsidRDefault="00BD5914" w:rsidP="00BD5914">
      <w:pPr>
        <w:rPr>
          <w:rFonts w:cs="Arial"/>
          <w:b/>
          <w:bCs/>
        </w:rPr>
      </w:pPr>
      <w:r w:rsidRPr="00B60C22">
        <w:rPr>
          <w:rFonts w:cs="Arial"/>
          <w:b/>
          <w:bCs/>
        </w:rPr>
        <w:t xml:space="preserve">MPO Registrations from November 1 2014 – October 31 2015 (Number of sessions is the one to </w:t>
      </w:r>
      <w:r w:rsidR="007870B9">
        <w:rPr>
          <w:rFonts w:cs="Arial"/>
          <w:b/>
          <w:bCs/>
        </w:rPr>
        <w:t>focus</w:t>
      </w:r>
      <w:r w:rsidRPr="00B60C22">
        <w:rPr>
          <w:rFonts w:cs="Arial"/>
          <w:b/>
          <w:bCs/>
        </w:rPr>
        <w:t xml:space="preserve"> on, page views looks like an anomaly)</w:t>
      </w:r>
    </w:p>
    <w:p w14:paraId="6E341964" w14:textId="77777777" w:rsidR="00BD5914" w:rsidRPr="00B60C22" w:rsidRDefault="00BD5914" w:rsidP="00BD5914">
      <w:pPr>
        <w:rPr>
          <w:rFonts w:cs="Arial"/>
        </w:rPr>
      </w:pPr>
      <w:r w:rsidRPr="00B60C22">
        <w:rPr>
          <w:rFonts w:cs="Arial"/>
        </w:rPr>
        <w:t>This report is based on 498,251 sessions (16.52% of sessions).</w:t>
      </w:r>
    </w:p>
    <w:p w14:paraId="5FBEFB80" w14:textId="77777777" w:rsidR="00904D28" w:rsidRDefault="00904D28" w:rsidP="00327FA8">
      <w:pPr>
        <w:pStyle w:val="DeptBullets"/>
        <w:numPr>
          <w:ilvl w:val="0"/>
          <w:numId w:val="0"/>
        </w:numPr>
        <w:spacing w:after="0"/>
        <w:rPr>
          <w:color w:val="FF0000"/>
        </w:rPr>
      </w:pPr>
    </w:p>
    <w:p w14:paraId="3CC3462D" w14:textId="77777777" w:rsidR="00B60C22" w:rsidRDefault="00B60C22" w:rsidP="00327FA8">
      <w:pPr>
        <w:pStyle w:val="DeptBullets"/>
        <w:numPr>
          <w:ilvl w:val="0"/>
          <w:numId w:val="0"/>
        </w:numPr>
        <w:spacing w:after="0"/>
        <w:rPr>
          <w:color w:val="FF0000"/>
        </w:rPr>
      </w:pPr>
    </w:p>
    <w:p w14:paraId="2A67FCAC" w14:textId="77777777" w:rsidR="000225E4" w:rsidRDefault="000225E4" w:rsidP="000225E4">
      <w:pPr>
        <w:pStyle w:val="DeptBullets"/>
        <w:numPr>
          <w:ilvl w:val="0"/>
          <w:numId w:val="0"/>
        </w:numPr>
        <w:spacing w:after="0"/>
      </w:pPr>
      <w:r>
        <w:t>Campaign activity, and in particular the use of sponsored posts in October following the approval of the marketing exemption, has driven a slow but steady increase in social media traffic in the last quarter which is also filtering through to the continued increase in MPO accounts (86 in October).  The scheme now has over 1,200 Twitter followers and 79 ‘likes’ on Facebook – an increase of over 50% in October.</w:t>
      </w:r>
    </w:p>
    <w:p w14:paraId="72552188" w14:textId="77777777" w:rsidR="000675CF" w:rsidRDefault="000675CF" w:rsidP="00327FA8">
      <w:pPr>
        <w:pStyle w:val="DeptBullets"/>
        <w:numPr>
          <w:ilvl w:val="0"/>
          <w:numId w:val="0"/>
        </w:numPr>
        <w:spacing w:after="0"/>
      </w:pPr>
    </w:p>
    <w:p w14:paraId="46F45072" w14:textId="77777777" w:rsidR="004E45EC" w:rsidRDefault="004E45EC" w:rsidP="00327FA8">
      <w:pPr>
        <w:pStyle w:val="DeptBullets"/>
        <w:numPr>
          <w:ilvl w:val="0"/>
          <w:numId w:val="0"/>
        </w:numPr>
        <w:spacing w:after="0"/>
      </w:pPr>
      <w:r>
        <w:t xml:space="preserve">This is further </w:t>
      </w:r>
      <w:r w:rsidR="000225E4">
        <w:t>supported</w:t>
      </w:r>
      <w:r>
        <w:t xml:space="preserve"> by the continued increase in members </w:t>
      </w:r>
      <w:r w:rsidR="00075239">
        <w:t xml:space="preserve">setting up My Pension Online </w:t>
      </w:r>
      <w:r w:rsidR="00A14485">
        <w:t xml:space="preserve">(MPO) </w:t>
      </w:r>
      <w:r w:rsidR="00075239">
        <w:t xml:space="preserve">accounts, with 377k members now registered – an </w:t>
      </w:r>
      <w:r w:rsidR="00075239">
        <w:lastRenderedPageBreak/>
        <w:t xml:space="preserve">increase of </w:t>
      </w:r>
      <w:r w:rsidR="005C105B">
        <w:t>27</w:t>
      </w:r>
      <w:r w:rsidR="00075239">
        <w:t>k in the current quarter.</w:t>
      </w:r>
      <w:r w:rsidR="004B1BCC">
        <w:t xml:space="preserve">  </w:t>
      </w:r>
    </w:p>
    <w:p w14:paraId="25BF10CA" w14:textId="77777777" w:rsidR="004B1BCC" w:rsidRDefault="004B1BCC" w:rsidP="00327FA8">
      <w:pPr>
        <w:pStyle w:val="DeptBullets"/>
        <w:numPr>
          <w:ilvl w:val="0"/>
          <w:numId w:val="0"/>
        </w:numPr>
        <w:spacing w:after="0"/>
      </w:pPr>
    </w:p>
    <w:p w14:paraId="2DF3D406" w14:textId="2EF97E6C" w:rsidR="00EF5BA6" w:rsidRDefault="00EF5BA6" w:rsidP="00EF5BA6">
      <w:pPr>
        <w:pStyle w:val="DeptBullets"/>
        <w:numPr>
          <w:ilvl w:val="0"/>
          <w:numId w:val="0"/>
        </w:numPr>
        <w:spacing w:after="0"/>
      </w:pPr>
      <w:r>
        <w:t xml:space="preserve">Stakeholder engagement groups (TPARG/TPAF) met in early October and were well supported; the </w:t>
      </w:r>
      <w:r w:rsidR="003219B9">
        <w:t>C</w:t>
      </w:r>
      <w:r>
        <w:t xml:space="preserve">hair of TPSPB attending the TPAF event to deliver a summary of the Board’s roles and responsibilities.  </w:t>
      </w:r>
    </w:p>
    <w:p w14:paraId="7E19BE52" w14:textId="77777777" w:rsidR="00D73078" w:rsidRDefault="00D73078" w:rsidP="00327FA8">
      <w:pPr>
        <w:pStyle w:val="DeptBullets"/>
        <w:numPr>
          <w:ilvl w:val="0"/>
          <w:numId w:val="0"/>
        </w:numPr>
        <w:spacing w:after="0"/>
      </w:pPr>
    </w:p>
    <w:p w14:paraId="3CA74F51" w14:textId="77777777" w:rsidR="00B60C22" w:rsidRDefault="00B60C22" w:rsidP="00327FA8">
      <w:pPr>
        <w:pStyle w:val="DeptBullets"/>
        <w:numPr>
          <w:ilvl w:val="0"/>
          <w:numId w:val="0"/>
        </w:numPr>
        <w:spacing w:after="0"/>
      </w:pPr>
    </w:p>
    <w:tbl>
      <w:tblPr>
        <w:tblStyle w:val="TableGrid"/>
        <w:tblW w:w="0" w:type="auto"/>
        <w:tblInd w:w="108" w:type="dxa"/>
        <w:tblLook w:val="04A0" w:firstRow="1" w:lastRow="0" w:firstColumn="1" w:lastColumn="0" w:noHBand="0" w:noVBand="1"/>
      </w:tblPr>
      <w:tblGrid>
        <w:gridCol w:w="7230"/>
        <w:gridCol w:w="1134"/>
      </w:tblGrid>
      <w:tr w:rsidR="00D73078" w:rsidRPr="009758AE" w14:paraId="340B30FF" w14:textId="77777777" w:rsidTr="0025657D">
        <w:tc>
          <w:tcPr>
            <w:tcW w:w="7230" w:type="dxa"/>
          </w:tcPr>
          <w:p w14:paraId="799AB61B" w14:textId="77777777" w:rsidR="00D73078" w:rsidRPr="007870B9" w:rsidRDefault="00D73078" w:rsidP="00327FA8">
            <w:pPr>
              <w:rPr>
                <w:rFonts w:cs="Arial"/>
                <w:b/>
                <w:color w:val="000000"/>
                <w:szCs w:val="24"/>
                <w:lang w:eastAsia="en-GB"/>
              </w:rPr>
            </w:pPr>
            <w:r w:rsidRPr="007870B9">
              <w:rPr>
                <w:rFonts w:cs="Arial"/>
                <w:b/>
                <w:color w:val="000000"/>
                <w:szCs w:val="24"/>
                <w:lang w:eastAsia="en-GB"/>
              </w:rPr>
              <w:t>Employer engagement and Campaigns</w:t>
            </w:r>
          </w:p>
          <w:p w14:paraId="3F49284A" w14:textId="77777777" w:rsidR="00D73078" w:rsidRPr="009758AE" w:rsidRDefault="00D73078" w:rsidP="00327FA8">
            <w:pPr>
              <w:rPr>
                <w:rFonts w:ascii="Trebuchet MS" w:hAnsi="Trebuchet MS" w:cs="Arial"/>
                <w:b/>
                <w:sz w:val="22"/>
                <w:szCs w:val="22"/>
              </w:rPr>
            </w:pPr>
          </w:p>
        </w:tc>
        <w:tc>
          <w:tcPr>
            <w:tcW w:w="1134" w:type="dxa"/>
            <w:shd w:val="clear" w:color="auto" w:fill="00B050"/>
          </w:tcPr>
          <w:p w14:paraId="749B69BC" w14:textId="2D6F0A04" w:rsidR="00D73078" w:rsidRPr="009758AE" w:rsidRDefault="00C4763E" w:rsidP="00327FA8">
            <w:pPr>
              <w:rPr>
                <w:rFonts w:ascii="Trebuchet MS" w:hAnsi="Trebuchet MS" w:cs="Calibri"/>
                <w:color w:val="FFC000"/>
                <w:sz w:val="22"/>
                <w:szCs w:val="22"/>
              </w:rPr>
            </w:pPr>
            <w:r>
              <w:rPr>
                <w:rFonts w:ascii="Trebuchet MS" w:hAnsi="Trebuchet MS" w:cs="Calibri"/>
                <w:noProof/>
                <w:color w:val="FFC000"/>
                <w:sz w:val="22"/>
                <w:szCs w:val="22"/>
                <w:lang w:eastAsia="en-GB"/>
              </w:rPr>
              <mc:AlternateContent>
                <mc:Choice Requires="wps">
                  <w:drawing>
                    <wp:anchor distT="0" distB="0" distL="114300" distR="114300" simplePos="0" relativeHeight="251659264" behindDoc="0" locked="0" layoutInCell="1" allowOverlap="1" wp14:anchorId="58E2E650" wp14:editId="4BBD04D4">
                      <wp:simplePos x="0" y="0"/>
                      <wp:positionH relativeFrom="column">
                        <wp:posOffset>49530</wp:posOffset>
                      </wp:positionH>
                      <wp:positionV relativeFrom="paragraph">
                        <wp:posOffset>146050</wp:posOffset>
                      </wp:positionV>
                      <wp:extent cx="434340" cy="7620"/>
                      <wp:effectExtent l="13335" t="55245" r="19050" b="5143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9pt;margin-top:11.5pt;width:34.2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">
                      <v:stroke endarrow="block"/>
                    </v:shape>
                  </w:pict>
                </mc:Fallback>
              </mc:AlternateContent>
            </w:r>
          </w:p>
          <w:p w14:paraId="09343CBF" w14:textId="77777777" w:rsidR="00D73078" w:rsidRPr="009758AE" w:rsidRDefault="00D73078" w:rsidP="00327FA8">
            <w:pPr>
              <w:rPr>
                <w:rFonts w:ascii="Trebuchet MS" w:hAnsi="Trebuchet MS" w:cs="Calibri"/>
                <w:color w:val="FFC000"/>
                <w:sz w:val="22"/>
                <w:szCs w:val="22"/>
              </w:rPr>
            </w:pPr>
          </w:p>
        </w:tc>
      </w:tr>
    </w:tbl>
    <w:p w14:paraId="2C6376A9" w14:textId="77777777" w:rsidR="00D73078" w:rsidRDefault="00D73078" w:rsidP="00327FA8">
      <w:pPr>
        <w:pStyle w:val="DeptBullets"/>
        <w:numPr>
          <w:ilvl w:val="0"/>
          <w:numId w:val="0"/>
        </w:numPr>
        <w:spacing w:after="0"/>
      </w:pPr>
    </w:p>
    <w:p w14:paraId="7ECC0AEE" w14:textId="77777777" w:rsidR="00075239" w:rsidRDefault="00466874" w:rsidP="00327FA8">
      <w:pPr>
        <w:pStyle w:val="DeptBullets"/>
        <w:numPr>
          <w:ilvl w:val="0"/>
          <w:numId w:val="0"/>
        </w:numPr>
        <w:spacing w:after="0"/>
        <w:rPr>
          <w:rFonts w:cs="Arial"/>
          <w:szCs w:val="24"/>
        </w:rPr>
      </w:pPr>
      <w:r>
        <w:rPr>
          <w:rFonts w:cs="Arial"/>
          <w:szCs w:val="24"/>
        </w:rPr>
        <w:t>The first phase of the targeted campaign to engage multi academy trusts was successfully implemented at the end of September, and has exceeded the anticipated open and ‘click through’ rates.  The second phase of this campaign will be delivered in November.</w:t>
      </w:r>
    </w:p>
    <w:p w14:paraId="74CC4EFC" w14:textId="77777777" w:rsidR="00466874" w:rsidRDefault="00466874" w:rsidP="00327FA8">
      <w:pPr>
        <w:pStyle w:val="DeptBullets"/>
        <w:numPr>
          <w:ilvl w:val="0"/>
          <w:numId w:val="0"/>
        </w:numPr>
        <w:spacing w:after="0"/>
        <w:rPr>
          <w:rFonts w:cs="Arial"/>
          <w:szCs w:val="24"/>
        </w:rPr>
      </w:pPr>
    </w:p>
    <w:p w14:paraId="5CFF036B" w14:textId="77777777" w:rsidR="00466874" w:rsidRDefault="00466874" w:rsidP="00327FA8">
      <w:pPr>
        <w:pStyle w:val="DeptBullets"/>
        <w:numPr>
          <w:ilvl w:val="0"/>
          <w:numId w:val="0"/>
        </w:numPr>
        <w:spacing w:after="0"/>
        <w:rPr>
          <w:rFonts w:cs="Arial"/>
          <w:szCs w:val="24"/>
        </w:rPr>
      </w:pPr>
      <w:r>
        <w:rPr>
          <w:rFonts w:cs="Arial"/>
          <w:szCs w:val="24"/>
        </w:rPr>
        <w:t>The ‘New employer welcome email’ - particularly pertinent during September and October, when the majority of new academies open – has also exceeded its targets this quarter.</w:t>
      </w:r>
    </w:p>
    <w:p w14:paraId="3E331309" w14:textId="77777777" w:rsidR="00466874" w:rsidRDefault="00466874" w:rsidP="00327FA8">
      <w:pPr>
        <w:pStyle w:val="DeptBullets"/>
        <w:numPr>
          <w:ilvl w:val="0"/>
          <w:numId w:val="0"/>
        </w:numPr>
        <w:spacing w:after="0"/>
        <w:rPr>
          <w:rFonts w:cs="Arial"/>
          <w:szCs w:val="24"/>
        </w:rPr>
      </w:pPr>
    </w:p>
    <w:p w14:paraId="486E2114" w14:textId="2D175773" w:rsidR="00477AEA" w:rsidRDefault="00477AEA" w:rsidP="00477AEA">
      <w:pPr>
        <w:pStyle w:val="DeptBullets"/>
        <w:numPr>
          <w:ilvl w:val="0"/>
          <w:numId w:val="0"/>
        </w:numPr>
        <w:spacing w:after="0"/>
      </w:pPr>
      <w:r>
        <w:t>T</w:t>
      </w:r>
      <w:r w:rsidR="003219B9">
        <w:t>P’s f</w:t>
      </w:r>
      <w:r>
        <w:t>inance team attended the October LGA conferences in York and London to deliver an overview of their work, which was positively received.  Feedback from the sessions will be considered in delivering future service improvements.</w:t>
      </w:r>
    </w:p>
    <w:p w14:paraId="43F7C9D1" w14:textId="77777777" w:rsidR="00477AEA" w:rsidRDefault="00477AEA" w:rsidP="00477AEA">
      <w:pPr>
        <w:pStyle w:val="DeptBullets"/>
        <w:numPr>
          <w:ilvl w:val="0"/>
          <w:numId w:val="0"/>
        </w:numPr>
        <w:spacing w:after="0"/>
      </w:pPr>
    </w:p>
    <w:p w14:paraId="140630B1" w14:textId="77777777" w:rsidR="00477AEA" w:rsidRDefault="00477AEA" w:rsidP="00477AEA">
      <w:pPr>
        <w:pStyle w:val="DeptBullets"/>
        <w:numPr>
          <w:ilvl w:val="0"/>
          <w:numId w:val="0"/>
        </w:numPr>
        <w:spacing w:after="0"/>
      </w:pPr>
      <w:r>
        <w:t>The LGA conferences were also used as an opportunity to stimulate interest in employers in a new campaign to gather member email details, to improve scheme contact data.  Take up has been limited to</w:t>
      </w:r>
      <w:r w:rsidR="00174676">
        <w:t xml:space="preserve"> five</w:t>
      </w:r>
      <w:r>
        <w:t xml:space="preserve"> employers initially.</w:t>
      </w:r>
    </w:p>
    <w:p w14:paraId="4C86C101" w14:textId="77777777" w:rsidR="00466874" w:rsidRPr="00075239" w:rsidRDefault="00466874" w:rsidP="00327FA8">
      <w:pPr>
        <w:pStyle w:val="DeptBullets"/>
        <w:numPr>
          <w:ilvl w:val="0"/>
          <w:numId w:val="0"/>
        </w:numPr>
        <w:spacing w:after="0"/>
        <w:rPr>
          <w:rFonts w:cs="Arial"/>
          <w:szCs w:val="24"/>
        </w:rPr>
      </w:pPr>
    </w:p>
    <w:p w14:paraId="68A720DF" w14:textId="165DE5D9" w:rsidR="00075239" w:rsidRPr="00075239" w:rsidRDefault="00075239" w:rsidP="00075239">
      <w:pPr>
        <w:rPr>
          <w:rFonts w:cs="Arial"/>
          <w:szCs w:val="24"/>
        </w:rPr>
      </w:pPr>
      <w:r w:rsidRPr="00075239">
        <w:rPr>
          <w:rFonts w:cs="Arial"/>
          <w:szCs w:val="24"/>
        </w:rPr>
        <w:t xml:space="preserve">The design of the Annual Benefit Statement </w:t>
      </w:r>
      <w:r w:rsidR="00090B99">
        <w:rPr>
          <w:rFonts w:cs="Arial"/>
          <w:szCs w:val="24"/>
        </w:rPr>
        <w:t xml:space="preserve">to include a breakdown of final salary and career average arrangements </w:t>
      </w:r>
      <w:r w:rsidRPr="00075239">
        <w:rPr>
          <w:rFonts w:cs="Arial"/>
          <w:szCs w:val="24"/>
        </w:rPr>
        <w:t>has now been signed off and is</w:t>
      </w:r>
      <w:r w:rsidR="00090B99">
        <w:rPr>
          <w:rFonts w:cs="Arial"/>
          <w:szCs w:val="24"/>
        </w:rPr>
        <w:t xml:space="preserve"> at IT </w:t>
      </w:r>
      <w:r w:rsidRPr="00075239">
        <w:rPr>
          <w:rFonts w:cs="Arial"/>
          <w:szCs w:val="24"/>
        </w:rPr>
        <w:t>development stage.  Initial low level communications ha</w:t>
      </w:r>
      <w:r w:rsidR="007870B9">
        <w:rPr>
          <w:rFonts w:cs="Arial"/>
          <w:szCs w:val="24"/>
        </w:rPr>
        <w:t>ve</w:t>
      </w:r>
      <w:r w:rsidRPr="00075239">
        <w:rPr>
          <w:rFonts w:cs="Arial"/>
          <w:szCs w:val="24"/>
        </w:rPr>
        <w:t xml:space="preserve"> been delivered through the Employer Bulletin and the website. Further communications will be delivered in November.</w:t>
      </w:r>
    </w:p>
    <w:p w14:paraId="6EA4FF39" w14:textId="77777777" w:rsidR="00075239" w:rsidRDefault="00075239" w:rsidP="00327FA8">
      <w:pPr>
        <w:pStyle w:val="DeptBullets"/>
        <w:numPr>
          <w:ilvl w:val="0"/>
          <w:numId w:val="0"/>
        </w:numPr>
        <w:spacing w:after="0"/>
        <w:rPr>
          <w:rFonts w:cs="Arial"/>
          <w:szCs w:val="24"/>
        </w:rPr>
      </w:pPr>
    </w:p>
    <w:p w14:paraId="4AE02358" w14:textId="77777777" w:rsidR="007C5074" w:rsidRPr="007C5074" w:rsidRDefault="007C5074" w:rsidP="007C5074">
      <w:pPr>
        <w:pStyle w:val="DeptBullets"/>
        <w:numPr>
          <w:ilvl w:val="0"/>
          <w:numId w:val="0"/>
        </w:numPr>
        <w:rPr>
          <w:rFonts w:cs="Arial"/>
          <w:szCs w:val="24"/>
        </w:rPr>
      </w:pPr>
      <w:r>
        <w:rPr>
          <w:rFonts w:cs="Arial"/>
          <w:szCs w:val="24"/>
        </w:rPr>
        <w:t xml:space="preserve">New guidance for both Lifetime Allowance and Annual Allowance </w:t>
      </w:r>
      <w:r w:rsidR="00A51193">
        <w:rPr>
          <w:rFonts w:cs="Arial"/>
          <w:szCs w:val="24"/>
        </w:rPr>
        <w:t xml:space="preserve">(AA) </w:t>
      </w:r>
      <w:r>
        <w:rPr>
          <w:rFonts w:cs="Arial"/>
          <w:szCs w:val="24"/>
        </w:rPr>
        <w:t>ha</w:t>
      </w:r>
      <w:r w:rsidR="00A51193">
        <w:rPr>
          <w:rFonts w:cs="Arial"/>
          <w:szCs w:val="24"/>
        </w:rPr>
        <w:t>s</w:t>
      </w:r>
      <w:r>
        <w:rPr>
          <w:rFonts w:cs="Arial"/>
          <w:szCs w:val="24"/>
        </w:rPr>
        <w:t xml:space="preserve"> been drafted, </w:t>
      </w:r>
      <w:r w:rsidR="00A51193">
        <w:rPr>
          <w:rFonts w:cs="Arial"/>
          <w:szCs w:val="24"/>
        </w:rPr>
        <w:t>covering</w:t>
      </w:r>
      <w:r w:rsidRPr="007C5074">
        <w:rPr>
          <w:rFonts w:cs="Arial"/>
          <w:szCs w:val="24"/>
        </w:rPr>
        <w:t xml:space="preserve"> </w:t>
      </w:r>
      <w:r w:rsidR="00A51193">
        <w:rPr>
          <w:rFonts w:cs="Arial"/>
          <w:szCs w:val="24"/>
        </w:rPr>
        <w:t xml:space="preserve">the topics from a </w:t>
      </w:r>
      <w:r w:rsidRPr="007C5074">
        <w:rPr>
          <w:rFonts w:cs="Arial"/>
          <w:szCs w:val="24"/>
        </w:rPr>
        <w:t>basic introduction to more detailed technical information, e</w:t>
      </w:r>
      <w:r>
        <w:rPr>
          <w:rFonts w:cs="Arial"/>
          <w:szCs w:val="24"/>
        </w:rPr>
        <w:t>.</w:t>
      </w:r>
      <w:r w:rsidRPr="007C5074">
        <w:rPr>
          <w:rFonts w:cs="Arial"/>
          <w:szCs w:val="24"/>
        </w:rPr>
        <w:t>g</w:t>
      </w:r>
      <w:r>
        <w:rPr>
          <w:rFonts w:cs="Arial"/>
          <w:szCs w:val="24"/>
        </w:rPr>
        <w:t>.</w:t>
      </w:r>
      <w:r w:rsidRPr="007C5074">
        <w:rPr>
          <w:rFonts w:cs="Arial"/>
          <w:szCs w:val="24"/>
        </w:rPr>
        <w:t xml:space="preserve"> information about the tapered AA with effect from April 2016.</w:t>
      </w:r>
      <w:r w:rsidR="00A51193">
        <w:rPr>
          <w:rFonts w:cs="Arial"/>
          <w:szCs w:val="24"/>
        </w:rPr>
        <w:t xml:space="preserve">  These will be posted to a new taxation section which is being set up on the TPS website.  </w:t>
      </w:r>
    </w:p>
    <w:p w14:paraId="13B8C78E" w14:textId="77777777" w:rsidR="00075239" w:rsidRPr="00075239" w:rsidRDefault="007C5074" w:rsidP="007C5074">
      <w:pPr>
        <w:pStyle w:val="DeptBullets"/>
        <w:numPr>
          <w:ilvl w:val="0"/>
          <w:numId w:val="0"/>
        </w:numPr>
        <w:spacing w:after="0"/>
        <w:rPr>
          <w:rFonts w:cs="Arial"/>
          <w:szCs w:val="24"/>
        </w:rPr>
      </w:pPr>
      <w:r w:rsidRPr="007C5074">
        <w:rPr>
          <w:rFonts w:cs="Arial"/>
          <w:szCs w:val="24"/>
        </w:rPr>
        <w:t xml:space="preserve">The </w:t>
      </w:r>
      <w:r w:rsidR="00A51193">
        <w:rPr>
          <w:rFonts w:cs="Arial"/>
          <w:szCs w:val="24"/>
        </w:rPr>
        <w:t xml:space="preserve">guidance has been </w:t>
      </w:r>
      <w:r w:rsidRPr="007C5074">
        <w:rPr>
          <w:rFonts w:cs="Arial"/>
          <w:szCs w:val="24"/>
        </w:rPr>
        <w:t xml:space="preserve">reviewed by </w:t>
      </w:r>
      <w:r w:rsidR="00A51193">
        <w:rPr>
          <w:rFonts w:cs="Arial"/>
          <w:szCs w:val="24"/>
        </w:rPr>
        <w:t>the TP</w:t>
      </w:r>
      <w:r w:rsidRPr="007C5074">
        <w:rPr>
          <w:rFonts w:cs="Arial"/>
          <w:szCs w:val="24"/>
        </w:rPr>
        <w:t xml:space="preserve"> technical team and </w:t>
      </w:r>
      <w:r w:rsidR="00A51193">
        <w:rPr>
          <w:rFonts w:cs="Arial"/>
          <w:szCs w:val="24"/>
        </w:rPr>
        <w:t xml:space="preserve">is currently being considered by the </w:t>
      </w:r>
      <w:r w:rsidRPr="007C5074">
        <w:rPr>
          <w:rFonts w:cs="Arial"/>
          <w:szCs w:val="24"/>
        </w:rPr>
        <w:t xml:space="preserve">Engagement team to ensure </w:t>
      </w:r>
      <w:r w:rsidR="00A51193">
        <w:rPr>
          <w:rFonts w:cs="Arial"/>
          <w:szCs w:val="24"/>
        </w:rPr>
        <w:t xml:space="preserve">it is </w:t>
      </w:r>
      <w:r w:rsidRPr="007C5074">
        <w:rPr>
          <w:rFonts w:cs="Arial"/>
          <w:szCs w:val="24"/>
        </w:rPr>
        <w:t>correct</w:t>
      </w:r>
      <w:r w:rsidR="00A51193">
        <w:rPr>
          <w:rFonts w:cs="Arial"/>
          <w:szCs w:val="24"/>
        </w:rPr>
        <w:t>ly</w:t>
      </w:r>
      <w:r w:rsidRPr="007C5074">
        <w:rPr>
          <w:rFonts w:cs="Arial"/>
          <w:szCs w:val="24"/>
        </w:rPr>
        <w:t xml:space="preserve"> brand</w:t>
      </w:r>
      <w:r w:rsidR="00A51193">
        <w:rPr>
          <w:rFonts w:cs="Arial"/>
          <w:szCs w:val="24"/>
        </w:rPr>
        <w:t>ed</w:t>
      </w:r>
      <w:r w:rsidRPr="007C5074">
        <w:rPr>
          <w:rFonts w:cs="Arial"/>
          <w:szCs w:val="24"/>
        </w:rPr>
        <w:t xml:space="preserve"> and member friendly.  The aim is to have the documents finalised, with a new taxation section of the website set-up, by the end of </w:t>
      </w:r>
      <w:r w:rsidR="00A51193">
        <w:rPr>
          <w:rFonts w:cs="Arial"/>
          <w:szCs w:val="24"/>
        </w:rPr>
        <w:t>November</w:t>
      </w:r>
      <w:r w:rsidRPr="007C5074">
        <w:rPr>
          <w:rFonts w:cs="Arial"/>
          <w:szCs w:val="24"/>
        </w:rPr>
        <w:t>.</w:t>
      </w:r>
    </w:p>
    <w:p w14:paraId="32CC4B3C" w14:textId="77777777" w:rsidR="00075239" w:rsidRDefault="00075239" w:rsidP="00327FA8">
      <w:pPr>
        <w:pStyle w:val="DeptBullets"/>
        <w:numPr>
          <w:ilvl w:val="0"/>
          <w:numId w:val="0"/>
        </w:numPr>
        <w:spacing w:after="0"/>
      </w:pPr>
    </w:p>
    <w:p w14:paraId="626EFC8F" w14:textId="77777777" w:rsidR="00075239" w:rsidRDefault="00075239" w:rsidP="00327FA8">
      <w:pPr>
        <w:pStyle w:val="DeptBullets"/>
        <w:numPr>
          <w:ilvl w:val="0"/>
          <w:numId w:val="0"/>
        </w:numPr>
        <w:spacing w:after="0"/>
      </w:pPr>
    </w:p>
    <w:p w14:paraId="56DBE9E4" w14:textId="77777777" w:rsidR="00B60C22" w:rsidRDefault="00B60C22" w:rsidP="00327FA8">
      <w:pPr>
        <w:pStyle w:val="DeptBullets"/>
        <w:numPr>
          <w:ilvl w:val="0"/>
          <w:numId w:val="0"/>
        </w:numPr>
        <w:spacing w:after="0"/>
      </w:pPr>
    </w:p>
    <w:p w14:paraId="4DA8B7E7" w14:textId="77777777" w:rsidR="00B60C22" w:rsidRDefault="00B60C22" w:rsidP="00327FA8">
      <w:pPr>
        <w:pStyle w:val="DeptBullets"/>
        <w:numPr>
          <w:ilvl w:val="0"/>
          <w:numId w:val="0"/>
        </w:numPr>
        <w:spacing w:after="0"/>
      </w:pPr>
    </w:p>
    <w:p w14:paraId="5CA3FE38" w14:textId="77777777" w:rsidR="00B60C22" w:rsidRDefault="00B60C22" w:rsidP="00327FA8">
      <w:pPr>
        <w:pStyle w:val="DeptBullets"/>
        <w:numPr>
          <w:ilvl w:val="0"/>
          <w:numId w:val="0"/>
        </w:numPr>
        <w:spacing w:after="0"/>
      </w:pPr>
    </w:p>
    <w:p w14:paraId="1A5C9A5D" w14:textId="77777777" w:rsidR="00B60C22" w:rsidRDefault="00B60C22" w:rsidP="00327FA8">
      <w:pPr>
        <w:pStyle w:val="DeptBullets"/>
        <w:numPr>
          <w:ilvl w:val="0"/>
          <w:numId w:val="0"/>
        </w:numPr>
        <w:spacing w:after="0"/>
      </w:pPr>
    </w:p>
    <w:tbl>
      <w:tblPr>
        <w:tblStyle w:val="TableGrid"/>
        <w:tblW w:w="0" w:type="auto"/>
        <w:tblInd w:w="108" w:type="dxa"/>
        <w:tblLook w:val="04A0" w:firstRow="1" w:lastRow="0" w:firstColumn="1" w:lastColumn="0" w:noHBand="0" w:noVBand="1"/>
      </w:tblPr>
      <w:tblGrid>
        <w:gridCol w:w="7230"/>
        <w:gridCol w:w="1134"/>
      </w:tblGrid>
      <w:tr w:rsidR="00D73078" w:rsidRPr="009758AE" w14:paraId="218A9EB7" w14:textId="77777777" w:rsidTr="0025657D">
        <w:tc>
          <w:tcPr>
            <w:tcW w:w="7230" w:type="dxa"/>
          </w:tcPr>
          <w:p w14:paraId="6D9AAA77" w14:textId="77777777" w:rsidR="00D73078" w:rsidRPr="007870B9" w:rsidRDefault="00D73078" w:rsidP="00327FA8">
            <w:pPr>
              <w:rPr>
                <w:rFonts w:cs="Arial"/>
                <w:b/>
                <w:color w:val="000000"/>
                <w:szCs w:val="24"/>
                <w:lang w:eastAsia="en-GB"/>
              </w:rPr>
            </w:pPr>
            <w:r w:rsidRPr="007870B9">
              <w:rPr>
                <w:rFonts w:cs="Arial"/>
                <w:b/>
                <w:color w:val="000000"/>
                <w:szCs w:val="24"/>
                <w:lang w:eastAsia="en-GB"/>
              </w:rPr>
              <w:lastRenderedPageBreak/>
              <w:t>Seminars/Webinars</w:t>
            </w:r>
          </w:p>
          <w:p w14:paraId="618A7869" w14:textId="77777777" w:rsidR="00D73078" w:rsidRPr="009758AE" w:rsidRDefault="00D73078" w:rsidP="00327FA8">
            <w:pPr>
              <w:rPr>
                <w:rFonts w:ascii="Trebuchet MS" w:hAnsi="Trebuchet MS" w:cs="Arial"/>
                <w:b/>
                <w:sz w:val="22"/>
                <w:szCs w:val="22"/>
              </w:rPr>
            </w:pPr>
          </w:p>
        </w:tc>
        <w:tc>
          <w:tcPr>
            <w:tcW w:w="1134" w:type="dxa"/>
            <w:shd w:val="clear" w:color="auto" w:fill="00B050"/>
          </w:tcPr>
          <w:p w14:paraId="183A449D" w14:textId="792AB152" w:rsidR="00D73078" w:rsidRPr="009758AE" w:rsidRDefault="00C4763E" w:rsidP="00327FA8">
            <w:pPr>
              <w:rPr>
                <w:rFonts w:ascii="Trebuchet MS" w:hAnsi="Trebuchet MS" w:cs="Calibri"/>
                <w:color w:val="FFC000"/>
                <w:sz w:val="22"/>
                <w:szCs w:val="22"/>
              </w:rPr>
            </w:pPr>
            <w:r>
              <w:rPr>
                <w:rFonts w:ascii="Trebuchet MS" w:hAnsi="Trebuchet MS" w:cs="Calibri"/>
                <w:noProof/>
                <w:color w:val="FFC000"/>
                <w:sz w:val="22"/>
                <w:szCs w:val="22"/>
                <w:lang w:eastAsia="en-GB"/>
              </w:rPr>
              <mc:AlternateContent>
                <mc:Choice Requires="wps">
                  <w:drawing>
                    <wp:anchor distT="0" distB="0" distL="114300" distR="114300" simplePos="0" relativeHeight="251660288" behindDoc="0" locked="0" layoutInCell="1" allowOverlap="1" wp14:anchorId="13AA8280" wp14:editId="0289BD2A">
                      <wp:simplePos x="0" y="0"/>
                      <wp:positionH relativeFrom="column">
                        <wp:posOffset>57150</wp:posOffset>
                      </wp:positionH>
                      <wp:positionV relativeFrom="paragraph">
                        <wp:posOffset>146050</wp:posOffset>
                      </wp:positionV>
                      <wp:extent cx="434340" cy="7620"/>
                      <wp:effectExtent l="11430" t="57150" r="20955" b="495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5pt;margin-top:11.5pt;width:34.2pt;height:.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">
                      <v:stroke endarrow="block"/>
                    </v:shape>
                  </w:pict>
                </mc:Fallback>
              </mc:AlternateContent>
            </w:r>
          </w:p>
          <w:p w14:paraId="0E67072A" w14:textId="77777777" w:rsidR="00D73078" w:rsidRPr="009758AE" w:rsidRDefault="00D73078" w:rsidP="00327FA8">
            <w:pPr>
              <w:rPr>
                <w:rFonts w:ascii="Trebuchet MS" w:hAnsi="Trebuchet MS" w:cs="Calibri"/>
                <w:color w:val="FFC000"/>
                <w:sz w:val="22"/>
                <w:szCs w:val="22"/>
              </w:rPr>
            </w:pPr>
          </w:p>
        </w:tc>
      </w:tr>
    </w:tbl>
    <w:p w14:paraId="5DF79EC2" w14:textId="77777777" w:rsidR="00D73078" w:rsidRDefault="00D73078" w:rsidP="00327FA8">
      <w:pPr>
        <w:pStyle w:val="DeptBullets"/>
        <w:numPr>
          <w:ilvl w:val="0"/>
          <w:numId w:val="0"/>
        </w:numPr>
        <w:spacing w:after="0"/>
      </w:pPr>
    </w:p>
    <w:p w14:paraId="3544F481" w14:textId="0D498E72" w:rsidR="00AA14A0" w:rsidRDefault="00B936EF" w:rsidP="00327FA8">
      <w:pPr>
        <w:pStyle w:val="DeptBullets"/>
        <w:numPr>
          <w:ilvl w:val="0"/>
          <w:numId w:val="0"/>
        </w:numPr>
        <w:spacing w:after="0"/>
      </w:pPr>
      <w:r>
        <w:t xml:space="preserve">Only 7 </w:t>
      </w:r>
      <w:r w:rsidR="00AA14A0">
        <w:t xml:space="preserve">employee </w:t>
      </w:r>
      <w:r>
        <w:t>seminars</w:t>
      </w:r>
      <w:r w:rsidR="00D40C3F">
        <w:t xml:space="preserve"> (126 registrations) </w:t>
      </w:r>
      <w:r>
        <w:t xml:space="preserve">and </w:t>
      </w:r>
      <w:r w:rsidR="00D40C3F">
        <w:t xml:space="preserve">26 webinars (167 registrations) were delivered in the last quarter.  </w:t>
      </w:r>
      <w:r w:rsidR="00AA14A0">
        <w:t>S</w:t>
      </w:r>
      <w:r w:rsidR="00D40C3F">
        <w:t>eminars were</w:t>
      </w:r>
      <w:r w:rsidR="00AA14A0">
        <w:t xml:space="preserve"> deferred </w:t>
      </w:r>
      <w:r w:rsidR="00D40C3F">
        <w:t xml:space="preserve">until the second week in September </w:t>
      </w:r>
      <w:r w:rsidR="00AA14A0">
        <w:t>to take account of a lack of interest during the school holiday period, however</w:t>
      </w:r>
      <w:r w:rsidR="00D40C3F">
        <w:t xml:space="preserve"> there has also been a </w:t>
      </w:r>
      <w:r w:rsidR="00AA14A0">
        <w:t xml:space="preserve">wider </w:t>
      </w:r>
      <w:r w:rsidR="00D40C3F">
        <w:t xml:space="preserve">dip in demand for places.  </w:t>
      </w:r>
    </w:p>
    <w:p w14:paraId="3164B5DB" w14:textId="77777777" w:rsidR="00AA14A0" w:rsidRDefault="00AA14A0" w:rsidP="00327FA8">
      <w:pPr>
        <w:pStyle w:val="DeptBullets"/>
        <w:numPr>
          <w:ilvl w:val="0"/>
          <w:numId w:val="0"/>
        </w:numPr>
        <w:spacing w:after="0"/>
      </w:pPr>
    </w:p>
    <w:p w14:paraId="7FA166D9" w14:textId="16B9B7B2" w:rsidR="00B936EF" w:rsidRDefault="00AA14A0" w:rsidP="00327FA8">
      <w:pPr>
        <w:pStyle w:val="DeptBullets"/>
        <w:numPr>
          <w:ilvl w:val="0"/>
          <w:numId w:val="0"/>
        </w:numPr>
        <w:spacing w:after="0"/>
      </w:pPr>
      <w:r>
        <w:t>The delivery of future webinars is currently under consideration</w:t>
      </w:r>
      <w:r w:rsidR="00A14485">
        <w:t xml:space="preserve">.  As seven proposed events had to be cancelled in October due to lack of interest, the number of November and December events will be rationalised with a view </w:t>
      </w:r>
      <w:r w:rsidR="003219B9">
        <w:t>to</w:t>
      </w:r>
      <w:r w:rsidR="00174676">
        <w:t xml:space="preserve"> </w:t>
      </w:r>
      <w:r w:rsidR="00A14485">
        <w:t>improving attendance.  T</w:t>
      </w:r>
      <w:r>
        <w:t xml:space="preserve">he development of video material – which will be made available through the TPS website and other social media channels </w:t>
      </w:r>
      <w:r w:rsidR="00090B99">
        <w:t xml:space="preserve">from the end of December </w:t>
      </w:r>
      <w:r w:rsidR="00A14485">
        <w:t>–</w:t>
      </w:r>
      <w:r>
        <w:t xml:space="preserve"> will</w:t>
      </w:r>
      <w:r w:rsidR="00A14485">
        <w:t xml:space="preserve"> see a further reduction in webinars in future as videos will </w:t>
      </w:r>
      <w:r w:rsidR="00EE2403">
        <w:t xml:space="preserve">provide learning opportunities on similar topics in </w:t>
      </w:r>
      <w:r>
        <w:t xml:space="preserve">a more accessible and flexible way for members and employers.  </w:t>
      </w:r>
    </w:p>
    <w:p w14:paraId="6DF3A04B" w14:textId="77777777" w:rsidR="00D73078" w:rsidRDefault="00D73078" w:rsidP="00327FA8">
      <w:pPr>
        <w:pStyle w:val="DeptBullets"/>
        <w:numPr>
          <w:ilvl w:val="0"/>
          <w:numId w:val="0"/>
        </w:numPr>
        <w:spacing w:after="0"/>
      </w:pPr>
    </w:p>
    <w:tbl>
      <w:tblPr>
        <w:tblStyle w:val="TableGrid"/>
        <w:tblW w:w="0" w:type="auto"/>
        <w:tblInd w:w="108" w:type="dxa"/>
        <w:tblLook w:val="04A0" w:firstRow="1" w:lastRow="0" w:firstColumn="1" w:lastColumn="0" w:noHBand="0" w:noVBand="1"/>
      </w:tblPr>
      <w:tblGrid>
        <w:gridCol w:w="7230"/>
        <w:gridCol w:w="1134"/>
      </w:tblGrid>
      <w:tr w:rsidR="00D73078" w:rsidRPr="009758AE" w14:paraId="52F442FB" w14:textId="77777777" w:rsidTr="0025657D">
        <w:tc>
          <w:tcPr>
            <w:tcW w:w="7230" w:type="dxa"/>
          </w:tcPr>
          <w:p w14:paraId="36595B0D" w14:textId="77777777" w:rsidR="00D73078" w:rsidRPr="007870B9" w:rsidRDefault="00D73078" w:rsidP="00327FA8">
            <w:pPr>
              <w:rPr>
                <w:rFonts w:cs="Arial"/>
                <w:b/>
                <w:color w:val="000000"/>
                <w:szCs w:val="24"/>
                <w:lang w:eastAsia="en-GB"/>
              </w:rPr>
            </w:pPr>
            <w:r w:rsidRPr="007870B9">
              <w:rPr>
                <w:rFonts w:cs="Arial"/>
                <w:b/>
                <w:color w:val="000000"/>
                <w:szCs w:val="24"/>
                <w:lang w:eastAsia="en-GB"/>
              </w:rPr>
              <w:t>Forward look</w:t>
            </w:r>
          </w:p>
          <w:p w14:paraId="1D06DAAA" w14:textId="77777777" w:rsidR="00D73078" w:rsidRPr="009758AE" w:rsidRDefault="00D73078" w:rsidP="00327FA8">
            <w:pPr>
              <w:rPr>
                <w:rFonts w:ascii="Trebuchet MS" w:hAnsi="Trebuchet MS" w:cs="Arial"/>
                <w:b/>
                <w:sz w:val="22"/>
                <w:szCs w:val="22"/>
              </w:rPr>
            </w:pPr>
          </w:p>
        </w:tc>
        <w:tc>
          <w:tcPr>
            <w:tcW w:w="1134" w:type="dxa"/>
            <w:shd w:val="clear" w:color="auto" w:fill="00B050"/>
          </w:tcPr>
          <w:p w14:paraId="2AFF768A" w14:textId="77777777" w:rsidR="00D73078" w:rsidRPr="009758AE" w:rsidRDefault="00D73078" w:rsidP="00327FA8">
            <w:pPr>
              <w:rPr>
                <w:rFonts w:ascii="Trebuchet MS" w:hAnsi="Trebuchet MS" w:cs="Calibri"/>
                <w:color w:val="FFC000"/>
                <w:sz w:val="22"/>
                <w:szCs w:val="22"/>
              </w:rPr>
            </w:pPr>
          </w:p>
          <w:p w14:paraId="25734A40" w14:textId="1EAE01B9" w:rsidR="00D73078" w:rsidRPr="009758AE" w:rsidRDefault="00C4763E" w:rsidP="00327FA8">
            <w:pPr>
              <w:rPr>
                <w:rFonts w:ascii="Trebuchet MS" w:hAnsi="Trebuchet MS" w:cs="Calibri"/>
                <w:color w:val="FFC000"/>
                <w:sz w:val="22"/>
                <w:szCs w:val="22"/>
              </w:rPr>
            </w:pPr>
            <w:r>
              <w:rPr>
                <w:rFonts w:ascii="Trebuchet MS" w:hAnsi="Trebuchet MS" w:cs="Calibri"/>
                <w:noProof/>
                <w:color w:val="FFC000"/>
                <w:sz w:val="22"/>
                <w:szCs w:val="22"/>
                <w:lang w:eastAsia="en-GB"/>
              </w:rPr>
              <mc:AlternateContent>
                <mc:Choice Requires="wps">
                  <w:drawing>
                    <wp:anchor distT="0" distB="0" distL="114300" distR="114300" simplePos="0" relativeHeight="251661312" behindDoc="0" locked="0" layoutInCell="1" allowOverlap="1" wp14:anchorId="0F5D3082" wp14:editId="766BBFE7">
                      <wp:simplePos x="0" y="0"/>
                      <wp:positionH relativeFrom="column">
                        <wp:posOffset>95250</wp:posOffset>
                      </wp:positionH>
                      <wp:positionV relativeFrom="paragraph">
                        <wp:posOffset>-2540</wp:posOffset>
                      </wp:positionV>
                      <wp:extent cx="434340" cy="7620"/>
                      <wp:effectExtent l="11430" t="53340" r="20955" b="5334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7.5pt;margin-top:-.2pt;width:34.2pt;height:.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">
                      <v:stroke endarrow="block"/>
                    </v:shape>
                  </w:pict>
                </mc:Fallback>
              </mc:AlternateContent>
            </w:r>
          </w:p>
        </w:tc>
      </w:tr>
    </w:tbl>
    <w:p w14:paraId="7FBA66D4" w14:textId="77777777" w:rsidR="00D73078" w:rsidRDefault="00D73078" w:rsidP="00327FA8">
      <w:pPr>
        <w:pStyle w:val="DeptBullets"/>
        <w:numPr>
          <w:ilvl w:val="0"/>
          <w:numId w:val="0"/>
        </w:numPr>
        <w:spacing w:after="0"/>
      </w:pPr>
    </w:p>
    <w:p w14:paraId="2D07D671" w14:textId="77777777" w:rsidR="00075239" w:rsidRPr="00075239" w:rsidRDefault="00075239" w:rsidP="00075239">
      <w:pPr>
        <w:rPr>
          <w:rFonts w:cs="Arial"/>
          <w:color w:val="000000" w:themeColor="text1"/>
          <w:szCs w:val="24"/>
        </w:rPr>
      </w:pPr>
      <w:r w:rsidRPr="00075239">
        <w:rPr>
          <w:rFonts w:cs="Arial"/>
          <w:color w:val="000000" w:themeColor="text1"/>
          <w:szCs w:val="24"/>
        </w:rPr>
        <w:t xml:space="preserve">Two member campaigns </w:t>
      </w:r>
      <w:r w:rsidR="004C32E8">
        <w:rPr>
          <w:rFonts w:cs="Arial"/>
          <w:color w:val="000000" w:themeColor="text1"/>
          <w:szCs w:val="24"/>
        </w:rPr>
        <w:t>will be delivered in</w:t>
      </w:r>
      <w:r w:rsidRPr="00075239">
        <w:rPr>
          <w:rFonts w:cs="Arial"/>
          <w:color w:val="000000" w:themeColor="text1"/>
          <w:szCs w:val="24"/>
        </w:rPr>
        <w:t xml:space="preserve"> November for ‘Planning your Winter Break’ (Options Explorer, engaged members only) and Re-Employment (Retired members).  Automated comm</w:t>
      </w:r>
      <w:r>
        <w:rPr>
          <w:rFonts w:cs="Arial"/>
          <w:color w:val="000000" w:themeColor="text1"/>
          <w:szCs w:val="24"/>
        </w:rPr>
        <w:t>unication</w:t>
      </w:r>
      <w:r w:rsidRPr="00075239">
        <w:rPr>
          <w:rFonts w:cs="Arial"/>
          <w:color w:val="000000" w:themeColor="text1"/>
          <w:szCs w:val="24"/>
        </w:rPr>
        <w:t>s and dormancy campaigns will also be delivered.</w:t>
      </w:r>
    </w:p>
    <w:p w14:paraId="20BA7775" w14:textId="77777777" w:rsidR="00075239" w:rsidRPr="00075239" w:rsidRDefault="00075239" w:rsidP="00075239">
      <w:pPr>
        <w:rPr>
          <w:rFonts w:cs="Arial"/>
          <w:color w:val="000000" w:themeColor="text1"/>
          <w:szCs w:val="24"/>
        </w:rPr>
      </w:pPr>
    </w:p>
    <w:p w14:paraId="2C858525" w14:textId="3651626C" w:rsidR="00075239" w:rsidRPr="00075239" w:rsidRDefault="00075239" w:rsidP="00075239">
      <w:pPr>
        <w:rPr>
          <w:rFonts w:cs="Arial"/>
          <w:color w:val="000000" w:themeColor="text1"/>
          <w:szCs w:val="24"/>
        </w:rPr>
      </w:pPr>
      <w:r w:rsidRPr="00075239">
        <w:rPr>
          <w:rFonts w:cs="Arial"/>
          <w:color w:val="000000" w:themeColor="text1"/>
          <w:szCs w:val="24"/>
        </w:rPr>
        <w:t>Social media sponsored posts will continue, after the review of activity suggested deliv</w:t>
      </w:r>
      <w:r>
        <w:rPr>
          <w:rFonts w:cs="Arial"/>
          <w:color w:val="000000" w:themeColor="text1"/>
          <w:szCs w:val="24"/>
        </w:rPr>
        <w:t>er</w:t>
      </w:r>
      <w:r w:rsidRPr="00075239">
        <w:rPr>
          <w:rFonts w:cs="Arial"/>
          <w:color w:val="000000" w:themeColor="text1"/>
          <w:szCs w:val="24"/>
        </w:rPr>
        <w:t>ing the posts over a longer period but concentrating on bespoke sites (which is providing better results). This, along with continuous social media messaging should continue to increas</w:t>
      </w:r>
      <w:r>
        <w:rPr>
          <w:rFonts w:cs="Arial"/>
          <w:color w:val="000000" w:themeColor="text1"/>
          <w:szCs w:val="24"/>
        </w:rPr>
        <w:t xml:space="preserve">e </w:t>
      </w:r>
      <w:r w:rsidR="007870B9">
        <w:rPr>
          <w:rFonts w:cs="Arial"/>
          <w:color w:val="000000" w:themeColor="text1"/>
          <w:szCs w:val="24"/>
        </w:rPr>
        <w:t xml:space="preserve">TP </w:t>
      </w:r>
      <w:r>
        <w:rPr>
          <w:rFonts w:cs="Arial"/>
          <w:color w:val="000000" w:themeColor="text1"/>
          <w:szCs w:val="24"/>
        </w:rPr>
        <w:t>Twitter and F</w:t>
      </w:r>
      <w:r w:rsidRPr="00075239">
        <w:rPr>
          <w:rFonts w:cs="Arial"/>
          <w:color w:val="000000" w:themeColor="text1"/>
          <w:szCs w:val="24"/>
        </w:rPr>
        <w:t>acebook followers.</w:t>
      </w:r>
    </w:p>
    <w:p w14:paraId="1951946A" w14:textId="77777777" w:rsidR="00075239" w:rsidRPr="00075239" w:rsidRDefault="00075239" w:rsidP="00075239">
      <w:pPr>
        <w:rPr>
          <w:rFonts w:cs="Arial"/>
          <w:szCs w:val="24"/>
          <w:highlight w:val="yellow"/>
        </w:rPr>
      </w:pPr>
    </w:p>
    <w:p w14:paraId="69B77448" w14:textId="03566F3A" w:rsidR="008955E8" w:rsidRPr="00B60C22" w:rsidRDefault="00075239" w:rsidP="00B60C22">
      <w:pPr>
        <w:rPr>
          <w:rFonts w:cs="Arial"/>
          <w:szCs w:val="24"/>
        </w:rPr>
      </w:pPr>
      <w:r w:rsidRPr="00075239">
        <w:rPr>
          <w:rFonts w:cs="Arial"/>
          <w:szCs w:val="24"/>
        </w:rPr>
        <w:t xml:space="preserve">As well as the employer bulletin, employer campaigns will </w:t>
      </w:r>
      <w:r w:rsidR="00BB5E38">
        <w:rPr>
          <w:rFonts w:cs="Arial"/>
          <w:szCs w:val="24"/>
        </w:rPr>
        <w:t xml:space="preserve">continue to be </w:t>
      </w:r>
      <w:r w:rsidRPr="00075239">
        <w:rPr>
          <w:rFonts w:cs="Arial"/>
          <w:szCs w:val="24"/>
        </w:rPr>
        <w:t>delivered advising members of the new</w:t>
      </w:r>
      <w:r w:rsidR="00174676">
        <w:rPr>
          <w:rFonts w:cs="Arial"/>
          <w:szCs w:val="24"/>
        </w:rPr>
        <w:t xml:space="preserve"> flexibilities</w:t>
      </w:r>
      <w:r w:rsidRPr="00075239">
        <w:rPr>
          <w:rFonts w:cs="Arial"/>
          <w:szCs w:val="24"/>
        </w:rPr>
        <w:t xml:space="preserve">.  </w:t>
      </w:r>
      <w:r w:rsidR="00BB5E38">
        <w:rPr>
          <w:rFonts w:cs="Arial"/>
          <w:szCs w:val="24"/>
        </w:rPr>
        <w:t>T</w:t>
      </w:r>
      <w:r w:rsidRPr="00075239">
        <w:rPr>
          <w:rFonts w:cs="Arial"/>
          <w:szCs w:val="24"/>
        </w:rPr>
        <w:t>he ‘</w:t>
      </w:r>
      <w:r w:rsidR="00174676">
        <w:rPr>
          <w:rFonts w:cs="Arial"/>
          <w:szCs w:val="24"/>
        </w:rPr>
        <w:t>c</w:t>
      </w:r>
      <w:r w:rsidRPr="00075239">
        <w:rPr>
          <w:rFonts w:cs="Arial"/>
          <w:szCs w:val="24"/>
        </w:rPr>
        <w:t>apture of member emails’ campaign has attracted interest through the Employer bulletin and will be repeated with these employers</w:t>
      </w:r>
      <w:r w:rsidR="003219B9">
        <w:rPr>
          <w:rFonts w:cs="Arial"/>
          <w:szCs w:val="24"/>
        </w:rPr>
        <w:t>,</w:t>
      </w:r>
      <w:r w:rsidR="00BB5E38">
        <w:rPr>
          <w:rFonts w:cs="Arial"/>
          <w:szCs w:val="24"/>
        </w:rPr>
        <w:t xml:space="preserve"> and </w:t>
      </w:r>
      <w:r w:rsidR="006E0DB1">
        <w:rPr>
          <w:rFonts w:cs="Arial"/>
          <w:szCs w:val="24"/>
        </w:rPr>
        <w:t>TP</w:t>
      </w:r>
      <w:r w:rsidR="00BB5E38">
        <w:rPr>
          <w:rFonts w:cs="Arial"/>
          <w:szCs w:val="24"/>
        </w:rPr>
        <w:t xml:space="preserve"> will look to extend this to a wider cohort of employers</w:t>
      </w:r>
      <w:r w:rsidRPr="00075239">
        <w:rPr>
          <w:rFonts w:cs="Arial"/>
          <w:szCs w:val="24"/>
        </w:rPr>
        <w:t xml:space="preserve">.  The second phase </w:t>
      </w:r>
      <w:r w:rsidR="00BB5E38">
        <w:rPr>
          <w:rFonts w:cs="Arial"/>
          <w:szCs w:val="24"/>
        </w:rPr>
        <w:t xml:space="preserve">of the </w:t>
      </w:r>
      <w:r w:rsidRPr="00075239">
        <w:rPr>
          <w:rFonts w:cs="Arial"/>
          <w:szCs w:val="24"/>
        </w:rPr>
        <w:t>M</w:t>
      </w:r>
      <w:r w:rsidR="003219B9">
        <w:rPr>
          <w:rFonts w:cs="Arial"/>
          <w:szCs w:val="24"/>
        </w:rPr>
        <w:t>ulti Academy Trusts</w:t>
      </w:r>
      <w:r w:rsidRPr="00075239">
        <w:rPr>
          <w:rFonts w:cs="Arial"/>
          <w:szCs w:val="24"/>
        </w:rPr>
        <w:t xml:space="preserve"> campaign will also be delivered in November.</w:t>
      </w:r>
      <w:r w:rsidR="00B60C22">
        <w:rPr>
          <w:rFonts w:cs="Arial"/>
          <w:szCs w:val="24"/>
        </w:rPr>
        <w:t xml:space="preserve">  </w:t>
      </w:r>
      <w:r w:rsidRPr="00075239">
        <w:rPr>
          <w:rFonts w:cs="Arial"/>
          <w:szCs w:val="24"/>
        </w:rPr>
        <w:t xml:space="preserve">Web developments will include testing of the new online repayments form and the continued </w:t>
      </w:r>
      <w:r w:rsidRPr="00B60C22">
        <w:rPr>
          <w:rFonts w:cs="Arial"/>
          <w:szCs w:val="24"/>
        </w:rPr>
        <w:t>development of the flexibilities calculator.  Another item in development includes</w:t>
      </w:r>
      <w:r w:rsidR="00174676" w:rsidRPr="00B60C22">
        <w:rPr>
          <w:rFonts w:cs="Arial"/>
          <w:szCs w:val="24"/>
        </w:rPr>
        <w:t xml:space="preserve"> the</w:t>
      </w:r>
      <w:r w:rsidRPr="00B60C22">
        <w:rPr>
          <w:rFonts w:cs="Arial"/>
          <w:szCs w:val="24"/>
        </w:rPr>
        <w:t xml:space="preserve"> Flex Form &amp; Modeller </w:t>
      </w:r>
      <w:r w:rsidR="00D5074F">
        <w:rPr>
          <w:rFonts w:cs="Arial"/>
          <w:szCs w:val="24"/>
        </w:rPr>
        <w:t xml:space="preserve">which is expected to go live in </w:t>
      </w:r>
      <w:r w:rsidR="001F2118">
        <w:rPr>
          <w:rFonts w:cs="Arial"/>
          <w:szCs w:val="24"/>
        </w:rPr>
        <w:t>s</w:t>
      </w:r>
      <w:r w:rsidR="00D5074F">
        <w:rPr>
          <w:rFonts w:cs="Arial"/>
          <w:szCs w:val="24"/>
        </w:rPr>
        <w:t>pring 2016</w:t>
      </w:r>
      <w:r w:rsidR="00174676" w:rsidRPr="00B60C22">
        <w:rPr>
          <w:rFonts w:cs="Arial"/>
          <w:szCs w:val="24"/>
        </w:rPr>
        <w:t>. This</w:t>
      </w:r>
      <w:r w:rsidR="0068597D" w:rsidRPr="00B60C22">
        <w:rPr>
          <w:rFonts w:cs="Arial"/>
          <w:szCs w:val="24"/>
        </w:rPr>
        <w:t xml:space="preserve"> is an eagerly anticipated development </w:t>
      </w:r>
      <w:r w:rsidR="00174676" w:rsidRPr="00B60C22">
        <w:rPr>
          <w:rFonts w:cs="Arial"/>
          <w:szCs w:val="24"/>
        </w:rPr>
        <w:t>which will provide a more accurate estimate of the costs and benefits</w:t>
      </w:r>
      <w:r w:rsidR="0068597D" w:rsidRPr="00B60C22">
        <w:rPr>
          <w:rFonts w:cs="Arial"/>
          <w:szCs w:val="24"/>
        </w:rPr>
        <w:t xml:space="preserve"> of the different options</w:t>
      </w:r>
      <w:r w:rsidR="00174676" w:rsidRPr="00B60C22">
        <w:rPr>
          <w:rFonts w:cs="Arial"/>
          <w:szCs w:val="24"/>
        </w:rPr>
        <w:t xml:space="preserve">. The improved web form will be </w:t>
      </w:r>
      <w:r w:rsidR="0068597D" w:rsidRPr="00B60C22">
        <w:rPr>
          <w:rFonts w:cs="Arial"/>
          <w:szCs w:val="24"/>
        </w:rPr>
        <w:t xml:space="preserve">integrated </w:t>
      </w:r>
      <w:r w:rsidR="00174676" w:rsidRPr="00B60C22">
        <w:rPr>
          <w:rFonts w:cs="Arial"/>
          <w:szCs w:val="24"/>
        </w:rPr>
        <w:t xml:space="preserve">in the </w:t>
      </w:r>
      <w:r w:rsidR="0068597D" w:rsidRPr="00B60C22">
        <w:rPr>
          <w:rFonts w:cs="Arial"/>
          <w:szCs w:val="24"/>
        </w:rPr>
        <w:t>modeller to allow members to apply for these flexibilities online</w:t>
      </w:r>
      <w:r w:rsidR="00174676" w:rsidRPr="00B60C22">
        <w:rPr>
          <w:rFonts w:cs="Arial"/>
          <w:szCs w:val="24"/>
        </w:rPr>
        <w:t>.</w:t>
      </w:r>
    </w:p>
    <w:p w14:paraId="3DF4DCD3" w14:textId="77777777" w:rsidR="00075239" w:rsidRPr="00B60C22" w:rsidRDefault="00075239" w:rsidP="00075239">
      <w:pPr>
        <w:rPr>
          <w:rFonts w:cs="Arial"/>
          <w:szCs w:val="24"/>
        </w:rPr>
      </w:pPr>
    </w:p>
    <w:p w14:paraId="75C86F5A" w14:textId="1CDE6D1F" w:rsidR="00D73078" w:rsidRPr="00075239" w:rsidRDefault="00075239" w:rsidP="00BB5E38">
      <w:pPr>
        <w:widowControl/>
        <w:overflowPunct/>
        <w:autoSpaceDE/>
        <w:autoSpaceDN/>
        <w:adjustRightInd/>
        <w:textAlignment w:val="auto"/>
        <w:rPr>
          <w:rFonts w:cs="Arial"/>
          <w:szCs w:val="24"/>
        </w:rPr>
      </w:pPr>
      <w:r w:rsidRPr="00075239">
        <w:rPr>
          <w:rFonts w:cs="Arial"/>
          <w:szCs w:val="24"/>
        </w:rPr>
        <w:t xml:space="preserve">Finally, in development </w:t>
      </w:r>
      <w:r w:rsidR="00BB5E38">
        <w:rPr>
          <w:rFonts w:cs="Arial"/>
          <w:szCs w:val="24"/>
        </w:rPr>
        <w:t xml:space="preserve">for delivery in the next quarter </w:t>
      </w:r>
      <w:proofErr w:type="gramStart"/>
      <w:r w:rsidRPr="00075239">
        <w:rPr>
          <w:rFonts w:cs="Arial"/>
          <w:szCs w:val="24"/>
        </w:rPr>
        <w:t>are</w:t>
      </w:r>
      <w:proofErr w:type="gramEnd"/>
      <w:r w:rsidRPr="00075239">
        <w:rPr>
          <w:rFonts w:cs="Arial"/>
          <w:szCs w:val="24"/>
        </w:rPr>
        <w:t xml:space="preserve"> the ‘check your details if no update in 12 months’ </w:t>
      </w:r>
      <w:r w:rsidR="00BB5E38">
        <w:rPr>
          <w:rFonts w:cs="Arial"/>
          <w:szCs w:val="24"/>
        </w:rPr>
        <w:t>campaign</w:t>
      </w:r>
      <w:r w:rsidR="006E0DB1">
        <w:rPr>
          <w:rFonts w:cs="Arial"/>
          <w:szCs w:val="24"/>
        </w:rPr>
        <w:t xml:space="preserve"> -</w:t>
      </w:r>
      <w:r w:rsidR="00BB5E38">
        <w:rPr>
          <w:rFonts w:cs="Arial"/>
          <w:szCs w:val="24"/>
        </w:rPr>
        <w:t xml:space="preserve"> a reminder to re-engage members who have not accessed their details during this period - and a revised</w:t>
      </w:r>
      <w:r w:rsidRPr="00075239">
        <w:rPr>
          <w:rFonts w:cs="Arial"/>
          <w:szCs w:val="24"/>
        </w:rPr>
        <w:t xml:space="preserve"> </w:t>
      </w:r>
      <w:r w:rsidR="00BB5E38">
        <w:rPr>
          <w:rFonts w:cs="Arial"/>
          <w:szCs w:val="24"/>
        </w:rPr>
        <w:t>‘</w:t>
      </w:r>
      <w:r w:rsidRPr="00075239">
        <w:rPr>
          <w:rFonts w:cs="Arial"/>
          <w:szCs w:val="24"/>
        </w:rPr>
        <w:t>transfer in</w:t>
      </w:r>
      <w:r w:rsidR="00BB5E38">
        <w:rPr>
          <w:rFonts w:cs="Arial"/>
          <w:szCs w:val="24"/>
        </w:rPr>
        <w:t>’</w:t>
      </w:r>
      <w:r w:rsidRPr="00075239">
        <w:rPr>
          <w:rFonts w:cs="Arial"/>
          <w:szCs w:val="24"/>
        </w:rPr>
        <w:t xml:space="preserve"> web form</w:t>
      </w:r>
      <w:r w:rsidR="00BB5E38">
        <w:rPr>
          <w:rFonts w:cs="Arial"/>
          <w:szCs w:val="24"/>
        </w:rPr>
        <w:t>,</w:t>
      </w:r>
      <w:r w:rsidRPr="00075239">
        <w:rPr>
          <w:rFonts w:cs="Arial"/>
          <w:szCs w:val="24"/>
        </w:rPr>
        <w:t xml:space="preserve"> which is </w:t>
      </w:r>
      <w:r w:rsidR="00BB5E38">
        <w:rPr>
          <w:rFonts w:cs="Arial"/>
          <w:szCs w:val="24"/>
        </w:rPr>
        <w:t xml:space="preserve">currently </w:t>
      </w:r>
      <w:r w:rsidRPr="00075239">
        <w:rPr>
          <w:rFonts w:cs="Arial"/>
          <w:szCs w:val="24"/>
        </w:rPr>
        <w:t>under IT review.</w:t>
      </w:r>
    </w:p>
    <w:sectPr w:rsidR="00D73078" w:rsidRPr="00075239" w:rsidSect="00B74FC9">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A0FD0" w14:textId="77777777" w:rsidR="00C92C2C" w:rsidRDefault="00C92C2C">
      <w:r>
        <w:separator/>
      </w:r>
    </w:p>
  </w:endnote>
  <w:endnote w:type="continuationSeparator" w:id="0">
    <w:p w14:paraId="35FCB3EB" w14:textId="77777777" w:rsidR="00C92C2C" w:rsidRDefault="00C9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781516"/>
      <w:docPartObj>
        <w:docPartGallery w:val="Page Numbers (Bottom of Page)"/>
        <w:docPartUnique/>
      </w:docPartObj>
    </w:sdtPr>
    <w:sdtEndPr>
      <w:rPr>
        <w:noProof/>
      </w:rPr>
    </w:sdtEndPr>
    <w:sdtContent>
      <w:p w14:paraId="4ADE2CC9" w14:textId="77777777" w:rsidR="00402B87" w:rsidRDefault="00402B87">
        <w:pPr>
          <w:pStyle w:val="Footer"/>
          <w:jc w:val="center"/>
        </w:pPr>
        <w:r>
          <w:fldChar w:fldCharType="begin"/>
        </w:r>
        <w:r>
          <w:instrText xml:space="preserve"> PAGE   \* MERGEFORMAT </w:instrText>
        </w:r>
        <w:r>
          <w:fldChar w:fldCharType="separate"/>
        </w:r>
        <w:r w:rsidR="00D67226">
          <w:rPr>
            <w:noProof/>
          </w:rPr>
          <w:t>2</w:t>
        </w:r>
        <w:r>
          <w:rPr>
            <w:noProof/>
          </w:rPr>
          <w:fldChar w:fldCharType="end"/>
        </w:r>
      </w:p>
    </w:sdtContent>
  </w:sdt>
  <w:p w14:paraId="4868E9B2" w14:textId="77777777" w:rsidR="00402B87" w:rsidRDefault="00402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AB410" w14:textId="77777777" w:rsidR="00C92C2C" w:rsidRDefault="00C92C2C">
      <w:r>
        <w:separator/>
      </w:r>
    </w:p>
  </w:footnote>
  <w:footnote w:type="continuationSeparator" w:id="0">
    <w:p w14:paraId="2F95EF0B" w14:textId="77777777" w:rsidR="00C92C2C" w:rsidRDefault="00C9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6B1E7" w14:textId="77777777" w:rsidR="00402B87" w:rsidRDefault="00402B87">
    <w:pPr>
      <w:pStyle w:val="Header"/>
    </w:pPr>
    <w:r>
      <w:t xml:space="preserve">                                          TPSPB </w:t>
    </w:r>
    <w:proofErr w:type="gramStart"/>
    <w:r>
      <w:t>Meeting  2</w:t>
    </w:r>
    <w:proofErr w:type="gramEnd"/>
    <w:r>
      <w:t xml:space="preserve"> December 2015 : Agenda item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984316D"/>
    <w:multiLevelType w:val="multilevel"/>
    <w:tmpl w:val="C6F064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7"/>
  </w:num>
  <w:num w:numId="4">
    <w:abstractNumId w:val="0"/>
  </w:num>
  <w:num w:numId="5">
    <w:abstractNumId w:val="3"/>
  </w:num>
  <w:num w:numId="6">
    <w:abstractNumId w:val="6"/>
  </w:num>
  <w:num w:numId="7">
    <w:abstractNumId w:val="4"/>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4hILk0Pcu+L5kwDmYvrRlW3lYfM=" w:salt="B0VH7I0h2hWRxuRK4p6T4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E41"/>
    <w:rsid w:val="00011F78"/>
    <w:rsid w:val="000225E4"/>
    <w:rsid w:val="00022DB6"/>
    <w:rsid w:val="00040188"/>
    <w:rsid w:val="00041864"/>
    <w:rsid w:val="0004336F"/>
    <w:rsid w:val="0004776A"/>
    <w:rsid w:val="000675CF"/>
    <w:rsid w:val="00075239"/>
    <w:rsid w:val="000833EF"/>
    <w:rsid w:val="00090B99"/>
    <w:rsid w:val="000A0C1B"/>
    <w:rsid w:val="000A7D90"/>
    <w:rsid w:val="000B1468"/>
    <w:rsid w:val="000E52A0"/>
    <w:rsid w:val="000F4E59"/>
    <w:rsid w:val="00116F59"/>
    <w:rsid w:val="001362FD"/>
    <w:rsid w:val="001366BB"/>
    <w:rsid w:val="001372F2"/>
    <w:rsid w:val="00153F85"/>
    <w:rsid w:val="00174676"/>
    <w:rsid w:val="00180A06"/>
    <w:rsid w:val="00182783"/>
    <w:rsid w:val="00195F8E"/>
    <w:rsid w:val="001A54FA"/>
    <w:rsid w:val="001B05C8"/>
    <w:rsid w:val="001B46E4"/>
    <w:rsid w:val="001B6DF9"/>
    <w:rsid w:val="001D55BC"/>
    <w:rsid w:val="001D7FB3"/>
    <w:rsid w:val="001F2118"/>
    <w:rsid w:val="002009C2"/>
    <w:rsid w:val="00211C37"/>
    <w:rsid w:val="00212D24"/>
    <w:rsid w:val="00214F2C"/>
    <w:rsid w:val="00217581"/>
    <w:rsid w:val="002335B0"/>
    <w:rsid w:val="002338A1"/>
    <w:rsid w:val="00266064"/>
    <w:rsid w:val="0027611C"/>
    <w:rsid w:val="002840D0"/>
    <w:rsid w:val="00295EFC"/>
    <w:rsid w:val="002B651E"/>
    <w:rsid w:val="002D2A7A"/>
    <w:rsid w:val="002E28FA"/>
    <w:rsid w:val="00310708"/>
    <w:rsid w:val="00312BD3"/>
    <w:rsid w:val="003219B9"/>
    <w:rsid w:val="00327FA8"/>
    <w:rsid w:val="00347A3B"/>
    <w:rsid w:val="00367EEB"/>
    <w:rsid w:val="00370895"/>
    <w:rsid w:val="00391549"/>
    <w:rsid w:val="00392AE9"/>
    <w:rsid w:val="003B78F9"/>
    <w:rsid w:val="003D74A2"/>
    <w:rsid w:val="003D7A13"/>
    <w:rsid w:val="003E1B86"/>
    <w:rsid w:val="00402829"/>
    <w:rsid w:val="00402B87"/>
    <w:rsid w:val="00430DC5"/>
    <w:rsid w:val="00450D89"/>
    <w:rsid w:val="004533A7"/>
    <w:rsid w:val="00460505"/>
    <w:rsid w:val="00463122"/>
    <w:rsid w:val="00466874"/>
    <w:rsid w:val="00477AEA"/>
    <w:rsid w:val="00480E77"/>
    <w:rsid w:val="00484C39"/>
    <w:rsid w:val="004955D9"/>
    <w:rsid w:val="004B1BCC"/>
    <w:rsid w:val="004C32E8"/>
    <w:rsid w:val="004E45EC"/>
    <w:rsid w:val="004E633C"/>
    <w:rsid w:val="00511CA5"/>
    <w:rsid w:val="005150CE"/>
    <w:rsid w:val="00530814"/>
    <w:rsid w:val="005323E9"/>
    <w:rsid w:val="00545301"/>
    <w:rsid w:val="00565333"/>
    <w:rsid w:val="00591B39"/>
    <w:rsid w:val="005B1CC3"/>
    <w:rsid w:val="005B5A07"/>
    <w:rsid w:val="005C105B"/>
    <w:rsid w:val="005C1372"/>
    <w:rsid w:val="0060005C"/>
    <w:rsid w:val="00607A4B"/>
    <w:rsid w:val="0062704E"/>
    <w:rsid w:val="00634682"/>
    <w:rsid w:val="0063507E"/>
    <w:rsid w:val="006363E9"/>
    <w:rsid w:val="006858D6"/>
    <w:rsid w:val="0068597D"/>
    <w:rsid w:val="00687908"/>
    <w:rsid w:val="006A0189"/>
    <w:rsid w:val="006A1127"/>
    <w:rsid w:val="006A2F72"/>
    <w:rsid w:val="006A3278"/>
    <w:rsid w:val="006D1E22"/>
    <w:rsid w:val="006D3EBD"/>
    <w:rsid w:val="006E0DB1"/>
    <w:rsid w:val="006E6F0B"/>
    <w:rsid w:val="007104E4"/>
    <w:rsid w:val="007442BB"/>
    <w:rsid w:val="007463C5"/>
    <w:rsid w:val="00746846"/>
    <w:rsid w:val="007510C3"/>
    <w:rsid w:val="0076458E"/>
    <w:rsid w:val="00767062"/>
    <w:rsid w:val="00767063"/>
    <w:rsid w:val="007870B9"/>
    <w:rsid w:val="007940AE"/>
    <w:rsid w:val="007A10F9"/>
    <w:rsid w:val="007A4C02"/>
    <w:rsid w:val="007B49CD"/>
    <w:rsid w:val="007B593B"/>
    <w:rsid w:val="007B5A46"/>
    <w:rsid w:val="007C1BC2"/>
    <w:rsid w:val="007C5074"/>
    <w:rsid w:val="007D0DBA"/>
    <w:rsid w:val="007D4DB0"/>
    <w:rsid w:val="007F073B"/>
    <w:rsid w:val="00805C72"/>
    <w:rsid w:val="00831225"/>
    <w:rsid w:val="008428AB"/>
    <w:rsid w:val="00863664"/>
    <w:rsid w:val="0088151C"/>
    <w:rsid w:val="008817AB"/>
    <w:rsid w:val="008843A4"/>
    <w:rsid w:val="008955E8"/>
    <w:rsid w:val="008B1C49"/>
    <w:rsid w:val="008B67CC"/>
    <w:rsid w:val="008D1228"/>
    <w:rsid w:val="008D6BD8"/>
    <w:rsid w:val="008E3BDA"/>
    <w:rsid w:val="008E448D"/>
    <w:rsid w:val="008E5B51"/>
    <w:rsid w:val="008F26FD"/>
    <w:rsid w:val="008F452F"/>
    <w:rsid w:val="00904D28"/>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14485"/>
    <w:rsid w:val="00A21E85"/>
    <w:rsid w:val="00A2712A"/>
    <w:rsid w:val="00A3306B"/>
    <w:rsid w:val="00A36044"/>
    <w:rsid w:val="00A366A9"/>
    <w:rsid w:val="00A46912"/>
    <w:rsid w:val="00A51193"/>
    <w:rsid w:val="00A51A34"/>
    <w:rsid w:val="00A553F5"/>
    <w:rsid w:val="00A64099"/>
    <w:rsid w:val="00A94D45"/>
    <w:rsid w:val="00A96425"/>
    <w:rsid w:val="00AA14A0"/>
    <w:rsid w:val="00AB6016"/>
    <w:rsid w:val="00AC2A37"/>
    <w:rsid w:val="00AD0E50"/>
    <w:rsid w:val="00AD632D"/>
    <w:rsid w:val="00AF0554"/>
    <w:rsid w:val="00AF1C07"/>
    <w:rsid w:val="00AF737F"/>
    <w:rsid w:val="00B006DF"/>
    <w:rsid w:val="00B05ECD"/>
    <w:rsid w:val="00B06172"/>
    <w:rsid w:val="00B16A24"/>
    <w:rsid w:val="00B16A8C"/>
    <w:rsid w:val="00B275C1"/>
    <w:rsid w:val="00B60C22"/>
    <w:rsid w:val="00B6522B"/>
    <w:rsid w:val="00B65709"/>
    <w:rsid w:val="00B67DF2"/>
    <w:rsid w:val="00B74FC9"/>
    <w:rsid w:val="00B85BF7"/>
    <w:rsid w:val="00B936EF"/>
    <w:rsid w:val="00B939CC"/>
    <w:rsid w:val="00BB5E38"/>
    <w:rsid w:val="00BC547B"/>
    <w:rsid w:val="00BD4B6C"/>
    <w:rsid w:val="00BD5914"/>
    <w:rsid w:val="00C37933"/>
    <w:rsid w:val="00C408C7"/>
    <w:rsid w:val="00C4763E"/>
    <w:rsid w:val="00C47EEA"/>
    <w:rsid w:val="00C519D0"/>
    <w:rsid w:val="00C661E6"/>
    <w:rsid w:val="00C70ACB"/>
    <w:rsid w:val="00C92C2C"/>
    <w:rsid w:val="00CA4FEC"/>
    <w:rsid w:val="00CD7921"/>
    <w:rsid w:val="00CE084B"/>
    <w:rsid w:val="00D02D57"/>
    <w:rsid w:val="00D118D6"/>
    <w:rsid w:val="00D20266"/>
    <w:rsid w:val="00D20C29"/>
    <w:rsid w:val="00D33842"/>
    <w:rsid w:val="00D40C3F"/>
    <w:rsid w:val="00D47915"/>
    <w:rsid w:val="00D5074F"/>
    <w:rsid w:val="00D57D6E"/>
    <w:rsid w:val="00D61F5A"/>
    <w:rsid w:val="00D656C2"/>
    <w:rsid w:val="00D67226"/>
    <w:rsid w:val="00D73078"/>
    <w:rsid w:val="00D82E41"/>
    <w:rsid w:val="00DA437B"/>
    <w:rsid w:val="00DB4C12"/>
    <w:rsid w:val="00DC423E"/>
    <w:rsid w:val="00DD4072"/>
    <w:rsid w:val="00E0081E"/>
    <w:rsid w:val="00E02094"/>
    <w:rsid w:val="00E10F4C"/>
    <w:rsid w:val="00E15B34"/>
    <w:rsid w:val="00E2419F"/>
    <w:rsid w:val="00E366D6"/>
    <w:rsid w:val="00E63D8B"/>
    <w:rsid w:val="00E81F4B"/>
    <w:rsid w:val="00EA11BE"/>
    <w:rsid w:val="00EA3463"/>
    <w:rsid w:val="00EC644A"/>
    <w:rsid w:val="00EC6A3F"/>
    <w:rsid w:val="00EE2403"/>
    <w:rsid w:val="00EF5BA6"/>
    <w:rsid w:val="00F30554"/>
    <w:rsid w:val="00F348D2"/>
    <w:rsid w:val="00F4485F"/>
    <w:rsid w:val="00F44B6A"/>
    <w:rsid w:val="00F521C7"/>
    <w:rsid w:val="00F60BF8"/>
    <w:rsid w:val="00F64863"/>
    <w:rsid w:val="00F960C1"/>
    <w:rsid w:val="00FA0331"/>
    <w:rsid w:val="00FC049C"/>
    <w:rsid w:val="00FC1C0E"/>
    <w:rsid w:val="00FC5ED8"/>
    <w:rsid w:val="00FD7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B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07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rsid w:val="00D7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B5E38"/>
    <w:rPr>
      <w:sz w:val="16"/>
      <w:szCs w:val="16"/>
    </w:rPr>
  </w:style>
  <w:style w:type="paragraph" w:styleId="CommentText">
    <w:name w:val="annotation text"/>
    <w:basedOn w:val="Normal"/>
    <w:link w:val="CommentTextChar"/>
    <w:rsid w:val="00BB5E38"/>
    <w:rPr>
      <w:sz w:val="20"/>
    </w:rPr>
  </w:style>
  <w:style w:type="character" w:customStyle="1" w:styleId="CommentTextChar">
    <w:name w:val="Comment Text Char"/>
    <w:basedOn w:val="DefaultParagraphFont"/>
    <w:link w:val="CommentText"/>
    <w:rsid w:val="00BB5E38"/>
    <w:rPr>
      <w:rFonts w:ascii="Arial" w:hAnsi="Arial"/>
      <w:lang w:eastAsia="en-US"/>
    </w:rPr>
  </w:style>
  <w:style w:type="paragraph" w:styleId="CommentSubject">
    <w:name w:val="annotation subject"/>
    <w:basedOn w:val="CommentText"/>
    <w:next w:val="CommentText"/>
    <w:link w:val="CommentSubjectChar"/>
    <w:rsid w:val="00BB5E38"/>
    <w:rPr>
      <w:b/>
      <w:bCs/>
    </w:rPr>
  </w:style>
  <w:style w:type="character" w:customStyle="1" w:styleId="CommentSubjectChar">
    <w:name w:val="Comment Subject Char"/>
    <w:basedOn w:val="CommentTextChar"/>
    <w:link w:val="CommentSubject"/>
    <w:rsid w:val="00BB5E38"/>
    <w:rPr>
      <w:rFonts w:ascii="Arial" w:hAnsi="Arial"/>
      <w:b/>
      <w:bCs/>
      <w:lang w:eastAsia="en-US"/>
    </w:rPr>
  </w:style>
  <w:style w:type="paragraph" w:styleId="BalloonText">
    <w:name w:val="Balloon Text"/>
    <w:basedOn w:val="Normal"/>
    <w:link w:val="BalloonTextChar"/>
    <w:rsid w:val="00BB5E38"/>
    <w:rPr>
      <w:rFonts w:ascii="Tahoma" w:hAnsi="Tahoma" w:cs="Tahoma"/>
      <w:sz w:val="16"/>
      <w:szCs w:val="16"/>
    </w:rPr>
  </w:style>
  <w:style w:type="character" w:customStyle="1" w:styleId="BalloonTextChar">
    <w:name w:val="Balloon Text Char"/>
    <w:basedOn w:val="DefaultParagraphFont"/>
    <w:link w:val="BalloonText"/>
    <w:rsid w:val="00BB5E38"/>
    <w:rPr>
      <w:rFonts w:ascii="Tahoma" w:hAnsi="Tahoma" w:cs="Tahoma"/>
      <w:sz w:val="16"/>
      <w:szCs w:val="16"/>
      <w:lang w:eastAsia="en-US"/>
    </w:rPr>
  </w:style>
  <w:style w:type="paragraph" w:styleId="Revision">
    <w:name w:val="Revision"/>
    <w:hidden/>
    <w:uiPriority w:val="99"/>
    <w:semiHidden/>
    <w:rsid w:val="00174676"/>
    <w:rPr>
      <w:rFonts w:ascii="Arial" w:hAnsi="Arial"/>
      <w:sz w:val="24"/>
      <w:lang w:eastAsia="en-US"/>
    </w:rPr>
  </w:style>
  <w:style w:type="character" w:customStyle="1" w:styleId="FooterChar">
    <w:name w:val="Footer Char"/>
    <w:basedOn w:val="DefaultParagraphFont"/>
    <w:link w:val="Footer"/>
    <w:uiPriority w:val="99"/>
    <w:rsid w:val="00402B87"/>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07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rsid w:val="00D7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B5E38"/>
    <w:rPr>
      <w:sz w:val="16"/>
      <w:szCs w:val="16"/>
    </w:rPr>
  </w:style>
  <w:style w:type="paragraph" w:styleId="CommentText">
    <w:name w:val="annotation text"/>
    <w:basedOn w:val="Normal"/>
    <w:link w:val="CommentTextChar"/>
    <w:rsid w:val="00BB5E38"/>
    <w:rPr>
      <w:sz w:val="20"/>
    </w:rPr>
  </w:style>
  <w:style w:type="character" w:customStyle="1" w:styleId="CommentTextChar">
    <w:name w:val="Comment Text Char"/>
    <w:basedOn w:val="DefaultParagraphFont"/>
    <w:link w:val="CommentText"/>
    <w:rsid w:val="00BB5E38"/>
    <w:rPr>
      <w:rFonts w:ascii="Arial" w:hAnsi="Arial"/>
      <w:lang w:eastAsia="en-US"/>
    </w:rPr>
  </w:style>
  <w:style w:type="paragraph" w:styleId="CommentSubject">
    <w:name w:val="annotation subject"/>
    <w:basedOn w:val="CommentText"/>
    <w:next w:val="CommentText"/>
    <w:link w:val="CommentSubjectChar"/>
    <w:rsid w:val="00BB5E38"/>
    <w:rPr>
      <w:b/>
      <w:bCs/>
    </w:rPr>
  </w:style>
  <w:style w:type="character" w:customStyle="1" w:styleId="CommentSubjectChar">
    <w:name w:val="Comment Subject Char"/>
    <w:basedOn w:val="CommentTextChar"/>
    <w:link w:val="CommentSubject"/>
    <w:rsid w:val="00BB5E38"/>
    <w:rPr>
      <w:rFonts w:ascii="Arial" w:hAnsi="Arial"/>
      <w:b/>
      <w:bCs/>
      <w:lang w:eastAsia="en-US"/>
    </w:rPr>
  </w:style>
  <w:style w:type="paragraph" w:styleId="BalloonText">
    <w:name w:val="Balloon Text"/>
    <w:basedOn w:val="Normal"/>
    <w:link w:val="BalloonTextChar"/>
    <w:rsid w:val="00BB5E38"/>
    <w:rPr>
      <w:rFonts w:ascii="Tahoma" w:hAnsi="Tahoma" w:cs="Tahoma"/>
      <w:sz w:val="16"/>
      <w:szCs w:val="16"/>
    </w:rPr>
  </w:style>
  <w:style w:type="character" w:customStyle="1" w:styleId="BalloonTextChar">
    <w:name w:val="Balloon Text Char"/>
    <w:basedOn w:val="DefaultParagraphFont"/>
    <w:link w:val="BalloonText"/>
    <w:rsid w:val="00BB5E38"/>
    <w:rPr>
      <w:rFonts w:ascii="Tahoma" w:hAnsi="Tahoma" w:cs="Tahoma"/>
      <w:sz w:val="16"/>
      <w:szCs w:val="16"/>
      <w:lang w:eastAsia="en-US"/>
    </w:rPr>
  </w:style>
  <w:style w:type="paragraph" w:styleId="Revision">
    <w:name w:val="Revision"/>
    <w:hidden/>
    <w:uiPriority w:val="99"/>
    <w:semiHidden/>
    <w:rsid w:val="00174676"/>
    <w:rPr>
      <w:rFonts w:ascii="Arial" w:hAnsi="Arial"/>
      <w:sz w:val="24"/>
      <w:lang w:eastAsia="en-US"/>
    </w:rPr>
  </w:style>
  <w:style w:type="character" w:customStyle="1" w:styleId="FooterChar">
    <w:name w:val="Footer Char"/>
    <w:basedOn w:val="DefaultParagraphFont"/>
    <w:link w:val="Footer"/>
    <w:uiPriority w:val="99"/>
    <w:rsid w:val="00402B8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84227">
      <w:bodyDiv w:val="1"/>
      <w:marLeft w:val="0"/>
      <w:marRight w:val="0"/>
      <w:marTop w:val="0"/>
      <w:marBottom w:val="0"/>
      <w:divBdr>
        <w:top w:val="none" w:sz="0" w:space="0" w:color="auto"/>
        <w:left w:val="none" w:sz="0" w:space="0" w:color="auto"/>
        <w:bottom w:val="none" w:sz="0" w:space="0" w:color="auto"/>
        <w:right w:val="none" w:sz="0" w:space="0" w:color="auto"/>
      </w:divBdr>
    </w:div>
    <w:div w:id="2037731090">
      <w:bodyDiv w:val="1"/>
      <w:marLeft w:val="0"/>
      <w:marRight w:val="0"/>
      <w:marTop w:val="0"/>
      <w:marBottom w:val="0"/>
      <w:divBdr>
        <w:top w:val="none" w:sz="0" w:space="0" w:color="auto"/>
        <w:left w:val="none" w:sz="0" w:space="0" w:color="auto"/>
        <w:bottom w:val="none" w:sz="0" w:space="0" w:color="auto"/>
        <w:right w:val="none" w:sz="0" w:space="0" w:color="auto"/>
      </w:divBdr>
    </w:div>
    <w:div w:id="20482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cid:image006.png@01D12110.302D8D2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5.png@01D12110.302D8D20"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4812349"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5</Value>
      <Value>3</Value>
      <Value>2</Value>
    </TaxCatchAll>
    <IWPSubjectTaxHTField0 xmlns="01d2705b-266c-471f-bbad-ca9cc3733704">
      <Terms xmlns="http://schemas.microsoft.com/office/infopath/2007/PartnerControls"/>
    </IWPSubjectTaxHTField0>
    <IWPOrganisationalUnit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01d2705b-266c-471f-bbad-ca9cc373370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01d2705b-266c-471f-bbad-ca9cc373370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01d2705b-266c-471f-bbad-ca9cc3733704">
      <Terms xmlns="http://schemas.microsoft.com/office/infopath/2007/PartnerControls"/>
    </IWPSiteTypeTaxHTField0>
    <IWPContributor xmlns="01d2705b-266c-471f-bbad-ca9cc3733704">
      <UserInfo>
        <DisplayName/>
        <AccountId xsi:nil="true"/>
        <AccountType/>
      </UserInfo>
    </IWPContributor>
    <IWPFunctionTaxHTField0 xmlns="01d2705b-266c-471f-bbad-ca9cc3733704">
      <Terms xmlns="http://schemas.microsoft.com/office/infopath/2007/PartnerControls"/>
    </IWPFunctionTaxHTField0>
    <Comments xmlns="http://schemas.microsoft.com/sharepoint/v3" xsi:nil="true"/>
    <_dlc_DocId xmlns="b8cb3cbd-ce5c-4a72-9da4-9013f91c5903">HKPH4XM4QHZ4-9-14863</_dlc_DocId>
    <_dlc_DocIdUrl xmlns="b8cb3cbd-ce5c-4a72-9da4-9013f91c5903">
      <Url>http://workplaces/sites/ttg/d/_layouts/DocIdRedir.aspx?ID=HKPH4XM4QHZ4-9-14863</Url>
      <Description>HKPH4XM4QHZ4-9-14863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Other briefing" ma:contentTypeID="0x0101007F645D6FBA204A029FECB8BFC6578C39005279853530254253B886E13194843F8A003AA4A7828D8545A79A9356801481234900C26145F0145976469915D8AC13511CF7" ma:contentTypeVersion="9" ma:contentTypeDescription="For any briefing which is not in relation to a department policy. Records retained for 10 years." ma:contentTypeScope="" ma:versionID="670af5cf3e15662bf324795d771b715a">
  <xsd:schema xmlns:xsd="http://www.w3.org/2001/XMLSchema" xmlns:xs="http://www.w3.org/2001/XMLSchema" xmlns:p="http://schemas.microsoft.com/office/2006/metadata/properties" xmlns:ns1="http://schemas.microsoft.com/sharepoint/v3" xmlns:ns2="b8cb3cbd-ce5c-4a72-9da4-9013f91c5903" xmlns:ns3="01d2705b-266c-471f-bbad-ca9cc3733704" targetNamespace="http://schemas.microsoft.com/office/2006/metadata/properties" ma:root="true" ma:fieldsID="9fa0d0003ae5271f7b85253d39227722" ns1:_="" ns2:_="" ns3:_="">
    <xsd:import namespace="http://schemas.microsoft.com/sharepoint/v3"/>
    <xsd:import namespace="b8cb3cbd-ce5c-4a72-9da4-9013f91c5903"/>
    <xsd:import namespace="01d2705b-266c-471f-bbad-ca9cc373370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4e53523-cc22-4b71-94d9-f0f05bc78804}" ma:internalName="TaxCatchAll" ma:showField="CatchAllData" ma:web="01d2705b-266c-471f-bbad-ca9cc373370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4e53523-cc22-4b71-94d9-f0f05bc78804}" ma:internalName="TaxCatchAllLabel" ma:readOnly="true" ma:showField="CatchAllDataLabel" ma:web="01d2705b-266c-471f-bbad-ca9cc37337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2705b-266c-471f-bbad-ca9cc3733704"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D5136-F125-44AF-B549-F38CC57A8DCB}">
  <ds:schemaRefs>
    <ds:schemaRef ds:uri="http://schemas.microsoft.com/sharepoint/events"/>
  </ds:schemaRefs>
</ds:datastoreItem>
</file>

<file path=customXml/itemProps2.xml><?xml version="1.0" encoding="utf-8"?>
<ds:datastoreItem xmlns:ds="http://schemas.openxmlformats.org/officeDocument/2006/customXml" ds:itemID="{C0B4F40A-FBFA-40BD-9EE0-2130854887E0}">
  <ds:schemaRefs>
    <ds:schemaRef ds:uri="Microsoft.SharePoint.Taxonomy.ContentTypeSync"/>
  </ds:schemaRefs>
</ds:datastoreItem>
</file>

<file path=customXml/itemProps3.xml><?xml version="1.0" encoding="utf-8"?>
<ds:datastoreItem xmlns:ds="http://schemas.openxmlformats.org/officeDocument/2006/customXml" ds:itemID="{9818BF90-8498-4A9B-B138-4920C5221B38}">
  <ds:schemaRefs>
    <ds:schemaRef ds:uri="http://www.w3.org/XML/1998/namespace"/>
    <ds:schemaRef ds:uri="http://purl.org/dc/elements/1.1/"/>
    <ds:schemaRef ds:uri="http://schemas.microsoft.com/sharepoint/v3"/>
    <ds:schemaRef ds:uri="b8cb3cbd-ce5c-4a72-9da4-9013f91c5903"/>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01d2705b-266c-471f-bbad-ca9cc3733704"/>
    <ds:schemaRef ds:uri="http://schemas.microsoft.com/office/2006/metadata/properties"/>
  </ds:schemaRefs>
</ds:datastoreItem>
</file>

<file path=customXml/itemProps4.xml><?xml version="1.0" encoding="utf-8"?>
<ds:datastoreItem xmlns:ds="http://schemas.openxmlformats.org/officeDocument/2006/customXml" ds:itemID="{2F36EB68-3F08-4D92-B797-3B9A04691772}">
  <ds:schemaRefs>
    <ds:schemaRef ds:uri="http://schemas.microsoft.com/sharepoint/v3/contenttype/forms"/>
  </ds:schemaRefs>
</ds:datastoreItem>
</file>

<file path=customXml/itemProps5.xml><?xml version="1.0" encoding="utf-8"?>
<ds:datastoreItem xmlns:ds="http://schemas.openxmlformats.org/officeDocument/2006/customXml" ds:itemID="{DB303BA0-E007-4B55-84AD-E4DD18DBC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01d2705b-266c-471f-bbad-ca9cc3733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9ECB1C-8931-42C2-B663-F7960244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F50ED6DB</Template>
  <TotalTime>0</TotalTime>
  <Pages>4</Pages>
  <Words>1265</Words>
  <Characters>6784</Characters>
  <Application>Microsoft Office Word</Application>
  <DocSecurity>8</DocSecurity>
  <Lines>56</Lines>
  <Paragraphs>16</Paragraphs>
  <ScaleCrop>false</ScaleCrop>
  <HeadingPairs>
    <vt:vector size="2" baseType="variant">
      <vt:variant>
        <vt:lpstr>Title</vt:lpstr>
      </vt:variant>
      <vt:variant>
        <vt:i4>1</vt:i4>
      </vt:variant>
    </vt:vector>
  </HeadingPairs>
  <TitlesOfParts>
    <vt:vector size="1" baseType="lpstr">
      <vt:lpstr>changes made RS approved</vt:lpstr>
    </vt:vector>
  </TitlesOfParts>
  <Company>Employee Benefits</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made RS approved</dc:title>
  <dc:creator>LEES, Richard</dc:creator>
  <cp:lastModifiedBy>CAMMACK, Karen</cp:lastModifiedBy>
  <cp:revision>2</cp:revision>
  <dcterms:created xsi:type="dcterms:W3CDTF">2015-12-16T14:48:00Z</dcterms:created>
  <dcterms:modified xsi:type="dcterms:W3CDTF">2015-12-16T14:48:00Z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0x0101007F645D6FBA204A029FECB8BFC6578C39005279853530254253B886E13194843F8A003AA4A7828D8545A79A9356801481234900C26145F0145976469915D8AC13511CF7</vt:lpwstr>
  </property>
  <property fmtid="{D5CDD505-2E9C-101B-9397-08002B2CF9AE}" pid="3" name="IWPOrganisationalUnit">
    <vt:lpwstr>5;#DfE|cc08a6d4-dfde-4d0f-bd85-069ebcef80d5</vt:lpwstr>
  </property>
  <property fmtid="{D5CDD505-2E9C-101B-9397-08002B2CF9AE}" pid="4" name="IWPOwner">
    <vt:lpwstr>2;#DfE|a484111e-5b24-4ad9-9778-c536c8c88985</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3;#Official|0884c477-2e62-47ea-b19c-5af6e91124c5</vt:lpwstr>
  </property>
  <property fmtid="{D5CDD505-2E9C-101B-9397-08002B2CF9AE}" pid="9" name="_dlc_DocIdItemGuid">
    <vt:lpwstr>3c30dd54-8fad-4fc0-a55e-877937a20049</vt:lpwstr>
  </property>
</Properties>
</file>