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87445" w14:textId="77777777" w:rsidR="00E2707B" w:rsidRDefault="00E2707B" w:rsidP="005935FE">
      <w:pPr>
        <w:pStyle w:val="DeptBullets"/>
        <w:numPr>
          <w:ilvl w:val="0"/>
          <w:numId w:val="0"/>
        </w:numPr>
        <w:spacing w:after="0"/>
        <w:rPr>
          <w:rFonts w:cs="Arial"/>
          <w:b/>
          <w:szCs w:val="24"/>
        </w:rPr>
      </w:pPr>
      <w:bookmarkStart w:id="0" w:name="_GoBack"/>
      <w:bookmarkEnd w:id="0"/>
    </w:p>
    <w:p w14:paraId="172138CF" w14:textId="77777777" w:rsidR="005935FE" w:rsidRDefault="005935FE" w:rsidP="005935FE">
      <w:pPr>
        <w:pStyle w:val="DeptBullets"/>
        <w:numPr>
          <w:ilvl w:val="0"/>
          <w:numId w:val="0"/>
        </w:numPr>
        <w:spacing w:after="0"/>
        <w:rPr>
          <w:rFonts w:cs="Arial"/>
          <w:b/>
          <w:szCs w:val="24"/>
        </w:rPr>
      </w:pPr>
      <w:r w:rsidRPr="005935FE">
        <w:rPr>
          <w:rFonts w:cs="Arial"/>
          <w:b/>
          <w:szCs w:val="24"/>
        </w:rPr>
        <w:t>Teachers’ Pension Scheme Pension Board – August, September and October 2015</w:t>
      </w:r>
    </w:p>
    <w:p w14:paraId="708D2A73" w14:textId="77777777" w:rsidR="00F13537" w:rsidRPr="005935FE" w:rsidRDefault="00F13537" w:rsidP="005935FE">
      <w:pPr>
        <w:pStyle w:val="DeptBullets"/>
        <w:numPr>
          <w:ilvl w:val="0"/>
          <w:numId w:val="0"/>
        </w:numPr>
        <w:spacing w:after="0"/>
        <w:rPr>
          <w:rFonts w:cs="Arial"/>
          <w:b/>
          <w:szCs w:val="24"/>
        </w:rPr>
      </w:pPr>
    </w:p>
    <w:p w14:paraId="72A26207" w14:textId="77777777" w:rsidR="005935FE" w:rsidRPr="005935FE" w:rsidRDefault="005935FE" w:rsidP="005935FE">
      <w:pPr>
        <w:rPr>
          <w:rFonts w:cs="Arial"/>
          <w:b/>
          <w:szCs w:val="24"/>
          <w:u w:val="single"/>
        </w:rPr>
      </w:pPr>
      <w:r w:rsidRPr="005935FE">
        <w:rPr>
          <w:rFonts w:cs="Arial"/>
          <w:szCs w:val="24"/>
        </w:rPr>
        <w:t xml:space="preserve">The purpose of this document is to advise the </w:t>
      </w:r>
      <w:r w:rsidR="00F13537">
        <w:rPr>
          <w:rFonts w:cs="Arial"/>
          <w:szCs w:val="24"/>
        </w:rPr>
        <w:t xml:space="preserve">TPS Pension </w:t>
      </w:r>
      <w:r w:rsidRPr="005935FE">
        <w:rPr>
          <w:rFonts w:cs="Arial"/>
          <w:szCs w:val="24"/>
        </w:rPr>
        <w:t>Board of recent key events relating to the administration of the scheme.</w:t>
      </w:r>
    </w:p>
    <w:p w14:paraId="5A97A818" w14:textId="77777777" w:rsidR="005935FE" w:rsidRPr="005935FE" w:rsidRDefault="005935FE" w:rsidP="005935FE">
      <w:pPr>
        <w:jc w:val="center"/>
        <w:rPr>
          <w:rFonts w:cs="Arial"/>
          <w:b/>
          <w:szCs w:val="24"/>
        </w:rPr>
      </w:pPr>
    </w:p>
    <w:p w14:paraId="07187CCF" w14:textId="77777777" w:rsidR="005935FE" w:rsidRPr="005935FE" w:rsidRDefault="005935FE" w:rsidP="005935FE">
      <w:pPr>
        <w:jc w:val="center"/>
        <w:rPr>
          <w:rFonts w:cs="Arial"/>
          <w:b/>
          <w:szCs w:val="24"/>
        </w:rPr>
      </w:pPr>
      <w:r w:rsidRPr="005935FE">
        <w:rPr>
          <w:rFonts w:cs="Arial"/>
          <w:b/>
          <w:szCs w:val="24"/>
        </w:rPr>
        <w:t>TP Administration Update</w:t>
      </w:r>
    </w:p>
    <w:p w14:paraId="5178CDBE" w14:textId="77777777" w:rsidR="005935FE" w:rsidRPr="005935FE" w:rsidRDefault="005935FE" w:rsidP="005935FE">
      <w:pPr>
        <w:jc w:val="center"/>
        <w:rPr>
          <w:rFonts w:cs="Arial"/>
          <w:b/>
          <w:szCs w:val="24"/>
        </w:rPr>
      </w:pPr>
    </w:p>
    <w:p w14:paraId="2279C2E0" w14:textId="77777777" w:rsidR="005935FE" w:rsidRDefault="005935FE" w:rsidP="005935FE">
      <w:pPr>
        <w:pStyle w:val="DeptBullets"/>
        <w:numPr>
          <w:ilvl w:val="0"/>
          <w:numId w:val="0"/>
        </w:numPr>
        <w:spacing w:after="0"/>
        <w:rPr>
          <w:rFonts w:cs="Arial"/>
          <w:szCs w:val="24"/>
        </w:rPr>
      </w:pPr>
      <w:r w:rsidRPr="005935FE">
        <w:rPr>
          <w:rFonts w:cs="Arial"/>
          <w:szCs w:val="24"/>
        </w:rPr>
        <w:t>This quarter saw the successful move of the whole of the TP operation from Mowden Hall to Lingfield Point, Darlington.  The move was subject to rigorous planning and implementation, there was a seamless transition</w:t>
      </w:r>
      <w:r w:rsidR="00F13537">
        <w:rPr>
          <w:rFonts w:cs="Arial"/>
          <w:szCs w:val="24"/>
        </w:rPr>
        <w:t>,</w:t>
      </w:r>
      <w:r w:rsidRPr="005935FE">
        <w:rPr>
          <w:rFonts w:cs="Arial"/>
          <w:szCs w:val="24"/>
        </w:rPr>
        <w:t xml:space="preserve"> with al</w:t>
      </w:r>
      <w:r w:rsidR="00F13537">
        <w:rPr>
          <w:rFonts w:cs="Arial"/>
          <w:szCs w:val="24"/>
        </w:rPr>
        <w:t>l</w:t>
      </w:r>
      <w:r w:rsidRPr="005935FE">
        <w:rPr>
          <w:rFonts w:cs="Arial"/>
          <w:szCs w:val="24"/>
        </w:rPr>
        <w:t xml:space="preserve"> business processes transferring without incident.  The move has been well received by staff and is expected to drive delivery of the vision and cultural change within TP</w:t>
      </w:r>
      <w:r>
        <w:rPr>
          <w:rFonts w:cs="Arial"/>
          <w:szCs w:val="24"/>
        </w:rPr>
        <w:t>.</w:t>
      </w:r>
    </w:p>
    <w:p w14:paraId="3435BE7A" w14:textId="77777777" w:rsidR="005935FE" w:rsidRPr="005935FE" w:rsidRDefault="005935FE" w:rsidP="005935FE">
      <w:pPr>
        <w:pStyle w:val="DeptBullets"/>
        <w:numPr>
          <w:ilvl w:val="0"/>
          <w:numId w:val="0"/>
        </w:numPr>
        <w:spacing w:after="0"/>
        <w:rPr>
          <w:rFonts w:cs="Arial"/>
          <w:szCs w:val="24"/>
        </w:rPr>
      </w:pPr>
    </w:p>
    <w:p w14:paraId="0CD92384" w14:textId="445C9DFE" w:rsidR="00EC4BB0" w:rsidRDefault="00F1700E" w:rsidP="005935FE">
      <w:pPr>
        <w:pStyle w:val="DeptBullets"/>
        <w:numPr>
          <w:ilvl w:val="0"/>
          <w:numId w:val="0"/>
        </w:numPr>
        <w:spacing w:after="0"/>
        <w:rPr>
          <w:rFonts w:cs="Arial"/>
          <w:szCs w:val="24"/>
        </w:rPr>
      </w:pPr>
      <w:r w:rsidRPr="00F1700E">
        <w:rPr>
          <w:rFonts w:cs="Arial"/>
          <w:szCs w:val="24"/>
        </w:rPr>
        <w:t xml:space="preserve">Last quarter TP gave a verbal update on the Fraud incident. The Police investigation continues with the case likely to come to court early in the </w:t>
      </w:r>
      <w:proofErr w:type="gramStart"/>
      <w:r w:rsidRPr="00F1700E">
        <w:rPr>
          <w:rFonts w:cs="Arial"/>
          <w:szCs w:val="24"/>
        </w:rPr>
        <w:t>new year</w:t>
      </w:r>
      <w:proofErr w:type="gramEnd"/>
      <w:r w:rsidRPr="00F1700E">
        <w:rPr>
          <w:rFonts w:cs="Arial"/>
          <w:szCs w:val="24"/>
        </w:rPr>
        <w:t xml:space="preserve">. Internal investigations are complete </w:t>
      </w:r>
      <w:r w:rsidR="006A632C" w:rsidRPr="006A632C">
        <w:rPr>
          <w:rFonts w:cs="Arial"/>
          <w:szCs w:val="24"/>
          <w:highlight w:val="black"/>
        </w:rPr>
        <w:t xml:space="preserve">redacted </w:t>
      </w:r>
      <w:proofErr w:type="spellStart"/>
      <w:r w:rsidR="006A632C" w:rsidRPr="006A632C">
        <w:rPr>
          <w:rFonts w:cs="Arial"/>
          <w:szCs w:val="24"/>
          <w:highlight w:val="black"/>
        </w:rPr>
        <w:t>redacted</w:t>
      </w:r>
      <w:proofErr w:type="spellEnd"/>
      <w:r w:rsidR="006A632C" w:rsidRPr="006A632C">
        <w:rPr>
          <w:rFonts w:cs="Arial"/>
          <w:szCs w:val="24"/>
          <w:highlight w:val="black"/>
        </w:rPr>
        <w:t xml:space="preserve"> </w:t>
      </w:r>
      <w:proofErr w:type="spellStart"/>
      <w:r w:rsidR="006A632C" w:rsidRPr="006A632C">
        <w:rPr>
          <w:rFonts w:cs="Arial"/>
          <w:szCs w:val="24"/>
          <w:highlight w:val="black"/>
        </w:rPr>
        <w:t>redacted</w:t>
      </w:r>
      <w:proofErr w:type="spellEnd"/>
      <w:r w:rsidR="006A632C" w:rsidRPr="006A632C">
        <w:rPr>
          <w:rFonts w:cs="Arial"/>
          <w:szCs w:val="24"/>
          <w:highlight w:val="black"/>
        </w:rPr>
        <w:t xml:space="preserve"> </w:t>
      </w:r>
      <w:proofErr w:type="spellStart"/>
      <w:r w:rsidR="006A632C" w:rsidRPr="006A632C">
        <w:rPr>
          <w:rFonts w:cs="Arial"/>
          <w:szCs w:val="24"/>
          <w:highlight w:val="black"/>
        </w:rPr>
        <w:t>redacted</w:t>
      </w:r>
      <w:proofErr w:type="spellEnd"/>
      <w:r w:rsidR="006A632C" w:rsidRPr="006A632C">
        <w:rPr>
          <w:rFonts w:cs="Arial"/>
          <w:szCs w:val="24"/>
          <w:highlight w:val="black"/>
        </w:rPr>
        <w:t xml:space="preserve"> </w:t>
      </w:r>
      <w:proofErr w:type="spellStart"/>
      <w:r w:rsidR="006A632C" w:rsidRPr="006A632C">
        <w:rPr>
          <w:rFonts w:cs="Arial"/>
          <w:szCs w:val="24"/>
          <w:highlight w:val="black"/>
        </w:rPr>
        <w:t>redacted</w:t>
      </w:r>
      <w:proofErr w:type="spellEnd"/>
      <w:r w:rsidRPr="00F1700E">
        <w:rPr>
          <w:rFonts w:cs="Arial"/>
          <w:szCs w:val="24"/>
        </w:rPr>
        <w:t>. No member suffered any detriment and Capita have indemnified the scheme in full.</w:t>
      </w:r>
    </w:p>
    <w:p w14:paraId="01344697" w14:textId="77777777" w:rsidR="005A1779" w:rsidRDefault="005A1779" w:rsidP="005935FE">
      <w:pPr>
        <w:pStyle w:val="DeptBullets"/>
        <w:numPr>
          <w:ilvl w:val="0"/>
          <w:numId w:val="0"/>
        </w:numPr>
        <w:spacing w:after="0"/>
        <w:rPr>
          <w:rFonts w:cs="Arial"/>
          <w:szCs w:val="24"/>
        </w:rPr>
      </w:pPr>
    </w:p>
    <w:p w14:paraId="4D84B4D8" w14:textId="74E5FF20" w:rsidR="005935FE" w:rsidRDefault="005A1779" w:rsidP="00F1700E">
      <w:pPr>
        <w:pStyle w:val="DeptBullets"/>
        <w:numPr>
          <w:ilvl w:val="0"/>
          <w:numId w:val="0"/>
        </w:numPr>
        <w:spacing w:after="0"/>
        <w:rPr>
          <w:rFonts w:cs="Arial"/>
          <w:szCs w:val="24"/>
        </w:rPr>
      </w:pPr>
      <w:r>
        <w:rPr>
          <w:rFonts w:cs="Arial"/>
          <w:szCs w:val="24"/>
        </w:rPr>
        <w:t>Actions continue to pursue employers who have not yet submitted their Annual Service Returns for 201</w:t>
      </w:r>
      <w:r w:rsidR="00FD1074">
        <w:rPr>
          <w:rFonts w:cs="Arial"/>
          <w:szCs w:val="24"/>
        </w:rPr>
        <w:t>4/15.  During October</w:t>
      </w:r>
      <w:r>
        <w:rPr>
          <w:rFonts w:cs="Arial"/>
          <w:szCs w:val="24"/>
        </w:rPr>
        <w:t xml:space="preserve"> TP contacted relevant employers and the Chair of School Governors (where appropriate) </w:t>
      </w:r>
      <w:r w:rsidR="00FD1074">
        <w:rPr>
          <w:rFonts w:cs="Arial"/>
          <w:szCs w:val="24"/>
        </w:rPr>
        <w:t xml:space="preserve">by email and post </w:t>
      </w:r>
      <w:r>
        <w:rPr>
          <w:rFonts w:cs="Arial"/>
          <w:szCs w:val="24"/>
        </w:rPr>
        <w:t xml:space="preserve">to advise that the return was overdue and </w:t>
      </w:r>
      <w:r w:rsidR="00FD1074">
        <w:rPr>
          <w:rFonts w:cs="Arial"/>
          <w:szCs w:val="24"/>
        </w:rPr>
        <w:t>the importance of the data.  The</w:t>
      </w:r>
      <w:r>
        <w:rPr>
          <w:rFonts w:cs="Arial"/>
          <w:szCs w:val="24"/>
        </w:rPr>
        <w:t>s</w:t>
      </w:r>
      <w:r w:rsidR="00FD1074">
        <w:rPr>
          <w:rFonts w:cs="Arial"/>
          <w:szCs w:val="24"/>
        </w:rPr>
        <w:t>e</w:t>
      </w:r>
      <w:r>
        <w:rPr>
          <w:rFonts w:cs="Arial"/>
          <w:szCs w:val="24"/>
        </w:rPr>
        <w:t xml:space="preserve"> advised employers that relevant members and unions would be notified of the delay and the matter would be reported to the Pensions Regulator.  During November </w:t>
      </w:r>
      <w:r w:rsidR="00E6720D">
        <w:rPr>
          <w:rFonts w:cs="Arial"/>
          <w:szCs w:val="24"/>
        </w:rPr>
        <w:t xml:space="preserve">TP will notify members advising them of the </w:t>
      </w:r>
      <w:proofErr w:type="gramStart"/>
      <w:r w:rsidR="00E6720D">
        <w:rPr>
          <w:rFonts w:cs="Arial"/>
          <w:szCs w:val="24"/>
        </w:rPr>
        <w:t>potential</w:t>
      </w:r>
      <w:proofErr w:type="gramEnd"/>
      <w:r w:rsidR="00E6720D">
        <w:rPr>
          <w:rFonts w:cs="Arial"/>
          <w:szCs w:val="24"/>
        </w:rPr>
        <w:t xml:space="preserve"> impact for them and will notify the Pensions Regulator.</w:t>
      </w:r>
    </w:p>
    <w:p w14:paraId="52472B0D" w14:textId="77777777" w:rsidR="005F5E08" w:rsidRDefault="005F5E08" w:rsidP="00F1700E">
      <w:pPr>
        <w:pStyle w:val="DeptBullets"/>
        <w:numPr>
          <w:ilvl w:val="0"/>
          <w:numId w:val="0"/>
        </w:numPr>
        <w:spacing w:after="0"/>
        <w:rPr>
          <w:rFonts w:cs="Arial"/>
          <w:szCs w:val="24"/>
        </w:rPr>
      </w:pPr>
    </w:p>
    <w:p w14:paraId="4D167548" w14:textId="33FB14F1" w:rsidR="00DE20A7" w:rsidRDefault="00DE20A7" w:rsidP="00DE20A7">
      <w:pPr>
        <w:rPr>
          <w:rFonts w:cs="Arial"/>
          <w:szCs w:val="24"/>
          <w:lang w:eastAsia="en-GB"/>
        </w:rPr>
      </w:pPr>
      <w:r>
        <w:rPr>
          <w:rFonts w:cs="Arial"/>
          <w:szCs w:val="24"/>
          <w:lang w:eastAsia="en-GB"/>
        </w:rPr>
        <w:t xml:space="preserve">The contract to provide medical advisory services </w:t>
      </w:r>
      <w:r w:rsidR="00654828">
        <w:rPr>
          <w:rFonts w:cs="Arial"/>
          <w:szCs w:val="24"/>
          <w:lang w:eastAsia="en-GB"/>
        </w:rPr>
        <w:t>(</w:t>
      </w:r>
      <w:r>
        <w:rPr>
          <w:rFonts w:cs="Arial"/>
          <w:szCs w:val="24"/>
          <w:lang w:eastAsia="en-GB"/>
        </w:rPr>
        <w:t>to make recommendations in relation to applications for ill health retirement</w:t>
      </w:r>
      <w:r w:rsidR="00654828">
        <w:rPr>
          <w:rFonts w:cs="Arial"/>
          <w:szCs w:val="24"/>
          <w:lang w:eastAsia="en-GB"/>
        </w:rPr>
        <w:t xml:space="preserve">) </w:t>
      </w:r>
      <w:r>
        <w:rPr>
          <w:rFonts w:cs="Arial"/>
          <w:szCs w:val="24"/>
          <w:lang w:eastAsia="en-GB"/>
        </w:rPr>
        <w:t>was subject to re-tender in January 2015.  OH Assist, the brand name of IT Atos Services UK Ltd, was successful (incumbent suppliers and the only bidder).  The contract was signed during July and</w:t>
      </w:r>
      <w:r w:rsidR="0079500F">
        <w:rPr>
          <w:rFonts w:cs="Arial"/>
          <w:szCs w:val="24"/>
          <w:lang w:eastAsia="en-GB"/>
        </w:rPr>
        <w:t xml:space="preserve"> August, coming</w:t>
      </w:r>
      <w:r>
        <w:rPr>
          <w:rFonts w:cs="Arial"/>
          <w:szCs w:val="24"/>
          <w:lang w:eastAsia="en-GB"/>
        </w:rPr>
        <w:t xml:space="preserve"> into force on 1 October 2015.</w:t>
      </w:r>
    </w:p>
    <w:p w14:paraId="719E19AE" w14:textId="77777777" w:rsidR="00DE20A7" w:rsidRDefault="00DE20A7" w:rsidP="00DE20A7">
      <w:pPr>
        <w:rPr>
          <w:rFonts w:cs="Arial"/>
          <w:szCs w:val="24"/>
          <w:lang w:eastAsia="en-GB"/>
        </w:rPr>
      </w:pPr>
    </w:p>
    <w:p w14:paraId="09A308F2" w14:textId="4157CF15" w:rsidR="00654828" w:rsidRDefault="00DE20A7" w:rsidP="00DE20A7">
      <w:pPr>
        <w:rPr>
          <w:rFonts w:cs="Arial"/>
          <w:szCs w:val="24"/>
          <w:lang w:eastAsia="en-GB"/>
        </w:rPr>
      </w:pPr>
      <w:r>
        <w:rPr>
          <w:rFonts w:cs="Arial"/>
          <w:szCs w:val="24"/>
          <w:lang w:eastAsia="en-GB"/>
        </w:rPr>
        <w:t>During a routine quarterly meeting in September, OH Assist</w:t>
      </w:r>
      <w:r w:rsidR="00D8440C">
        <w:rPr>
          <w:rFonts w:cs="Arial"/>
          <w:szCs w:val="24"/>
          <w:lang w:eastAsia="en-GB"/>
        </w:rPr>
        <w:t xml:space="preserve">, who </w:t>
      </w:r>
      <w:proofErr w:type="gramStart"/>
      <w:r w:rsidR="00D8440C">
        <w:rPr>
          <w:rFonts w:cs="Arial"/>
          <w:szCs w:val="24"/>
          <w:lang w:eastAsia="en-GB"/>
        </w:rPr>
        <w:t>provide</w:t>
      </w:r>
      <w:proofErr w:type="gramEnd"/>
      <w:r w:rsidR="00D8440C">
        <w:rPr>
          <w:rFonts w:cs="Arial"/>
          <w:szCs w:val="24"/>
          <w:lang w:eastAsia="en-GB"/>
        </w:rPr>
        <w:t xml:space="preserve"> medical services</w:t>
      </w:r>
      <w:r w:rsidR="00DE6A29">
        <w:rPr>
          <w:rFonts w:cs="Arial"/>
          <w:szCs w:val="24"/>
          <w:lang w:eastAsia="en-GB"/>
        </w:rPr>
        <w:t>,</w:t>
      </w:r>
      <w:r>
        <w:rPr>
          <w:rFonts w:cs="Arial"/>
          <w:szCs w:val="24"/>
          <w:lang w:eastAsia="en-GB"/>
        </w:rPr>
        <w:t xml:space="preserve"> advised that a Management Buy-Out had bee</w:t>
      </w:r>
      <w:r w:rsidR="0079500F">
        <w:rPr>
          <w:rFonts w:cs="Arial"/>
          <w:szCs w:val="24"/>
          <w:lang w:eastAsia="en-GB"/>
        </w:rPr>
        <w:t xml:space="preserve">n undertaken. </w:t>
      </w:r>
      <w:r>
        <w:rPr>
          <w:rFonts w:cs="Arial"/>
          <w:szCs w:val="24"/>
          <w:lang w:eastAsia="en-GB"/>
        </w:rPr>
        <w:t xml:space="preserve">At no point during the negotiations for procurement </w:t>
      </w:r>
      <w:r w:rsidR="00654828">
        <w:rPr>
          <w:rFonts w:cs="Arial"/>
          <w:szCs w:val="24"/>
          <w:lang w:eastAsia="en-GB"/>
        </w:rPr>
        <w:t>was this</w:t>
      </w:r>
      <w:r>
        <w:rPr>
          <w:rFonts w:cs="Arial"/>
          <w:szCs w:val="24"/>
          <w:lang w:eastAsia="en-GB"/>
        </w:rPr>
        <w:t xml:space="preserve"> change in status</w:t>
      </w:r>
      <w:r w:rsidR="00654828">
        <w:rPr>
          <w:rFonts w:cs="Arial"/>
          <w:szCs w:val="24"/>
          <w:lang w:eastAsia="en-GB"/>
        </w:rPr>
        <w:t xml:space="preserve"> mentioned</w:t>
      </w:r>
      <w:r>
        <w:rPr>
          <w:rFonts w:cs="Arial"/>
          <w:szCs w:val="24"/>
          <w:lang w:eastAsia="en-GB"/>
        </w:rPr>
        <w:t>.  At the end of September No</w:t>
      </w:r>
      <w:r w:rsidR="0079500F">
        <w:rPr>
          <w:rFonts w:cs="Arial"/>
          <w:szCs w:val="24"/>
          <w:lang w:eastAsia="en-GB"/>
        </w:rPr>
        <w:t>v</w:t>
      </w:r>
      <w:r>
        <w:rPr>
          <w:rFonts w:cs="Arial"/>
          <w:szCs w:val="24"/>
          <w:lang w:eastAsia="en-GB"/>
        </w:rPr>
        <w:t>ation paperwork was received requesting a change from IT Atos to the new OH Assist Ltd company.</w:t>
      </w:r>
      <w:r w:rsidR="00654828">
        <w:rPr>
          <w:rFonts w:cs="Arial"/>
          <w:szCs w:val="24"/>
          <w:lang w:eastAsia="en-GB"/>
        </w:rPr>
        <w:t xml:space="preserve"> </w:t>
      </w:r>
    </w:p>
    <w:p w14:paraId="25F496F3" w14:textId="77777777" w:rsidR="00654828" w:rsidRDefault="00654828" w:rsidP="00DE20A7">
      <w:pPr>
        <w:rPr>
          <w:rFonts w:cs="Arial"/>
          <w:szCs w:val="24"/>
          <w:lang w:eastAsia="en-GB"/>
        </w:rPr>
      </w:pPr>
    </w:p>
    <w:p w14:paraId="68351FCF" w14:textId="4477C1EF" w:rsidR="0079500F" w:rsidRDefault="00654828" w:rsidP="00DE20A7">
      <w:pPr>
        <w:rPr>
          <w:rFonts w:cs="Arial"/>
          <w:szCs w:val="24"/>
          <w:lang w:eastAsia="en-GB"/>
        </w:rPr>
      </w:pPr>
      <w:r>
        <w:rPr>
          <w:rFonts w:cs="Arial"/>
          <w:szCs w:val="24"/>
          <w:lang w:eastAsia="en-GB"/>
        </w:rPr>
        <w:t xml:space="preserve">A full suite of financial details have been </w:t>
      </w:r>
      <w:r w:rsidR="00DE6A29">
        <w:rPr>
          <w:rFonts w:cs="Arial"/>
          <w:szCs w:val="24"/>
          <w:lang w:eastAsia="en-GB"/>
        </w:rPr>
        <w:t xml:space="preserve">requested </w:t>
      </w:r>
      <w:r>
        <w:rPr>
          <w:rFonts w:cs="Arial"/>
          <w:szCs w:val="24"/>
          <w:lang w:eastAsia="en-GB"/>
        </w:rPr>
        <w:t>and a</w:t>
      </w:r>
      <w:r w:rsidR="00DE20A7">
        <w:rPr>
          <w:rFonts w:cs="Arial"/>
          <w:szCs w:val="24"/>
          <w:lang w:eastAsia="en-GB"/>
        </w:rPr>
        <w:t xml:space="preserve">dvice has been sought from legal advisers, procurement specialists and finance colleagues to ensure that risks identified </w:t>
      </w:r>
      <w:r w:rsidR="0079500F">
        <w:rPr>
          <w:rFonts w:cs="Arial"/>
          <w:szCs w:val="24"/>
          <w:lang w:eastAsia="en-GB"/>
        </w:rPr>
        <w:t>regarding</w:t>
      </w:r>
      <w:r w:rsidR="00DE20A7">
        <w:rPr>
          <w:rFonts w:cs="Arial"/>
          <w:szCs w:val="24"/>
          <w:lang w:eastAsia="en-GB"/>
        </w:rPr>
        <w:t xml:space="preserve"> the timing of the management buy-out are understood and have mitigations in place</w:t>
      </w:r>
      <w:r>
        <w:rPr>
          <w:rFonts w:cs="Arial"/>
          <w:szCs w:val="24"/>
          <w:lang w:eastAsia="en-GB"/>
        </w:rPr>
        <w:t xml:space="preserve">.  </w:t>
      </w:r>
      <w:r w:rsidR="0079500F">
        <w:rPr>
          <w:rFonts w:cs="Arial"/>
          <w:szCs w:val="24"/>
          <w:lang w:eastAsia="en-GB"/>
        </w:rPr>
        <w:t xml:space="preserve">The risk has been </w:t>
      </w:r>
      <w:r w:rsidR="00DE20A7">
        <w:rPr>
          <w:rFonts w:cs="Arial"/>
          <w:szCs w:val="24"/>
          <w:lang w:eastAsia="en-GB"/>
        </w:rPr>
        <w:t>rated as low as invoices</w:t>
      </w:r>
      <w:r>
        <w:rPr>
          <w:rFonts w:cs="Arial"/>
          <w:szCs w:val="24"/>
          <w:lang w:eastAsia="en-GB"/>
        </w:rPr>
        <w:t xml:space="preserve"> are paid</w:t>
      </w:r>
      <w:r w:rsidR="00DE20A7">
        <w:rPr>
          <w:rFonts w:cs="Arial"/>
          <w:szCs w:val="24"/>
          <w:lang w:eastAsia="en-GB"/>
        </w:rPr>
        <w:t xml:space="preserve"> on a monthly basis </w:t>
      </w:r>
      <w:r>
        <w:rPr>
          <w:rFonts w:cs="Arial"/>
          <w:szCs w:val="24"/>
          <w:lang w:eastAsia="en-GB"/>
        </w:rPr>
        <w:t>and payment can be</w:t>
      </w:r>
      <w:r w:rsidR="00DE20A7">
        <w:rPr>
          <w:rFonts w:cs="Arial"/>
          <w:szCs w:val="24"/>
          <w:lang w:eastAsia="en-GB"/>
        </w:rPr>
        <w:t xml:space="preserve"> withh</w:t>
      </w:r>
      <w:r>
        <w:rPr>
          <w:rFonts w:cs="Arial"/>
          <w:szCs w:val="24"/>
          <w:lang w:eastAsia="en-GB"/>
        </w:rPr>
        <w:t xml:space="preserve">eld, </w:t>
      </w:r>
      <w:r w:rsidR="00DE20A7">
        <w:rPr>
          <w:rFonts w:cs="Arial"/>
          <w:szCs w:val="24"/>
          <w:lang w:eastAsia="en-GB"/>
        </w:rPr>
        <w:t xml:space="preserve">if required. </w:t>
      </w:r>
      <w:r w:rsidR="0079500F">
        <w:rPr>
          <w:rFonts w:cs="Arial"/>
          <w:szCs w:val="24"/>
          <w:lang w:eastAsia="en-GB"/>
        </w:rPr>
        <w:t>D</w:t>
      </w:r>
      <w:r w:rsidR="00DE20A7">
        <w:rPr>
          <w:rFonts w:cs="Arial"/>
          <w:szCs w:val="24"/>
          <w:lang w:eastAsia="en-GB"/>
        </w:rPr>
        <w:t>iscussion</w:t>
      </w:r>
      <w:r w:rsidR="0079500F">
        <w:rPr>
          <w:rFonts w:cs="Arial"/>
          <w:szCs w:val="24"/>
          <w:lang w:eastAsia="en-GB"/>
        </w:rPr>
        <w:t xml:space="preserve">s continue </w:t>
      </w:r>
      <w:r w:rsidR="00DE20A7">
        <w:rPr>
          <w:rFonts w:cs="Arial"/>
          <w:szCs w:val="24"/>
          <w:lang w:eastAsia="en-GB"/>
        </w:rPr>
        <w:t xml:space="preserve">with </w:t>
      </w:r>
      <w:r w:rsidR="0079500F">
        <w:rPr>
          <w:rFonts w:cs="Arial"/>
          <w:szCs w:val="24"/>
          <w:lang w:eastAsia="en-GB"/>
        </w:rPr>
        <w:t>p</w:t>
      </w:r>
      <w:r w:rsidR="00DE20A7">
        <w:rPr>
          <w:rFonts w:cs="Arial"/>
          <w:szCs w:val="24"/>
          <w:lang w:eastAsia="en-GB"/>
        </w:rPr>
        <w:t xml:space="preserve">rocurement colleagues to determine if a Novation agreement for the full contract is appropriate or whether we Novate </w:t>
      </w:r>
      <w:r w:rsidR="00DE20A7">
        <w:rPr>
          <w:rFonts w:cs="Arial"/>
          <w:szCs w:val="24"/>
          <w:lang w:eastAsia="en-GB"/>
        </w:rPr>
        <w:lastRenderedPageBreak/>
        <w:t>for a short period and re-procure.</w:t>
      </w:r>
    </w:p>
    <w:p w14:paraId="29431933" w14:textId="77777777" w:rsidR="0079500F" w:rsidRDefault="0079500F" w:rsidP="00DE20A7">
      <w:pPr>
        <w:rPr>
          <w:rFonts w:cs="Arial"/>
          <w:szCs w:val="24"/>
          <w:lang w:eastAsia="en-GB"/>
        </w:rPr>
      </w:pPr>
    </w:p>
    <w:p w14:paraId="594C0FD6" w14:textId="2A51A730" w:rsidR="00DE20A7" w:rsidRDefault="0079500F" w:rsidP="00DE20A7">
      <w:pPr>
        <w:rPr>
          <w:rFonts w:cs="Arial"/>
          <w:szCs w:val="24"/>
          <w:lang w:eastAsia="en-GB"/>
        </w:rPr>
      </w:pPr>
      <w:r>
        <w:rPr>
          <w:rFonts w:cs="Arial"/>
          <w:szCs w:val="24"/>
          <w:lang w:eastAsia="en-GB"/>
        </w:rPr>
        <w:t>T</w:t>
      </w:r>
      <w:r w:rsidR="00DE20A7">
        <w:rPr>
          <w:rFonts w:cs="Arial"/>
          <w:szCs w:val="24"/>
          <w:lang w:eastAsia="en-GB"/>
        </w:rPr>
        <w:t xml:space="preserve">he service has not been impacted by the issue and the Doctors dealing with ill health applications remain in post and will move to the new company.  </w:t>
      </w:r>
      <w:r>
        <w:rPr>
          <w:rFonts w:cs="Arial"/>
          <w:szCs w:val="24"/>
          <w:lang w:eastAsia="en-GB"/>
        </w:rPr>
        <w:t xml:space="preserve">Further updates will be provided. </w:t>
      </w:r>
    </w:p>
    <w:p w14:paraId="7790D0B1" w14:textId="77777777" w:rsidR="00654828" w:rsidRDefault="00654828" w:rsidP="00DE20A7">
      <w:pPr>
        <w:rPr>
          <w:rFonts w:cs="Arial"/>
          <w:szCs w:val="24"/>
          <w:lang w:eastAsia="en-GB"/>
        </w:rPr>
      </w:pPr>
    </w:p>
    <w:p w14:paraId="771A9FD4" w14:textId="77777777" w:rsidR="005A1779" w:rsidRPr="005935FE" w:rsidRDefault="005A1779" w:rsidP="005935FE">
      <w:pPr>
        <w:jc w:val="center"/>
        <w:rPr>
          <w:rFonts w:cs="Arial"/>
          <w:b/>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3961AE34" w14:textId="77777777" w:rsidTr="005D59B2">
        <w:tc>
          <w:tcPr>
            <w:tcW w:w="7230" w:type="dxa"/>
          </w:tcPr>
          <w:p w14:paraId="537279C2" w14:textId="77777777" w:rsidR="005935FE" w:rsidRPr="005935FE" w:rsidRDefault="005935FE" w:rsidP="005935FE">
            <w:pPr>
              <w:rPr>
                <w:rFonts w:cs="Arial"/>
                <w:b/>
                <w:color w:val="000000"/>
                <w:szCs w:val="24"/>
                <w:lang w:eastAsia="en-GB"/>
              </w:rPr>
            </w:pPr>
            <w:r w:rsidRPr="005935FE">
              <w:rPr>
                <w:rFonts w:cs="Arial"/>
                <w:b/>
                <w:color w:val="000000"/>
                <w:szCs w:val="24"/>
                <w:lang w:eastAsia="en-GB"/>
              </w:rPr>
              <w:t>Customer Satisfaction</w:t>
            </w:r>
          </w:p>
          <w:p w14:paraId="69B5D6F9" w14:textId="77777777" w:rsidR="005935FE" w:rsidRPr="005935FE" w:rsidRDefault="005935FE" w:rsidP="005935FE">
            <w:pPr>
              <w:rPr>
                <w:rFonts w:cs="Arial"/>
                <w:b/>
                <w:szCs w:val="24"/>
              </w:rPr>
            </w:pPr>
          </w:p>
        </w:tc>
        <w:tc>
          <w:tcPr>
            <w:tcW w:w="1134" w:type="dxa"/>
            <w:shd w:val="clear" w:color="auto" w:fill="FFC000"/>
          </w:tcPr>
          <w:p w14:paraId="000503F3" w14:textId="77777777" w:rsidR="005935FE" w:rsidRPr="005935FE" w:rsidRDefault="005935FE" w:rsidP="005935FE">
            <w:pPr>
              <w:rPr>
                <w:rFonts w:cs="Arial"/>
                <w:color w:val="FFFF00"/>
                <w:szCs w:val="24"/>
              </w:rPr>
            </w:pPr>
          </w:p>
          <w:p w14:paraId="5B752D8F" w14:textId="77777777" w:rsidR="005935FE" w:rsidRPr="005935FE" w:rsidRDefault="00E2707B" w:rsidP="005935FE">
            <w:pPr>
              <w:rPr>
                <w:rFonts w:cs="Arial"/>
                <w:color w:val="00B050"/>
                <w:szCs w:val="24"/>
              </w:rPr>
            </w:pPr>
            <w:r>
              <w:rPr>
                <w:rFonts w:cs="Arial"/>
                <w:noProof/>
                <w:color w:val="00B050"/>
                <w:szCs w:val="24"/>
                <w:lang w:eastAsia="en-GB"/>
              </w:rPr>
              <mc:AlternateContent>
                <mc:Choice Requires="wps">
                  <w:drawing>
                    <wp:anchor distT="0" distB="0" distL="114300" distR="114300" simplePos="0" relativeHeight="251659264" behindDoc="0" locked="0" layoutInCell="1" allowOverlap="1" wp14:anchorId="63A42D9D" wp14:editId="2C76C7D0">
                      <wp:simplePos x="0" y="0"/>
                      <wp:positionH relativeFrom="column">
                        <wp:posOffset>133350</wp:posOffset>
                      </wp:positionH>
                      <wp:positionV relativeFrom="paragraph">
                        <wp:posOffset>24765</wp:posOffset>
                      </wp:positionV>
                      <wp:extent cx="350520" cy="0"/>
                      <wp:effectExtent l="0" t="76200" r="30480" b="152400"/>
                      <wp:wrapNone/>
                      <wp:docPr id="1" name="Straight Arrow Connector 1"/>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pt;margin-top:1.95pt;width:2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" strokecolor="black [3200]" strokeweight="2pt">
                      <v:stroke endarrow="open"/>
                      <v:shadow on="t" color="black" opacity="24903f" origin=",.5" offset="0,.55556mm"/>
                    </v:shape>
                  </w:pict>
                </mc:Fallback>
              </mc:AlternateContent>
            </w:r>
          </w:p>
        </w:tc>
      </w:tr>
    </w:tbl>
    <w:p w14:paraId="7364CDC4" w14:textId="77777777" w:rsidR="005935FE" w:rsidRDefault="005935FE" w:rsidP="005935FE">
      <w:pPr>
        <w:pStyle w:val="DeptBullets"/>
        <w:numPr>
          <w:ilvl w:val="0"/>
          <w:numId w:val="0"/>
        </w:numPr>
        <w:spacing w:after="0"/>
        <w:rPr>
          <w:rFonts w:cs="Arial"/>
          <w:szCs w:val="24"/>
        </w:rPr>
      </w:pPr>
    </w:p>
    <w:p w14:paraId="7D36BFFA" w14:textId="77777777" w:rsidR="005935FE" w:rsidRDefault="005935FE" w:rsidP="005935FE">
      <w:pPr>
        <w:pStyle w:val="DeptBullets"/>
        <w:numPr>
          <w:ilvl w:val="0"/>
          <w:numId w:val="0"/>
        </w:numPr>
        <w:spacing w:after="0"/>
        <w:rPr>
          <w:rFonts w:cs="Arial"/>
          <w:szCs w:val="24"/>
        </w:rPr>
      </w:pPr>
      <w:r w:rsidRPr="00FE1B8F">
        <w:rPr>
          <w:rFonts w:cs="Arial"/>
          <w:szCs w:val="24"/>
        </w:rPr>
        <w:t xml:space="preserve">The regime of obtaining customer satisfaction as members and employer touch the operation continues with </w:t>
      </w:r>
      <w:r w:rsidR="000F43AE">
        <w:rPr>
          <w:rFonts w:cs="Arial"/>
          <w:szCs w:val="24"/>
        </w:rPr>
        <w:t xml:space="preserve">12,143 </w:t>
      </w:r>
      <w:r w:rsidR="000F43AE" w:rsidRPr="00FE1B8F">
        <w:rPr>
          <w:rFonts w:cs="Arial"/>
          <w:szCs w:val="24"/>
        </w:rPr>
        <w:t>items</w:t>
      </w:r>
      <w:r w:rsidRPr="00FE1B8F">
        <w:rPr>
          <w:rFonts w:cs="Arial"/>
          <w:szCs w:val="24"/>
        </w:rPr>
        <w:t xml:space="preserve"> of feedback received from members this quarter and </w:t>
      </w:r>
      <w:r w:rsidR="000F43AE">
        <w:rPr>
          <w:rFonts w:cs="Arial"/>
          <w:szCs w:val="24"/>
        </w:rPr>
        <w:t xml:space="preserve">542 </w:t>
      </w:r>
      <w:r w:rsidRPr="00FE1B8F">
        <w:rPr>
          <w:rFonts w:cs="Arial"/>
          <w:szCs w:val="24"/>
        </w:rPr>
        <w:t>received from employers.</w:t>
      </w:r>
      <w:r w:rsidR="006872B4">
        <w:rPr>
          <w:rFonts w:cs="Arial"/>
          <w:szCs w:val="24"/>
        </w:rPr>
        <w:t xml:space="preserve">  </w:t>
      </w:r>
      <w:r w:rsidRPr="00FE1B8F">
        <w:rPr>
          <w:rFonts w:cs="Arial"/>
          <w:szCs w:val="24"/>
        </w:rPr>
        <w:t>Member feedback is good across all measures, the contact centre achieving higher scores than other areas.</w:t>
      </w:r>
    </w:p>
    <w:p w14:paraId="386FC9B0" w14:textId="77777777" w:rsidR="005935FE" w:rsidRPr="00FE1B8F" w:rsidRDefault="005935FE" w:rsidP="005935FE">
      <w:pPr>
        <w:pStyle w:val="DeptBullets"/>
        <w:numPr>
          <w:ilvl w:val="0"/>
          <w:numId w:val="0"/>
        </w:numPr>
        <w:spacing w:after="0"/>
        <w:rPr>
          <w:rFonts w:cs="Arial"/>
          <w:szCs w:val="24"/>
        </w:rPr>
      </w:pPr>
    </w:p>
    <w:p w14:paraId="3399461F" w14:textId="77777777" w:rsidR="005935FE" w:rsidRDefault="005935FE" w:rsidP="005935FE">
      <w:pPr>
        <w:pStyle w:val="DeptBullets"/>
        <w:numPr>
          <w:ilvl w:val="0"/>
          <w:numId w:val="0"/>
        </w:numPr>
        <w:spacing w:after="0"/>
        <w:rPr>
          <w:rFonts w:cs="Arial"/>
          <w:szCs w:val="24"/>
        </w:rPr>
      </w:pPr>
      <w:r w:rsidRPr="00FE1B8F">
        <w:rPr>
          <w:rFonts w:cs="Arial"/>
          <w:szCs w:val="24"/>
        </w:rPr>
        <w:t>Employer feedback is improving although still below target.  A significant employer portal issue was addressed in September and an improved search facility as part of the Employer Portal was implemented during this period. This initiative appear</w:t>
      </w:r>
      <w:r>
        <w:rPr>
          <w:rFonts w:cs="Arial"/>
          <w:szCs w:val="24"/>
        </w:rPr>
        <w:t>s</w:t>
      </w:r>
      <w:r w:rsidRPr="00FE1B8F">
        <w:rPr>
          <w:rFonts w:cs="Arial"/>
          <w:szCs w:val="24"/>
        </w:rPr>
        <w:t xml:space="preserve"> to have addressed concerns but the amber rating will remain until the performance indicators for both areas are met.</w:t>
      </w:r>
    </w:p>
    <w:p w14:paraId="1A23DD4B" w14:textId="77777777" w:rsidR="005935FE" w:rsidRDefault="005935FE" w:rsidP="005935FE">
      <w:pPr>
        <w:pStyle w:val="DeptBullets"/>
        <w:numPr>
          <w:ilvl w:val="0"/>
          <w:numId w:val="0"/>
        </w:numPr>
        <w:spacing w:after="0"/>
        <w:rPr>
          <w:rFonts w:cs="Arial"/>
          <w:szCs w:val="24"/>
        </w:rPr>
      </w:pPr>
    </w:p>
    <w:p w14:paraId="6CED4B67" w14:textId="77777777" w:rsidR="005935FE" w:rsidRDefault="005935FE" w:rsidP="005935FE">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5E61EF31" w14:textId="77777777" w:rsidTr="005D59B2">
        <w:tc>
          <w:tcPr>
            <w:tcW w:w="7230" w:type="dxa"/>
          </w:tcPr>
          <w:p w14:paraId="6672A15B" w14:textId="77777777" w:rsidR="005935FE" w:rsidRPr="005935FE" w:rsidRDefault="005935FE" w:rsidP="005935FE">
            <w:pPr>
              <w:rPr>
                <w:rFonts w:cs="Arial"/>
                <w:b/>
                <w:color w:val="000000"/>
                <w:szCs w:val="24"/>
                <w:lang w:eastAsia="en-GB"/>
              </w:rPr>
            </w:pPr>
            <w:r w:rsidRPr="005935FE">
              <w:rPr>
                <w:rFonts w:cs="Arial"/>
                <w:b/>
                <w:color w:val="000000"/>
                <w:szCs w:val="24"/>
                <w:lang w:eastAsia="en-GB"/>
              </w:rPr>
              <w:t>SLAs and KPIs</w:t>
            </w:r>
          </w:p>
          <w:p w14:paraId="56A51253" w14:textId="77777777" w:rsidR="005935FE" w:rsidRPr="005935FE" w:rsidRDefault="005935FE" w:rsidP="005935FE">
            <w:pPr>
              <w:rPr>
                <w:rFonts w:cs="Arial"/>
                <w:b/>
                <w:szCs w:val="24"/>
              </w:rPr>
            </w:pPr>
          </w:p>
        </w:tc>
        <w:tc>
          <w:tcPr>
            <w:tcW w:w="1134" w:type="dxa"/>
            <w:shd w:val="clear" w:color="auto" w:fill="FFC000"/>
          </w:tcPr>
          <w:p w14:paraId="15BCD412" w14:textId="77777777" w:rsidR="005935FE" w:rsidRPr="005935FE" w:rsidRDefault="005935FE" w:rsidP="005935FE">
            <w:pPr>
              <w:rPr>
                <w:rFonts w:cs="Arial"/>
                <w:color w:val="FFFF00"/>
                <w:szCs w:val="24"/>
              </w:rPr>
            </w:pPr>
          </w:p>
          <w:p w14:paraId="082068D2" w14:textId="77777777" w:rsidR="005935FE" w:rsidRPr="005935FE" w:rsidRDefault="00E2707B" w:rsidP="005935FE">
            <w:pPr>
              <w:rPr>
                <w:rFonts w:cs="Arial"/>
                <w:color w:val="00B050"/>
                <w:szCs w:val="24"/>
              </w:rPr>
            </w:pPr>
            <w:r>
              <w:rPr>
                <w:rFonts w:cs="Arial"/>
                <w:noProof/>
                <w:color w:val="00B050"/>
                <w:szCs w:val="24"/>
                <w:lang w:eastAsia="en-GB"/>
              </w:rPr>
              <mc:AlternateContent>
                <mc:Choice Requires="wps">
                  <w:drawing>
                    <wp:anchor distT="0" distB="0" distL="114300" distR="114300" simplePos="0" relativeHeight="251661312" behindDoc="0" locked="0" layoutInCell="1" allowOverlap="1" wp14:anchorId="63DC3FFE" wp14:editId="138FCD6A">
                      <wp:simplePos x="0" y="0"/>
                      <wp:positionH relativeFrom="column">
                        <wp:posOffset>95250</wp:posOffset>
                      </wp:positionH>
                      <wp:positionV relativeFrom="paragraph">
                        <wp:posOffset>12065</wp:posOffset>
                      </wp:positionV>
                      <wp:extent cx="350520" cy="0"/>
                      <wp:effectExtent l="0" t="76200" r="30480" b="152400"/>
                      <wp:wrapNone/>
                      <wp:docPr id="2" name="Straight Arrow Connector 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7.5pt;margin-top:.95pt;width:27.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MU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" strokecolor="windowText" strokeweight="2pt">
                      <v:stroke endarrow="open"/>
                      <v:shadow on="t" color="black" opacity="24903f" origin=",.5" offset="0,.55556mm"/>
                    </v:shape>
                  </w:pict>
                </mc:Fallback>
              </mc:AlternateContent>
            </w:r>
          </w:p>
        </w:tc>
      </w:tr>
    </w:tbl>
    <w:p w14:paraId="6E221FC3" w14:textId="77777777" w:rsidR="005935FE" w:rsidRPr="005935FE" w:rsidRDefault="005935FE" w:rsidP="005935FE">
      <w:pPr>
        <w:jc w:val="center"/>
        <w:rPr>
          <w:rFonts w:cs="Arial"/>
          <w:b/>
          <w:szCs w:val="24"/>
        </w:rPr>
      </w:pPr>
    </w:p>
    <w:p w14:paraId="2E296A6F" w14:textId="1C6E65E1" w:rsidR="005935FE" w:rsidRDefault="005935FE" w:rsidP="005935FE">
      <w:pPr>
        <w:pStyle w:val="DeptBullets"/>
        <w:numPr>
          <w:ilvl w:val="0"/>
          <w:numId w:val="0"/>
        </w:numPr>
        <w:spacing w:after="0"/>
        <w:rPr>
          <w:rFonts w:cs="Arial"/>
          <w:szCs w:val="24"/>
        </w:rPr>
      </w:pPr>
      <w:r w:rsidRPr="00FE1B8F">
        <w:rPr>
          <w:rFonts w:cs="Arial"/>
          <w:szCs w:val="24"/>
        </w:rPr>
        <w:t xml:space="preserve">Last quarter </w:t>
      </w:r>
      <w:r w:rsidR="006872B4">
        <w:rPr>
          <w:rFonts w:cs="Arial"/>
          <w:szCs w:val="24"/>
        </w:rPr>
        <w:t>it was</w:t>
      </w:r>
      <w:r w:rsidRPr="00FE1B8F">
        <w:rPr>
          <w:rFonts w:cs="Arial"/>
          <w:szCs w:val="24"/>
        </w:rPr>
        <w:t xml:space="preserve"> reported that achievement of Service Level Agreements (SLAs) had been generally good but there had been a dip in service due to IT issues in May.  The matter had been escalated to the Quarterly Strategy Board (QSB) and the department received a number of assurances at the QSB meeting in June.  The improved oversight and monitoring of the IT environment was effective with no significant issues during June, July and August.  However, there was a significant loss of IT service that started 14.30 on 22 September and was not resolved until 18.00 that following day</w:t>
      </w:r>
      <w:r w:rsidR="005A1779">
        <w:rPr>
          <w:rFonts w:cs="Arial"/>
          <w:szCs w:val="24"/>
        </w:rPr>
        <w:t>.  In order to give assurance</w:t>
      </w:r>
      <w:r w:rsidRPr="00FE1B8F">
        <w:rPr>
          <w:rFonts w:cs="Arial"/>
          <w:szCs w:val="24"/>
        </w:rPr>
        <w:t xml:space="preserve"> to the department a detailed incident report was shared, the contract team have identified areas of IT delivery where further assurance is needed and work to provide this is ongoing.</w:t>
      </w:r>
    </w:p>
    <w:p w14:paraId="05E50210" w14:textId="77777777" w:rsidR="004A41A2" w:rsidRPr="00FE1B8F" w:rsidRDefault="004A41A2" w:rsidP="005935FE">
      <w:pPr>
        <w:pStyle w:val="DeptBullets"/>
        <w:numPr>
          <w:ilvl w:val="0"/>
          <w:numId w:val="0"/>
        </w:numPr>
        <w:spacing w:after="0"/>
        <w:rPr>
          <w:rFonts w:cs="Arial"/>
          <w:szCs w:val="24"/>
        </w:rPr>
      </w:pPr>
    </w:p>
    <w:p w14:paraId="3D8CDC35" w14:textId="77777777" w:rsidR="005935FE" w:rsidRDefault="005935FE" w:rsidP="005935FE">
      <w:pPr>
        <w:pStyle w:val="DeptBullets"/>
        <w:numPr>
          <w:ilvl w:val="0"/>
          <w:numId w:val="0"/>
        </w:numPr>
        <w:spacing w:after="0"/>
        <w:rPr>
          <w:rFonts w:cs="Arial"/>
          <w:szCs w:val="24"/>
        </w:rPr>
      </w:pPr>
      <w:r w:rsidRPr="00FE1B8F">
        <w:rPr>
          <w:rFonts w:cs="Arial"/>
          <w:szCs w:val="24"/>
        </w:rPr>
        <w:t xml:space="preserve">The outage led to a backlog of </w:t>
      </w:r>
      <w:r w:rsidR="006872B4">
        <w:rPr>
          <w:rFonts w:cs="Arial"/>
          <w:szCs w:val="24"/>
        </w:rPr>
        <w:t>around</w:t>
      </w:r>
      <w:r w:rsidRPr="00FE1B8F">
        <w:rPr>
          <w:rFonts w:cs="Arial"/>
          <w:szCs w:val="24"/>
        </w:rPr>
        <w:t xml:space="preserve"> 4,000 work items, less than a month before the planned move to Lingfield Point.  The department was not prepared to allow the transfer of operation to the new site when a backlog of work existed, so in response TP set up a dedicated team of 15 made up of staff from other contracts and temporary staff (who were due to be released) to work through the backlog.  This team successful</w:t>
      </w:r>
      <w:r w:rsidR="006872B4">
        <w:rPr>
          <w:rFonts w:cs="Arial"/>
          <w:szCs w:val="24"/>
        </w:rPr>
        <w:t>ly</w:t>
      </w:r>
      <w:r w:rsidRPr="00FE1B8F">
        <w:rPr>
          <w:rFonts w:cs="Arial"/>
          <w:szCs w:val="24"/>
        </w:rPr>
        <w:t xml:space="preserve"> </w:t>
      </w:r>
      <w:r w:rsidR="006872B4">
        <w:rPr>
          <w:rFonts w:cs="Arial"/>
          <w:szCs w:val="24"/>
        </w:rPr>
        <w:t xml:space="preserve">cleared the backlog </w:t>
      </w:r>
      <w:r w:rsidRPr="00FE1B8F">
        <w:rPr>
          <w:rFonts w:cs="Arial"/>
          <w:szCs w:val="24"/>
        </w:rPr>
        <w:t>before the move.</w:t>
      </w:r>
    </w:p>
    <w:p w14:paraId="5FE8A02A" w14:textId="77777777" w:rsidR="004A41A2" w:rsidRPr="00FE1B8F" w:rsidRDefault="004A41A2" w:rsidP="005935FE">
      <w:pPr>
        <w:pStyle w:val="DeptBullets"/>
        <w:numPr>
          <w:ilvl w:val="0"/>
          <w:numId w:val="0"/>
        </w:numPr>
        <w:spacing w:after="0"/>
        <w:rPr>
          <w:rFonts w:cs="Arial"/>
          <w:szCs w:val="24"/>
        </w:rPr>
      </w:pPr>
    </w:p>
    <w:p w14:paraId="7A554CF6" w14:textId="77777777" w:rsidR="005935FE" w:rsidRPr="00FE1B8F" w:rsidRDefault="005935FE" w:rsidP="005935FE">
      <w:pPr>
        <w:pStyle w:val="DeptBullets"/>
        <w:numPr>
          <w:ilvl w:val="0"/>
          <w:numId w:val="0"/>
        </w:numPr>
        <w:spacing w:after="0"/>
        <w:rPr>
          <w:rFonts w:cs="Arial"/>
          <w:szCs w:val="24"/>
        </w:rPr>
      </w:pPr>
      <w:r w:rsidRPr="00FE1B8F">
        <w:rPr>
          <w:rFonts w:cs="Arial"/>
          <w:szCs w:val="24"/>
        </w:rPr>
        <w:t>SLAs are “counted” when the cases are closed, so the incident has a significant effect on the achievement of SLAs for September and October.  TP have provided separate information for the ach</w:t>
      </w:r>
      <w:r w:rsidR="005A1779">
        <w:rPr>
          <w:rFonts w:cs="Arial"/>
          <w:szCs w:val="24"/>
        </w:rPr>
        <w:t>ievement against target for the</w:t>
      </w:r>
      <w:r w:rsidRPr="00FE1B8F">
        <w:rPr>
          <w:rFonts w:cs="Arial"/>
          <w:szCs w:val="24"/>
        </w:rPr>
        <w:t xml:space="preserve"> work received in October and this has been good.</w:t>
      </w:r>
    </w:p>
    <w:tbl>
      <w:tblPr>
        <w:tblStyle w:val="TableGrid"/>
        <w:tblW w:w="0" w:type="auto"/>
        <w:tblInd w:w="108" w:type="dxa"/>
        <w:tblLook w:val="04A0" w:firstRow="1" w:lastRow="0" w:firstColumn="1" w:lastColumn="0" w:noHBand="0" w:noVBand="1"/>
      </w:tblPr>
      <w:tblGrid>
        <w:gridCol w:w="7230"/>
        <w:gridCol w:w="1134"/>
      </w:tblGrid>
      <w:tr w:rsidR="005935FE" w:rsidRPr="005935FE" w14:paraId="3A6BBF46" w14:textId="77777777" w:rsidTr="005D59B2">
        <w:tc>
          <w:tcPr>
            <w:tcW w:w="7230" w:type="dxa"/>
          </w:tcPr>
          <w:p w14:paraId="1C53B11A" w14:textId="77777777" w:rsidR="005935FE" w:rsidRPr="005935FE" w:rsidRDefault="005935FE" w:rsidP="005935FE">
            <w:pPr>
              <w:rPr>
                <w:rFonts w:cs="Arial"/>
                <w:b/>
                <w:color w:val="000000"/>
                <w:szCs w:val="24"/>
                <w:lang w:eastAsia="en-GB"/>
              </w:rPr>
            </w:pPr>
            <w:r w:rsidRPr="005935FE">
              <w:rPr>
                <w:rFonts w:cs="Arial"/>
                <w:b/>
                <w:color w:val="000000"/>
                <w:szCs w:val="24"/>
                <w:lang w:eastAsia="en-GB"/>
              </w:rPr>
              <w:lastRenderedPageBreak/>
              <w:t>Legislative Changes</w:t>
            </w:r>
          </w:p>
          <w:p w14:paraId="51BDE240" w14:textId="77777777" w:rsidR="005935FE" w:rsidRPr="005935FE" w:rsidRDefault="005935FE" w:rsidP="005935FE">
            <w:pPr>
              <w:rPr>
                <w:rFonts w:cs="Arial"/>
                <w:b/>
                <w:szCs w:val="24"/>
              </w:rPr>
            </w:pPr>
          </w:p>
        </w:tc>
        <w:tc>
          <w:tcPr>
            <w:tcW w:w="1134" w:type="dxa"/>
            <w:shd w:val="clear" w:color="auto" w:fill="00B050"/>
          </w:tcPr>
          <w:p w14:paraId="7C9D86BD" w14:textId="77777777" w:rsidR="005935FE" w:rsidRPr="005935FE" w:rsidRDefault="005935FE" w:rsidP="005935FE">
            <w:pPr>
              <w:rPr>
                <w:rFonts w:cs="Arial"/>
                <w:color w:val="00B050"/>
                <w:szCs w:val="24"/>
              </w:rPr>
            </w:pPr>
          </w:p>
          <w:p w14:paraId="42470A87" w14:textId="77777777" w:rsidR="005935FE" w:rsidRPr="005935FE" w:rsidRDefault="00E2707B" w:rsidP="005935FE">
            <w:pPr>
              <w:rPr>
                <w:rFonts w:cs="Arial"/>
                <w:color w:val="00B050"/>
                <w:szCs w:val="24"/>
              </w:rPr>
            </w:pPr>
            <w:r>
              <w:rPr>
                <w:rFonts w:cs="Arial"/>
                <w:noProof/>
                <w:color w:val="00B050"/>
                <w:szCs w:val="24"/>
                <w:lang w:eastAsia="en-GB"/>
              </w:rPr>
              <mc:AlternateContent>
                <mc:Choice Requires="wps">
                  <w:drawing>
                    <wp:anchor distT="0" distB="0" distL="114300" distR="114300" simplePos="0" relativeHeight="251663360" behindDoc="0" locked="0" layoutInCell="1" allowOverlap="1" wp14:anchorId="0EC822B1" wp14:editId="2EE7A935">
                      <wp:simplePos x="0" y="0"/>
                      <wp:positionH relativeFrom="column">
                        <wp:posOffset>95250</wp:posOffset>
                      </wp:positionH>
                      <wp:positionV relativeFrom="paragraph">
                        <wp:posOffset>-5715</wp:posOffset>
                      </wp:positionV>
                      <wp:extent cx="350520" cy="0"/>
                      <wp:effectExtent l="0" t="76200" r="30480" b="152400"/>
                      <wp:wrapNone/>
                      <wp:docPr id="3" name="Straight Arrow Connector 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5pt;margin-top:-.45pt;width:27.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" strokecolor="windowText" strokeweight="2pt">
                      <v:stroke endarrow="open"/>
                      <v:shadow on="t" color="black" opacity="24903f" origin=",.5" offset="0,.55556mm"/>
                    </v:shape>
                  </w:pict>
                </mc:Fallback>
              </mc:AlternateContent>
            </w:r>
          </w:p>
        </w:tc>
      </w:tr>
    </w:tbl>
    <w:p w14:paraId="5295BF4A" w14:textId="77777777" w:rsidR="005935FE" w:rsidRPr="005935FE" w:rsidRDefault="005935FE" w:rsidP="005935FE">
      <w:pPr>
        <w:rPr>
          <w:rFonts w:cs="Arial"/>
          <w:szCs w:val="24"/>
        </w:rPr>
      </w:pPr>
    </w:p>
    <w:p w14:paraId="55D85213" w14:textId="77777777" w:rsidR="005935FE" w:rsidRDefault="005935FE" w:rsidP="005935FE">
      <w:pPr>
        <w:pStyle w:val="DeptBullets"/>
        <w:numPr>
          <w:ilvl w:val="0"/>
          <w:numId w:val="0"/>
        </w:numPr>
        <w:spacing w:after="0"/>
        <w:rPr>
          <w:rFonts w:cs="Arial"/>
          <w:szCs w:val="24"/>
        </w:rPr>
      </w:pPr>
      <w:r w:rsidRPr="00FE1B8F">
        <w:rPr>
          <w:rFonts w:cs="Arial"/>
          <w:szCs w:val="24"/>
        </w:rPr>
        <w:t>A new taxation section on the TP website will be in place during November giving further guidance to member and employers regarding matters such as Annual Allowance and Lifetime Allowance.</w:t>
      </w:r>
    </w:p>
    <w:p w14:paraId="66D174B9" w14:textId="77777777" w:rsidR="004A41A2" w:rsidRPr="00FE1B8F" w:rsidRDefault="004A41A2" w:rsidP="005935FE">
      <w:pPr>
        <w:pStyle w:val="DeptBullets"/>
        <w:numPr>
          <w:ilvl w:val="0"/>
          <w:numId w:val="0"/>
        </w:numPr>
        <w:spacing w:after="0"/>
        <w:rPr>
          <w:rFonts w:cs="Arial"/>
          <w:szCs w:val="24"/>
        </w:rPr>
      </w:pPr>
    </w:p>
    <w:p w14:paraId="0C77C489" w14:textId="77777777" w:rsidR="005935FE" w:rsidRPr="00FE1B8F" w:rsidRDefault="005935FE" w:rsidP="005935FE">
      <w:pPr>
        <w:pStyle w:val="DeptBullets"/>
        <w:numPr>
          <w:ilvl w:val="0"/>
          <w:numId w:val="0"/>
        </w:numPr>
        <w:spacing w:after="0"/>
        <w:rPr>
          <w:rFonts w:cs="Arial"/>
          <w:szCs w:val="24"/>
        </w:rPr>
      </w:pPr>
      <w:r w:rsidRPr="00FE1B8F">
        <w:rPr>
          <w:rFonts w:cs="Arial"/>
          <w:szCs w:val="24"/>
        </w:rPr>
        <w:t>Actions to prepare for the change of the Pension Input Period in line with tax years from 2016/17 are in progress, these include adding extra informati</w:t>
      </w:r>
      <w:r>
        <w:rPr>
          <w:rFonts w:cs="Arial"/>
          <w:szCs w:val="24"/>
        </w:rPr>
        <w:t>on to the Annual Service Return</w:t>
      </w:r>
      <w:r w:rsidR="006872B4">
        <w:rPr>
          <w:rFonts w:cs="Arial"/>
          <w:szCs w:val="24"/>
        </w:rPr>
        <w:t xml:space="preserve"> for members</w:t>
      </w:r>
      <w:r w:rsidRPr="00FE1B8F">
        <w:rPr>
          <w:rFonts w:cs="Arial"/>
          <w:szCs w:val="24"/>
        </w:rPr>
        <w:t>, analysing calculation routines and updating communications to</w:t>
      </w:r>
      <w:r w:rsidR="006872B4">
        <w:rPr>
          <w:rFonts w:cs="Arial"/>
          <w:szCs w:val="24"/>
        </w:rPr>
        <w:t xml:space="preserve"> both</w:t>
      </w:r>
      <w:r w:rsidRPr="00FE1B8F">
        <w:rPr>
          <w:rFonts w:cs="Arial"/>
          <w:szCs w:val="24"/>
        </w:rPr>
        <w:t xml:space="preserve"> members and employers.</w:t>
      </w:r>
    </w:p>
    <w:p w14:paraId="69BB81C0" w14:textId="77777777" w:rsidR="005935FE" w:rsidRDefault="005935FE" w:rsidP="005935FE">
      <w:pPr>
        <w:jc w:val="center"/>
        <w:rPr>
          <w:rFonts w:cs="Arial"/>
          <w:b/>
          <w:szCs w:val="24"/>
        </w:rPr>
      </w:pPr>
    </w:p>
    <w:p w14:paraId="61F6C8D2" w14:textId="77777777" w:rsidR="005F5E08" w:rsidRPr="005935FE" w:rsidRDefault="005F5E08" w:rsidP="005935FE">
      <w:pPr>
        <w:jc w:val="center"/>
        <w:rPr>
          <w:rFonts w:cs="Arial"/>
          <w:b/>
          <w:szCs w:val="24"/>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5C10C438" w14:textId="77777777" w:rsidTr="005D59B2">
        <w:tc>
          <w:tcPr>
            <w:tcW w:w="7230" w:type="dxa"/>
          </w:tcPr>
          <w:p w14:paraId="596D959D" w14:textId="77777777" w:rsidR="005935FE" w:rsidRPr="005935FE" w:rsidRDefault="005935FE" w:rsidP="005935FE">
            <w:pPr>
              <w:rPr>
                <w:rFonts w:cs="Arial"/>
                <w:b/>
                <w:color w:val="000000"/>
                <w:szCs w:val="24"/>
                <w:lang w:eastAsia="en-GB"/>
              </w:rPr>
            </w:pPr>
            <w:r w:rsidRPr="005935FE">
              <w:rPr>
                <w:rFonts w:cs="Arial"/>
                <w:b/>
                <w:color w:val="000000"/>
                <w:szCs w:val="24"/>
                <w:lang w:eastAsia="en-GB"/>
              </w:rPr>
              <w:t>Significant Projects</w:t>
            </w:r>
          </w:p>
          <w:p w14:paraId="5C119355" w14:textId="77777777" w:rsidR="005935FE" w:rsidRPr="005935FE" w:rsidRDefault="005935FE" w:rsidP="005935FE">
            <w:pPr>
              <w:rPr>
                <w:rFonts w:cs="Arial"/>
                <w:b/>
                <w:szCs w:val="24"/>
              </w:rPr>
            </w:pPr>
          </w:p>
        </w:tc>
        <w:tc>
          <w:tcPr>
            <w:tcW w:w="1134" w:type="dxa"/>
            <w:shd w:val="clear" w:color="auto" w:fill="00B050"/>
          </w:tcPr>
          <w:p w14:paraId="294E01EA" w14:textId="77777777" w:rsidR="005935FE" w:rsidRPr="005935FE" w:rsidRDefault="005935FE" w:rsidP="005935FE">
            <w:pPr>
              <w:rPr>
                <w:rFonts w:cs="Arial"/>
                <w:color w:val="00B050"/>
                <w:szCs w:val="24"/>
              </w:rPr>
            </w:pPr>
          </w:p>
          <w:p w14:paraId="30AC4646" w14:textId="77777777" w:rsidR="005935FE" w:rsidRPr="005935FE" w:rsidRDefault="00E2707B" w:rsidP="005935FE">
            <w:pPr>
              <w:rPr>
                <w:rFonts w:cs="Arial"/>
                <w:color w:val="00B050"/>
                <w:szCs w:val="24"/>
              </w:rPr>
            </w:pPr>
            <w:r>
              <w:rPr>
                <w:rFonts w:cs="Arial"/>
                <w:noProof/>
                <w:color w:val="00B050"/>
                <w:szCs w:val="24"/>
                <w:lang w:eastAsia="en-GB"/>
              </w:rPr>
              <mc:AlternateContent>
                <mc:Choice Requires="wps">
                  <w:drawing>
                    <wp:anchor distT="0" distB="0" distL="114300" distR="114300" simplePos="0" relativeHeight="251665408" behindDoc="0" locked="0" layoutInCell="1" allowOverlap="1" wp14:anchorId="085325FB" wp14:editId="78E4CBD9">
                      <wp:simplePos x="0" y="0"/>
                      <wp:positionH relativeFrom="column">
                        <wp:posOffset>95250</wp:posOffset>
                      </wp:positionH>
                      <wp:positionV relativeFrom="paragraph">
                        <wp:posOffset>12065</wp:posOffset>
                      </wp:positionV>
                      <wp:extent cx="350520" cy="0"/>
                      <wp:effectExtent l="0" t="76200" r="30480" b="152400"/>
                      <wp:wrapNone/>
                      <wp:docPr id="4" name="Straight Arrow Connector 4"/>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7.5pt;margin-top:.95pt;width:27.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" strokecolor="windowText" strokeweight="2pt">
                      <v:stroke endarrow="open"/>
                      <v:shadow on="t" color="black" opacity="24903f" origin=",.5" offset="0,.55556mm"/>
                    </v:shape>
                  </w:pict>
                </mc:Fallback>
              </mc:AlternateContent>
            </w:r>
          </w:p>
        </w:tc>
      </w:tr>
    </w:tbl>
    <w:p w14:paraId="0A447B8D" w14:textId="77777777" w:rsidR="004A41A2" w:rsidRDefault="004A41A2" w:rsidP="004A41A2">
      <w:pPr>
        <w:pStyle w:val="Default"/>
        <w:rPr>
          <w:rFonts w:ascii="Arial" w:hAnsi="Arial" w:cs="Arial"/>
          <w:b/>
          <w:color w:val="auto"/>
        </w:rPr>
      </w:pPr>
    </w:p>
    <w:p w14:paraId="00449696" w14:textId="77777777" w:rsidR="005935FE" w:rsidRPr="00FE1B8F" w:rsidRDefault="005935FE" w:rsidP="004A41A2">
      <w:pPr>
        <w:pStyle w:val="Default"/>
        <w:rPr>
          <w:rFonts w:ascii="Arial" w:hAnsi="Arial" w:cs="Arial"/>
          <w:b/>
          <w:color w:val="auto"/>
        </w:rPr>
      </w:pPr>
      <w:r w:rsidRPr="00FE1B8F">
        <w:rPr>
          <w:rFonts w:ascii="Arial" w:hAnsi="Arial" w:cs="Arial"/>
          <w:b/>
          <w:color w:val="auto"/>
        </w:rPr>
        <w:t xml:space="preserve">Guaranteed Minimum Pension reconciliation </w:t>
      </w:r>
    </w:p>
    <w:p w14:paraId="62519B1B" w14:textId="77777777" w:rsidR="005935FE" w:rsidRDefault="005935FE" w:rsidP="004A41A2">
      <w:pPr>
        <w:pStyle w:val="Default"/>
        <w:rPr>
          <w:rFonts w:ascii="Arial" w:hAnsi="Arial" w:cs="Arial"/>
          <w:color w:val="auto"/>
        </w:rPr>
      </w:pPr>
      <w:r w:rsidRPr="00FE1B8F">
        <w:rPr>
          <w:rFonts w:ascii="Arial" w:hAnsi="Arial" w:cs="Arial"/>
          <w:color w:val="auto"/>
        </w:rPr>
        <w:t xml:space="preserve">The Department and TP have continued to work with HM Treasury and other government Departments on the policy decisions necessary to allow the reconciliation of Guaranteed Minimum Pensions to be completed.  A number of those decisions are still outstanding but </w:t>
      </w:r>
      <w:r w:rsidR="006872B4">
        <w:rPr>
          <w:rFonts w:ascii="Arial" w:hAnsi="Arial" w:cs="Arial"/>
          <w:color w:val="auto"/>
        </w:rPr>
        <w:t>there is</w:t>
      </w:r>
      <w:r w:rsidRPr="00FE1B8F">
        <w:rPr>
          <w:rFonts w:ascii="Arial" w:hAnsi="Arial" w:cs="Arial"/>
          <w:color w:val="auto"/>
        </w:rPr>
        <w:t xml:space="preserve"> sufficient information to be able to start on a </w:t>
      </w:r>
      <w:r w:rsidR="006872B4">
        <w:rPr>
          <w:rFonts w:ascii="Arial" w:hAnsi="Arial" w:cs="Arial"/>
          <w:color w:val="auto"/>
        </w:rPr>
        <w:t>specific</w:t>
      </w:r>
      <w:r w:rsidRPr="00FE1B8F">
        <w:rPr>
          <w:rFonts w:ascii="Arial" w:hAnsi="Arial" w:cs="Arial"/>
          <w:color w:val="auto"/>
        </w:rPr>
        <w:t xml:space="preserve"> group</w:t>
      </w:r>
      <w:r w:rsidR="006872B4">
        <w:rPr>
          <w:rFonts w:ascii="Arial" w:hAnsi="Arial" w:cs="Arial"/>
          <w:color w:val="auto"/>
        </w:rPr>
        <w:t xml:space="preserve"> (</w:t>
      </w:r>
      <w:r w:rsidRPr="00FE1B8F">
        <w:rPr>
          <w:rFonts w:ascii="Arial" w:hAnsi="Arial" w:cs="Arial"/>
          <w:color w:val="auto"/>
        </w:rPr>
        <w:t>deferred members who joined before April 1997</w:t>
      </w:r>
      <w:r w:rsidR="006872B4">
        <w:rPr>
          <w:rFonts w:ascii="Arial" w:hAnsi="Arial" w:cs="Arial"/>
          <w:color w:val="auto"/>
        </w:rPr>
        <w:t>)</w:t>
      </w:r>
      <w:r w:rsidRPr="00FE1B8F">
        <w:rPr>
          <w:rFonts w:ascii="Arial" w:hAnsi="Arial" w:cs="Arial"/>
          <w:color w:val="auto"/>
        </w:rPr>
        <w:t xml:space="preserve">.  TP have put forward a commercial </w:t>
      </w:r>
      <w:r w:rsidRPr="00E6720D">
        <w:rPr>
          <w:rFonts w:ascii="Arial" w:hAnsi="Arial" w:cs="Arial"/>
          <w:color w:val="auto"/>
        </w:rPr>
        <w:t xml:space="preserve">proposition </w:t>
      </w:r>
      <w:r w:rsidR="00E6720D">
        <w:rPr>
          <w:rFonts w:ascii="Arial" w:hAnsi="Arial" w:cs="Arial"/>
          <w:color w:val="auto"/>
        </w:rPr>
        <w:t xml:space="preserve">for the remainder of the work </w:t>
      </w:r>
      <w:r w:rsidRPr="00FE1B8F">
        <w:rPr>
          <w:rFonts w:ascii="Arial" w:hAnsi="Arial" w:cs="Arial"/>
          <w:color w:val="auto"/>
        </w:rPr>
        <w:t>and this is being discussed.  The proposal is to work through deferred</w:t>
      </w:r>
      <w:r w:rsidR="006872B4">
        <w:rPr>
          <w:rFonts w:ascii="Arial" w:hAnsi="Arial" w:cs="Arial"/>
          <w:color w:val="auto"/>
        </w:rPr>
        <w:t xml:space="preserve"> members</w:t>
      </w:r>
      <w:r w:rsidRPr="00FE1B8F">
        <w:rPr>
          <w:rFonts w:ascii="Arial" w:hAnsi="Arial" w:cs="Arial"/>
          <w:color w:val="auto"/>
        </w:rPr>
        <w:t xml:space="preserve"> and pensioners during 2016, using the same resource to work on active</w:t>
      </w:r>
      <w:r w:rsidR="006872B4">
        <w:rPr>
          <w:rFonts w:ascii="Arial" w:hAnsi="Arial" w:cs="Arial"/>
          <w:color w:val="auto"/>
        </w:rPr>
        <w:t xml:space="preserve"> members </w:t>
      </w:r>
      <w:r w:rsidRPr="00FE1B8F">
        <w:rPr>
          <w:rFonts w:ascii="Arial" w:hAnsi="Arial" w:cs="Arial"/>
          <w:color w:val="auto"/>
        </w:rPr>
        <w:t xml:space="preserve">when the information for them becomes available in 2017. </w:t>
      </w:r>
    </w:p>
    <w:p w14:paraId="6FB857DD" w14:textId="77777777" w:rsidR="005935FE" w:rsidRDefault="005935FE" w:rsidP="005935FE">
      <w:pPr>
        <w:pStyle w:val="Default"/>
        <w:ind w:left="720"/>
        <w:rPr>
          <w:rFonts w:ascii="Arial" w:hAnsi="Arial" w:cs="Arial"/>
          <w:color w:val="auto"/>
        </w:rPr>
      </w:pPr>
    </w:p>
    <w:p w14:paraId="0E0FA795" w14:textId="77777777" w:rsidR="005935FE" w:rsidRPr="005935FE" w:rsidRDefault="005935FE" w:rsidP="005935FE">
      <w:pPr>
        <w:rPr>
          <w:rFonts w:cs="Arial"/>
          <w:color w:val="000000" w:themeColor="text1"/>
          <w:szCs w:val="24"/>
        </w:rPr>
      </w:pPr>
      <w:proofErr w:type="gramStart"/>
      <w:r w:rsidRPr="005935FE">
        <w:rPr>
          <w:rFonts w:cs="Arial"/>
          <w:b/>
          <w:color w:val="000000" w:themeColor="text1"/>
          <w:szCs w:val="24"/>
        </w:rPr>
        <w:t>Monthly Data Collection</w:t>
      </w:r>
      <w:r w:rsidR="00E6720D">
        <w:rPr>
          <w:rFonts w:cs="Arial"/>
          <w:b/>
          <w:color w:val="000000" w:themeColor="text1"/>
          <w:szCs w:val="24"/>
        </w:rPr>
        <w:t xml:space="preserve"> (MDC)</w:t>
      </w:r>
      <w:r w:rsidRPr="005935FE">
        <w:rPr>
          <w:rFonts w:cs="Arial"/>
          <w:color w:val="000000" w:themeColor="text1"/>
          <w:szCs w:val="24"/>
        </w:rPr>
        <w:t>.</w:t>
      </w:r>
      <w:proofErr w:type="gramEnd"/>
    </w:p>
    <w:p w14:paraId="5DA49D26" w14:textId="77777777" w:rsidR="00E6720D" w:rsidRDefault="00E6720D" w:rsidP="005935FE">
      <w:pPr>
        <w:rPr>
          <w:rFonts w:cs="Arial"/>
          <w:color w:val="000000" w:themeColor="text1"/>
          <w:szCs w:val="24"/>
        </w:rPr>
      </w:pPr>
      <w:r>
        <w:rPr>
          <w:rFonts w:cs="Arial"/>
          <w:color w:val="000000" w:themeColor="text1"/>
          <w:szCs w:val="24"/>
        </w:rPr>
        <w:t>MDC will replace the Annual Service Return, Re-employment Certificates and starter and leaver information.  It gives significant benefits to members and employers allowing real time information to be available and reduces the burden of current processes.</w:t>
      </w:r>
    </w:p>
    <w:p w14:paraId="0F2DA295" w14:textId="77777777" w:rsidR="00E6720D" w:rsidRDefault="00E6720D" w:rsidP="005935FE">
      <w:pPr>
        <w:rPr>
          <w:rFonts w:cs="Arial"/>
          <w:color w:val="000000" w:themeColor="text1"/>
          <w:szCs w:val="24"/>
        </w:rPr>
      </w:pPr>
    </w:p>
    <w:p w14:paraId="64C2F78F" w14:textId="77777777" w:rsidR="001610B2" w:rsidRDefault="001610B2" w:rsidP="005935FE">
      <w:pPr>
        <w:rPr>
          <w:rFonts w:cs="Arial"/>
          <w:color w:val="000000" w:themeColor="text1"/>
          <w:szCs w:val="24"/>
        </w:rPr>
      </w:pPr>
      <w:r>
        <w:rPr>
          <w:rFonts w:cs="Arial"/>
          <w:color w:val="000000" w:themeColor="text1"/>
          <w:szCs w:val="24"/>
        </w:rPr>
        <w:t xml:space="preserve">The next phase of on boarding employers </w:t>
      </w:r>
      <w:r w:rsidR="0040142A">
        <w:rPr>
          <w:rFonts w:cs="Arial"/>
          <w:color w:val="000000" w:themeColor="text1"/>
          <w:szCs w:val="24"/>
        </w:rPr>
        <w:t xml:space="preserve">to use MDC </w:t>
      </w:r>
      <w:r>
        <w:rPr>
          <w:rFonts w:cs="Arial"/>
          <w:color w:val="000000" w:themeColor="text1"/>
          <w:szCs w:val="24"/>
        </w:rPr>
        <w:t>has been delayed until April 2016 as it was identified that a number of technical solutions used by employers needed to be refined.  TP are using the time to develop stronger products to support on-boarding and it is expected that over a thousand establishments will start providing data in this way in April, which represents roughly a third of active member data.</w:t>
      </w:r>
    </w:p>
    <w:p w14:paraId="26A00317" w14:textId="77777777" w:rsidR="001610B2" w:rsidRDefault="001610B2" w:rsidP="005935FE">
      <w:pPr>
        <w:rPr>
          <w:rFonts w:cs="Arial"/>
          <w:color w:val="000000" w:themeColor="text1"/>
          <w:szCs w:val="24"/>
        </w:rPr>
      </w:pPr>
    </w:p>
    <w:p w14:paraId="63A35089" w14:textId="77777777" w:rsidR="001610B2" w:rsidRDefault="0040142A" w:rsidP="005935FE">
      <w:pPr>
        <w:rPr>
          <w:rFonts w:cs="Arial"/>
          <w:color w:val="000000" w:themeColor="text1"/>
          <w:szCs w:val="24"/>
        </w:rPr>
      </w:pPr>
      <w:r>
        <w:rPr>
          <w:rFonts w:cs="Arial"/>
          <w:color w:val="000000" w:themeColor="text1"/>
          <w:szCs w:val="24"/>
        </w:rPr>
        <w:t>TP are incentivised to achieve 60% of active member data received in this way by 1 October 2017 and this is expected to be the only method of providing data from 1 April 2018.</w:t>
      </w:r>
    </w:p>
    <w:p w14:paraId="0B55870B" w14:textId="77777777" w:rsidR="0040142A" w:rsidRDefault="0040142A" w:rsidP="005935FE">
      <w:pPr>
        <w:rPr>
          <w:rFonts w:cs="Arial"/>
          <w:color w:val="000000" w:themeColor="text1"/>
          <w:szCs w:val="24"/>
        </w:rPr>
      </w:pPr>
    </w:p>
    <w:p w14:paraId="6B2A5A5B" w14:textId="77777777" w:rsidR="005935FE" w:rsidRPr="00FE1B8F" w:rsidRDefault="00E6720D" w:rsidP="005935FE">
      <w:pPr>
        <w:rPr>
          <w:rFonts w:cs="Arial"/>
          <w:color w:val="000000" w:themeColor="text1"/>
          <w:szCs w:val="24"/>
        </w:rPr>
      </w:pPr>
      <w:r>
        <w:rPr>
          <w:rFonts w:cs="Arial"/>
          <w:color w:val="000000" w:themeColor="text1"/>
          <w:szCs w:val="24"/>
        </w:rPr>
        <w:t xml:space="preserve">Data fields regarding email address and contribution data are </w:t>
      </w:r>
      <w:r w:rsidR="0040142A">
        <w:rPr>
          <w:rFonts w:cs="Arial"/>
          <w:color w:val="000000" w:themeColor="text1"/>
          <w:szCs w:val="24"/>
        </w:rPr>
        <w:t>included in the MDC template but they are currently optional fields.  Analysis coming out of activities such as the focus groups connected to the Employer Review Project are underlying the criticality of this project and raising questions about whether those fields should be mandatory and whether timescales should be accelerated.</w:t>
      </w:r>
    </w:p>
    <w:p w14:paraId="52D93916" w14:textId="77777777" w:rsidR="005935FE" w:rsidRPr="005935FE" w:rsidRDefault="005935FE" w:rsidP="005935FE">
      <w:pPr>
        <w:rPr>
          <w:rFonts w:cs="Arial"/>
          <w:szCs w:val="24"/>
        </w:rPr>
      </w:pPr>
    </w:p>
    <w:p w14:paraId="726FEDB6" w14:textId="77777777" w:rsidR="005935FE" w:rsidRPr="005935FE" w:rsidRDefault="005935FE" w:rsidP="005935FE">
      <w:pPr>
        <w:rPr>
          <w:rFonts w:cs="Arial"/>
          <w:color w:val="000000" w:themeColor="text1"/>
          <w:szCs w:val="24"/>
        </w:rPr>
      </w:pPr>
      <w:r w:rsidRPr="005935FE">
        <w:rPr>
          <w:rFonts w:cs="Arial"/>
          <w:b/>
          <w:color w:val="000000" w:themeColor="text1"/>
          <w:szCs w:val="24"/>
        </w:rPr>
        <w:t>Data Strategy</w:t>
      </w:r>
      <w:r w:rsidRPr="005935FE">
        <w:rPr>
          <w:rFonts w:cs="Arial"/>
          <w:color w:val="000000" w:themeColor="text1"/>
          <w:szCs w:val="24"/>
        </w:rPr>
        <w:t xml:space="preserve"> </w:t>
      </w:r>
    </w:p>
    <w:p w14:paraId="0B4ACCF1" w14:textId="20ECDB0A" w:rsidR="0056050E" w:rsidRPr="0056050E" w:rsidRDefault="0056050E" w:rsidP="0056050E">
      <w:pPr>
        <w:rPr>
          <w:szCs w:val="24"/>
        </w:rPr>
      </w:pPr>
      <w:r w:rsidRPr="0056050E">
        <w:rPr>
          <w:szCs w:val="24"/>
        </w:rPr>
        <w:t xml:space="preserve">Following October’s </w:t>
      </w:r>
      <w:r>
        <w:rPr>
          <w:szCs w:val="24"/>
        </w:rPr>
        <w:t>“</w:t>
      </w:r>
      <w:r w:rsidRPr="0056050E">
        <w:rPr>
          <w:szCs w:val="24"/>
        </w:rPr>
        <w:t>Horizon Scanning</w:t>
      </w:r>
      <w:r>
        <w:rPr>
          <w:szCs w:val="24"/>
        </w:rPr>
        <w:t>”</w:t>
      </w:r>
      <w:r w:rsidRPr="0056050E">
        <w:rPr>
          <w:szCs w:val="24"/>
        </w:rPr>
        <w:t xml:space="preserve"> session on the subject of Data Strategy, the next steps are for the administrator to produce a matrix of data requirements against legislation, followed by a proposal for activities to address an</w:t>
      </w:r>
      <w:r>
        <w:rPr>
          <w:szCs w:val="24"/>
        </w:rPr>
        <w:t>y</w:t>
      </w:r>
      <w:r w:rsidRPr="0056050E">
        <w:rPr>
          <w:szCs w:val="24"/>
        </w:rPr>
        <w:t xml:space="preserve"> gaps and to improve data quality moving forward. This proposal will then form the basis of the revised Data Strategy for contract year five and beyond. This will help progress data quality and will build on activities already delivered in previous years.</w:t>
      </w:r>
    </w:p>
    <w:p w14:paraId="3F71DB8F" w14:textId="2C652F83" w:rsidR="005935FE" w:rsidRPr="0040142A" w:rsidRDefault="005935FE" w:rsidP="005935FE">
      <w:pPr>
        <w:pStyle w:val="Default"/>
        <w:rPr>
          <w:rFonts w:ascii="Arial" w:hAnsi="Arial" w:cs="Arial"/>
          <w:color w:val="000000" w:themeColor="text1"/>
        </w:rPr>
      </w:pPr>
    </w:p>
    <w:p w14:paraId="5225AA94" w14:textId="77777777" w:rsidR="005935FE" w:rsidRPr="005935FE" w:rsidRDefault="005935FE" w:rsidP="005935FE">
      <w:pPr>
        <w:pStyle w:val="Default"/>
        <w:rPr>
          <w:rFonts w:ascii="Arial" w:hAnsi="Arial" w:cs="Arial"/>
          <w:color w:val="000000" w:themeColor="text1"/>
        </w:rPr>
      </w:pPr>
      <w:r w:rsidRPr="005935FE">
        <w:rPr>
          <w:rFonts w:ascii="Arial" w:hAnsi="Arial" w:cs="Arial"/>
          <w:b/>
          <w:color w:val="000000" w:themeColor="text1"/>
        </w:rPr>
        <w:t>Deferred Project</w:t>
      </w:r>
      <w:r w:rsidRPr="005935FE">
        <w:rPr>
          <w:rFonts w:ascii="Arial" w:hAnsi="Arial" w:cs="Arial"/>
          <w:color w:val="000000" w:themeColor="text1"/>
        </w:rPr>
        <w:t xml:space="preserve"> </w:t>
      </w:r>
    </w:p>
    <w:p w14:paraId="4FA29DF8" w14:textId="77777777" w:rsidR="00354B0F" w:rsidRDefault="005935FE" w:rsidP="005935FE">
      <w:pPr>
        <w:pStyle w:val="Default"/>
        <w:rPr>
          <w:rFonts w:ascii="Arial" w:hAnsi="Arial" w:cs="Arial"/>
          <w:color w:val="auto"/>
        </w:rPr>
      </w:pPr>
      <w:r w:rsidRPr="0040142A">
        <w:rPr>
          <w:rFonts w:ascii="Arial" w:hAnsi="Arial" w:cs="Arial"/>
          <w:color w:val="auto"/>
        </w:rPr>
        <w:t xml:space="preserve">The deferred </w:t>
      </w:r>
      <w:r w:rsidR="00354B0F">
        <w:rPr>
          <w:rFonts w:ascii="Arial" w:hAnsi="Arial" w:cs="Arial"/>
          <w:color w:val="auto"/>
        </w:rPr>
        <w:t xml:space="preserve">project </w:t>
      </w:r>
      <w:r w:rsidRPr="0040142A">
        <w:rPr>
          <w:rFonts w:ascii="Arial" w:hAnsi="Arial" w:cs="Arial"/>
          <w:color w:val="auto"/>
        </w:rPr>
        <w:t>relates to active unclaimed pensions, where a member has left the scheme but has either not transferred their existing pension to a new scheme, or claimed the residual funds.</w:t>
      </w:r>
      <w:r w:rsidR="00354B0F">
        <w:rPr>
          <w:rFonts w:ascii="Arial" w:hAnsi="Arial" w:cs="Arial"/>
          <w:color w:val="auto"/>
        </w:rPr>
        <w:t xml:space="preserve">  The project provides benefits to those members to correct their entitlements but is also necessary to provide assurance to scheme forecasting and valuation</w:t>
      </w:r>
      <w:r w:rsidR="0040142A">
        <w:rPr>
          <w:rFonts w:ascii="Arial" w:hAnsi="Arial" w:cs="Arial"/>
          <w:color w:val="auto"/>
        </w:rPr>
        <w:t xml:space="preserve"> </w:t>
      </w:r>
      <w:r w:rsidR="00354B0F">
        <w:rPr>
          <w:rFonts w:ascii="Arial" w:hAnsi="Arial" w:cs="Arial"/>
          <w:color w:val="auto"/>
        </w:rPr>
        <w:t>processes.</w:t>
      </w:r>
    </w:p>
    <w:p w14:paraId="2C931481" w14:textId="77777777" w:rsidR="00354B0F" w:rsidRDefault="00354B0F" w:rsidP="005935FE">
      <w:pPr>
        <w:pStyle w:val="Default"/>
        <w:rPr>
          <w:rFonts w:ascii="Arial" w:hAnsi="Arial" w:cs="Arial"/>
          <w:color w:val="auto"/>
        </w:rPr>
      </w:pPr>
    </w:p>
    <w:p w14:paraId="21865170" w14:textId="77777777" w:rsidR="00354B0F" w:rsidRDefault="0040142A" w:rsidP="005935FE">
      <w:pPr>
        <w:pStyle w:val="Default"/>
        <w:rPr>
          <w:rFonts w:ascii="Arial" w:hAnsi="Arial" w:cs="Arial"/>
          <w:color w:val="auto"/>
        </w:rPr>
      </w:pPr>
      <w:r>
        <w:rPr>
          <w:rFonts w:ascii="Arial" w:hAnsi="Arial" w:cs="Arial"/>
          <w:color w:val="auto"/>
        </w:rPr>
        <w:t xml:space="preserve">The project is on track in terms of the number of records checked but </w:t>
      </w:r>
      <w:r w:rsidR="00354B0F">
        <w:rPr>
          <w:rFonts w:ascii="Arial" w:hAnsi="Arial" w:cs="Arial"/>
          <w:color w:val="auto"/>
        </w:rPr>
        <w:t>unfortunately</w:t>
      </w:r>
      <w:r>
        <w:rPr>
          <w:rFonts w:ascii="Arial" w:hAnsi="Arial" w:cs="Arial"/>
          <w:color w:val="auto"/>
        </w:rPr>
        <w:t xml:space="preserve"> approximately 50% </w:t>
      </w:r>
      <w:r w:rsidR="00354B0F">
        <w:rPr>
          <w:rFonts w:ascii="Arial" w:hAnsi="Arial" w:cs="Arial"/>
          <w:color w:val="auto"/>
        </w:rPr>
        <w:t xml:space="preserve">have returned a negative result, </w:t>
      </w:r>
      <w:proofErr w:type="spellStart"/>
      <w:r w:rsidR="00354B0F">
        <w:rPr>
          <w:rFonts w:ascii="Arial" w:hAnsi="Arial" w:cs="Arial"/>
          <w:color w:val="auto"/>
        </w:rPr>
        <w:t>i.e</w:t>
      </w:r>
      <w:proofErr w:type="spellEnd"/>
      <w:r w:rsidR="00354B0F">
        <w:rPr>
          <w:rFonts w:ascii="Arial" w:hAnsi="Arial" w:cs="Arial"/>
          <w:color w:val="auto"/>
        </w:rPr>
        <w:t xml:space="preserve"> TP have not been able to trace the deferred member.  Analysis of this is ongoing but the high fail rate is likely to be because of the way we are working through the population (oldest first).  In order to provide better information in relation to forecasting TP will change the population chosen from 1 December, so 500 records will be examined </w:t>
      </w:r>
      <w:r w:rsidR="00EC4BB0">
        <w:rPr>
          <w:rFonts w:ascii="Arial" w:hAnsi="Arial" w:cs="Arial"/>
          <w:color w:val="auto"/>
        </w:rPr>
        <w:t xml:space="preserve">each month </w:t>
      </w:r>
      <w:r w:rsidR="00354B0F">
        <w:rPr>
          <w:rFonts w:ascii="Arial" w:hAnsi="Arial" w:cs="Arial"/>
          <w:color w:val="auto"/>
        </w:rPr>
        <w:t>from deferred members expected to have higher value pension entitlements.</w:t>
      </w:r>
    </w:p>
    <w:p w14:paraId="38EEEE7C" w14:textId="77777777" w:rsidR="00354B0F" w:rsidRDefault="00354B0F" w:rsidP="005935FE">
      <w:pPr>
        <w:pStyle w:val="Default"/>
        <w:rPr>
          <w:rFonts w:ascii="Arial" w:hAnsi="Arial" w:cs="Arial"/>
          <w:color w:val="auto"/>
        </w:rPr>
      </w:pPr>
    </w:p>
    <w:p w14:paraId="496AFF16" w14:textId="77777777" w:rsidR="005935FE" w:rsidRPr="005935FE" w:rsidRDefault="005935FE" w:rsidP="005935FE">
      <w:pPr>
        <w:pStyle w:val="Default"/>
        <w:rPr>
          <w:rFonts w:ascii="Arial" w:hAnsi="Arial" w:cs="Arial"/>
          <w:b/>
          <w:color w:val="auto"/>
        </w:rPr>
      </w:pPr>
      <w:r w:rsidRPr="005935FE">
        <w:rPr>
          <w:rFonts w:ascii="Arial" w:hAnsi="Arial" w:cs="Arial"/>
          <w:b/>
          <w:color w:val="auto"/>
        </w:rPr>
        <w:t>Employer Review</w:t>
      </w:r>
    </w:p>
    <w:p w14:paraId="3C0C4B30" w14:textId="77777777" w:rsidR="005935FE" w:rsidRDefault="005935FE" w:rsidP="005935FE">
      <w:pPr>
        <w:pStyle w:val="Default"/>
        <w:rPr>
          <w:rFonts w:ascii="Arial" w:hAnsi="Arial" w:cs="Arial"/>
          <w:color w:val="auto"/>
        </w:rPr>
      </w:pPr>
      <w:r w:rsidRPr="004B5643">
        <w:rPr>
          <w:rFonts w:ascii="Arial" w:hAnsi="Arial" w:cs="Arial"/>
          <w:color w:val="auto"/>
        </w:rPr>
        <w:t xml:space="preserve">The Department has initiated a joint project with </w:t>
      </w:r>
      <w:r w:rsidR="004B5643">
        <w:rPr>
          <w:rFonts w:ascii="Arial" w:hAnsi="Arial" w:cs="Arial"/>
          <w:color w:val="auto"/>
        </w:rPr>
        <w:t>TP</w:t>
      </w:r>
      <w:r w:rsidRPr="004B5643">
        <w:rPr>
          <w:rFonts w:ascii="Arial" w:hAnsi="Arial" w:cs="Arial"/>
          <w:color w:val="auto"/>
        </w:rPr>
        <w:t xml:space="preserve"> to review the role of the employer within the administration of the scheme.  This project is intended to ensure that the role of the employer remains sustainable and deliverable within the scheme over the mid to long term, to ensure that the scheme is effectively managed and that members continue to receive the best possible service</w:t>
      </w:r>
    </w:p>
    <w:p w14:paraId="3EAD373F" w14:textId="77777777" w:rsidR="004B5643" w:rsidRDefault="004B5643" w:rsidP="005935FE">
      <w:pPr>
        <w:pStyle w:val="Default"/>
        <w:rPr>
          <w:rFonts w:ascii="Arial" w:hAnsi="Arial" w:cs="Arial"/>
          <w:color w:val="auto"/>
        </w:rPr>
      </w:pPr>
    </w:p>
    <w:p w14:paraId="162D3851" w14:textId="77777777" w:rsidR="004B5643" w:rsidRDefault="004B5643" w:rsidP="005935FE">
      <w:pPr>
        <w:pStyle w:val="Default"/>
        <w:rPr>
          <w:rFonts w:ascii="Arial" w:hAnsi="Arial" w:cs="Arial"/>
          <w:color w:val="auto"/>
        </w:rPr>
      </w:pPr>
      <w:r>
        <w:rPr>
          <w:rFonts w:ascii="Arial" w:hAnsi="Arial" w:cs="Arial"/>
          <w:color w:val="auto"/>
        </w:rPr>
        <w:t>A first round of focus groups and one to one engagements with employers will be completed before Christmas, the project is expected to deliver its recommendations in April.</w:t>
      </w:r>
    </w:p>
    <w:p w14:paraId="5FD63964" w14:textId="77777777" w:rsidR="004B5643" w:rsidRDefault="004B5643" w:rsidP="005935FE">
      <w:pPr>
        <w:pStyle w:val="Default"/>
        <w:rPr>
          <w:rFonts w:ascii="Arial" w:hAnsi="Arial" w:cs="Arial"/>
          <w:color w:val="auto"/>
        </w:rPr>
      </w:pPr>
    </w:p>
    <w:p w14:paraId="3864937C" w14:textId="77777777" w:rsidR="005935FE" w:rsidRPr="00FE1B8F" w:rsidRDefault="004B5643" w:rsidP="005935FE">
      <w:pPr>
        <w:pStyle w:val="Default"/>
        <w:rPr>
          <w:rFonts w:ascii="Arial" w:hAnsi="Arial" w:cs="Arial"/>
          <w:color w:val="auto"/>
        </w:rPr>
      </w:pPr>
      <w:r>
        <w:rPr>
          <w:rFonts w:ascii="Arial" w:hAnsi="Arial" w:cs="Arial"/>
          <w:color w:val="auto"/>
        </w:rPr>
        <w:t>As referenced before, this work is underlying the criticality of MDC, both in terms of improving the quality of data held by TP but also reducing admin burdens on employers.</w:t>
      </w:r>
    </w:p>
    <w:p w14:paraId="057AD3F1" w14:textId="77777777" w:rsidR="005935FE" w:rsidRDefault="005935FE" w:rsidP="005935FE">
      <w:pPr>
        <w:pStyle w:val="Default"/>
        <w:rPr>
          <w:rFonts w:ascii="Arial" w:hAnsi="Arial" w:cs="Arial"/>
          <w:color w:val="auto"/>
        </w:rPr>
      </w:pPr>
    </w:p>
    <w:p w14:paraId="7F8A1850" w14:textId="77777777" w:rsidR="00E371D3" w:rsidRPr="005935FE" w:rsidRDefault="00E371D3" w:rsidP="005935FE">
      <w:pPr>
        <w:pStyle w:val="Default"/>
        <w:rPr>
          <w:rFonts w:ascii="Arial" w:hAnsi="Arial" w:cs="Arial"/>
          <w:color w:val="auto"/>
        </w:rPr>
      </w:pPr>
    </w:p>
    <w:tbl>
      <w:tblPr>
        <w:tblStyle w:val="TableGrid"/>
        <w:tblW w:w="0" w:type="auto"/>
        <w:tblInd w:w="108" w:type="dxa"/>
        <w:tblLook w:val="04A0" w:firstRow="1" w:lastRow="0" w:firstColumn="1" w:lastColumn="0" w:noHBand="0" w:noVBand="1"/>
      </w:tblPr>
      <w:tblGrid>
        <w:gridCol w:w="7230"/>
        <w:gridCol w:w="1134"/>
      </w:tblGrid>
      <w:tr w:rsidR="005935FE" w:rsidRPr="005935FE" w14:paraId="4E0DE097" w14:textId="77777777" w:rsidTr="005D59B2">
        <w:tc>
          <w:tcPr>
            <w:tcW w:w="7230" w:type="dxa"/>
          </w:tcPr>
          <w:p w14:paraId="54217A80" w14:textId="77777777" w:rsidR="005935FE" w:rsidRPr="005935FE" w:rsidRDefault="005935FE" w:rsidP="005935FE">
            <w:pPr>
              <w:rPr>
                <w:rFonts w:cs="Arial"/>
                <w:b/>
                <w:color w:val="000000"/>
                <w:szCs w:val="24"/>
                <w:lang w:eastAsia="en-GB"/>
              </w:rPr>
            </w:pPr>
            <w:r w:rsidRPr="005935FE">
              <w:rPr>
                <w:rFonts w:cs="Arial"/>
                <w:b/>
                <w:color w:val="000000"/>
                <w:szCs w:val="24"/>
                <w:lang w:eastAsia="en-GB"/>
              </w:rPr>
              <w:t>Contract Outcomes</w:t>
            </w:r>
          </w:p>
          <w:p w14:paraId="236551F3" w14:textId="77777777" w:rsidR="005935FE" w:rsidRPr="005935FE" w:rsidRDefault="005935FE" w:rsidP="005935FE">
            <w:pPr>
              <w:rPr>
                <w:rFonts w:cs="Arial"/>
                <w:b/>
                <w:szCs w:val="24"/>
              </w:rPr>
            </w:pPr>
          </w:p>
        </w:tc>
        <w:tc>
          <w:tcPr>
            <w:tcW w:w="1134" w:type="dxa"/>
            <w:shd w:val="clear" w:color="auto" w:fill="FFC000"/>
          </w:tcPr>
          <w:p w14:paraId="01059BC4" w14:textId="77777777" w:rsidR="005935FE" w:rsidRPr="005935FE" w:rsidRDefault="005935FE" w:rsidP="005935FE">
            <w:pPr>
              <w:rPr>
                <w:rFonts w:cs="Arial"/>
                <w:color w:val="00B050"/>
                <w:szCs w:val="24"/>
              </w:rPr>
            </w:pPr>
          </w:p>
          <w:p w14:paraId="4F35626D" w14:textId="77777777" w:rsidR="005935FE" w:rsidRPr="005935FE" w:rsidRDefault="00E2707B" w:rsidP="005935FE">
            <w:pPr>
              <w:rPr>
                <w:rFonts w:cs="Arial"/>
                <w:color w:val="FFC000"/>
                <w:szCs w:val="24"/>
              </w:rPr>
            </w:pPr>
            <w:r>
              <w:rPr>
                <w:rFonts w:cs="Arial"/>
                <w:noProof/>
                <w:color w:val="00B050"/>
                <w:szCs w:val="24"/>
                <w:lang w:eastAsia="en-GB"/>
              </w:rPr>
              <mc:AlternateContent>
                <mc:Choice Requires="wps">
                  <w:drawing>
                    <wp:anchor distT="0" distB="0" distL="114300" distR="114300" simplePos="0" relativeHeight="251667456" behindDoc="0" locked="0" layoutInCell="1" allowOverlap="1" wp14:anchorId="7C6D307A" wp14:editId="03E9A0B3">
                      <wp:simplePos x="0" y="0"/>
                      <wp:positionH relativeFrom="column">
                        <wp:posOffset>118110</wp:posOffset>
                      </wp:positionH>
                      <wp:positionV relativeFrom="paragraph">
                        <wp:posOffset>8890</wp:posOffset>
                      </wp:positionV>
                      <wp:extent cx="350520" cy="0"/>
                      <wp:effectExtent l="0" t="76200" r="30480" b="152400"/>
                      <wp:wrapNone/>
                      <wp:docPr id="5" name="Straight Arrow Connector 5"/>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9.3pt;margin-top:.7pt;width:27.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vT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" strokecolor="windowText" strokeweight="2pt">
                      <v:stroke endarrow="open"/>
                      <v:shadow on="t" color="black" opacity="24903f" origin=",.5" offset="0,.55556mm"/>
                    </v:shape>
                  </w:pict>
                </mc:Fallback>
              </mc:AlternateContent>
            </w:r>
          </w:p>
        </w:tc>
      </w:tr>
    </w:tbl>
    <w:p w14:paraId="056DE2DE" w14:textId="77777777" w:rsidR="005935FE" w:rsidRPr="005935FE" w:rsidRDefault="005935FE" w:rsidP="005935FE">
      <w:pPr>
        <w:rPr>
          <w:rFonts w:cs="Arial"/>
          <w:szCs w:val="24"/>
        </w:rPr>
      </w:pPr>
    </w:p>
    <w:p w14:paraId="63A5023D" w14:textId="77777777" w:rsidR="005935FE" w:rsidRDefault="00745F92" w:rsidP="005935FE">
      <w:pPr>
        <w:pStyle w:val="DeptBullets"/>
        <w:numPr>
          <w:ilvl w:val="0"/>
          <w:numId w:val="0"/>
        </w:numPr>
        <w:spacing w:after="0"/>
        <w:rPr>
          <w:rFonts w:cs="Arial"/>
          <w:szCs w:val="24"/>
        </w:rPr>
      </w:pPr>
      <w:r>
        <w:rPr>
          <w:rFonts w:cs="Arial"/>
          <w:szCs w:val="24"/>
        </w:rPr>
        <w:t>The results of performance against Year 4 targets will be presented to the board in a separate paper.</w:t>
      </w:r>
    </w:p>
    <w:p w14:paraId="4C53C2B7" w14:textId="77777777" w:rsidR="00745F92" w:rsidRDefault="00745F92" w:rsidP="005935FE">
      <w:pPr>
        <w:pStyle w:val="DeptBullets"/>
        <w:numPr>
          <w:ilvl w:val="0"/>
          <w:numId w:val="0"/>
        </w:numPr>
        <w:spacing w:after="0"/>
        <w:rPr>
          <w:rFonts w:cs="Arial"/>
          <w:szCs w:val="24"/>
        </w:rPr>
      </w:pPr>
    </w:p>
    <w:p w14:paraId="4461B72E" w14:textId="77777777" w:rsidR="00DB50AD" w:rsidRDefault="00DB50AD" w:rsidP="00F1700E">
      <w:pPr>
        <w:pStyle w:val="DeptBullets"/>
        <w:numPr>
          <w:ilvl w:val="0"/>
          <w:numId w:val="0"/>
        </w:numPr>
        <w:spacing w:after="0"/>
        <w:rPr>
          <w:rFonts w:cs="Arial"/>
          <w:szCs w:val="24"/>
        </w:rPr>
      </w:pPr>
      <w:r>
        <w:rPr>
          <w:rFonts w:cs="Arial"/>
          <w:szCs w:val="24"/>
        </w:rPr>
        <w:t>The full review of outcome m</w:t>
      </w:r>
      <w:r w:rsidR="00745F92">
        <w:rPr>
          <w:rFonts w:cs="Arial"/>
          <w:szCs w:val="24"/>
        </w:rPr>
        <w:t>easures is going well</w:t>
      </w:r>
      <w:r>
        <w:rPr>
          <w:rFonts w:cs="Arial"/>
          <w:szCs w:val="24"/>
        </w:rPr>
        <w:t xml:space="preserve">, building the approach </w:t>
      </w:r>
      <w:r>
        <w:rPr>
          <w:rFonts w:cs="Arial"/>
          <w:szCs w:val="24"/>
        </w:rPr>
        <w:lastRenderedPageBreak/>
        <w:t xml:space="preserve">used in Year 4 for “service oriented” measures.  </w:t>
      </w:r>
      <w:r w:rsidR="00F1700E" w:rsidRPr="00F1700E">
        <w:rPr>
          <w:rFonts w:cs="Arial"/>
          <w:szCs w:val="24"/>
        </w:rPr>
        <w:t>The measure associated with employer engagement will require further review when the employer review project is complete. The measure associated with data quality is being reviewed in conjunction with furthe</w:t>
      </w:r>
      <w:r w:rsidR="00F1700E">
        <w:rPr>
          <w:rFonts w:cs="Arial"/>
          <w:szCs w:val="24"/>
        </w:rPr>
        <w:t>r</w:t>
      </w:r>
      <w:r w:rsidR="00F1700E" w:rsidRPr="00F1700E">
        <w:rPr>
          <w:rFonts w:cs="Arial"/>
          <w:szCs w:val="24"/>
        </w:rPr>
        <w:t xml:space="preserve"> work on the data strategy.</w:t>
      </w:r>
    </w:p>
    <w:p w14:paraId="73BD2B3C" w14:textId="77777777" w:rsidR="00DB50AD" w:rsidRDefault="00DB50AD" w:rsidP="005935FE">
      <w:pPr>
        <w:pStyle w:val="DeptBullets"/>
        <w:numPr>
          <w:ilvl w:val="0"/>
          <w:numId w:val="0"/>
        </w:numPr>
        <w:spacing w:after="0"/>
        <w:rPr>
          <w:rFonts w:cs="Arial"/>
          <w:szCs w:val="24"/>
        </w:rPr>
      </w:pPr>
    </w:p>
    <w:p w14:paraId="3B30A099" w14:textId="77777777" w:rsidR="00DB50AD" w:rsidRDefault="00DB50AD" w:rsidP="005935FE">
      <w:pPr>
        <w:pStyle w:val="DeptBullets"/>
        <w:numPr>
          <w:ilvl w:val="0"/>
          <w:numId w:val="0"/>
        </w:numPr>
        <w:spacing w:after="0"/>
        <w:rPr>
          <w:rFonts w:cs="Arial"/>
          <w:szCs w:val="24"/>
        </w:rPr>
      </w:pPr>
      <w:r>
        <w:rPr>
          <w:rFonts w:cs="Arial"/>
          <w:szCs w:val="24"/>
        </w:rPr>
        <w:t>The amber status will remain until the review is complete.</w:t>
      </w:r>
    </w:p>
    <w:p w14:paraId="6FD3C200" w14:textId="77777777" w:rsidR="00E371D3" w:rsidRDefault="00E371D3" w:rsidP="005935FE">
      <w:pPr>
        <w:pStyle w:val="DeptBullets"/>
        <w:numPr>
          <w:ilvl w:val="0"/>
          <w:numId w:val="0"/>
        </w:numPr>
        <w:spacing w:after="0"/>
        <w:rPr>
          <w:rFonts w:cs="Arial"/>
          <w:szCs w:val="24"/>
        </w:rPr>
      </w:pPr>
    </w:p>
    <w:p w14:paraId="742BBF47" w14:textId="77777777" w:rsidR="00044CFB" w:rsidRDefault="00044CFB" w:rsidP="005935FE">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044CFB" w:rsidRPr="005935FE" w14:paraId="570C7867" w14:textId="77777777" w:rsidTr="00044CFB">
        <w:tc>
          <w:tcPr>
            <w:tcW w:w="7230" w:type="dxa"/>
          </w:tcPr>
          <w:p w14:paraId="17903D54" w14:textId="56022E81" w:rsidR="00044CFB" w:rsidRPr="005935FE" w:rsidRDefault="00044CFB" w:rsidP="003D6E13">
            <w:pPr>
              <w:rPr>
                <w:rFonts w:cs="Arial"/>
                <w:b/>
                <w:color w:val="000000"/>
                <w:szCs w:val="24"/>
                <w:lang w:eastAsia="en-GB"/>
              </w:rPr>
            </w:pPr>
            <w:r>
              <w:rPr>
                <w:rFonts w:cs="Arial"/>
                <w:b/>
                <w:color w:val="000000"/>
                <w:szCs w:val="24"/>
                <w:lang w:eastAsia="en-GB"/>
              </w:rPr>
              <w:t>Reporting Breaches</w:t>
            </w:r>
          </w:p>
          <w:p w14:paraId="138D89D9" w14:textId="77777777" w:rsidR="00044CFB" w:rsidRPr="005935FE" w:rsidRDefault="00044CFB" w:rsidP="003D6E13">
            <w:pPr>
              <w:rPr>
                <w:rFonts w:cs="Arial"/>
                <w:b/>
                <w:szCs w:val="24"/>
              </w:rPr>
            </w:pPr>
          </w:p>
        </w:tc>
        <w:tc>
          <w:tcPr>
            <w:tcW w:w="1134" w:type="dxa"/>
            <w:shd w:val="clear" w:color="auto" w:fill="00B050"/>
          </w:tcPr>
          <w:p w14:paraId="37EE0480" w14:textId="77777777" w:rsidR="00044CFB" w:rsidRPr="005935FE" w:rsidRDefault="00044CFB" w:rsidP="003D6E13">
            <w:pPr>
              <w:rPr>
                <w:rFonts w:cs="Arial"/>
                <w:color w:val="00B050"/>
                <w:szCs w:val="24"/>
              </w:rPr>
            </w:pPr>
          </w:p>
          <w:p w14:paraId="412F84F5" w14:textId="648A1FE3" w:rsidR="00044CFB" w:rsidRPr="005935FE" w:rsidRDefault="00044CFB" w:rsidP="003D6E13">
            <w:pPr>
              <w:rPr>
                <w:rFonts w:cs="Arial"/>
                <w:color w:val="FFC000"/>
                <w:szCs w:val="24"/>
              </w:rPr>
            </w:pPr>
          </w:p>
        </w:tc>
      </w:tr>
    </w:tbl>
    <w:p w14:paraId="4D560FC3" w14:textId="77777777" w:rsidR="00044CFB" w:rsidRDefault="00044CFB" w:rsidP="005935FE">
      <w:pPr>
        <w:pStyle w:val="DeptBullets"/>
        <w:numPr>
          <w:ilvl w:val="0"/>
          <w:numId w:val="0"/>
        </w:numPr>
        <w:spacing w:after="0"/>
        <w:rPr>
          <w:rFonts w:cs="Arial"/>
          <w:szCs w:val="24"/>
        </w:rPr>
      </w:pPr>
    </w:p>
    <w:tbl>
      <w:tblPr>
        <w:tblW w:w="8508" w:type="dxa"/>
        <w:tblCellMar>
          <w:left w:w="0" w:type="dxa"/>
          <w:right w:w="0" w:type="dxa"/>
        </w:tblCellMar>
        <w:tblLook w:val="0420" w:firstRow="1" w:lastRow="0" w:firstColumn="0" w:lastColumn="0" w:noHBand="0" w:noVBand="1"/>
      </w:tblPr>
      <w:tblGrid>
        <w:gridCol w:w="2480"/>
        <w:gridCol w:w="6028"/>
      </w:tblGrid>
      <w:tr w:rsidR="003712C2" w:rsidRPr="003712C2" w14:paraId="10CA4C5B" w14:textId="77777777" w:rsidTr="003712C2">
        <w:trPr>
          <w:trHeight w:val="299"/>
        </w:trPr>
        <w:tc>
          <w:tcPr>
            <w:tcW w:w="2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58F0926" w14:textId="77777777" w:rsidR="003712C2" w:rsidRPr="003712C2" w:rsidRDefault="003712C2" w:rsidP="003712C2">
            <w:pPr>
              <w:widowControl/>
              <w:overflowPunct/>
              <w:autoSpaceDE/>
              <w:autoSpaceDN/>
              <w:adjustRightInd/>
              <w:textAlignment w:val="auto"/>
              <w:rPr>
                <w:rFonts w:cs="Arial"/>
                <w:sz w:val="20"/>
                <w:lang w:eastAsia="en-GB"/>
              </w:rPr>
            </w:pPr>
            <w:r w:rsidRPr="003712C2">
              <w:rPr>
                <w:rFonts w:cs="Arial"/>
                <w:b/>
                <w:bCs/>
                <w:color w:val="FFFFFF" w:themeColor="light1"/>
                <w:kern w:val="24"/>
                <w:sz w:val="20"/>
                <w:lang w:eastAsia="en-GB"/>
              </w:rPr>
              <w:t>Subject Area</w:t>
            </w:r>
          </w:p>
        </w:tc>
        <w:tc>
          <w:tcPr>
            <w:tcW w:w="602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B5ED97C" w14:textId="77777777" w:rsidR="003712C2" w:rsidRPr="003712C2" w:rsidRDefault="003712C2" w:rsidP="003712C2">
            <w:pPr>
              <w:widowControl/>
              <w:overflowPunct/>
              <w:autoSpaceDE/>
              <w:autoSpaceDN/>
              <w:adjustRightInd/>
              <w:textAlignment w:val="auto"/>
              <w:rPr>
                <w:rFonts w:cs="Arial"/>
                <w:sz w:val="20"/>
                <w:lang w:eastAsia="en-GB"/>
              </w:rPr>
            </w:pPr>
            <w:r w:rsidRPr="003712C2">
              <w:rPr>
                <w:rFonts w:cs="Arial"/>
                <w:b/>
                <w:bCs/>
                <w:color w:val="FFFFFF" w:themeColor="light1"/>
                <w:kern w:val="24"/>
                <w:sz w:val="20"/>
                <w:lang w:eastAsia="en-GB"/>
              </w:rPr>
              <w:t>Typical Breaches</w:t>
            </w:r>
          </w:p>
        </w:tc>
      </w:tr>
      <w:tr w:rsidR="003712C2" w:rsidRPr="003712C2" w14:paraId="59A520B8" w14:textId="77777777" w:rsidTr="003712C2">
        <w:trPr>
          <w:trHeight w:val="506"/>
        </w:trPr>
        <w:tc>
          <w:tcPr>
            <w:tcW w:w="2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ED9DF5" w14:textId="77777777" w:rsidR="00684782" w:rsidRDefault="003712C2" w:rsidP="003712C2">
            <w:pPr>
              <w:widowControl/>
              <w:overflowPunct/>
              <w:autoSpaceDE/>
              <w:autoSpaceDN/>
              <w:adjustRightInd/>
              <w:textAlignment w:val="auto"/>
              <w:rPr>
                <w:rFonts w:eastAsiaTheme="minorEastAsia" w:cs="Arial"/>
                <w:b/>
                <w:bCs/>
                <w:color w:val="000000" w:themeColor="dark1"/>
                <w:kern w:val="24"/>
                <w:sz w:val="20"/>
                <w:lang w:eastAsia="en-GB"/>
              </w:rPr>
            </w:pPr>
            <w:r w:rsidRPr="003712C2">
              <w:rPr>
                <w:rFonts w:eastAsiaTheme="minorEastAsia" w:cs="Arial"/>
                <w:b/>
                <w:bCs/>
                <w:color w:val="000000" w:themeColor="dark1"/>
                <w:kern w:val="24"/>
                <w:sz w:val="20"/>
                <w:lang w:eastAsia="en-GB"/>
              </w:rPr>
              <w:t xml:space="preserve">Access to Data </w:t>
            </w:r>
          </w:p>
          <w:p w14:paraId="2B225205" w14:textId="77777777" w:rsidR="00684782" w:rsidRDefault="00684782" w:rsidP="003712C2">
            <w:pPr>
              <w:widowControl/>
              <w:overflowPunct/>
              <w:autoSpaceDE/>
              <w:autoSpaceDN/>
              <w:adjustRightInd/>
              <w:textAlignment w:val="auto"/>
              <w:rPr>
                <w:rFonts w:eastAsiaTheme="minorEastAsia" w:cs="Arial"/>
                <w:b/>
                <w:bCs/>
                <w:color w:val="000000" w:themeColor="dark1"/>
                <w:kern w:val="24"/>
                <w:sz w:val="20"/>
                <w:lang w:eastAsia="en-GB"/>
              </w:rPr>
            </w:pPr>
          </w:p>
          <w:p w14:paraId="5EB14768" w14:textId="77777777" w:rsidR="00684782" w:rsidRDefault="00684782" w:rsidP="003712C2">
            <w:pPr>
              <w:widowControl/>
              <w:overflowPunct/>
              <w:autoSpaceDE/>
              <w:autoSpaceDN/>
              <w:adjustRightInd/>
              <w:textAlignment w:val="auto"/>
              <w:rPr>
                <w:rFonts w:eastAsiaTheme="minorEastAsia" w:cs="Arial"/>
                <w:b/>
                <w:bCs/>
                <w:color w:val="000000" w:themeColor="dark1"/>
                <w:kern w:val="24"/>
                <w:sz w:val="20"/>
                <w:lang w:eastAsia="en-GB"/>
              </w:rPr>
            </w:pPr>
          </w:p>
          <w:p w14:paraId="3BDFFE86" w14:textId="6025AA6E" w:rsidR="003712C2" w:rsidRPr="003712C2" w:rsidRDefault="00684782" w:rsidP="003712C2">
            <w:pPr>
              <w:widowControl/>
              <w:overflowPunct/>
              <w:autoSpaceDE/>
              <w:autoSpaceDN/>
              <w:adjustRightInd/>
              <w:textAlignment w:val="auto"/>
              <w:rPr>
                <w:rFonts w:cs="Arial"/>
                <w:sz w:val="20"/>
                <w:lang w:eastAsia="en-GB"/>
              </w:rPr>
            </w:pPr>
            <w:r>
              <w:rPr>
                <w:rFonts w:eastAsiaTheme="minorEastAsia" w:cs="Arial"/>
                <w:b/>
                <w:bCs/>
                <w:color w:val="000000" w:themeColor="dark1"/>
                <w:kern w:val="24"/>
                <w:sz w:val="20"/>
                <w:lang w:eastAsia="en-GB"/>
              </w:rPr>
              <w:t>Occurrences in</w:t>
            </w:r>
            <w:r w:rsidR="0045433D">
              <w:rPr>
                <w:rFonts w:eastAsiaTheme="minorEastAsia" w:cs="Arial"/>
                <w:b/>
                <w:bCs/>
                <w:color w:val="000000" w:themeColor="dark1"/>
                <w:kern w:val="24"/>
                <w:sz w:val="20"/>
                <w:lang w:eastAsia="en-GB"/>
              </w:rPr>
              <w:t xml:space="preserve"> the</w:t>
            </w:r>
            <w:r>
              <w:rPr>
                <w:rFonts w:eastAsiaTheme="minorEastAsia" w:cs="Arial"/>
                <w:b/>
                <w:bCs/>
                <w:color w:val="000000" w:themeColor="dark1"/>
                <w:kern w:val="24"/>
                <w:sz w:val="20"/>
                <w:lang w:eastAsia="en-GB"/>
              </w:rPr>
              <w:t xml:space="preserve"> 3 months to 30 October</w:t>
            </w:r>
            <w:r w:rsidR="003712C2" w:rsidRPr="003712C2">
              <w:rPr>
                <w:rFonts w:eastAsiaTheme="minorEastAsia" w:cs="Arial"/>
                <w:color w:val="000000" w:themeColor="dark1"/>
                <w:kern w:val="24"/>
                <w:sz w:val="20"/>
                <w:lang w:eastAsia="en-GB"/>
              </w:rPr>
              <w:tab/>
            </w:r>
          </w:p>
        </w:tc>
        <w:tc>
          <w:tcPr>
            <w:tcW w:w="60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342EC0" w14:textId="77777777" w:rsidR="003712C2" w:rsidRPr="003712C2" w:rsidRDefault="003712C2" w:rsidP="003712C2">
            <w:pPr>
              <w:widowControl/>
              <w:numPr>
                <w:ilvl w:val="0"/>
                <w:numId w:val="11"/>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Unauthorised access to data; </w:t>
            </w:r>
          </w:p>
          <w:p w14:paraId="0AD40381" w14:textId="77777777" w:rsidR="003712C2" w:rsidRDefault="003712C2" w:rsidP="00684782">
            <w:pPr>
              <w:widowControl/>
              <w:numPr>
                <w:ilvl w:val="0"/>
                <w:numId w:val="11"/>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Security/IS breaches. </w:t>
            </w:r>
            <w:r w:rsidRPr="003712C2">
              <w:rPr>
                <w:rFonts w:eastAsiaTheme="minorEastAsia" w:cs="Arial"/>
                <w:color w:val="000000" w:themeColor="dark1"/>
                <w:kern w:val="24"/>
                <w:sz w:val="20"/>
                <w:lang w:eastAsia="en-GB"/>
              </w:rPr>
              <w:tab/>
            </w:r>
          </w:p>
          <w:p w14:paraId="02970FE8" w14:textId="77777777" w:rsidR="003712C2" w:rsidRDefault="003712C2" w:rsidP="00684782">
            <w:pPr>
              <w:widowControl/>
              <w:overflowPunct/>
              <w:autoSpaceDE/>
              <w:autoSpaceDN/>
              <w:adjustRightInd/>
              <w:contextualSpacing/>
              <w:textAlignment w:val="auto"/>
              <w:rPr>
                <w:rFonts w:cs="Arial"/>
                <w:sz w:val="20"/>
                <w:lang w:eastAsia="en-GB"/>
              </w:rPr>
            </w:pPr>
          </w:p>
          <w:p w14:paraId="3BF24DF2" w14:textId="7191C045" w:rsidR="003712C2" w:rsidRPr="003712C2" w:rsidRDefault="00684782" w:rsidP="0045433D">
            <w:pPr>
              <w:widowControl/>
              <w:overflowPunct/>
              <w:autoSpaceDE/>
              <w:autoSpaceDN/>
              <w:adjustRightInd/>
              <w:contextualSpacing/>
              <w:textAlignment w:val="auto"/>
              <w:rPr>
                <w:rFonts w:cs="Arial"/>
                <w:sz w:val="20"/>
                <w:lang w:eastAsia="en-GB"/>
              </w:rPr>
            </w:pPr>
            <w:r>
              <w:rPr>
                <w:rFonts w:cs="Arial"/>
                <w:sz w:val="20"/>
                <w:lang w:eastAsia="en-GB"/>
              </w:rPr>
              <w:t xml:space="preserve">The internal fraud incident </w:t>
            </w:r>
            <w:r w:rsidR="00E371D3">
              <w:rPr>
                <w:rFonts w:cs="Arial"/>
                <w:sz w:val="20"/>
                <w:lang w:eastAsia="en-GB"/>
              </w:rPr>
              <w:t xml:space="preserve">as </w:t>
            </w:r>
            <w:r w:rsidR="0045433D">
              <w:rPr>
                <w:rFonts w:cs="Arial"/>
                <w:sz w:val="20"/>
                <w:lang w:eastAsia="en-GB"/>
              </w:rPr>
              <w:t xml:space="preserve">reported to the Board (update at annex A) is the only breach of access to data. </w:t>
            </w:r>
            <w:r>
              <w:rPr>
                <w:rFonts w:cs="Arial"/>
                <w:sz w:val="20"/>
                <w:lang w:eastAsia="en-GB"/>
              </w:rPr>
              <w:t xml:space="preserve"> </w:t>
            </w:r>
          </w:p>
        </w:tc>
      </w:tr>
      <w:tr w:rsidR="003712C2" w:rsidRPr="003712C2" w14:paraId="6F2850E1" w14:textId="77777777" w:rsidTr="003712C2">
        <w:trPr>
          <w:trHeight w:val="1252"/>
        </w:trPr>
        <w:tc>
          <w:tcPr>
            <w:tcW w:w="2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A662C95" w14:textId="77777777" w:rsidR="0045433D" w:rsidRDefault="003712C2" w:rsidP="003712C2">
            <w:pPr>
              <w:widowControl/>
              <w:overflowPunct/>
              <w:autoSpaceDE/>
              <w:autoSpaceDN/>
              <w:adjustRightInd/>
              <w:textAlignment w:val="auto"/>
              <w:rPr>
                <w:rFonts w:eastAsiaTheme="minorEastAsia" w:cs="Arial"/>
                <w:b/>
                <w:bCs/>
                <w:color w:val="000000" w:themeColor="dark1"/>
                <w:kern w:val="24"/>
                <w:sz w:val="20"/>
                <w:lang w:eastAsia="en-GB"/>
              </w:rPr>
            </w:pPr>
            <w:r w:rsidRPr="003712C2">
              <w:rPr>
                <w:rFonts w:eastAsiaTheme="minorEastAsia" w:cs="Arial"/>
                <w:b/>
                <w:bCs/>
                <w:color w:val="000000" w:themeColor="dark1"/>
                <w:kern w:val="24"/>
                <w:sz w:val="20"/>
                <w:lang w:eastAsia="en-GB"/>
              </w:rPr>
              <w:t xml:space="preserve">Disclosure of Data </w:t>
            </w:r>
          </w:p>
          <w:p w14:paraId="6F24C0B1" w14:textId="77777777" w:rsidR="0045433D" w:rsidRDefault="0045433D" w:rsidP="003712C2">
            <w:pPr>
              <w:widowControl/>
              <w:overflowPunct/>
              <w:autoSpaceDE/>
              <w:autoSpaceDN/>
              <w:adjustRightInd/>
              <w:textAlignment w:val="auto"/>
              <w:rPr>
                <w:rFonts w:eastAsiaTheme="minorEastAsia" w:cs="Arial"/>
                <w:b/>
                <w:bCs/>
                <w:color w:val="000000" w:themeColor="dark1"/>
                <w:kern w:val="24"/>
                <w:sz w:val="20"/>
                <w:lang w:eastAsia="en-GB"/>
              </w:rPr>
            </w:pPr>
          </w:p>
          <w:p w14:paraId="70012D79" w14:textId="77777777" w:rsidR="0045433D" w:rsidRDefault="0045433D" w:rsidP="003712C2">
            <w:pPr>
              <w:widowControl/>
              <w:overflowPunct/>
              <w:autoSpaceDE/>
              <w:autoSpaceDN/>
              <w:adjustRightInd/>
              <w:textAlignment w:val="auto"/>
              <w:rPr>
                <w:rFonts w:eastAsiaTheme="minorEastAsia" w:cs="Arial"/>
                <w:b/>
                <w:bCs/>
                <w:color w:val="000000" w:themeColor="dark1"/>
                <w:kern w:val="24"/>
                <w:sz w:val="20"/>
                <w:lang w:eastAsia="en-GB"/>
              </w:rPr>
            </w:pPr>
          </w:p>
          <w:p w14:paraId="783A7FCD" w14:textId="77777777" w:rsidR="0045433D" w:rsidRDefault="0045433D" w:rsidP="003712C2">
            <w:pPr>
              <w:widowControl/>
              <w:overflowPunct/>
              <w:autoSpaceDE/>
              <w:autoSpaceDN/>
              <w:adjustRightInd/>
              <w:textAlignment w:val="auto"/>
              <w:rPr>
                <w:rFonts w:eastAsiaTheme="minorEastAsia" w:cs="Arial"/>
                <w:b/>
                <w:bCs/>
                <w:color w:val="000000" w:themeColor="dark1"/>
                <w:kern w:val="24"/>
                <w:sz w:val="20"/>
                <w:lang w:eastAsia="en-GB"/>
              </w:rPr>
            </w:pPr>
          </w:p>
          <w:p w14:paraId="7745DD9F" w14:textId="77777777" w:rsidR="0045433D" w:rsidRDefault="0045433D" w:rsidP="003712C2">
            <w:pPr>
              <w:widowControl/>
              <w:overflowPunct/>
              <w:autoSpaceDE/>
              <w:autoSpaceDN/>
              <w:adjustRightInd/>
              <w:textAlignment w:val="auto"/>
              <w:rPr>
                <w:rFonts w:eastAsiaTheme="minorEastAsia" w:cs="Arial"/>
                <w:b/>
                <w:bCs/>
                <w:color w:val="000000" w:themeColor="dark1"/>
                <w:kern w:val="24"/>
                <w:sz w:val="20"/>
                <w:lang w:eastAsia="en-GB"/>
              </w:rPr>
            </w:pPr>
          </w:p>
          <w:p w14:paraId="200828A9" w14:textId="77777777" w:rsidR="0045433D" w:rsidRDefault="0045433D" w:rsidP="003712C2">
            <w:pPr>
              <w:widowControl/>
              <w:overflowPunct/>
              <w:autoSpaceDE/>
              <w:autoSpaceDN/>
              <w:adjustRightInd/>
              <w:textAlignment w:val="auto"/>
              <w:rPr>
                <w:rFonts w:eastAsiaTheme="minorEastAsia" w:cs="Arial"/>
                <w:b/>
                <w:bCs/>
                <w:color w:val="000000" w:themeColor="dark1"/>
                <w:kern w:val="24"/>
                <w:sz w:val="20"/>
                <w:lang w:eastAsia="en-GB"/>
              </w:rPr>
            </w:pPr>
          </w:p>
          <w:p w14:paraId="2EE50A96" w14:textId="3741534E" w:rsidR="003712C2" w:rsidRPr="003712C2" w:rsidRDefault="0045433D" w:rsidP="003712C2">
            <w:pPr>
              <w:widowControl/>
              <w:overflowPunct/>
              <w:autoSpaceDE/>
              <w:autoSpaceDN/>
              <w:adjustRightInd/>
              <w:textAlignment w:val="auto"/>
              <w:rPr>
                <w:rFonts w:cs="Arial"/>
                <w:sz w:val="20"/>
                <w:lang w:eastAsia="en-GB"/>
              </w:rPr>
            </w:pPr>
            <w:r>
              <w:rPr>
                <w:rFonts w:eastAsiaTheme="minorEastAsia" w:cs="Arial"/>
                <w:b/>
                <w:bCs/>
                <w:color w:val="000000" w:themeColor="dark1"/>
                <w:kern w:val="24"/>
                <w:sz w:val="20"/>
                <w:lang w:eastAsia="en-GB"/>
              </w:rPr>
              <w:t>Occurrences in the 3 months to 30 October</w:t>
            </w:r>
          </w:p>
        </w:tc>
        <w:tc>
          <w:tcPr>
            <w:tcW w:w="60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D3EADF" w14:textId="77777777" w:rsidR="003712C2" w:rsidRPr="003712C2" w:rsidRDefault="003712C2" w:rsidP="003712C2">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Unauthorised/inappropriate disclosure of data; </w:t>
            </w:r>
          </w:p>
          <w:p w14:paraId="13E62057" w14:textId="77777777" w:rsidR="003712C2" w:rsidRPr="003712C2" w:rsidRDefault="003712C2" w:rsidP="003712C2">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Disclosure of personal data to incorrect Data Subject; </w:t>
            </w:r>
          </w:p>
          <w:p w14:paraId="7E736D56" w14:textId="77777777" w:rsidR="003712C2" w:rsidRPr="003712C2" w:rsidRDefault="003712C2" w:rsidP="003712C2">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Failure to verify identity before releasing information; </w:t>
            </w:r>
          </w:p>
          <w:p w14:paraId="2D36843D" w14:textId="77777777" w:rsidR="003712C2" w:rsidRPr="003712C2" w:rsidRDefault="003712C2" w:rsidP="003712C2">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Medical/sensitive information inappropriately disclosed; </w:t>
            </w:r>
          </w:p>
          <w:p w14:paraId="7C9B8B48" w14:textId="77777777" w:rsidR="003712C2" w:rsidRPr="0045433D" w:rsidRDefault="003712C2" w:rsidP="003712C2">
            <w:pPr>
              <w:widowControl/>
              <w:numPr>
                <w:ilvl w:val="0"/>
                <w:numId w:val="12"/>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Selling personal data. </w:t>
            </w:r>
            <w:r w:rsidRPr="003712C2">
              <w:rPr>
                <w:rFonts w:eastAsiaTheme="minorEastAsia" w:cs="Arial"/>
                <w:color w:val="000000" w:themeColor="dark1"/>
                <w:kern w:val="24"/>
                <w:sz w:val="20"/>
                <w:lang w:eastAsia="en-GB"/>
              </w:rPr>
              <w:tab/>
            </w:r>
          </w:p>
          <w:p w14:paraId="68F75839" w14:textId="77777777" w:rsidR="003712C2" w:rsidRDefault="003712C2" w:rsidP="0045433D">
            <w:pPr>
              <w:widowControl/>
              <w:overflowPunct/>
              <w:autoSpaceDE/>
              <w:autoSpaceDN/>
              <w:adjustRightInd/>
              <w:contextualSpacing/>
              <w:textAlignment w:val="auto"/>
              <w:rPr>
                <w:rFonts w:cs="Arial"/>
                <w:sz w:val="20"/>
                <w:lang w:eastAsia="en-GB"/>
              </w:rPr>
            </w:pPr>
          </w:p>
          <w:p w14:paraId="46B1CE18" w14:textId="20519825" w:rsidR="0045433D" w:rsidRDefault="0045433D" w:rsidP="00511C80">
            <w:pPr>
              <w:pStyle w:val="DeptBullets"/>
              <w:numPr>
                <w:ilvl w:val="0"/>
                <w:numId w:val="15"/>
              </w:numPr>
              <w:spacing w:after="0"/>
              <w:ind w:left="355"/>
              <w:rPr>
                <w:rFonts w:cs="Arial"/>
                <w:sz w:val="20"/>
              </w:rPr>
            </w:pPr>
            <w:r w:rsidRPr="0045433D">
              <w:rPr>
                <w:rFonts w:cs="Arial"/>
                <w:sz w:val="20"/>
              </w:rPr>
              <w:t xml:space="preserve">10 instances where two member’s details were enclosed in one envelope occurred within the mailroom as part of an enveloping exercise.  The members were informed and the mailroom manager continues to review processes and practices to identify where improvements can be made. </w:t>
            </w:r>
          </w:p>
          <w:p w14:paraId="0FFD34CC" w14:textId="77777777" w:rsidR="00511C80" w:rsidRDefault="00511C80" w:rsidP="00511C80">
            <w:pPr>
              <w:pStyle w:val="DeptBullets"/>
              <w:numPr>
                <w:ilvl w:val="0"/>
                <w:numId w:val="0"/>
              </w:numPr>
              <w:spacing w:after="0"/>
              <w:ind w:left="355"/>
              <w:rPr>
                <w:rFonts w:cs="Arial"/>
                <w:sz w:val="20"/>
              </w:rPr>
            </w:pPr>
          </w:p>
          <w:p w14:paraId="1F7BE5B7" w14:textId="0E88AE11" w:rsidR="003712C2" w:rsidRPr="003712C2" w:rsidRDefault="003712C2" w:rsidP="00511C80">
            <w:pPr>
              <w:pStyle w:val="DeptBullets"/>
              <w:numPr>
                <w:ilvl w:val="0"/>
                <w:numId w:val="0"/>
              </w:numPr>
              <w:spacing w:after="0"/>
              <w:rPr>
                <w:rFonts w:cs="Arial"/>
                <w:sz w:val="20"/>
                <w:lang w:eastAsia="en-GB"/>
              </w:rPr>
            </w:pPr>
          </w:p>
        </w:tc>
      </w:tr>
      <w:tr w:rsidR="003712C2" w:rsidRPr="003712C2" w14:paraId="45D54B02" w14:textId="77777777" w:rsidTr="003712C2">
        <w:trPr>
          <w:trHeight w:val="759"/>
        </w:trPr>
        <w:tc>
          <w:tcPr>
            <w:tcW w:w="2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EE1BE60" w14:textId="77777777" w:rsidR="003712C2" w:rsidRDefault="003712C2" w:rsidP="003712C2">
            <w:pPr>
              <w:widowControl/>
              <w:overflowPunct/>
              <w:autoSpaceDE/>
              <w:autoSpaceDN/>
              <w:adjustRightInd/>
              <w:textAlignment w:val="auto"/>
              <w:rPr>
                <w:rFonts w:eastAsiaTheme="minorEastAsia" w:cs="Arial"/>
                <w:color w:val="000000" w:themeColor="dark1"/>
                <w:kern w:val="24"/>
                <w:sz w:val="20"/>
                <w:lang w:eastAsia="en-GB"/>
              </w:rPr>
            </w:pPr>
            <w:r w:rsidRPr="003712C2">
              <w:rPr>
                <w:rFonts w:eastAsiaTheme="minorEastAsia" w:cs="Arial"/>
                <w:b/>
                <w:bCs/>
                <w:color w:val="000000" w:themeColor="dark1"/>
                <w:kern w:val="24"/>
                <w:sz w:val="20"/>
                <w:lang w:eastAsia="en-GB"/>
              </w:rPr>
              <w:t xml:space="preserve">Processing of Data </w:t>
            </w:r>
            <w:r w:rsidRPr="003712C2">
              <w:rPr>
                <w:rFonts w:eastAsiaTheme="minorEastAsia" w:cs="Arial"/>
                <w:color w:val="000000" w:themeColor="dark1"/>
                <w:kern w:val="24"/>
                <w:sz w:val="20"/>
                <w:lang w:eastAsia="en-GB"/>
              </w:rPr>
              <w:tab/>
            </w:r>
          </w:p>
          <w:p w14:paraId="45514B8E" w14:textId="77777777" w:rsidR="003712C2" w:rsidRDefault="003712C2" w:rsidP="003712C2">
            <w:pPr>
              <w:widowControl/>
              <w:overflowPunct/>
              <w:autoSpaceDE/>
              <w:autoSpaceDN/>
              <w:adjustRightInd/>
              <w:textAlignment w:val="auto"/>
              <w:rPr>
                <w:rFonts w:eastAsiaTheme="minorEastAsia" w:cs="Arial"/>
                <w:color w:val="000000" w:themeColor="dark1"/>
                <w:kern w:val="24"/>
                <w:sz w:val="20"/>
                <w:lang w:eastAsia="en-GB"/>
              </w:rPr>
            </w:pPr>
          </w:p>
          <w:p w14:paraId="5ACC68E4" w14:textId="77777777" w:rsidR="003712C2" w:rsidRDefault="003712C2" w:rsidP="003712C2">
            <w:pPr>
              <w:widowControl/>
              <w:overflowPunct/>
              <w:autoSpaceDE/>
              <w:autoSpaceDN/>
              <w:adjustRightInd/>
              <w:textAlignment w:val="auto"/>
              <w:rPr>
                <w:rFonts w:eastAsiaTheme="minorEastAsia" w:cs="Arial"/>
                <w:color w:val="000000" w:themeColor="dark1"/>
                <w:kern w:val="24"/>
                <w:sz w:val="20"/>
                <w:lang w:eastAsia="en-GB"/>
              </w:rPr>
            </w:pPr>
          </w:p>
          <w:p w14:paraId="2F9ACE58" w14:textId="77777777" w:rsidR="00511C80" w:rsidRDefault="00511C80" w:rsidP="003712C2">
            <w:pPr>
              <w:widowControl/>
              <w:overflowPunct/>
              <w:autoSpaceDE/>
              <w:autoSpaceDN/>
              <w:adjustRightInd/>
              <w:textAlignment w:val="auto"/>
              <w:rPr>
                <w:rFonts w:eastAsiaTheme="minorEastAsia" w:cs="Arial"/>
                <w:b/>
                <w:bCs/>
                <w:color w:val="000000" w:themeColor="dark1"/>
                <w:kern w:val="24"/>
                <w:sz w:val="20"/>
                <w:lang w:eastAsia="en-GB"/>
              </w:rPr>
            </w:pPr>
          </w:p>
          <w:p w14:paraId="78B3B8CD" w14:textId="60EAD458" w:rsidR="003712C2" w:rsidRPr="003712C2" w:rsidRDefault="00511C80" w:rsidP="00511C80">
            <w:pPr>
              <w:widowControl/>
              <w:overflowPunct/>
              <w:autoSpaceDE/>
              <w:autoSpaceDN/>
              <w:adjustRightInd/>
              <w:textAlignment w:val="auto"/>
              <w:rPr>
                <w:rFonts w:cs="Arial"/>
                <w:sz w:val="20"/>
                <w:lang w:eastAsia="en-GB"/>
              </w:rPr>
            </w:pPr>
            <w:r>
              <w:rPr>
                <w:rFonts w:eastAsiaTheme="minorEastAsia" w:cs="Arial"/>
                <w:b/>
                <w:bCs/>
                <w:color w:val="000000" w:themeColor="dark1"/>
                <w:kern w:val="24"/>
                <w:sz w:val="20"/>
                <w:lang w:eastAsia="en-GB"/>
              </w:rPr>
              <w:t>Occurrences in the 3 months to 30 October</w:t>
            </w:r>
          </w:p>
        </w:tc>
        <w:tc>
          <w:tcPr>
            <w:tcW w:w="60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C5946C" w14:textId="77777777" w:rsidR="003712C2" w:rsidRPr="003712C2" w:rsidRDefault="003712C2" w:rsidP="003712C2">
            <w:pPr>
              <w:widowControl/>
              <w:numPr>
                <w:ilvl w:val="0"/>
                <w:numId w:val="13"/>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Misuse of data; </w:t>
            </w:r>
          </w:p>
          <w:p w14:paraId="33DBC821" w14:textId="77777777" w:rsidR="003712C2" w:rsidRPr="003712C2" w:rsidRDefault="003712C2" w:rsidP="003712C2">
            <w:pPr>
              <w:widowControl/>
              <w:numPr>
                <w:ilvl w:val="0"/>
                <w:numId w:val="13"/>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Removal of data without permission; </w:t>
            </w:r>
          </w:p>
          <w:p w14:paraId="326C4790" w14:textId="77777777" w:rsidR="00511C80" w:rsidRPr="00511C80" w:rsidRDefault="003712C2" w:rsidP="003712C2">
            <w:pPr>
              <w:widowControl/>
              <w:numPr>
                <w:ilvl w:val="0"/>
                <w:numId w:val="13"/>
              </w:numPr>
              <w:overflowPunct/>
              <w:autoSpaceDE/>
              <w:autoSpaceDN/>
              <w:adjustRightInd/>
              <w:contextualSpacing/>
              <w:textAlignment w:val="auto"/>
              <w:rPr>
                <w:rFonts w:cs="Arial"/>
                <w:sz w:val="20"/>
                <w:lang w:eastAsia="en-GB"/>
              </w:rPr>
            </w:pPr>
            <w:r w:rsidRPr="003712C2">
              <w:rPr>
                <w:rFonts w:eastAsiaTheme="minorEastAsia" w:cs="Arial"/>
                <w:color w:val="000000" w:themeColor="dark1"/>
                <w:kern w:val="24"/>
                <w:sz w:val="20"/>
                <w:lang w:eastAsia="en-GB"/>
              </w:rPr>
              <w:t xml:space="preserve"> Failure to rectify incorrect personal data. </w:t>
            </w:r>
          </w:p>
          <w:p w14:paraId="118893AA" w14:textId="77777777" w:rsidR="00511C80" w:rsidRDefault="00511C80" w:rsidP="00511C80">
            <w:pPr>
              <w:widowControl/>
              <w:overflowPunct/>
              <w:autoSpaceDE/>
              <w:autoSpaceDN/>
              <w:adjustRightInd/>
              <w:contextualSpacing/>
              <w:textAlignment w:val="auto"/>
              <w:rPr>
                <w:rFonts w:eastAsiaTheme="minorEastAsia" w:cs="Arial"/>
                <w:color w:val="000000" w:themeColor="dark1"/>
                <w:kern w:val="24"/>
                <w:sz w:val="20"/>
                <w:lang w:eastAsia="en-GB"/>
              </w:rPr>
            </w:pPr>
          </w:p>
          <w:p w14:paraId="7054D2BB" w14:textId="77777777" w:rsidR="009A198B" w:rsidRDefault="009A198B" w:rsidP="009A198B">
            <w:pPr>
              <w:pStyle w:val="DeptBullets"/>
              <w:numPr>
                <w:ilvl w:val="0"/>
                <w:numId w:val="15"/>
              </w:numPr>
              <w:spacing w:after="0"/>
              <w:ind w:left="355"/>
              <w:rPr>
                <w:rFonts w:cs="Arial"/>
                <w:sz w:val="20"/>
              </w:rPr>
            </w:pPr>
            <w:r>
              <w:rPr>
                <w:rFonts w:cs="Arial"/>
                <w:sz w:val="20"/>
              </w:rPr>
              <w:t xml:space="preserve">One </w:t>
            </w:r>
            <w:r w:rsidRPr="0045433D">
              <w:rPr>
                <w:rFonts w:cs="Arial"/>
                <w:sz w:val="20"/>
              </w:rPr>
              <w:t>incident where correspondence was issued to a previous Independent Financial Advisor</w:t>
            </w:r>
          </w:p>
          <w:p w14:paraId="012544C0" w14:textId="77777777" w:rsidR="009A198B" w:rsidRDefault="009A198B" w:rsidP="009A198B">
            <w:pPr>
              <w:pStyle w:val="DeptBullets"/>
              <w:numPr>
                <w:ilvl w:val="0"/>
                <w:numId w:val="0"/>
              </w:numPr>
              <w:spacing w:after="0"/>
              <w:ind w:left="355"/>
              <w:rPr>
                <w:rFonts w:cs="Arial"/>
                <w:sz w:val="20"/>
              </w:rPr>
            </w:pPr>
          </w:p>
          <w:p w14:paraId="0DCB341F" w14:textId="77777777" w:rsidR="009A198B" w:rsidRDefault="009A198B" w:rsidP="009A198B">
            <w:pPr>
              <w:pStyle w:val="DeptBullets"/>
              <w:numPr>
                <w:ilvl w:val="0"/>
                <w:numId w:val="15"/>
              </w:numPr>
              <w:spacing w:after="0"/>
              <w:ind w:left="355"/>
              <w:rPr>
                <w:rFonts w:cs="Arial"/>
                <w:sz w:val="20"/>
              </w:rPr>
            </w:pPr>
            <w:r>
              <w:rPr>
                <w:rFonts w:cs="Arial"/>
                <w:sz w:val="20"/>
              </w:rPr>
              <w:t>one P60 issued to the incorrect address</w:t>
            </w:r>
          </w:p>
          <w:p w14:paraId="479B4FD8" w14:textId="77777777" w:rsidR="009A198B" w:rsidRDefault="009A198B" w:rsidP="009A198B">
            <w:pPr>
              <w:pStyle w:val="DeptBullets"/>
              <w:numPr>
                <w:ilvl w:val="0"/>
                <w:numId w:val="0"/>
              </w:numPr>
              <w:spacing w:after="0"/>
              <w:ind w:left="355"/>
              <w:rPr>
                <w:rFonts w:cs="Arial"/>
                <w:sz w:val="20"/>
              </w:rPr>
            </w:pPr>
          </w:p>
          <w:p w14:paraId="35796D0F" w14:textId="57ADE526" w:rsidR="00511C80" w:rsidRDefault="00511C80" w:rsidP="009A198B">
            <w:pPr>
              <w:pStyle w:val="DeptBullets"/>
              <w:numPr>
                <w:ilvl w:val="0"/>
                <w:numId w:val="15"/>
              </w:numPr>
              <w:spacing w:after="0"/>
              <w:ind w:left="355"/>
              <w:rPr>
                <w:rFonts w:cs="Arial"/>
                <w:sz w:val="20"/>
              </w:rPr>
            </w:pPr>
            <w:r w:rsidRPr="0045433D">
              <w:rPr>
                <w:rFonts w:cs="Arial"/>
                <w:sz w:val="20"/>
              </w:rPr>
              <w:t>On</w:t>
            </w:r>
            <w:r>
              <w:rPr>
                <w:rFonts w:cs="Arial"/>
                <w:sz w:val="20"/>
              </w:rPr>
              <w:t>e</w:t>
            </w:r>
            <w:r w:rsidRPr="0045433D">
              <w:rPr>
                <w:rFonts w:cs="Arial"/>
                <w:sz w:val="20"/>
              </w:rPr>
              <w:t xml:space="preserve"> pension suspended incorrectly and detail</w:t>
            </w:r>
            <w:r>
              <w:rPr>
                <w:rFonts w:cs="Arial"/>
                <w:sz w:val="20"/>
              </w:rPr>
              <w:t>s</w:t>
            </w:r>
            <w:r w:rsidRPr="0045433D">
              <w:rPr>
                <w:rFonts w:cs="Arial"/>
                <w:sz w:val="20"/>
              </w:rPr>
              <w:t xml:space="preserve"> issued to the wrong member</w:t>
            </w:r>
          </w:p>
          <w:p w14:paraId="0E59A195" w14:textId="77777777" w:rsidR="00511C80" w:rsidRDefault="00511C80" w:rsidP="00511C80">
            <w:pPr>
              <w:pStyle w:val="DeptBullets"/>
              <w:numPr>
                <w:ilvl w:val="0"/>
                <w:numId w:val="0"/>
              </w:numPr>
              <w:spacing w:after="0"/>
              <w:ind w:left="355"/>
              <w:rPr>
                <w:rFonts w:cs="Arial"/>
                <w:sz w:val="20"/>
              </w:rPr>
            </w:pPr>
          </w:p>
          <w:p w14:paraId="1F988F66" w14:textId="3699E595" w:rsidR="00511C80" w:rsidRDefault="009A198B" w:rsidP="00511C80">
            <w:pPr>
              <w:pStyle w:val="DeptBullets"/>
              <w:numPr>
                <w:ilvl w:val="0"/>
                <w:numId w:val="0"/>
              </w:numPr>
              <w:spacing w:after="0"/>
              <w:rPr>
                <w:rFonts w:cs="Arial"/>
                <w:sz w:val="20"/>
              </w:rPr>
            </w:pPr>
            <w:r>
              <w:rPr>
                <w:rFonts w:cs="Arial"/>
                <w:sz w:val="20"/>
              </w:rPr>
              <w:t>Member records not updated in a timely manner or s</w:t>
            </w:r>
            <w:r w:rsidR="00511C80">
              <w:rPr>
                <w:rFonts w:cs="Arial"/>
                <w:sz w:val="20"/>
              </w:rPr>
              <w:t>canned to incorrect record</w:t>
            </w:r>
            <w:r w:rsidR="00511C80" w:rsidRPr="0045433D">
              <w:rPr>
                <w:rFonts w:cs="Arial"/>
                <w:sz w:val="20"/>
              </w:rPr>
              <w:t xml:space="preserve">.  </w:t>
            </w:r>
            <w:r w:rsidR="00511C80">
              <w:rPr>
                <w:rFonts w:cs="Arial"/>
                <w:sz w:val="20"/>
              </w:rPr>
              <w:t>R</w:t>
            </w:r>
            <w:r w:rsidR="00511C80" w:rsidRPr="0045433D">
              <w:rPr>
                <w:rFonts w:cs="Arial"/>
                <w:sz w:val="20"/>
              </w:rPr>
              <w:t>ecords subsequently updated, all parties informed, apologies issued and the incident discussed to improve future practices</w:t>
            </w:r>
            <w:r w:rsidR="00511C80">
              <w:rPr>
                <w:rFonts w:cs="Arial"/>
                <w:sz w:val="20"/>
              </w:rPr>
              <w:t>.</w:t>
            </w:r>
          </w:p>
          <w:p w14:paraId="11996C1D" w14:textId="13609851" w:rsidR="003712C2" w:rsidRPr="003712C2" w:rsidRDefault="003712C2" w:rsidP="00511C80">
            <w:pPr>
              <w:widowControl/>
              <w:overflowPunct/>
              <w:autoSpaceDE/>
              <w:autoSpaceDN/>
              <w:adjustRightInd/>
              <w:contextualSpacing/>
              <w:textAlignment w:val="auto"/>
              <w:rPr>
                <w:rFonts w:cs="Arial"/>
                <w:sz w:val="20"/>
                <w:lang w:eastAsia="en-GB"/>
              </w:rPr>
            </w:pPr>
          </w:p>
        </w:tc>
      </w:tr>
    </w:tbl>
    <w:p w14:paraId="77B20B60" w14:textId="77777777" w:rsidR="003712C2" w:rsidRDefault="003712C2" w:rsidP="005935FE">
      <w:pPr>
        <w:widowControl/>
        <w:overflowPunct/>
        <w:autoSpaceDE/>
        <w:autoSpaceDN/>
        <w:adjustRightInd/>
        <w:textAlignment w:val="auto"/>
        <w:rPr>
          <w:rFonts w:cs="Arial"/>
          <w:b/>
          <w:color w:val="000000" w:themeColor="text1"/>
          <w:szCs w:val="24"/>
        </w:rPr>
      </w:pPr>
    </w:p>
    <w:p w14:paraId="09681E8A" w14:textId="77777777" w:rsidR="00684782" w:rsidRDefault="00684782" w:rsidP="005935FE">
      <w:pPr>
        <w:widowControl/>
        <w:overflowPunct/>
        <w:autoSpaceDE/>
        <w:autoSpaceDN/>
        <w:adjustRightInd/>
        <w:textAlignment w:val="auto"/>
        <w:rPr>
          <w:rFonts w:cs="Arial"/>
          <w:b/>
          <w:color w:val="000000" w:themeColor="text1"/>
          <w:szCs w:val="24"/>
        </w:rPr>
      </w:pPr>
    </w:p>
    <w:p w14:paraId="031F8C80" w14:textId="77777777" w:rsidR="00AF1C07" w:rsidRPr="005935FE" w:rsidRDefault="00AF1C07" w:rsidP="005935FE">
      <w:pPr>
        <w:pStyle w:val="DeptBullets"/>
        <w:numPr>
          <w:ilvl w:val="0"/>
          <w:numId w:val="0"/>
        </w:numPr>
        <w:spacing w:after="0"/>
        <w:rPr>
          <w:rFonts w:cs="Arial"/>
          <w:szCs w:val="24"/>
        </w:rPr>
      </w:pPr>
    </w:p>
    <w:p w14:paraId="680B8789" w14:textId="77777777" w:rsidR="00137259" w:rsidRDefault="00137259" w:rsidP="005935FE">
      <w:pPr>
        <w:pStyle w:val="DeptBullets"/>
        <w:numPr>
          <w:ilvl w:val="0"/>
          <w:numId w:val="0"/>
        </w:numPr>
        <w:spacing w:after="0"/>
        <w:rPr>
          <w:rFonts w:cs="Arial"/>
          <w:b/>
          <w:szCs w:val="24"/>
        </w:rPr>
      </w:pPr>
    </w:p>
    <w:p w14:paraId="5C58271E" w14:textId="77777777" w:rsidR="00044CFB" w:rsidRDefault="00044CFB" w:rsidP="005935FE">
      <w:pPr>
        <w:pStyle w:val="DeptBullets"/>
        <w:numPr>
          <w:ilvl w:val="0"/>
          <w:numId w:val="0"/>
        </w:numPr>
        <w:spacing w:after="0"/>
        <w:rPr>
          <w:rFonts w:cs="Arial"/>
          <w:szCs w:val="24"/>
        </w:rPr>
      </w:pPr>
    </w:p>
    <w:p w14:paraId="63A84CC0" w14:textId="77777777" w:rsidR="00044CFB" w:rsidRDefault="00044CFB" w:rsidP="005935FE">
      <w:pPr>
        <w:pStyle w:val="DeptBullets"/>
        <w:numPr>
          <w:ilvl w:val="0"/>
          <w:numId w:val="0"/>
        </w:numPr>
        <w:spacing w:after="0"/>
        <w:rPr>
          <w:rFonts w:cs="Arial"/>
          <w:b/>
          <w:szCs w:val="24"/>
        </w:rPr>
      </w:pPr>
    </w:p>
    <w:sectPr w:rsidR="00044CFB" w:rsidSect="00187065">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BEC2F" w14:textId="77777777" w:rsidR="00444DEB" w:rsidRDefault="00444DEB">
      <w:r>
        <w:separator/>
      </w:r>
    </w:p>
  </w:endnote>
  <w:endnote w:type="continuationSeparator" w:id="0">
    <w:p w14:paraId="42A99D01" w14:textId="77777777" w:rsidR="00444DEB" w:rsidRDefault="0044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69876"/>
      <w:docPartObj>
        <w:docPartGallery w:val="Page Numbers (Bottom of Page)"/>
        <w:docPartUnique/>
      </w:docPartObj>
    </w:sdtPr>
    <w:sdtEndPr>
      <w:rPr>
        <w:noProof/>
      </w:rPr>
    </w:sdtEndPr>
    <w:sdtContent>
      <w:p w14:paraId="3A9530CE" w14:textId="77777777" w:rsidR="006A0321" w:rsidRDefault="00CE5046">
        <w:pPr>
          <w:pStyle w:val="Footer"/>
          <w:jc w:val="center"/>
        </w:pPr>
        <w:r>
          <w:fldChar w:fldCharType="begin"/>
        </w:r>
        <w:r w:rsidR="006872B4">
          <w:instrText xml:space="preserve"> PAGE   \* MERGEFORMAT </w:instrText>
        </w:r>
        <w:r>
          <w:fldChar w:fldCharType="separate"/>
        </w:r>
        <w:r w:rsidR="00A60570">
          <w:rPr>
            <w:noProof/>
          </w:rPr>
          <w:t>1</w:t>
        </w:r>
        <w:r>
          <w:rPr>
            <w:noProof/>
          </w:rPr>
          <w:fldChar w:fldCharType="end"/>
        </w:r>
      </w:p>
    </w:sdtContent>
  </w:sdt>
  <w:p w14:paraId="087E3531" w14:textId="77777777" w:rsidR="006A0321" w:rsidRDefault="00A60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A78E" w14:textId="77777777" w:rsidR="00444DEB" w:rsidRDefault="00444DEB">
      <w:r>
        <w:separator/>
      </w:r>
    </w:p>
  </w:footnote>
  <w:footnote w:type="continuationSeparator" w:id="0">
    <w:p w14:paraId="35D34FA1" w14:textId="77777777" w:rsidR="00444DEB" w:rsidRDefault="0044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6C499" w14:textId="77777777" w:rsidR="00D967BE" w:rsidRDefault="006872B4">
    <w:pPr>
      <w:pStyle w:val="Header"/>
    </w:pPr>
    <w:r>
      <w:t xml:space="preserve">TPSPB Meeting </w:t>
    </w:r>
    <w:r w:rsidR="005935FE">
      <w:t xml:space="preserve">2 </w:t>
    </w:r>
    <w:proofErr w:type="gramStart"/>
    <w:r w:rsidR="005935FE">
      <w:t>December</w:t>
    </w:r>
    <w:r>
      <w:t xml:space="preserve"> :</w:t>
    </w:r>
    <w:proofErr w:type="gramEnd"/>
    <w:r>
      <w:t xml:space="preserve"> Agenda item 6</w:t>
    </w:r>
  </w:p>
  <w:p w14:paraId="0B90D237" w14:textId="77777777" w:rsidR="00D967BE" w:rsidRDefault="00A60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6763"/>
    <w:multiLevelType w:val="hybridMultilevel"/>
    <w:tmpl w:val="FD22C978"/>
    <w:lvl w:ilvl="0" w:tplc="B53C57C4">
      <w:start w:val="1"/>
      <w:numFmt w:val="bullet"/>
      <w:lvlText w:val=""/>
      <w:lvlJc w:val="left"/>
      <w:pPr>
        <w:tabs>
          <w:tab w:val="num" w:pos="720"/>
        </w:tabs>
        <w:ind w:left="720" w:hanging="360"/>
      </w:pPr>
      <w:rPr>
        <w:rFonts w:ascii="Wingdings" w:hAnsi="Wingdings" w:hint="default"/>
      </w:rPr>
    </w:lvl>
    <w:lvl w:ilvl="1" w:tplc="789EACA0" w:tentative="1">
      <w:start w:val="1"/>
      <w:numFmt w:val="bullet"/>
      <w:lvlText w:val=""/>
      <w:lvlJc w:val="left"/>
      <w:pPr>
        <w:tabs>
          <w:tab w:val="num" w:pos="1440"/>
        </w:tabs>
        <w:ind w:left="1440" w:hanging="360"/>
      </w:pPr>
      <w:rPr>
        <w:rFonts w:ascii="Wingdings" w:hAnsi="Wingdings" w:hint="default"/>
      </w:rPr>
    </w:lvl>
    <w:lvl w:ilvl="2" w:tplc="F4B8F6EA" w:tentative="1">
      <w:start w:val="1"/>
      <w:numFmt w:val="bullet"/>
      <w:lvlText w:val=""/>
      <w:lvlJc w:val="left"/>
      <w:pPr>
        <w:tabs>
          <w:tab w:val="num" w:pos="2160"/>
        </w:tabs>
        <w:ind w:left="2160" w:hanging="360"/>
      </w:pPr>
      <w:rPr>
        <w:rFonts w:ascii="Wingdings" w:hAnsi="Wingdings" w:hint="default"/>
      </w:rPr>
    </w:lvl>
    <w:lvl w:ilvl="3" w:tplc="F1B6777C" w:tentative="1">
      <w:start w:val="1"/>
      <w:numFmt w:val="bullet"/>
      <w:lvlText w:val=""/>
      <w:lvlJc w:val="left"/>
      <w:pPr>
        <w:tabs>
          <w:tab w:val="num" w:pos="2880"/>
        </w:tabs>
        <w:ind w:left="2880" w:hanging="360"/>
      </w:pPr>
      <w:rPr>
        <w:rFonts w:ascii="Wingdings" w:hAnsi="Wingdings" w:hint="default"/>
      </w:rPr>
    </w:lvl>
    <w:lvl w:ilvl="4" w:tplc="2C669288" w:tentative="1">
      <w:start w:val="1"/>
      <w:numFmt w:val="bullet"/>
      <w:lvlText w:val=""/>
      <w:lvlJc w:val="left"/>
      <w:pPr>
        <w:tabs>
          <w:tab w:val="num" w:pos="3600"/>
        </w:tabs>
        <w:ind w:left="3600" w:hanging="360"/>
      </w:pPr>
      <w:rPr>
        <w:rFonts w:ascii="Wingdings" w:hAnsi="Wingdings" w:hint="default"/>
      </w:rPr>
    </w:lvl>
    <w:lvl w:ilvl="5" w:tplc="0A24602A" w:tentative="1">
      <w:start w:val="1"/>
      <w:numFmt w:val="bullet"/>
      <w:lvlText w:val=""/>
      <w:lvlJc w:val="left"/>
      <w:pPr>
        <w:tabs>
          <w:tab w:val="num" w:pos="4320"/>
        </w:tabs>
        <w:ind w:left="4320" w:hanging="360"/>
      </w:pPr>
      <w:rPr>
        <w:rFonts w:ascii="Wingdings" w:hAnsi="Wingdings" w:hint="default"/>
      </w:rPr>
    </w:lvl>
    <w:lvl w:ilvl="6" w:tplc="B37C15EA" w:tentative="1">
      <w:start w:val="1"/>
      <w:numFmt w:val="bullet"/>
      <w:lvlText w:val=""/>
      <w:lvlJc w:val="left"/>
      <w:pPr>
        <w:tabs>
          <w:tab w:val="num" w:pos="5040"/>
        </w:tabs>
        <w:ind w:left="5040" w:hanging="360"/>
      </w:pPr>
      <w:rPr>
        <w:rFonts w:ascii="Wingdings" w:hAnsi="Wingdings" w:hint="default"/>
      </w:rPr>
    </w:lvl>
    <w:lvl w:ilvl="7" w:tplc="1BF04BF6" w:tentative="1">
      <w:start w:val="1"/>
      <w:numFmt w:val="bullet"/>
      <w:lvlText w:val=""/>
      <w:lvlJc w:val="left"/>
      <w:pPr>
        <w:tabs>
          <w:tab w:val="num" w:pos="5760"/>
        </w:tabs>
        <w:ind w:left="5760" w:hanging="360"/>
      </w:pPr>
      <w:rPr>
        <w:rFonts w:ascii="Wingdings" w:hAnsi="Wingdings" w:hint="default"/>
      </w:rPr>
    </w:lvl>
    <w:lvl w:ilvl="8" w:tplc="7E04C05A" w:tentative="1">
      <w:start w:val="1"/>
      <w:numFmt w:val="bullet"/>
      <w:lvlText w:val=""/>
      <w:lvlJc w:val="left"/>
      <w:pPr>
        <w:tabs>
          <w:tab w:val="num" w:pos="6480"/>
        </w:tabs>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01F072C"/>
    <w:multiLevelType w:val="hybridMultilevel"/>
    <w:tmpl w:val="9DA44826"/>
    <w:lvl w:ilvl="0" w:tplc="2C2CF33A">
      <w:start w:val="1"/>
      <w:numFmt w:val="bullet"/>
      <w:lvlText w:val=""/>
      <w:lvlJc w:val="left"/>
      <w:pPr>
        <w:tabs>
          <w:tab w:val="num" w:pos="720"/>
        </w:tabs>
        <w:ind w:left="720" w:hanging="360"/>
      </w:pPr>
      <w:rPr>
        <w:rFonts w:ascii="Wingdings" w:hAnsi="Wingdings" w:hint="default"/>
      </w:rPr>
    </w:lvl>
    <w:lvl w:ilvl="1" w:tplc="B734BA6E" w:tentative="1">
      <w:start w:val="1"/>
      <w:numFmt w:val="bullet"/>
      <w:lvlText w:val=""/>
      <w:lvlJc w:val="left"/>
      <w:pPr>
        <w:tabs>
          <w:tab w:val="num" w:pos="1440"/>
        </w:tabs>
        <w:ind w:left="1440" w:hanging="360"/>
      </w:pPr>
      <w:rPr>
        <w:rFonts w:ascii="Wingdings" w:hAnsi="Wingdings" w:hint="default"/>
      </w:rPr>
    </w:lvl>
    <w:lvl w:ilvl="2" w:tplc="7DA6D89C" w:tentative="1">
      <w:start w:val="1"/>
      <w:numFmt w:val="bullet"/>
      <w:lvlText w:val=""/>
      <w:lvlJc w:val="left"/>
      <w:pPr>
        <w:tabs>
          <w:tab w:val="num" w:pos="2160"/>
        </w:tabs>
        <w:ind w:left="2160" w:hanging="360"/>
      </w:pPr>
      <w:rPr>
        <w:rFonts w:ascii="Wingdings" w:hAnsi="Wingdings" w:hint="default"/>
      </w:rPr>
    </w:lvl>
    <w:lvl w:ilvl="3" w:tplc="5554C952" w:tentative="1">
      <w:start w:val="1"/>
      <w:numFmt w:val="bullet"/>
      <w:lvlText w:val=""/>
      <w:lvlJc w:val="left"/>
      <w:pPr>
        <w:tabs>
          <w:tab w:val="num" w:pos="2880"/>
        </w:tabs>
        <w:ind w:left="2880" w:hanging="360"/>
      </w:pPr>
      <w:rPr>
        <w:rFonts w:ascii="Wingdings" w:hAnsi="Wingdings" w:hint="default"/>
      </w:rPr>
    </w:lvl>
    <w:lvl w:ilvl="4" w:tplc="CA00F286" w:tentative="1">
      <w:start w:val="1"/>
      <w:numFmt w:val="bullet"/>
      <w:lvlText w:val=""/>
      <w:lvlJc w:val="left"/>
      <w:pPr>
        <w:tabs>
          <w:tab w:val="num" w:pos="3600"/>
        </w:tabs>
        <w:ind w:left="3600" w:hanging="360"/>
      </w:pPr>
      <w:rPr>
        <w:rFonts w:ascii="Wingdings" w:hAnsi="Wingdings" w:hint="default"/>
      </w:rPr>
    </w:lvl>
    <w:lvl w:ilvl="5" w:tplc="AB9E7716" w:tentative="1">
      <w:start w:val="1"/>
      <w:numFmt w:val="bullet"/>
      <w:lvlText w:val=""/>
      <w:lvlJc w:val="left"/>
      <w:pPr>
        <w:tabs>
          <w:tab w:val="num" w:pos="4320"/>
        </w:tabs>
        <w:ind w:left="4320" w:hanging="360"/>
      </w:pPr>
      <w:rPr>
        <w:rFonts w:ascii="Wingdings" w:hAnsi="Wingdings" w:hint="default"/>
      </w:rPr>
    </w:lvl>
    <w:lvl w:ilvl="6" w:tplc="F6A82414" w:tentative="1">
      <w:start w:val="1"/>
      <w:numFmt w:val="bullet"/>
      <w:lvlText w:val=""/>
      <w:lvlJc w:val="left"/>
      <w:pPr>
        <w:tabs>
          <w:tab w:val="num" w:pos="5040"/>
        </w:tabs>
        <w:ind w:left="5040" w:hanging="360"/>
      </w:pPr>
      <w:rPr>
        <w:rFonts w:ascii="Wingdings" w:hAnsi="Wingdings" w:hint="default"/>
      </w:rPr>
    </w:lvl>
    <w:lvl w:ilvl="7" w:tplc="8CC27A3A" w:tentative="1">
      <w:start w:val="1"/>
      <w:numFmt w:val="bullet"/>
      <w:lvlText w:val=""/>
      <w:lvlJc w:val="left"/>
      <w:pPr>
        <w:tabs>
          <w:tab w:val="num" w:pos="5760"/>
        </w:tabs>
        <w:ind w:left="5760" w:hanging="360"/>
      </w:pPr>
      <w:rPr>
        <w:rFonts w:ascii="Wingdings" w:hAnsi="Wingdings" w:hint="default"/>
      </w:rPr>
    </w:lvl>
    <w:lvl w:ilvl="8" w:tplc="5F92C35C" w:tentative="1">
      <w:start w:val="1"/>
      <w:numFmt w:val="bullet"/>
      <w:lvlText w:val=""/>
      <w:lvlJc w:val="left"/>
      <w:pPr>
        <w:tabs>
          <w:tab w:val="num" w:pos="6480"/>
        </w:tabs>
        <w:ind w:left="6480" w:hanging="360"/>
      </w:pPr>
      <w:rPr>
        <w:rFonts w:ascii="Wingdings" w:hAnsi="Wingdings" w:hint="default"/>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2B6F69E4"/>
    <w:multiLevelType w:val="hybridMultilevel"/>
    <w:tmpl w:val="9BF8FB00"/>
    <w:lvl w:ilvl="0" w:tplc="39B2BBA0">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B265E7"/>
    <w:multiLevelType w:val="hybridMultilevel"/>
    <w:tmpl w:val="1C1471FA"/>
    <w:lvl w:ilvl="0" w:tplc="1B9CAE98">
      <w:start w:val="1"/>
      <w:numFmt w:val="bullet"/>
      <w:lvlText w:val=""/>
      <w:lvlJc w:val="left"/>
      <w:pPr>
        <w:tabs>
          <w:tab w:val="num" w:pos="720"/>
        </w:tabs>
        <w:ind w:left="720" w:hanging="360"/>
      </w:pPr>
      <w:rPr>
        <w:rFonts w:ascii="Wingdings" w:hAnsi="Wingdings" w:hint="default"/>
      </w:rPr>
    </w:lvl>
    <w:lvl w:ilvl="1" w:tplc="6D2E050C" w:tentative="1">
      <w:start w:val="1"/>
      <w:numFmt w:val="bullet"/>
      <w:lvlText w:val=""/>
      <w:lvlJc w:val="left"/>
      <w:pPr>
        <w:tabs>
          <w:tab w:val="num" w:pos="1440"/>
        </w:tabs>
        <w:ind w:left="1440" w:hanging="360"/>
      </w:pPr>
      <w:rPr>
        <w:rFonts w:ascii="Wingdings" w:hAnsi="Wingdings" w:hint="default"/>
      </w:rPr>
    </w:lvl>
    <w:lvl w:ilvl="2" w:tplc="F5240BDE" w:tentative="1">
      <w:start w:val="1"/>
      <w:numFmt w:val="bullet"/>
      <w:lvlText w:val=""/>
      <w:lvlJc w:val="left"/>
      <w:pPr>
        <w:tabs>
          <w:tab w:val="num" w:pos="2160"/>
        </w:tabs>
        <w:ind w:left="2160" w:hanging="360"/>
      </w:pPr>
      <w:rPr>
        <w:rFonts w:ascii="Wingdings" w:hAnsi="Wingdings" w:hint="default"/>
      </w:rPr>
    </w:lvl>
    <w:lvl w:ilvl="3" w:tplc="9D00A52E" w:tentative="1">
      <w:start w:val="1"/>
      <w:numFmt w:val="bullet"/>
      <w:lvlText w:val=""/>
      <w:lvlJc w:val="left"/>
      <w:pPr>
        <w:tabs>
          <w:tab w:val="num" w:pos="2880"/>
        </w:tabs>
        <w:ind w:left="2880" w:hanging="360"/>
      </w:pPr>
      <w:rPr>
        <w:rFonts w:ascii="Wingdings" w:hAnsi="Wingdings" w:hint="default"/>
      </w:rPr>
    </w:lvl>
    <w:lvl w:ilvl="4" w:tplc="622A6382" w:tentative="1">
      <w:start w:val="1"/>
      <w:numFmt w:val="bullet"/>
      <w:lvlText w:val=""/>
      <w:lvlJc w:val="left"/>
      <w:pPr>
        <w:tabs>
          <w:tab w:val="num" w:pos="3600"/>
        </w:tabs>
        <w:ind w:left="3600" w:hanging="360"/>
      </w:pPr>
      <w:rPr>
        <w:rFonts w:ascii="Wingdings" w:hAnsi="Wingdings" w:hint="default"/>
      </w:rPr>
    </w:lvl>
    <w:lvl w:ilvl="5" w:tplc="E6BC64CA" w:tentative="1">
      <w:start w:val="1"/>
      <w:numFmt w:val="bullet"/>
      <w:lvlText w:val=""/>
      <w:lvlJc w:val="left"/>
      <w:pPr>
        <w:tabs>
          <w:tab w:val="num" w:pos="4320"/>
        </w:tabs>
        <w:ind w:left="4320" w:hanging="360"/>
      </w:pPr>
      <w:rPr>
        <w:rFonts w:ascii="Wingdings" w:hAnsi="Wingdings" w:hint="default"/>
      </w:rPr>
    </w:lvl>
    <w:lvl w:ilvl="6" w:tplc="0890B836" w:tentative="1">
      <w:start w:val="1"/>
      <w:numFmt w:val="bullet"/>
      <w:lvlText w:val=""/>
      <w:lvlJc w:val="left"/>
      <w:pPr>
        <w:tabs>
          <w:tab w:val="num" w:pos="5040"/>
        </w:tabs>
        <w:ind w:left="5040" w:hanging="360"/>
      </w:pPr>
      <w:rPr>
        <w:rFonts w:ascii="Wingdings" w:hAnsi="Wingdings" w:hint="default"/>
      </w:rPr>
    </w:lvl>
    <w:lvl w:ilvl="7" w:tplc="7AEA0330" w:tentative="1">
      <w:start w:val="1"/>
      <w:numFmt w:val="bullet"/>
      <w:lvlText w:val=""/>
      <w:lvlJc w:val="left"/>
      <w:pPr>
        <w:tabs>
          <w:tab w:val="num" w:pos="5760"/>
        </w:tabs>
        <w:ind w:left="5760" w:hanging="360"/>
      </w:pPr>
      <w:rPr>
        <w:rFonts w:ascii="Wingdings" w:hAnsi="Wingdings" w:hint="default"/>
      </w:rPr>
    </w:lvl>
    <w:lvl w:ilvl="8" w:tplc="B7E41FB0" w:tentative="1">
      <w:start w:val="1"/>
      <w:numFmt w:val="bullet"/>
      <w:lvlText w:val=""/>
      <w:lvlJc w:val="left"/>
      <w:pPr>
        <w:tabs>
          <w:tab w:val="num" w:pos="6480"/>
        </w:tabs>
        <w:ind w:left="6480" w:hanging="360"/>
      </w:pPr>
      <w:rPr>
        <w:rFonts w:ascii="Wingdings" w:hAnsi="Wingdings" w:hint="default"/>
      </w:r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5EB607A"/>
    <w:multiLevelType w:val="hybridMultilevel"/>
    <w:tmpl w:val="008C7D1E"/>
    <w:lvl w:ilvl="0" w:tplc="805244D6">
      <w:start w:val="1"/>
      <w:numFmt w:val="bullet"/>
      <w:lvlText w:val=""/>
      <w:lvlJc w:val="left"/>
      <w:pPr>
        <w:tabs>
          <w:tab w:val="num" w:pos="720"/>
        </w:tabs>
        <w:ind w:left="720" w:hanging="360"/>
      </w:pPr>
      <w:rPr>
        <w:rFonts w:ascii="Wingdings" w:hAnsi="Wingdings" w:hint="default"/>
      </w:rPr>
    </w:lvl>
    <w:lvl w:ilvl="1" w:tplc="2942469E" w:tentative="1">
      <w:start w:val="1"/>
      <w:numFmt w:val="bullet"/>
      <w:lvlText w:val=""/>
      <w:lvlJc w:val="left"/>
      <w:pPr>
        <w:tabs>
          <w:tab w:val="num" w:pos="1440"/>
        </w:tabs>
        <w:ind w:left="1440" w:hanging="360"/>
      </w:pPr>
      <w:rPr>
        <w:rFonts w:ascii="Wingdings" w:hAnsi="Wingdings" w:hint="default"/>
      </w:rPr>
    </w:lvl>
    <w:lvl w:ilvl="2" w:tplc="84BA31AA" w:tentative="1">
      <w:start w:val="1"/>
      <w:numFmt w:val="bullet"/>
      <w:lvlText w:val=""/>
      <w:lvlJc w:val="left"/>
      <w:pPr>
        <w:tabs>
          <w:tab w:val="num" w:pos="2160"/>
        </w:tabs>
        <w:ind w:left="2160" w:hanging="360"/>
      </w:pPr>
      <w:rPr>
        <w:rFonts w:ascii="Wingdings" w:hAnsi="Wingdings" w:hint="default"/>
      </w:rPr>
    </w:lvl>
    <w:lvl w:ilvl="3" w:tplc="C890D55C" w:tentative="1">
      <w:start w:val="1"/>
      <w:numFmt w:val="bullet"/>
      <w:lvlText w:val=""/>
      <w:lvlJc w:val="left"/>
      <w:pPr>
        <w:tabs>
          <w:tab w:val="num" w:pos="2880"/>
        </w:tabs>
        <w:ind w:left="2880" w:hanging="360"/>
      </w:pPr>
      <w:rPr>
        <w:rFonts w:ascii="Wingdings" w:hAnsi="Wingdings" w:hint="default"/>
      </w:rPr>
    </w:lvl>
    <w:lvl w:ilvl="4" w:tplc="A31016D4" w:tentative="1">
      <w:start w:val="1"/>
      <w:numFmt w:val="bullet"/>
      <w:lvlText w:val=""/>
      <w:lvlJc w:val="left"/>
      <w:pPr>
        <w:tabs>
          <w:tab w:val="num" w:pos="3600"/>
        </w:tabs>
        <w:ind w:left="3600" w:hanging="360"/>
      </w:pPr>
      <w:rPr>
        <w:rFonts w:ascii="Wingdings" w:hAnsi="Wingdings" w:hint="default"/>
      </w:rPr>
    </w:lvl>
    <w:lvl w:ilvl="5" w:tplc="3EC478CC" w:tentative="1">
      <w:start w:val="1"/>
      <w:numFmt w:val="bullet"/>
      <w:lvlText w:val=""/>
      <w:lvlJc w:val="left"/>
      <w:pPr>
        <w:tabs>
          <w:tab w:val="num" w:pos="4320"/>
        </w:tabs>
        <w:ind w:left="4320" w:hanging="360"/>
      </w:pPr>
      <w:rPr>
        <w:rFonts w:ascii="Wingdings" w:hAnsi="Wingdings" w:hint="default"/>
      </w:rPr>
    </w:lvl>
    <w:lvl w:ilvl="6" w:tplc="B762E07E" w:tentative="1">
      <w:start w:val="1"/>
      <w:numFmt w:val="bullet"/>
      <w:lvlText w:val=""/>
      <w:lvlJc w:val="left"/>
      <w:pPr>
        <w:tabs>
          <w:tab w:val="num" w:pos="5040"/>
        </w:tabs>
        <w:ind w:left="5040" w:hanging="360"/>
      </w:pPr>
      <w:rPr>
        <w:rFonts w:ascii="Wingdings" w:hAnsi="Wingdings" w:hint="default"/>
      </w:rPr>
    </w:lvl>
    <w:lvl w:ilvl="7" w:tplc="FADA17E0" w:tentative="1">
      <w:start w:val="1"/>
      <w:numFmt w:val="bullet"/>
      <w:lvlText w:val=""/>
      <w:lvlJc w:val="left"/>
      <w:pPr>
        <w:tabs>
          <w:tab w:val="num" w:pos="5760"/>
        </w:tabs>
        <w:ind w:left="5760" w:hanging="360"/>
      </w:pPr>
      <w:rPr>
        <w:rFonts w:ascii="Wingdings" w:hAnsi="Wingdings" w:hint="default"/>
      </w:rPr>
    </w:lvl>
    <w:lvl w:ilvl="8" w:tplc="4238DC32" w:tentative="1">
      <w:start w:val="1"/>
      <w:numFmt w:val="bullet"/>
      <w:lvlText w:val=""/>
      <w:lvlJc w:val="left"/>
      <w:pPr>
        <w:tabs>
          <w:tab w:val="num" w:pos="6480"/>
        </w:tabs>
        <w:ind w:left="6480" w:hanging="360"/>
      </w:pPr>
      <w:rPr>
        <w:rFonts w:ascii="Wingdings" w:hAnsi="Wingdings" w:hint="default"/>
      </w:rPr>
    </w:lvl>
  </w:abstractNum>
  <w:abstractNum w:abstractNumId="9">
    <w:nsid w:val="58C6751D"/>
    <w:multiLevelType w:val="hybridMultilevel"/>
    <w:tmpl w:val="68B2163E"/>
    <w:lvl w:ilvl="0" w:tplc="C38E91A6">
      <w:start w:val="1"/>
      <w:numFmt w:val="bullet"/>
      <w:lvlText w:val=""/>
      <w:lvlJc w:val="left"/>
      <w:pPr>
        <w:tabs>
          <w:tab w:val="num" w:pos="720"/>
        </w:tabs>
        <w:ind w:left="720" w:hanging="360"/>
      </w:pPr>
      <w:rPr>
        <w:rFonts w:ascii="Wingdings" w:hAnsi="Wingdings" w:hint="default"/>
      </w:rPr>
    </w:lvl>
    <w:lvl w:ilvl="1" w:tplc="F604A324" w:tentative="1">
      <w:start w:val="1"/>
      <w:numFmt w:val="bullet"/>
      <w:lvlText w:val=""/>
      <w:lvlJc w:val="left"/>
      <w:pPr>
        <w:tabs>
          <w:tab w:val="num" w:pos="1440"/>
        </w:tabs>
        <w:ind w:left="1440" w:hanging="360"/>
      </w:pPr>
      <w:rPr>
        <w:rFonts w:ascii="Wingdings" w:hAnsi="Wingdings" w:hint="default"/>
      </w:rPr>
    </w:lvl>
    <w:lvl w:ilvl="2" w:tplc="4C8AB27C" w:tentative="1">
      <w:start w:val="1"/>
      <w:numFmt w:val="bullet"/>
      <w:lvlText w:val=""/>
      <w:lvlJc w:val="left"/>
      <w:pPr>
        <w:tabs>
          <w:tab w:val="num" w:pos="2160"/>
        </w:tabs>
        <w:ind w:left="2160" w:hanging="360"/>
      </w:pPr>
      <w:rPr>
        <w:rFonts w:ascii="Wingdings" w:hAnsi="Wingdings" w:hint="default"/>
      </w:rPr>
    </w:lvl>
    <w:lvl w:ilvl="3" w:tplc="D0BAE506" w:tentative="1">
      <w:start w:val="1"/>
      <w:numFmt w:val="bullet"/>
      <w:lvlText w:val=""/>
      <w:lvlJc w:val="left"/>
      <w:pPr>
        <w:tabs>
          <w:tab w:val="num" w:pos="2880"/>
        </w:tabs>
        <w:ind w:left="2880" w:hanging="360"/>
      </w:pPr>
      <w:rPr>
        <w:rFonts w:ascii="Wingdings" w:hAnsi="Wingdings" w:hint="default"/>
      </w:rPr>
    </w:lvl>
    <w:lvl w:ilvl="4" w:tplc="9F68F22C" w:tentative="1">
      <w:start w:val="1"/>
      <w:numFmt w:val="bullet"/>
      <w:lvlText w:val=""/>
      <w:lvlJc w:val="left"/>
      <w:pPr>
        <w:tabs>
          <w:tab w:val="num" w:pos="3600"/>
        </w:tabs>
        <w:ind w:left="3600" w:hanging="360"/>
      </w:pPr>
      <w:rPr>
        <w:rFonts w:ascii="Wingdings" w:hAnsi="Wingdings" w:hint="default"/>
      </w:rPr>
    </w:lvl>
    <w:lvl w:ilvl="5" w:tplc="289C512E" w:tentative="1">
      <w:start w:val="1"/>
      <w:numFmt w:val="bullet"/>
      <w:lvlText w:val=""/>
      <w:lvlJc w:val="left"/>
      <w:pPr>
        <w:tabs>
          <w:tab w:val="num" w:pos="4320"/>
        </w:tabs>
        <w:ind w:left="4320" w:hanging="360"/>
      </w:pPr>
      <w:rPr>
        <w:rFonts w:ascii="Wingdings" w:hAnsi="Wingdings" w:hint="default"/>
      </w:rPr>
    </w:lvl>
    <w:lvl w:ilvl="6" w:tplc="C882A8C6" w:tentative="1">
      <w:start w:val="1"/>
      <w:numFmt w:val="bullet"/>
      <w:lvlText w:val=""/>
      <w:lvlJc w:val="left"/>
      <w:pPr>
        <w:tabs>
          <w:tab w:val="num" w:pos="5040"/>
        </w:tabs>
        <w:ind w:left="5040" w:hanging="360"/>
      </w:pPr>
      <w:rPr>
        <w:rFonts w:ascii="Wingdings" w:hAnsi="Wingdings" w:hint="default"/>
      </w:rPr>
    </w:lvl>
    <w:lvl w:ilvl="7" w:tplc="5BD462D6" w:tentative="1">
      <w:start w:val="1"/>
      <w:numFmt w:val="bullet"/>
      <w:lvlText w:val=""/>
      <w:lvlJc w:val="left"/>
      <w:pPr>
        <w:tabs>
          <w:tab w:val="num" w:pos="5760"/>
        </w:tabs>
        <w:ind w:left="5760" w:hanging="360"/>
      </w:pPr>
      <w:rPr>
        <w:rFonts w:ascii="Wingdings" w:hAnsi="Wingdings" w:hint="default"/>
      </w:rPr>
    </w:lvl>
    <w:lvl w:ilvl="8" w:tplc="39A01DA4" w:tentative="1">
      <w:start w:val="1"/>
      <w:numFmt w:val="bullet"/>
      <w:lvlText w:val=""/>
      <w:lvlJc w:val="left"/>
      <w:pPr>
        <w:tabs>
          <w:tab w:val="num" w:pos="6480"/>
        </w:tabs>
        <w:ind w:left="6480" w:hanging="360"/>
      </w:pPr>
      <w:rPr>
        <w:rFonts w:ascii="Wingdings" w:hAnsi="Wingdings" w:hint="default"/>
      </w:rPr>
    </w:lvl>
  </w:abstractNum>
  <w:abstractNum w:abstractNumId="1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452BDF"/>
    <w:multiLevelType w:val="hybridMultilevel"/>
    <w:tmpl w:val="F05818E0"/>
    <w:lvl w:ilvl="0" w:tplc="A7C83AA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DDB1134"/>
    <w:multiLevelType w:val="hybridMultilevel"/>
    <w:tmpl w:val="77427B48"/>
    <w:lvl w:ilvl="0" w:tplc="EB90B0BE">
      <w:start w:val="1"/>
      <w:numFmt w:val="bullet"/>
      <w:lvlText w:val=""/>
      <w:lvlJc w:val="left"/>
      <w:pPr>
        <w:tabs>
          <w:tab w:val="num" w:pos="720"/>
        </w:tabs>
        <w:ind w:left="720" w:hanging="360"/>
      </w:pPr>
      <w:rPr>
        <w:rFonts w:ascii="Wingdings" w:hAnsi="Wingdings" w:hint="default"/>
      </w:rPr>
    </w:lvl>
    <w:lvl w:ilvl="1" w:tplc="0782851C" w:tentative="1">
      <w:start w:val="1"/>
      <w:numFmt w:val="bullet"/>
      <w:lvlText w:val=""/>
      <w:lvlJc w:val="left"/>
      <w:pPr>
        <w:tabs>
          <w:tab w:val="num" w:pos="1440"/>
        </w:tabs>
        <w:ind w:left="1440" w:hanging="360"/>
      </w:pPr>
      <w:rPr>
        <w:rFonts w:ascii="Wingdings" w:hAnsi="Wingdings" w:hint="default"/>
      </w:rPr>
    </w:lvl>
    <w:lvl w:ilvl="2" w:tplc="28ACC684" w:tentative="1">
      <w:start w:val="1"/>
      <w:numFmt w:val="bullet"/>
      <w:lvlText w:val=""/>
      <w:lvlJc w:val="left"/>
      <w:pPr>
        <w:tabs>
          <w:tab w:val="num" w:pos="2160"/>
        </w:tabs>
        <w:ind w:left="2160" w:hanging="360"/>
      </w:pPr>
      <w:rPr>
        <w:rFonts w:ascii="Wingdings" w:hAnsi="Wingdings" w:hint="default"/>
      </w:rPr>
    </w:lvl>
    <w:lvl w:ilvl="3" w:tplc="586A2D70" w:tentative="1">
      <w:start w:val="1"/>
      <w:numFmt w:val="bullet"/>
      <w:lvlText w:val=""/>
      <w:lvlJc w:val="left"/>
      <w:pPr>
        <w:tabs>
          <w:tab w:val="num" w:pos="2880"/>
        </w:tabs>
        <w:ind w:left="2880" w:hanging="360"/>
      </w:pPr>
      <w:rPr>
        <w:rFonts w:ascii="Wingdings" w:hAnsi="Wingdings" w:hint="default"/>
      </w:rPr>
    </w:lvl>
    <w:lvl w:ilvl="4" w:tplc="7730D13C" w:tentative="1">
      <w:start w:val="1"/>
      <w:numFmt w:val="bullet"/>
      <w:lvlText w:val=""/>
      <w:lvlJc w:val="left"/>
      <w:pPr>
        <w:tabs>
          <w:tab w:val="num" w:pos="3600"/>
        </w:tabs>
        <w:ind w:left="3600" w:hanging="360"/>
      </w:pPr>
      <w:rPr>
        <w:rFonts w:ascii="Wingdings" w:hAnsi="Wingdings" w:hint="default"/>
      </w:rPr>
    </w:lvl>
    <w:lvl w:ilvl="5" w:tplc="96D27DCA" w:tentative="1">
      <w:start w:val="1"/>
      <w:numFmt w:val="bullet"/>
      <w:lvlText w:val=""/>
      <w:lvlJc w:val="left"/>
      <w:pPr>
        <w:tabs>
          <w:tab w:val="num" w:pos="4320"/>
        </w:tabs>
        <w:ind w:left="4320" w:hanging="360"/>
      </w:pPr>
      <w:rPr>
        <w:rFonts w:ascii="Wingdings" w:hAnsi="Wingdings" w:hint="default"/>
      </w:rPr>
    </w:lvl>
    <w:lvl w:ilvl="6" w:tplc="3984E734" w:tentative="1">
      <w:start w:val="1"/>
      <w:numFmt w:val="bullet"/>
      <w:lvlText w:val=""/>
      <w:lvlJc w:val="left"/>
      <w:pPr>
        <w:tabs>
          <w:tab w:val="num" w:pos="5040"/>
        </w:tabs>
        <w:ind w:left="5040" w:hanging="360"/>
      </w:pPr>
      <w:rPr>
        <w:rFonts w:ascii="Wingdings" w:hAnsi="Wingdings" w:hint="default"/>
      </w:rPr>
    </w:lvl>
    <w:lvl w:ilvl="7" w:tplc="35626576" w:tentative="1">
      <w:start w:val="1"/>
      <w:numFmt w:val="bullet"/>
      <w:lvlText w:val=""/>
      <w:lvlJc w:val="left"/>
      <w:pPr>
        <w:tabs>
          <w:tab w:val="num" w:pos="5760"/>
        </w:tabs>
        <w:ind w:left="5760" w:hanging="360"/>
      </w:pPr>
      <w:rPr>
        <w:rFonts w:ascii="Wingdings" w:hAnsi="Wingdings" w:hint="default"/>
      </w:rPr>
    </w:lvl>
    <w:lvl w:ilvl="8" w:tplc="F220419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3"/>
  </w:num>
  <w:num w:numId="4">
    <w:abstractNumId w:val="1"/>
  </w:num>
  <w:num w:numId="5">
    <w:abstractNumId w:val="7"/>
  </w:num>
  <w:num w:numId="6">
    <w:abstractNumId w:val="11"/>
  </w:num>
  <w:num w:numId="7">
    <w:abstractNumId w:val="10"/>
  </w:num>
  <w:num w:numId="8">
    <w:abstractNumId w:val="8"/>
  </w:num>
  <w:num w:numId="9">
    <w:abstractNumId w:val="14"/>
  </w:num>
  <w:num w:numId="10">
    <w:abstractNumId w:val="5"/>
  </w:num>
  <w:num w:numId="11">
    <w:abstractNumId w:val="0"/>
  </w:num>
  <w:num w:numId="12">
    <w:abstractNumId w:val="9"/>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RfWBA502Z9yX041ZNZJ8EM0gK0=" w:salt="hECby+7gJvlQq+mOHjGDA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FE"/>
    <w:rsid w:val="00011F78"/>
    <w:rsid w:val="00022DB6"/>
    <w:rsid w:val="00041864"/>
    <w:rsid w:val="00044CFB"/>
    <w:rsid w:val="0004776A"/>
    <w:rsid w:val="000833EF"/>
    <w:rsid w:val="000A0C1B"/>
    <w:rsid w:val="000B1468"/>
    <w:rsid w:val="000B6A8C"/>
    <w:rsid w:val="000F43AE"/>
    <w:rsid w:val="000F4E59"/>
    <w:rsid w:val="001063B7"/>
    <w:rsid w:val="00116F59"/>
    <w:rsid w:val="001362FD"/>
    <w:rsid w:val="001366BB"/>
    <w:rsid w:val="00137259"/>
    <w:rsid w:val="001372F2"/>
    <w:rsid w:val="00153F85"/>
    <w:rsid w:val="001610B2"/>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54B0F"/>
    <w:rsid w:val="00367EEB"/>
    <w:rsid w:val="00370895"/>
    <w:rsid w:val="003712C2"/>
    <w:rsid w:val="00392AE9"/>
    <w:rsid w:val="003A0000"/>
    <w:rsid w:val="003B3F52"/>
    <w:rsid w:val="003B78F9"/>
    <w:rsid w:val="003D74A2"/>
    <w:rsid w:val="003D7A13"/>
    <w:rsid w:val="003E1B86"/>
    <w:rsid w:val="0040142A"/>
    <w:rsid w:val="00402829"/>
    <w:rsid w:val="00430DC5"/>
    <w:rsid w:val="00444DEB"/>
    <w:rsid w:val="00450D89"/>
    <w:rsid w:val="004533A7"/>
    <w:rsid w:val="0045433D"/>
    <w:rsid w:val="00460505"/>
    <w:rsid w:val="00463122"/>
    <w:rsid w:val="00480E77"/>
    <w:rsid w:val="00484C39"/>
    <w:rsid w:val="004955D9"/>
    <w:rsid w:val="004A41A2"/>
    <w:rsid w:val="004B5643"/>
    <w:rsid w:val="004E633C"/>
    <w:rsid w:val="00511C80"/>
    <w:rsid w:val="00511CA5"/>
    <w:rsid w:val="005150CE"/>
    <w:rsid w:val="00530814"/>
    <w:rsid w:val="00545301"/>
    <w:rsid w:val="0056050E"/>
    <w:rsid w:val="00565333"/>
    <w:rsid w:val="00582BF7"/>
    <w:rsid w:val="00591B39"/>
    <w:rsid w:val="005935FE"/>
    <w:rsid w:val="005A1779"/>
    <w:rsid w:val="005B1CC3"/>
    <w:rsid w:val="005B5A07"/>
    <w:rsid w:val="005C1372"/>
    <w:rsid w:val="005F5E08"/>
    <w:rsid w:val="00607A4B"/>
    <w:rsid w:val="0062704E"/>
    <w:rsid w:val="00634682"/>
    <w:rsid w:val="0063507E"/>
    <w:rsid w:val="006363E9"/>
    <w:rsid w:val="00654828"/>
    <w:rsid w:val="006812D9"/>
    <w:rsid w:val="00684782"/>
    <w:rsid w:val="006858D6"/>
    <w:rsid w:val="006872B4"/>
    <w:rsid w:val="00687908"/>
    <w:rsid w:val="006A0189"/>
    <w:rsid w:val="006A1127"/>
    <w:rsid w:val="006A2F72"/>
    <w:rsid w:val="006A3278"/>
    <w:rsid w:val="006A632C"/>
    <w:rsid w:val="006D3EBD"/>
    <w:rsid w:val="006E6F0B"/>
    <w:rsid w:val="007104E4"/>
    <w:rsid w:val="007442BB"/>
    <w:rsid w:val="00745F92"/>
    <w:rsid w:val="007463C5"/>
    <w:rsid w:val="00746846"/>
    <w:rsid w:val="007510C3"/>
    <w:rsid w:val="0076458E"/>
    <w:rsid w:val="00767063"/>
    <w:rsid w:val="007940AE"/>
    <w:rsid w:val="0079500F"/>
    <w:rsid w:val="007A10F9"/>
    <w:rsid w:val="007A4C02"/>
    <w:rsid w:val="007B49CD"/>
    <w:rsid w:val="007B593B"/>
    <w:rsid w:val="007B5A46"/>
    <w:rsid w:val="007C1BC2"/>
    <w:rsid w:val="007D0DBA"/>
    <w:rsid w:val="007D4DB0"/>
    <w:rsid w:val="007D5CB6"/>
    <w:rsid w:val="007F073B"/>
    <w:rsid w:val="00805C72"/>
    <w:rsid w:val="00831225"/>
    <w:rsid w:val="008411EA"/>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198B"/>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0570"/>
    <w:rsid w:val="00A64099"/>
    <w:rsid w:val="00A96425"/>
    <w:rsid w:val="00AA491C"/>
    <w:rsid w:val="00AB6016"/>
    <w:rsid w:val="00AC2A37"/>
    <w:rsid w:val="00AD0978"/>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B2E63"/>
    <w:rsid w:val="00BC3091"/>
    <w:rsid w:val="00BC547B"/>
    <w:rsid w:val="00BD2B77"/>
    <w:rsid w:val="00BD4B6C"/>
    <w:rsid w:val="00BF703C"/>
    <w:rsid w:val="00C37933"/>
    <w:rsid w:val="00C408C7"/>
    <w:rsid w:val="00C47EEA"/>
    <w:rsid w:val="00C519D0"/>
    <w:rsid w:val="00C70ACB"/>
    <w:rsid w:val="00CA4FEC"/>
    <w:rsid w:val="00CD7921"/>
    <w:rsid w:val="00CE084B"/>
    <w:rsid w:val="00CE5046"/>
    <w:rsid w:val="00D02D57"/>
    <w:rsid w:val="00D118D6"/>
    <w:rsid w:val="00D20266"/>
    <w:rsid w:val="00D20C29"/>
    <w:rsid w:val="00D33842"/>
    <w:rsid w:val="00D47915"/>
    <w:rsid w:val="00D57D6E"/>
    <w:rsid w:val="00D61F5A"/>
    <w:rsid w:val="00D656C2"/>
    <w:rsid w:val="00D8440C"/>
    <w:rsid w:val="00DB4C12"/>
    <w:rsid w:val="00DB50AD"/>
    <w:rsid w:val="00DE20A7"/>
    <w:rsid w:val="00DE6A29"/>
    <w:rsid w:val="00E0081E"/>
    <w:rsid w:val="00E02094"/>
    <w:rsid w:val="00E10F4C"/>
    <w:rsid w:val="00E2419F"/>
    <w:rsid w:val="00E2707B"/>
    <w:rsid w:val="00E366D6"/>
    <w:rsid w:val="00E371D3"/>
    <w:rsid w:val="00E63D8B"/>
    <w:rsid w:val="00E6720D"/>
    <w:rsid w:val="00E81F4B"/>
    <w:rsid w:val="00EA11BE"/>
    <w:rsid w:val="00EC4BB0"/>
    <w:rsid w:val="00EC644A"/>
    <w:rsid w:val="00EC6A3F"/>
    <w:rsid w:val="00F13537"/>
    <w:rsid w:val="00F1700E"/>
    <w:rsid w:val="00F30554"/>
    <w:rsid w:val="00F348D2"/>
    <w:rsid w:val="00F4485F"/>
    <w:rsid w:val="00F44B6A"/>
    <w:rsid w:val="00F521C7"/>
    <w:rsid w:val="00F60BF8"/>
    <w:rsid w:val="00F64863"/>
    <w:rsid w:val="00F960C1"/>
    <w:rsid w:val="00FA0331"/>
    <w:rsid w:val="00FC049C"/>
    <w:rsid w:val="00FC1C0E"/>
    <w:rsid w:val="00FC5ED8"/>
    <w:rsid w:val="00FD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5F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5935FE"/>
    <w:rPr>
      <w:rFonts w:ascii="Arial" w:hAnsi="Arial"/>
      <w:sz w:val="24"/>
      <w:lang w:eastAsia="en-US"/>
    </w:rPr>
  </w:style>
  <w:style w:type="character" w:customStyle="1" w:styleId="HeaderChar">
    <w:name w:val="Header Char"/>
    <w:basedOn w:val="DefaultParagraphFont"/>
    <w:link w:val="Header"/>
    <w:uiPriority w:val="99"/>
    <w:rsid w:val="005935FE"/>
    <w:rPr>
      <w:rFonts w:ascii="Arial" w:hAnsi="Arial"/>
      <w:sz w:val="24"/>
      <w:lang w:eastAsia="en-US"/>
    </w:rPr>
  </w:style>
  <w:style w:type="table" w:styleId="TableGrid">
    <w:name w:val="Table Grid"/>
    <w:basedOn w:val="TableNormal"/>
    <w:rsid w:val="0059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5F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712C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D8440C"/>
    <w:rPr>
      <w:rFonts w:ascii="Arial" w:hAnsi="Arial"/>
      <w:sz w:val="24"/>
      <w:lang w:eastAsia="en-US"/>
    </w:rPr>
  </w:style>
  <w:style w:type="paragraph" w:styleId="BalloonText">
    <w:name w:val="Balloon Text"/>
    <w:basedOn w:val="Normal"/>
    <w:link w:val="BalloonTextChar"/>
    <w:rsid w:val="00D8440C"/>
    <w:rPr>
      <w:rFonts w:ascii="Tahoma" w:hAnsi="Tahoma" w:cs="Tahoma"/>
      <w:sz w:val="16"/>
      <w:szCs w:val="16"/>
    </w:rPr>
  </w:style>
  <w:style w:type="character" w:customStyle="1" w:styleId="BalloonTextChar">
    <w:name w:val="Balloon Text Char"/>
    <w:basedOn w:val="DefaultParagraphFont"/>
    <w:link w:val="BalloonText"/>
    <w:rsid w:val="00D844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5F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5935FE"/>
    <w:rPr>
      <w:rFonts w:ascii="Arial" w:hAnsi="Arial"/>
      <w:sz w:val="24"/>
      <w:lang w:eastAsia="en-US"/>
    </w:rPr>
  </w:style>
  <w:style w:type="character" w:customStyle="1" w:styleId="HeaderChar">
    <w:name w:val="Header Char"/>
    <w:basedOn w:val="DefaultParagraphFont"/>
    <w:link w:val="Header"/>
    <w:uiPriority w:val="99"/>
    <w:rsid w:val="005935FE"/>
    <w:rPr>
      <w:rFonts w:ascii="Arial" w:hAnsi="Arial"/>
      <w:sz w:val="24"/>
      <w:lang w:eastAsia="en-US"/>
    </w:rPr>
  </w:style>
  <w:style w:type="table" w:styleId="TableGrid">
    <w:name w:val="Table Grid"/>
    <w:basedOn w:val="TableNormal"/>
    <w:rsid w:val="0059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5F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712C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D8440C"/>
    <w:rPr>
      <w:rFonts w:ascii="Arial" w:hAnsi="Arial"/>
      <w:sz w:val="24"/>
      <w:lang w:eastAsia="en-US"/>
    </w:rPr>
  </w:style>
  <w:style w:type="paragraph" w:styleId="BalloonText">
    <w:name w:val="Balloon Text"/>
    <w:basedOn w:val="Normal"/>
    <w:link w:val="BalloonTextChar"/>
    <w:rsid w:val="00D8440C"/>
    <w:rPr>
      <w:rFonts w:ascii="Tahoma" w:hAnsi="Tahoma" w:cs="Tahoma"/>
      <w:sz w:val="16"/>
      <w:szCs w:val="16"/>
    </w:rPr>
  </w:style>
  <w:style w:type="character" w:customStyle="1" w:styleId="BalloonTextChar">
    <w:name w:val="Balloon Text Char"/>
    <w:basedOn w:val="DefaultParagraphFont"/>
    <w:link w:val="BalloonText"/>
    <w:rsid w:val="00D844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3984">
      <w:bodyDiv w:val="1"/>
      <w:marLeft w:val="0"/>
      <w:marRight w:val="0"/>
      <w:marTop w:val="0"/>
      <w:marBottom w:val="0"/>
      <w:divBdr>
        <w:top w:val="none" w:sz="0" w:space="0" w:color="auto"/>
        <w:left w:val="none" w:sz="0" w:space="0" w:color="auto"/>
        <w:bottom w:val="none" w:sz="0" w:space="0" w:color="auto"/>
        <w:right w:val="none" w:sz="0" w:space="0" w:color="auto"/>
      </w:divBdr>
    </w:div>
    <w:div w:id="422342958">
      <w:bodyDiv w:val="1"/>
      <w:marLeft w:val="0"/>
      <w:marRight w:val="0"/>
      <w:marTop w:val="0"/>
      <w:marBottom w:val="0"/>
      <w:divBdr>
        <w:top w:val="none" w:sz="0" w:space="0" w:color="auto"/>
        <w:left w:val="none" w:sz="0" w:space="0" w:color="auto"/>
        <w:bottom w:val="none" w:sz="0" w:space="0" w:color="auto"/>
        <w:right w:val="none" w:sz="0" w:space="0" w:color="auto"/>
      </w:divBdr>
    </w:div>
    <w:div w:id="2050956960">
      <w:bodyDiv w:val="1"/>
      <w:marLeft w:val="0"/>
      <w:marRight w:val="0"/>
      <w:marTop w:val="0"/>
      <w:marBottom w:val="0"/>
      <w:divBdr>
        <w:top w:val="none" w:sz="0" w:space="0" w:color="auto"/>
        <w:left w:val="none" w:sz="0" w:space="0" w:color="auto"/>
        <w:bottom w:val="none" w:sz="0" w:space="0" w:color="auto"/>
        <w:right w:val="none" w:sz="0" w:space="0" w:color="auto"/>
      </w:divBdr>
    </w:div>
    <w:div w:id="20992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3.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592183f9312a6788b7ec8f8597764509">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acb8cb2e2ba8d99216100efb2fe5fe9d"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1;#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HKPH4XM4QHZ4-9-14855</_dlc_DocId>
    <_dlc_DocIdUrl xmlns="b8cb3cbd-ce5c-4a72-9da4-9013f91c5903">
      <Url>http://workplaces/sites/ttg/d/_layouts/DocIdRedir.aspx?ID=HKPH4XM4QHZ4-9-14855</Url>
      <Description>HKPH4XM4QHZ4-9-14855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2F850-5400-4CBD-8F3F-5B0EA732428E}">
  <ds:schemaRefs>
    <ds:schemaRef ds:uri="http://schemas.microsoft.com/sharepoint/events"/>
  </ds:schemaRefs>
</ds:datastoreItem>
</file>

<file path=customXml/itemProps2.xml><?xml version="1.0" encoding="utf-8"?>
<ds:datastoreItem xmlns:ds="http://schemas.openxmlformats.org/officeDocument/2006/customXml" ds:itemID="{5EF7283E-65E0-4B59-9883-77D5135F3FA3}">
  <ds:schemaRefs>
    <ds:schemaRef ds:uri="Microsoft.SharePoint.Taxonomy.ContentTypeSync"/>
  </ds:schemaRefs>
</ds:datastoreItem>
</file>

<file path=customXml/itemProps3.xml><?xml version="1.0" encoding="utf-8"?>
<ds:datastoreItem xmlns:ds="http://schemas.openxmlformats.org/officeDocument/2006/customXml" ds:itemID="{B5640E73-51FF-4760-8A0E-A5E9A50B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2C5EF-BE93-4D37-A632-460124542AFF}">
  <ds:schemaRefs>
    <ds:schemaRef ds:uri="b8cb3cbd-ce5c-4a72-9da4-9013f91c5903"/>
    <ds:schemaRef ds:uri="http://schemas.microsoft.com/office/2006/metadata/properties"/>
    <ds:schemaRef ds:uri="http://schemas.microsoft.com/sharepoint/v3"/>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01d2705b-266c-471f-bbad-ca9cc3733704"/>
    <ds:schemaRef ds:uri="http://purl.org/dc/terms/"/>
  </ds:schemaRefs>
</ds:datastoreItem>
</file>

<file path=customXml/itemProps5.xml><?xml version="1.0" encoding="utf-8"?>
<ds:datastoreItem xmlns:ds="http://schemas.openxmlformats.org/officeDocument/2006/customXml" ds:itemID="{4A572AB2-381A-4FDE-8C58-9D92FB9CBF2D}">
  <ds:schemaRefs>
    <ds:schemaRef ds:uri="http://schemas.microsoft.com/sharepoint/v3/contenttype/forms"/>
  </ds:schemaRefs>
</ds:datastoreItem>
</file>

<file path=customXml/itemProps6.xml><?xml version="1.0" encoding="utf-8"?>
<ds:datastoreItem xmlns:ds="http://schemas.openxmlformats.org/officeDocument/2006/customXml" ds:itemID="{004856F9-ACC0-4BFF-93CD-BEC5FF22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1676B853</Template>
  <TotalTime>0</TotalTime>
  <Pages>5</Pages>
  <Words>1906</Words>
  <Characters>10122</Characters>
  <Application>Microsoft Office Word</Application>
  <DocSecurity>8</DocSecurity>
  <Lines>84</Lines>
  <Paragraphs>24</Paragraphs>
  <ScaleCrop>false</ScaleCrop>
  <HeadingPairs>
    <vt:vector size="2" baseType="variant">
      <vt:variant>
        <vt:lpstr>Title</vt:lpstr>
      </vt:variant>
      <vt:variant>
        <vt:i4>1</vt:i4>
      </vt:variant>
    </vt:vector>
  </HeadingPairs>
  <TitlesOfParts>
    <vt:vector size="1" baseType="lpstr">
      <vt:lpstr>draft inc updates from PH, NC and DH</vt:lpstr>
    </vt:vector>
  </TitlesOfParts>
  <Company>Employment Benefits</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inc updates from PH, NC and DH</dc:title>
  <dc:creator>CAMMACK, Karen</dc:creator>
  <cp:lastModifiedBy>CAMMACK, Karen</cp:lastModifiedBy>
  <cp:revision>2</cp:revision>
  <dcterms:created xsi:type="dcterms:W3CDTF">2015-12-16T14:04:00Z</dcterms:created>
  <dcterms:modified xsi:type="dcterms:W3CDTF">2015-12-16T14:04:00Z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3b53d01f-78bf-4a87-b664-cad797c14cc9</vt:lpwstr>
  </property>
</Properties>
</file>