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D0102" w14:textId="77777777" w:rsidR="006854C9" w:rsidRPr="001C267A" w:rsidRDefault="006854C9" w:rsidP="006854C9">
      <w:pPr>
        <w:pStyle w:val="DeptBullets"/>
        <w:numPr>
          <w:ilvl w:val="0"/>
          <w:numId w:val="0"/>
        </w:numPr>
        <w:spacing w:after="120"/>
        <w:jc w:val="center"/>
        <w:rPr>
          <w:b/>
          <w:sz w:val="20"/>
        </w:rPr>
      </w:pPr>
      <w:r w:rsidRPr="001C267A">
        <w:rPr>
          <w:b/>
          <w:sz w:val="20"/>
        </w:rPr>
        <w:t>TEACHERS’ PENSION SCHEME PENSION BOARD (TPSPB)</w:t>
      </w:r>
    </w:p>
    <w:p w14:paraId="4E9C98EB" w14:textId="7DF3911B" w:rsidR="006854C9" w:rsidRPr="001C267A" w:rsidRDefault="006854C9" w:rsidP="006854C9">
      <w:pPr>
        <w:pStyle w:val="DeptBullets"/>
        <w:numPr>
          <w:ilvl w:val="0"/>
          <w:numId w:val="0"/>
        </w:numPr>
        <w:spacing w:after="120"/>
        <w:jc w:val="center"/>
        <w:rPr>
          <w:b/>
          <w:sz w:val="20"/>
        </w:rPr>
      </w:pPr>
      <w:r w:rsidRPr="001C267A">
        <w:rPr>
          <w:b/>
          <w:sz w:val="20"/>
        </w:rPr>
        <w:t xml:space="preserve">Wednesday </w:t>
      </w:r>
      <w:r w:rsidR="00D2188E" w:rsidRPr="001C267A">
        <w:rPr>
          <w:b/>
          <w:sz w:val="20"/>
        </w:rPr>
        <w:t>2 December</w:t>
      </w:r>
      <w:r w:rsidRPr="001C267A">
        <w:rPr>
          <w:b/>
          <w:sz w:val="20"/>
        </w:rPr>
        <w:t xml:space="preserve"> 2015 1</w:t>
      </w:r>
      <w:r w:rsidR="0022221C" w:rsidRPr="001C267A">
        <w:rPr>
          <w:b/>
          <w:sz w:val="20"/>
        </w:rPr>
        <w:t>3</w:t>
      </w:r>
      <w:r w:rsidRPr="001C267A">
        <w:rPr>
          <w:b/>
          <w:sz w:val="20"/>
        </w:rPr>
        <w:t>:</w:t>
      </w:r>
      <w:r w:rsidR="0022221C" w:rsidRPr="001C267A">
        <w:rPr>
          <w:b/>
          <w:sz w:val="20"/>
        </w:rPr>
        <w:t>45</w:t>
      </w:r>
      <w:r w:rsidRPr="001C267A">
        <w:rPr>
          <w:b/>
          <w:sz w:val="20"/>
        </w:rPr>
        <w:t xml:space="preserve"> – 1</w:t>
      </w:r>
      <w:r w:rsidR="0022221C" w:rsidRPr="001C267A">
        <w:rPr>
          <w:b/>
          <w:sz w:val="20"/>
        </w:rPr>
        <w:t>5</w:t>
      </w:r>
      <w:r w:rsidRPr="001C267A">
        <w:rPr>
          <w:b/>
          <w:sz w:val="20"/>
        </w:rPr>
        <w:t>:</w:t>
      </w:r>
      <w:r w:rsidR="0022221C" w:rsidRPr="001C267A">
        <w:rPr>
          <w:b/>
          <w:sz w:val="20"/>
        </w:rPr>
        <w:t>45</w:t>
      </w:r>
      <w:r w:rsidRPr="001C267A">
        <w:rPr>
          <w:b/>
          <w:sz w:val="20"/>
        </w:rPr>
        <w:t xml:space="preserve"> </w:t>
      </w:r>
    </w:p>
    <w:p w14:paraId="68A35E7D" w14:textId="0EDC452E" w:rsidR="006854C9" w:rsidRPr="001C267A" w:rsidRDefault="0022221C" w:rsidP="006854C9">
      <w:pPr>
        <w:pStyle w:val="DeptBullets"/>
        <w:numPr>
          <w:ilvl w:val="0"/>
          <w:numId w:val="0"/>
        </w:numPr>
        <w:spacing w:after="120"/>
        <w:jc w:val="center"/>
        <w:rPr>
          <w:b/>
          <w:sz w:val="20"/>
        </w:rPr>
      </w:pPr>
      <w:r w:rsidRPr="001C267A">
        <w:rPr>
          <w:b/>
          <w:sz w:val="20"/>
        </w:rPr>
        <w:t>Baldwin Room (TP Boardroom)</w:t>
      </w:r>
      <w:r w:rsidR="006854C9" w:rsidRPr="001C267A">
        <w:rPr>
          <w:b/>
          <w:sz w:val="20"/>
        </w:rPr>
        <w:t xml:space="preserve"> L</w:t>
      </w:r>
      <w:r w:rsidRPr="001C267A">
        <w:rPr>
          <w:b/>
          <w:sz w:val="20"/>
        </w:rPr>
        <w:t>ingfield Point, Darlington</w:t>
      </w:r>
    </w:p>
    <w:tbl>
      <w:tblPr>
        <w:tblStyle w:val="TableGrid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103"/>
        <w:gridCol w:w="850"/>
        <w:gridCol w:w="851"/>
      </w:tblGrid>
      <w:tr w:rsidR="006854C9" w:rsidRPr="001C267A" w14:paraId="2B571A55" w14:textId="77777777" w:rsidTr="00BC09F8">
        <w:tc>
          <w:tcPr>
            <w:tcW w:w="568" w:type="dxa"/>
            <w:shd w:val="clear" w:color="auto" w:fill="D9D9D9" w:themeFill="background1" w:themeFillShade="D9"/>
          </w:tcPr>
          <w:p w14:paraId="5E6CC98F" w14:textId="77777777" w:rsidR="006854C9" w:rsidRPr="001C267A" w:rsidRDefault="006854C9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E7D5F39" w14:textId="77777777" w:rsidR="006854C9" w:rsidRPr="001C267A" w:rsidRDefault="006854C9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1C267A">
              <w:rPr>
                <w:b/>
                <w:sz w:val="20"/>
              </w:rPr>
              <w:t>Subject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ABAD33D" w14:textId="77777777" w:rsidR="006854C9" w:rsidRPr="001C267A" w:rsidRDefault="006854C9" w:rsidP="00937418">
            <w:pPr>
              <w:pStyle w:val="DeptBullets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1C267A">
              <w:rPr>
                <w:b/>
                <w:sz w:val="20"/>
              </w:rPr>
              <w:t>Details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46BA93" w14:textId="77777777" w:rsidR="006854C9" w:rsidRPr="001C267A" w:rsidRDefault="006854C9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1C267A">
              <w:rPr>
                <w:b/>
                <w:sz w:val="20"/>
              </w:rPr>
              <w:t>Lead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0709D80" w14:textId="77777777" w:rsidR="006854C9" w:rsidRPr="001C267A" w:rsidRDefault="006854C9" w:rsidP="00937418">
            <w:pPr>
              <w:pStyle w:val="DeptBullets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1C267A">
              <w:rPr>
                <w:b/>
                <w:sz w:val="20"/>
              </w:rPr>
              <w:t>Time</w:t>
            </w:r>
          </w:p>
        </w:tc>
      </w:tr>
      <w:tr w:rsidR="006854C9" w:rsidRPr="001C267A" w14:paraId="0EA891AD" w14:textId="77777777" w:rsidTr="00BC09F8">
        <w:tc>
          <w:tcPr>
            <w:tcW w:w="568" w:type="dxa"/>
          </w:tcPr>
          <w:p w14:paraId="4799F8D5" w14:textId="77777777" w:rsidR="006854C9" w:rsidRPr="001C267A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1</w:t>
            </w:r>
          </w:p>
        </w:tc>
        <w:tc>
          <w:tcPr>
            <w:tcW w:w="1985" w:type="dxa"/>
          </w:tcPr>
          <w:p w14:paraId="55A02267" w14:textId="77777777" w:rsidR="00A307A1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Introduction</w:t>
            </w:r>
          </w:p>
          <w:p w14:paraId="78EBE7EE" w14:textId="7B54A0B5" w:rsidR="006854C9" w:rsidRPr="001C267A" w:rsidRDefault="00A307A1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AP 005/100215</w:t>
            </w:r>
          </w:p>
        </w:tc>
        <w:tc>
          <w:tcPr>
            <w:tcW w:w="5103" w:type="dxa"/>
          </w:tcPr>
          <w:p w14:paraId="0D2D8C87" w14:textId="77777777" w:rsidR="006854C9" w:rsidRPr="001C267A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Attendance and Apologies</w:t>
            </w:r>
          </w:p>
          <w:p w14:paraId="78C93304" w14:textId="77777777" w:rsidR="006854C9" w:rsidRPr="001C267A" w:rsidRDefault="00103E0F" w:rsidP="00103E0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Register of Interests</w:t>
            </w:r>
          </w:p>
          <w:p w14:paraId="2774BC49" w14:textId="5D6A174D" w:rsidR="00FB4E56" w:rsidRPr="001C267A" w:rsidRDefault="00FB4E56" w:rsidP="00103E0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850" w:type="dxa"/>
          </w:tcPr>
          <w:p w14:paraId="4467FA8F" w14:textId="77777777" w:rsidR="006854C9" w:rsidRPr="001C267A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Chair</w:t>
            </w:r>
          </w:p>
        </w:tc>
        <w:tc>
          <w:tcPr>
            <w:tcW w:w="851" w:type="dxa"/>
          </w:tcPr>
          <w:p w14:paraId="64042912" w14:textId="17D9B64E" w:rsidR="006854C9" w:rsidRPr="001C267A" w:rsidRDefault="0007058F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5</w:t>
            </w:r>
          </w:p>
        </w:tc>
      </w:tr>
      <w:tr w:rsidR="00103E0F" w:rsidRPr="001C267A" w14:paraId="27892F07" w14:textId="77777777" w:rsidTr="00BC09F8">
        <w:tc>
          <w:tcPr>
            <w:tcW w:w="568" w:type="dxa"/>
          </w:tcPr>
          <w:p w14:paraId="142722BE" w14:textId="54DDE573" w:rsidR="00103E0F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2</w:t>
            </w:r>
          </w:p>
        </w:tc>
        <w:tc>
          <w:tcPr>
            <w:tcW w:w="1985" w:type="dxa"/>
          </w:tcPr>
          <w:p w14:paraId="739945EC" w14:textId="77777777" w:rsidR="00103E0F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Action Points</w:t>
            </w:r>
          </w:p>
          <w:p w14:paraId="0AE02B84" w14:textId="77777777" w:rsidR="00A307A1" w:rsidRDefault="00A307A1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AP 00</w:t>
            </w:r>
            <w:r w:rsidR="005D4E64">
              <w:rPr>
                <w:sz w:val="20"/>
              </w:rPr>
              <w:t>1&amp;</w:t>
            </w:r>
            <w:r>
              <w:rPr>
                <w:sz w:val="20"/>
              </w:rPr>
              <w:t>2/100215</w:t>
            </w:r>
          </w:p>
          <w:p w14:paraId="309FF706" w14:textId="77777777" w:rsidR="005D4E64" w:rsidRDefault="005D4E64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AP 011/030615</w:t>
            </w:r>
          </w:p>
          <w:p w14:paraId="38AC12E9" w14:textId="77777777" w:rsidR="005D4E64" w:rsidRDefault="005D4E64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AP 005/090915</w:t>
            </w:r>
          </w:p>
          <w:p w14:paraId="3C6C7DBC" w14:textId="471E97B9" w:rsidR="00CE5A74" w:rsidRPr="001C267A" w:rsidRDefault="00CE5A74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5103" w:type="dxa"/>
          </w:tcPr>
          <w:p w14:paraId="3E2EADE7" w14:textId="7E9DB381" w:rsidR="00103E0F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 xml:space="preserve">By </w:t>
            </w:r>
            <w:r w:rsidR="005019CB" w:rsidRPr="001C267A">
              <w:rPr>
                <w:sz w:val="20"/>
              </w:rPr>
              <w:t>e</w:t>
            </w:r>
            <w:r w:rsidRPr="001C267A">
              <w:rPr>
                <w:sz w:val="20"/>
              </w:rPr>
              <w:t>xception</w:t>
            </w:r>
          </w:p>
          <w:p w14:paraId="7D8F2D49" w14:textId="3624B121" w:rsidR="00941361" w:rsidRDefault="00CE5A74" w:rsidP="00FB4E5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Skills matrix and LNA</w:t>
            </w:r>
          </w:p>
          <w:p w14:paraId="1AB4656A" w14:textId="3452FCDC" w:rsidR="00A307A1" w:rsidRPr="001C267A" w:rsidRDefault="005D4E64" w:rsidP="00FB4E5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TP’s Engagement Paper (Code of Practice)</w:t>
            </w:r>
          </w:p>
          <w:p w14:paraId="05B9E1F8" w14:textId="0DF6B8F9" w:rsidR="00FB4E56" w:rsidRDefault="00177F0B" w:rsidP="00FB4E5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Draft Stakeholder meetings timetable</w:t>
            </w:r>
          </w:p>
          <w:p w14:paraId="29205D4E" w14:textId="05DA0A86" w:rsidR="00CE5A74" w:rsidRPr="001C267A" w:rsidRDefault="00CE5A74" w:rsidP="00FB4E5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850" w:type="dxa"/>
          </w:tcPr>
          <w:p w14:paraId="59A8422A" w14:textId="3AE6D312" w:rsidR="00103E0F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Sec</w:t>
            </w:r>
          </w:p>
        </w:tc>
        <w:tc>
          <w:tcPr>
            <w:tcW w:w="851" w:type="dxa"/>
          </w:tcPr>
          <w:p w14:paraId="26FF3461" w14:textId="5260CAB7" w:rsidR="00103E0F" w:rsidRPr="001C267A" w:rsidRDefault="0007058F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5</w:t>
            </w:r>
          </w:p>
        </w:tc>
      </w:tr>
      <w:tr w:rsidR="006854C9" w:rsidRPr="001C267A" w14:paraId="620A372E" w14:textId="77777777" w:rsidTr="00BC09F8">
        <w:tc>
          <w:tcPr>
            <w:tcW w:w="568" w:type="dxa"/>
          </w:tcPr>
          <w:p w14:paraId="73E9502B" w14:textId="5167061F" w:rsidR="006854C9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3</w:t>
            </w:r>
          </w:p>
        </w:tc>
        <w:tc>
          <w:tcPr>
            <w:tcW w:w="1985" w:type="dxa"/>
          </w:tcPr>
          <w:p w14:paraId="58B575E9" w14:textId="4D8C3005" w:rsidR="006854C9" w:rsidRPr="001C267A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Update</w:t>
            </w:r>
            <w:r w:rsidR="00103E0F" w:rsidRPr="001C267A">
              <w:rPr>
                <w:sz w:val="20"/>
              </w:rPr>
              <w:t>s</w:t>
            </w:r>
          </w:p>
          <w:p w14:paraId="7862AFA5" w14:textId="77777777" w:rsidR="006854C9" w:rsidRPr="001C267A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(AP 004/030615)</w:t>
            </w:r>
          </w:p>
          <w:p w14:paraId="7CF94BB7" w14:textId="77777777" w:rsidR="00103E0F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02DAB893" w14:textId="77777777" w:rsidR="00103E0F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2E8D1C19" w14:textId="77777777" w:rsidR="0031372C" w:rsidRDefault="0031372C" w:rsidP="00A307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264DA4E6" w14:textId="77777777" w:rsidR="005D4E64" w:rsidRDefault="00103E0F" w:rsidP="00A307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AP</w:t>
            </w:r>
            <w:r w:rsidR="00A307A1">
              <w:rPr>
                <w:sz w:val="20"/>
              </w:rPr>
              <w:t xml:space="preserve"> 001/090915</w:t>
            </w:r>
          </w:p>
          <w:p w14:paraId="272ACA7C" w14:textId="77777777" w:rsidR="005D4E64" w:rsidRDefault="005D4E64" w:rsidP="00A307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7D880882" w14:textId="4181AF31" w:rsidR="00103E0F" w:rsidRDefault="005D4E64" w:rsidP="00A307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AP 002/090915</w:t>
            </w:r>
          </w:p>
          <w:p w14:paraId="447941E3" w14:textId="020FADD9" w:rsidR="00BC09F8" w:rsidRPr="001C267A" w:rsidRDefault="00BC09F8" w:rsidP="0031372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AP 010/030615</w:t>
            </w:r>
          </w:p>
        </w:tc>
        <w:tc>
          <w:tcPr>
            <w:tcW w:w="5103" w:type="dxa"/>
          </w:tcPr>
          <w:p w14:paraId="7AE17DEC" w14:textId="26FC13E4" w:rsidR="006854C9" w:rsidRPr="001C267A" w:rsidRDefault="00FB4E56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-</w:t>
            </w:r>
            <w:r w:rsidR="00817127" w:rsidRPr="001C267A">
              <w:rPr>
                <w:sz w:val="20"/>
              </w:rPr>
              <w:t>L</w:t>
            </w:r>
            <w:r w:rsidR="00103E0F" w:rsidRPr="001C267A">
              <w:rPr>
                <w:sz w:val="20"/>
              </w:rPr>
              <w:t xml:space="preserve">inks with other schemes </w:t>
            </w:r>
          </w:p>
          <w:p w14:paraId="52EFC019" w14:textId="77777777" w:rsidR="00821754" w:rsidRPr="001C267A" w:rsidRDefault="00821754" w:rsidP="008217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-TPAF meeting - 6 October</w:t>
            </w:r>
          </w:p>
          <w:p w14:paraId="627D4DA9" w14:textId="2F93C6E1" w:rsidR="00103E0F" w:rsidRDefault="00FB4E56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-</w:t>
            </w:r>
            <w:r w:rsidR="00103E0F" w:rsidRPr="001C267A">
              <w:rPr>
                <w:sz w:val="20"/>
              </w:rPr>
              <w:t>tPR Chairs’ Group – 11 November</w:t>
            </w:r>
          </w:p>
          <w:p w14:paraId="6EF5A4AD" w14:textId="6E429BF0" w:rsidR="00FB4E56" w:rsidRPr="001C267A" w:rsidRDefault="00FB4E56" w:rsidP="0081712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60BB718A" w14:textId="34E742D7" w:rsidR="00FB4E56" w:rsidRPr="001C267A" w:rsidRDefault="00FB4E56" w:rsidP="0081712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  <w:u w:val="single"/>
              </w:rPr>
            </w:pPr>
            <w:r w:rsidRPr="001C267A">
              <w:rPr>
                <w:sz w:val="20"/>
                <w:u w:val="single"/>
              </w:rPr>
              <w:t>Role of the Board :</w:t>
            </w:r>
          </w:p>
          <w:p w14:paraId="58F6D28B" w14:textId="5DE83757" w:rsidR="001C267A" w:rsidRPr="001C267A" w:rsidRDefault="005D4E64" w:rsidP="001C267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103E0F" w:rsidRPr="001C267A">
              <w:rPr>
                <w:sz w:val="20"/>
              </w:rPr>
              <w:t xml:space="preserve">Next steps following the separate employer and member group discussions </w:t>
            </w:r>
            <w:r w:rsidR="0031372C">
              <w:rPr>
                <w:sz w:val="20"/>
              </w:rPr>
              <w:t xml:space="preserve"> </w:t>
            </w:r>
          </w:p>
          <w:p w14:paraId="2FA6CF2A" w14:textId="6C965282" w:rsidR="005D4E64" w:rsidRDefault="005D4E64" w:rsidP="00BC09F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- Arrangements for mock-up of Board report for ARC</w:t>
            </w:r>
          </w:p>
          <w:p w14:paraId="53122FCE" w14:textId="77777777" w:rsidR="00FB4E56" w:rsidRDefault="005D4E64" w:rsidP="00BC09F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BC09F8">
              <w:rPr>
                <w:sz w:val="20"/>
              </w:rPr>
              <w:t xml:space="preserve">Updated Assurance note </w:t>
            </w:r>
          </w:p>
          <w:p w14:paraId="37A8CC7B" w14:textId="2EF79EDD" w:rsidR="00F83D54" w:rsidRPr="001C267A" w:rsidRDefault="00F83D54" w:rsidP="00BC09F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850" w:type="dxa"/>
          </w:tcPr>
          <w:p w14:paraId="4F69E279" w14:textId="77777777" w:rsidR="006854C9" w:rsidRPr="001C267A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Chair</w:t>
            </w:r>
          </w:p>
          <w:p w14:paraId="2C221892" w14:textId="77777777" w:rsidR="00103E0F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33155FFF" w14:textId="77777777" w:rsidR="00103E0F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56109400" w14:textId="77777777" w:rsidR="00103E0F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61B96D5D" w14:textId="230390C7" w:rsidR="00103E0F" w:rsidRPr="001C267A" w:rsidRDefault="005019CB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All</w:t>
            </w:r>
          </w:p>
        </w:tc>
        <w:tc>
          <w:tcPr>
            <w:tcW w:w="851" w:type="dxa"/>
          </w:tcPr>
          <w:p w14:paraId="70D95E2F" w14:textId="77777777" w:rsidR="006854C9" w:rsidRPr="001C267A" w:rsidRDefault="00FF419F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5</w:t>
            </w:r>
          </w:p>
          <w:p w14:paraId="1ECDC81A" w14:textId="77777777" w:rsidR="00FF419F" w:rsidRPr="001C267A" w:rsidRDefault="00FF419F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57824A70" w14:textId="77777777" w:rsidR="00FF419F" w:rsidRPr="001C267A" w:rsidRDefault="00FF419F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3C6E7EFB" w14:textId="77777777" w:rsidR="00FF419F" w:rsidRPr="001C267A" w:rsidRDefault="00FF419F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21A56B18" w14:textId="1AE9D0A2" w:rsidR="00FF419F" w:rsidRPr="001C267A" w:rsidRDefault="001C5098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1</w:t>
            </w:r>
            <w:r w:rsidR="0007058F" w:rsidRPr="001C267A">
              <w:rPr>
                <w:sz w:val="20"/>
              </w:rPr>
              <w:t>5</w:t>
            </w:r>
          </w:p>
        </w:tc>
      </w:tr>
      <w:tr w:rsidR="006854C9" w:rsidRPr="001C267A" w14:paraId="21A8983E" w14:textId="77777777" w:rsidTr="00BC09F8">
        <w:tc>
          <w:tcPr>
            <w:tcW w:w="568" w:type="dxa"/>
          </w:tcPr>
          <w:p w14:paraId="2FE7103A" w14:textId="16DDE069" w:rsidR="006854C9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4408B8DD" w14:textId="47766340" w:rsidR="006854C9" w:rsidRPr="001C267A" w:rsidRDefault="006854C9" w:rsidP="00FB4E56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Engagement Report</w:t>
            </w:r>
          </w:p>
        </w:tc>
        <w:tc>
          <w:tcPr>
            <w:tcW w:w="5103" w:type="dxa"/>
          </w:tcPr>
          <w:p w14:paraId="1DA8DCCA" w14:textId="77777777" w:rsidR="006854C9" w:rsidRPr="001C267A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- Engagement update</w:t>
            </w:r>
          </w:p>
          <w:p w14:paraId="278B303C" w14:textId="6B8FE6E9" w:rsidR="006854C9" w:rsidRPr="001C267A" w:rsidRDefault="006854C9" w:rsidP="00CF41B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- Campaigns and forward look</w:t>
            </w:r>
          </w:p>
          <w:p w14:paraId="37114642" w14:textId="4CEFD355" w:rsidR="00CF41B5" w:rsidRPr="001C267A" w:rsidRDefault="00CF41B5" w:rsidP="00CF41B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850" w:type="dxa"/>
          </w:tcPr>
          <w:p w14:paraId="2CC12DB1" w14:textId="77777777" w:rsidR="006854C9" w:rsidRPr="001C267A" w:rsidRDefault="006854C9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All</w:t>
            </w:r>
          </w:p>
        </w:tc>
        <w:tc>
          <w:tcPr>
            <w:tcW w:w="851" w:type="dxa"/>
          </w:tcPr>
          <w:p w14:paraId="0A029F5E" w14:textId="6618DB0E" w:rsidR="006854C9" w:rsidRPr="001C267A" w:rsidRDefault="001C5098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15</w:t>
            </w:r>
          </w:p>
        </w:tc>
      </w:tr>
      <w:tr w:rsidR="00D20525" w:rsidRPr="001C267A" w14:paraId="01CF2712" w14:textId="77777777" w:rsidTr="00BC09F8">
        <w:tc>
          <w:tcPr>
            <w:tcW w:w="568" w:type="dxa"/>
          </w:tcPr>
          <w:p w14:paraId="5019096C" w14:textId="35522FF2" w:rsidR="00D20525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5</w:t>
            </w:r>
          </w:p>
        </w:tc>
        <w:tc>
          <w:tcPr>
            <w:tcW w:w="1985" w:type="dxa"/>
          </w:tcPr>
          <w:p w14:paraId="6B8B49CD" w14:textId="01944243" w:rsidR="00D20525" w:rsidRPr="001C267A" w:rsidRDefault="00D20525" w:rsidP="00D2052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Finance &amp; Risk Report</w:t>
            </w:r>
          </w:p>
        </w:tc>
        <w:tc>
          <w:tcPr>
            <w:tcW w:w="5103" w:type="dxa"/>
          </w:tcPr>
          <w:p w14:paraId="1A885898" w14:textId="5414988D" w:rsidR="00D20525" w:rsidRPr="001C267A" w:rsidRDefault="00D20525" w:rsidP="009B322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- Scheme</w:t>
            </w:r>
            <w:r w:rsidR="001C267A" w:rsidRPr="001C267A">
              <w:rPr>
                <w:sz w:val="20"/>
              </w:rPr>
              <w:t xml:space="preserve"> and Supplier</w:t>
            </w:r>
            <w:r w:rsidRPr="001C267A">
              <w:rPr>
                <w:sz w:val="20"/>
              </w:rPr>
              <w:t xml:space="preserve"> Finances</w:t>
            </w:r>
          </w:p>
          <w:p w14:paraId="60CD0C9A" w14:textId="77777777" w:rsidR="00D20525" w:rsidRPr="001C267A" w:rsidRDefault="00D20525" w:rsidP="009B322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- Risk update</w:t>
            </w:r>
          </w:p>
          <w:p w14:paraId="35695E51" w14:textId="77777777" w:rsidR="00D20525" w:rsidRPr="001C267A" w:rsidRDefault="00D20525" w:rsidP="009B322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 xml:space="preserve">- Internal Audit update </w:t>
            </w:r>
          </w:p>
          <w:p w14:paraId="599B27F2" w14:textId="77777777" w:rsidR="00D20525" w:rsidRPr="001C267A" w:rsidRDefault="00D20525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850" w:type="dxa"/>
          </w:tcPr>
          <w:p w14:paraId="30584D1A" w14:textId="26541242" w:rsidR="00D20525" w:rsidRPr="001C267A" w:rsidRDefault="00D20525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All</w:t>
            </w:r>
          </w:p>
        </w:tc>
        <w:tc>
          <w:tcPr>
            <w:tcW w:w="851" w:type="dxa"/>
          </w:tcPr>
          <w:p w14:paraId="46929E49" w14:textId="122736F8" w:rsidR="00D20525" w:rsidRPr="001C267A" w:rsidRDefault="001C5098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15</w:t>
            </w:r>
          </w:p>
        </w:tc>
      </w:tr>
      <w:tr w:rsidR="00D20525" w:rsidRPr="001C267A" w14:paraId="481585F6" w14:textId="77777777" w:rsidTr="00BC09F8">
        <w:tc>
          <w:tcPr>
            <w:tcW w:w="568" w:type="dxa"/>
          </w:tcPr>
          <w:p w14:paraId="5BE533C0" w14:textId="5E0E15E0" w:rsidR="00D20525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6</w:t>
            </w:r>
          </w:p>
        </w:tc>
        <w:tc>
          <w:tcPr>
            <w:tcW w:w="1985" w:type="dxa"/>
          </w:tcPr>
          <w:p w14:paraId="1676242F" w14:textId="0B3AF19E" w:rsidR="00D20525" w:rsidRPr="001C267A" w:rsidRDefault="00D20525" w:rsidP="006A188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 xml:space="preserve">TPS Admin </w:t>
            </w:r>
            <w:r w:rsidR="00BC09F8">
              <w:rPr>
                <w:sz w:val="20"/>
              </w:rPr>
              <w:t>u</w:t>
            </w:r>
            <w:r w:rsidRPr="001C267A">
              <w:rPr>
                <w:sz w:val="20"/>
              </w:rPr>
              <w:t>pdate</w:t>
            </w:r>
          </w:p>
          <w:p w14:paraId="2A0CC5AD" w14:textId="77777777" w:rsidR="00D20525" w:rsidRDefault="00D20525" w:rsidP="00A307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AP 00</w:t>
            </w:r>
            <w:r w:rsidR="00A307A1">
              <w:rPr>
                <w:sz w:val="20"/>
              </w:rPr>
              <w:t>9</w:t>
            </w:r>
            <w:r w:rsidRPr="001C267A">
              <w:rPr>
                <w:sz w:val="20"/>
              </w:rPr>
              <w:t>/</w:t>
            </w:r>
            <w:r w:rsidR="00A307A1">
              <w:rPr>
                <w:sz w:val="20"/>
              </w:rPr>
              <w:t>0909</w:t>
            </w:r>
            <w:r w:rsidRPr="001C267A">
              <w:rPr>
                <w:sz w:val="20"/>
              </w:rPr>
              <w:t>15</w:t>
            </w:r>
          </w:p>
          <w:p w14:paraId="02FF338E" w14:textId="22169AC8" w:rsidR="00A307A1" w:rsidRPr="001C267A" w:rsidRDefault="00A307A1" w:rsidP="00A307A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5103" w:type="dxa"/>
          </w:tcPr>
          <w:p w14:paraId="13698A28" w14:textId="62934917" w:rsidR="00D20525" w:rsidRPr="001C267A" w:rsidRDefault="00D20525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- Service Performance &amp; improvements</w:t>
            </w:r>
          </w:p>
          <w:p w14:paraId="0AB444C7" w14:textId="42B32920" w:rsidR="00D20525" w:rsidRPr="001C267A" w:rsidRDefault="001C267A" w:rsidP="006A188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 xml:space="preserve">- </w:t>
            </w:r>
            <w:r w:rsidR="00D20525" w:rsidRPr="001C267A">
              <w:rPr>
                <w:sz w:val="20"/>
              </w:rPr>
              <w:t xml:space="preserve">GMP update </w:t>
            </w:r>
          </w:p>
          <w:p w14:paraId="6412DF3B" w14:textId="57D7845E" w:rsidR="005019CB" w:rsidRPr="001C267A" w:rsidRDefault="005019CB" w:rsidP="006A188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- Update on</w:t>
            </w:r>
            <w:r w:rsidR="00177F0B">
              <w:rPr>
                <w:sz w:val="20"/>
              </w:rPr>
              <w:t xml:space="preserve"> alleged f</w:t>
            </w:r>
            <w:r w:rsidRPr="001C267A">
              <w:rPr>
                <w:sz w:val="20"/>
              </w:rPr>
              <w:t>raud case</w:t>
            </w:r>
            <w:r w:rsidR="00CD011A" w:rsidRPr="001C267A">
              <w:rPr>
                <w:sz w:val="20"/>
              </w:rPr>
              <w:t xml:space="preserve"> (</w:t>
            </w:r>
            <w:r w:rsidR="00AF3E3D" w:rsidRPr="00AF3E3D">
              <w:rPr>
                <w:sz w:val="20"/>
                <w:highlight w:val="black"/>
              </w:rPr>
              <w:t>redacted redacted</w:t>
            </w:r>
            <w:r w:rsidR="00CD011A" w:rsidRPr="001C267A">
              <w:rPr>
                <w:sz w:val="20"/>
              </w:rPr>
              <w:t>)</w:t>
            </w:r>
          </w:p>
          <w:p w14:paraId="58563EA1" w14:textId="69AE60CC" w:rsidR="00D20525" w:rsidRPr="001C267A" w:rsidRDefault="00D20525" w:rsidP="006A188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850" w:type="dxa"/>
          </w:tcPr>
          <w:p w14:paraId="1047A9DA" w14:textId="77777777" w:rsidR="00D20525" w:rsidRPr="001C267A" w:rsidRDefault="00D20525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All</w:t>
            </w:r>
          </w:p>
          <w:p w14:paraId="284BB8F5" w14:textId="77777777" w:rsidR="005019CB" w:rsidRPr="001C267A" w:rsidRDefault="005019CB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  <w:p w14:paraId="7FAD941B" w14:textId="4FA9A0F7" w:rsidR="005019CB" w:rsidRPr="001C267A" w:rsidRDefault="005019CB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DH</w:t>
            </w:r>
          </w:p>
        </w:tc>
        <w:tc>
          <w:tcPr>
            <w:tcW w:w="851" w:type="dxa"/>
          </w:tcPr>
          <w:p w14:paraId="4117C60C" w14:textId="601748D2" w:rsidR="00D20525" w:rsidRPr="001C267A" w:rsidRDefault="001C5098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15</w:t>
            </w:r>
          </w:p>
        </w:tc>
      </w:tr>
      <w:tr w:rsidR="00D20525" w:rsidRPr="001C267A" w14:paraId="109AA288" w14:textId="77777777" w:rsidTr="00BC09F8">
        <w:tc>
          <w:tcPr>
            <w:tcW w:w="568" w:type="dxa"/>
          </w:tcPr>
          <w:p w14:paraId="38295B9C" w14:textId="79021005" w:rsidR="00D20525" w:rsidRPr="001C267A" w:rsidRDefault="00D2294F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7</w:t>
            </w:r>
          </w:p>
        </w:tc>
        <w:tc>
          <w:tcPr>
            <w:tcW w:w="1985" w:type="dxa"/>
          </w:tcPr>
          <w:p w14:paraId="25AC5487" w14:textId="7D26DF4E" w:rsidR="00D20525" w:rsidRPr="001C267A" w:rsidRDefault="00D20525" w:rsidP="0082175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 xml:space="preserve">Review of </w:t>
            </w:r>
            <w:r w:rsidR="00821754" w:rsidRPr="001C267A">
              <w:rPr>
                <w:sz w:val="20"/>
              </w:rPr>
              <w:t>TP’s</w:t>
            </w:r>
            <w:r w:rsidRPr="001C267A">
              <w:rPr>
                <w:sz w:val="20"/>
              </w:rPr>
              <w:t xml:space="preserve"> Outcome Performance</w:t>
            </w:r>
          </w:p>
        </w:tc>
        <w:tc>
          <w:tcPr>
            <w:tcW w:w="5103" w:type="dxa"/>
          </w:tcPr>
          <w:p w14:paraId="504E8382" w14:textId="06901B87" w:rsidR="00D20525" w:rsidRPr="001C267A" w:rsidRDefault="00821754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 xml:space="preserve">TP/DfE </w:t>
            </w:r>
            <w:r w:rsidR="00D20525" w:rsidRPr="001C267A">
              <w:rPr>
                <w:sz w:val="20"/>
              </w:rPr>
              <w:t xml:space="preserve">measure achievement against outcome targets, which seek to improve member and employer engagement with the scheme. Consideration of that performance and </w:t>
            </w:r>
            <w:r w:rsidR="005019CB" w:rsidRPr="001C267A">
              <w:rPr>
                <w:sz w:val="20"/>
              </w:rPr>
              <w:t>TP</w:t>
            </w:r>
            <w:r w:rsidR="00D20525" w:rsidRPr="001C267A">
              <w:rPr>
                <w:sz w:val="20"/>
              </w:rPr>
              <w:t>’s response</w:t>
            </w:r>
            <w:r w:rsidR="00F84E34" w:rsidRPr="001C267A">
              <w:rPr>
                <w:sz w:val="20"/>
              </w:rPr>
              <w:t>.</w:t>
            </w:r>
          </w:p>
          <w:p w14:paraId="568BC9A8" w14:textId="07B1EFF0" w:rsidR="00D20525" w:rsidRPr="001C267A" w:rsidRDefault="00D20525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850" w:type="dxa"/>
          </w:tcPr>
          <w:p w14:paraId="4BC410F7" w14:textId="6A5489F0" w:rsidR="00D20525" w:rsidRPr="001C267A" w:rsidRDefault="006F6EEB" w:rsidP="006F6EEB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DH</w:t>
            </w:r>
          </w:p>
        </w:tc>
        <w:tc>
          <w:tcPr>
            <w:tcW w:w="851" w:type="dxa"/>
          </w:tcPr>
          <w:p w14:paraId="3BCBB2E4" w14:textId="70D6A9AC" w:rsidR="00D20525" w:rsidRPr="001C267A" w:rsidRDefault="0007058F" w:rsidP="008A355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1</w:t>
            </w:r>
            <w:r w:rsidR="001C5098" w:rsidRPr="001C267A">
              <w:rPr>
                <w:sz w:val="20"/>
              </w:rPr>
              <w:t>5</w:t>
            </w:r>
          </w:p>
        </w:tc>
      </w:tr>
      <w:tr w:rsidR="00103E0F" w:rsidRPr="001C267A" w14:paraId="5FFDAA46" w14:textId="77777777" w:rsidTr="00BC09F8">
        <w:tc>
          <w:tcPr>
            <w:tcW w:w="568" w:type="dxa"/>
          </w:tcPr>
          <w:p w14:paraId="41BF454D" w14:textId="6F34F85B" w:rsidR="00103E0F" w:rsidRPr="001C267A" w:rsidRDefault="00D2294F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8</w:t>
            </w:r>
          </w:p>
        </w:tc>
        <w:tc>
          <w:tcPr>
            <w:tcW w:w="1985" w:type="dxa"/>
          </w:tcPr>
          <w:p w14:paraId="61D27F86" w14:textId="77F8CB74" w:rsidR="00103E0F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 xml:space="preserve">Review </w:t>
            </w:r>
            <w:r w:rsidR="00BC09F8">
              <w:rPr>
                <w:sz w:val="20"/>
              </w:rPr>
              <w:t xml:space="preserve">Proposed </w:t>
            </w:r>
            <w:r w:rsidRPr="001C267A">
              <w:rPr>
                <w:sz w:val="20"/>
              </w:rPr>
              <w:t>Audit Plan</w:t>
            </w:r>
          </w:p>
        </w:tc>
        <w:tc>
          <w:tcPr>
            <w:tcW w:w="5103" w:type="dxa"/>
          </w:tcPr>
          <w:p w14:paraId="7A40200A" w14:textId="77777777" w:rsidR="00F84E34" w:rsidRDefault="00BC09F8" w:rsidP="00BC09F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E</w:t>
            </w:r>
            <w:r w:rsidR="00103E0F" w:rsidRPr="001C267A">
              <w:rPr>
                <w:sz w:val="20"/>
              </w:rPr>
              <w:t xml:space="preserve">ach year the Department’s contract management team agree an audit plan with </w:t>
            </w:r>
            <w:r w:rsidR="005019CB" w:rsidRPr="001C267A">
              <w:rPr>
                <w:sz w:val="20"/>
              </w:rPr>
              <w:t>TP</w:t>
            </w:r>
            <w:r w:rsidR="00103E0F" w:rsidRPr="001C267A">
              <w:rPr>
                <w:sz w:val="20"/>
              </w:rPr>
              <w:t xml:space="preserve">’s internal audit team.  </w:t>
            </w:r>
          </w:p>
          <w:p w14:paraId="0929D032" w14:textId="3ECB7B05" w:rsidR="00BC09F8" w:rsidRPr="00BC09F8" w:rsidRDefault="00BC09F8" w:rsidP="00BC09F8">
            <w:pPr>
              <w:rPr>
                <w:rFonts w:cs="Arial"/>
                <w:sz w:val="20"/>
              </w:rPr>
            </w:pPr>
            <w:r w:rsidRPr="00BC09F8">
              <w:rPr>
                <w:rFonts w:cs="Arial"/>
                <w:sz w:val="20"/>
              </w:rPr>
              <w:t>The paper has been discussed with the Department’s internal audit provider. It will be presented to the scheme Risk Committee next week for consideration.</w:t>
            </w:r>
          </w:p>
          <w:p w14:paraId="63732EBD" w14:textId="7BDA2165" w:rsidR="00BC09F8" w:rsidRPr="001C267A" w:rsidRDefault="00BC09F8" w:rsidP="00BC09F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850" w:type="dxa"/>
          </w:tcPr>
          <w:p w14:paraId="54D4FA8D" w14:textId="780D41DD" w:rsidR="00103E0F" w:rsidRPr="001C267A" w:rsidRDefault="00103E0F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All</w:t>
            </w:r>
          </w:p>
        </w:tc>
        <w:tc>
          <w:tcPr>
            <w:tcW w:w="851" w:type="dxa"/>
          </w:tcPr>
          <w:p w14:paraId="099CD0A9" w14:textId="2834E0D4" w:rsidR="00103E0F" w:rsidRPr="001C267A" w:rsidRDefault="0007058F" w:rsidP="00071EA6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1</w:t>
            </w:r>
            <w:r w:rsidR="00071EA6" w:rsidRPr="001C267A">
              <w:rPr>
                <w:sz w:val="20"/>
              </w:rPr>
              <w:t>0</w:t>
            </w:r>
          </w:p>
        </w:tc>
      </w:tr>
      <w:tr w:rsidR="008A355C" w:rsidRPr="001C267A" w14:paraId="1AAC61E4" w14:textId="77777777" w:rsidTr="00BC09F8">
        <w:tc>
          <w:tcPr>
            <w:tcW w:w="568" w:type="dxa"/>
          </w:tcPr>
          <w:p w14:paraId="6D37436D" w14:textId="62342C16" w:rsidR="008A355C" w:rsidRPr="001C267A" w:rsidRDefault="008A355C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9</w:t>
            </w:r>
          </w:p>
        </w:tc>
        <w:tc>
          <w:tcPr>
            <w:tcW w:w="1985" w:type="dxa"/>
          </w:tcPr>
          <w:p w14:paraId="7C228FF3" w14:textId="42250F43" w:rsidR="008A355C" w:rsidRPr="001C267A" w:rsidRDefault="008A355C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CEM Benchmarking</w:t>
            </w:r>
          </w:p>
        </w:tc>
        <w:tc>
          <w:tcPr>
            <w:tcW w:w="5103" w:type="dxa"/>
          </w:tcPr>
          <w:p w14:paraId="1FBB8562" w14:textId="77777777" w:rsidR="00CD011A" w:rsidRDefault="008A355C" w:rsidP="00BC09F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>Review the</w:t>
            </w:r>
            <w:r w:rsidR="00F3137A" w:rsidRPr="001C267A">
              <w:rPr>
                <w:sz w:val="20"/>
              </w:rPr>
              <w:t xml:space="preserve"> executive summary of the </w:t>
            </w:r>
            <w:r w:rsidRPr="001C267A">
              <w:rPr>
                <w:sz w:val="20"/>
              </w:rPr>
              <w:t xml:space="preserve">annual independent benchmarking survey.  </w:t>
            </w:r>
            <w:r w:rsidR="00F3137A" w:rsidRPr="001C267A">
              <w:rPr>
                <w:sz w:val="20"/>
              </w:rPr>
              <w:t>This</w:t>
            </w:r>
            <w:r w:rsidRPr="001C267A">
              <w:rPr>
                <w:sz w:val="20"/>
              </w:rPr>
              <w:t xml:space="preserve"> report give</w:t>
            </w:r>
            <w:r w:rsidR="00BC09F8">
              <w:rPr>
                <w:sz w:val="20"/>
              </w:rPr>
              <w:t>s</w:t>
            </w:r>
            <w:r w:rsidRPr="001C267A">
              <w:rPr>
                <w:sz w:val="20"/>
              </w:rPr>
              <w:t xml:space="preserve"> an insight into the quality and range of services provided by the scheme relative to other schemes, and </w:t>
            </w:r>
            <w:r w:rsidR="00BC09F8">
              <w:rPr>
                <w:sz w:val="20"/>
              </w:rPr>
              <w:t>may</w:t>
            </w:r>
            <w:r w:rsidRPr="001C267A">
              <w:rPr>
                <w:sz w:val="20"/>
              </w:rPr>
              <w:t xml:space="preserve"> provide useful </w:t>
            </w:r>
            <w:bookmarkStart w:id="0" w:name="_GoBack"/>
            <w:r w:rsidRPr="001C267A">
              <w:rPr>
                <w:sz w:val="20"/>
              </w:rPr>
              <w:t>e</w:t>
            </w:r>
            <w:bookmarkEnd w:id="0"/>
            <w:r w:rsidRPr="001C267A">
              <w:rPr>
                <w:sz w:val="20"/>
              </w:rPr>
              <w:t>vidence for scrutiny and challenge</w:t>
            </w:r>
          </w:p>
          <w:p w14:paraId="54F957EF" w14:textId="78599524" w:rsidR="00BC09F8" w:rsidRPr="001C267A" w:rsidRDefault="00BC09F8" w:rsidP="00BC09F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850" w:type="dxa"/>
          </w:tcPr>
          <w:p w14:paraId="2AE31CB3" w14:textId="77777777" w:rsidR="0078682D" w:rsidRPr="001C267A" w:rsidRDefault="0078682D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DH</w:t>
            </w:r>
          </w:p>
          <w:p w14:paraId="7CAF52FF" w14:textId="50934741" w:rsidR="008A355C" w:rsidRPr="001C267A" w:rsidRDefault="0078682D" w:rsidP="0078682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A</w:t>
            </w:r>
            <w:r w:rsidR="008A355C" w:rsidRPr="001C267A">
              <w:rPr>
                <w:sz w:val="20"/>
              </w:rPr>
              <w:t>ll</w:t>
            </w:r>
          </w:p>
        </w:tc>
        <w:tc>
          <w:tcPr>
            <w:tcW w:w="851" w:type="dxa"/>
          </w:tcPr>
          <w:p w14:paraId="6D100568" w14:textId="6540342D" w:rsidR="008A355C" w:rsidRPr="001C267A" w:rsidRDefault="001C5098" w:rsidP="001C509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10</w:t>
            </w:r>
          </w:p>
        </w:tc>
      </w:tr>
      <w:tr w:rsidR="00D20525" w:rsidRPr="001C267A" w14:paraId="24B67DCC" w14:textId="77777777" w:rsidTr="00BC09F8">
        <w:tc>
          <w:tcPr>
            <w:tcW w:w="568" w:type="dxa"/>
          </w:tcPr>
          <w:p w14:paraId="6A691D39" w14:textId="65D0B68C" w:rsidR="00D20525" w:rsidRPr="001C267A" w:rsidRDefault="008A355C" w:rsidP="00D2294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10</w:t>
            </w:r>
          </w:p>
        </w:tc>
        <w:tc>
          <w:tcPr>
            <w:tcW w:w="1985" w:type="dxa"/>
          </w:tcPr>
          <w:p w14:paraId="285E6047" w14:textId="15C05AC4" w:rsidR="00D20525" w:rsidRDefault="00D20525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 xml:space="preserve">Policy </w:t>
            </w:r>
            <w:r w:rsidR="0031372C">
              <w:rPr>
                <w:sz w:val="20"/>
              </w:rPr>
              <w:t>R</w:t>
            </w:r>
            <w:r w:rsidRPr="001C267A">
              <w:rPr>
                <w:sz w:val="20"/>
              </w:rPr>
              <w:t>eport</w:t>
            </w:r>
          </w:p>
          <w:p w14:paraId="2E7315AD" w14:textId="101350D6" w:rsidR="00CE5A74" w:rsidRPr="001C267A" w:rsidRDefault="00CE5A74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AP 012/090915</w:t>
            </w:r>
          </w:p>
          <w:p w14:paraId="5D92F7CF" w14:textId="583CAB18" w:rsidR="00695F95" w:rsidRPr="001C267A" w:rsidRDefault="00695F95" w:rsidP="00937418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5103" w:type="dxa"/>
          </w:tcPr>
          <w:p w14:paraId="60B33132" w14:textId="7643457B" w:rsidR="00D20525" w:rsidRPr="001C267A" w:rsidRDefault="0082209E" w:rsidP="00F84E3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 xml:space="preserve">As Marcus is unable to attend the Board meeting, a policy update paper will be shared in advance of the meeting. Questions can be fed back to </w:t>
            </w:r>
            <w:proofErr w:type="spellStart"/>
            <w:r w:rsidRPr="001C267A">
              <w:rPr>
                <w:sz w:val="20"/>
              </w:rPr>
              <w:t>DfE’s</w:t>
            </w:r>
            <w:proofErr w:type="spellEnd"/>
            <w:r w:rsidRPr="001C267A">
              <w:rPr>
                <w:sz w:val="20"/>
              </w:rPr>
              <w:t xml:space="preserve"> Policy team via the secretariat.  </w:t>
            </w:r>
          </w:p>
          <w:p w14:paraId="42B416D1" w14:textId="474CDFE2" w:rsidR="0097690A" w:rsidRPr="001C267A" w:rsidRDefault="0097690A" w:rsidP="00F84E3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850" w:type="dxa"/>
          </w:tcPr>
          <w:p w14:paraId="1E9706E2" w14:textId="475F21D5" w:rsidR="00D20525" w:rsidRPr="001C267A" w:rsidRDefault="0082209E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Chair</w:t>
            </w:r>
          </w:p>
          <w:p w14:paraId="11DC2B1E" w14:textId="07E81DF0" w:rsidR="00D20525" w:rsidRPr="001C267A" w:rsidRDefault="00D20525" w:rsidP="00937418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66ED38C" w14:textId="2301DDBB" w:rsidR="00D20525" w:rsidRPr="001C267A" w:rsidRDefault="0007058F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5</w:t>
            </w:r>
          </w:p>
        </w:tc>
      </w:tr>
      <w:tr w:rsidR="00D20525" w:rsidRPr="001C267A" w14:paraId="52A66064" w14:textId="77777777" w:rsidTr="00BC09F8">
        <w:tc>
          <w:tcPr>
            <w:tcW w:w="568" w:type="dxa"/>
          </w:tcPr>
          <w:p w14:paraId="0804D015" w14:textId="71576E08" w:rsidR="00D20525" w:rsidRPr="001C267A" w:rsidRDefault="00D20525" w:rsidP="00D2294F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1</w:t>
            </w:r>
            <w:r w:rsidR="008A355C" w:rsidRPr="001C267A">
              <w:rPr>
                <w:sz w:val="20"/>
              </w:rPr>
              <w:t>1</w:t>
            </w:r>
          </w:p>
        </w:tc>
        <w:tc>
          <w:tcPr>
            <w:tcW w:w="1985" w:type="dxa"/>
          </w:tcPr>
          <w:p w14:paraId="534343C6" w14:textId="09D76734" w:rsidR="00D20525" w:rsidRPr="001C267A" w:rsidRDefault="00EE5757" w:rsidP="008A355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AO</w:t>
            </w:r>
            <w:r w:rsidR="00D20525" w:rsidRPr="001C267A">
              <w:rPr>
                <w:sz w:val="20"/>
              </w:rPr>
              <w:t>B</w:t>
            </w:r>
          </w:p>
        </w:tc>
        <w:tc>
          <w:tcPr>
            <w:tcW w:w="5103" w:type="dxa"/>
          </w:tcPr>
          <w:p w14:paraId="0C653F33" w14:textId="77777777" w:rsidR="001C267A" w:rsidRDefault="00CD011A" w:rsidP="00CE5A7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1C267A">
              <w:rPr>
                <w:sz w:val="20"/>
              </w:rPr>
              <w:t xml:space="preserve">Standing and background reports </w:t>
            </w:r>
            <w:r w:rsidR="00CE5A74">
              <w:rPr>
                <w:sz w:val="20"/>
              </w:rPr>
              <w:t xml:space="preserve">as required </w:t>
            </w:r>
          </w:p>
          <w:p w14:paraId="646A910D" w14:textId="5F788AD6" w:rsidR="00F83D54" w:rsidRPr="001C267A" w:rsidRDefault="00F83D54" w:rsidP="00CE5A7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</w:tc>
        <w:tc>
          <w:tcPr>
            <w:tcW w:w="850" w:type="dxa"/>
          </w:tcPr>
          <w:p w14:paraId="674B79EF" w14:textId="2A7C99A7" w:rsidR="00D20525" w:rsidRPr="001C267A" w:rsidRDefault="00A307A1" w:rsidP="00EB732D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  <w:tc>
          <w:tcPr>
            <w:tcW w:w="851" w:type="dxa"/>
          </w:tcPr>
          <w:p w14:paraId="5591BA56" w14:textId="39AF3F57" w:rsidR="00D20525" w:rsidRPr="001C267A" w:rsidRDefault="0007058F" w:rsidP="0053682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5</w:t>
            </w:r>
          </w:p>
        </w:tc>
      </w:tr>
      <w:tr w:rsidR="00D20525" w:rsidRPr="001C267A" w14:paraId="6DFFB21A" w14:textId="77777777" w:rsidTr="008A355C">
        <w:tc>
          <w:tcPr>
            <w:tcW w:w="9357" w:type="dxa"/>
            <w:gridSpan w:val="5"/>
          </w:tcPr>
          <w:p w14:paraId="22A7F781" w14:textId="77777777" w:rsidR="00D20525" w:rsidRPr="001C267A" w:rsidRDefault="00D20525" w:rsidP="008A355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  <w:r w:rsidRPr="001C267A">
              <w:rPr>
                <w:sz w:val="20"/>
              </w:rPr>
              <w:t>Next Meeting : Wednesday 9 March 2016 SB Room LG 03/04</w:t>
            </w:r>
          </w:p>
          <w:p w14:paraId="53CCAC6D" w14:textId="5FC3891E" w:rsidR="001C267A" w:rsidRPr="001C267A" w:rsidRDefault="001C267A" w:rsidP="008A355C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sz w:val="20"/>
              </w:rPr>
            </w:pPr>
          </w:p>
        </w:tc>
      </w:tr>
    </w:tbl>
    <w:p w14:paraId="05608DDA" w14:textId="77777777" w:rsidR="00AF1C07" w:rsidRPr="001C267A" w:rsidRDefault="00AF1C07" w:rsidP="00AF1C07">
      <w:pPr>
        <w:pStyle w:val="DeptBullets"/>
        <w:numPr>
          <w:ilvl w:val="0"/>
          <w:numId w:val="0"/>
        </w:numPr>
        <w:rPr>
          <w:sz w:val="20"/>
        </w:rPr>
      </w:pPr>
    </w:p>
    <w:sectPr w:rsidR="00AF1C07" w:rsidRPr="001C267A" w:rsidSect="00490FA2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A24F7" w14:textId="77777777" w:rsidR="006854C9" w:rsidRDefault="006854C9">
      <w:r>
        <w:separator/>
      </w:r>
    </w:p>
  </w:endnote>
  <w:endnote w:type="continuationSeparator" w:id="0">
    <w:p w14:paraId="204BDC47" w14:textId="77777777" w:rsidR="006854C9" w:rsidRDefault="006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D7EA5" w14:textId="77777777" w:rsidR="006854C9" w:rsidRDefault="006854C9">
      <w:r>
        <w:separator/>
      </w:r>
    </w:p>
  </w:footnote>
  <w:footnote w:type="continuationSeparator" w:id="0">
    <w:p w14:paraId="3CF0988C" w14:textId="77777777" w:rsidR="006854C9" w:rsidRDefault="0068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2A7"/>
    <w:multiLevelType w:val="hybridMultilevel"/>
    <w:tmpl w:val="81AE7C76"/>
    <w:lvl w:ilvl="0" w:tplc="C3809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X8qPzbp0CdhOJ8S83ASINxn+gOo=" w:salt="EqESWezc+5bs/5yvuPj6i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9"/>
    <w:rsid w:val="00011F78"/>
    <w:rsid w:val="00022DB6"/>
    <w:rsid w:val="00041864"/>
    <w:rsid w:val="0004776A"/>
    <w:rsid w:val="0007058F"/>
    <w:rsid w:val="00071EA6"/>
    <w:rsid w:val="000833EF"/>
    <w:rsid w:val="000A0C1B"/>
    <w:rsid w:val="000B1468"/>
    <w:rsid w:val="000F4E59"/>
    <w:rsid w:val="00103E0F"/>
    <w:rsid w:val="00116F59"/>
    <w:rsid w:val="001362FD"/>
    <w:rsid w:val="001366BB"/>
    <w:rsid w:val="001372F2"/>
    <w:rsid w:val="00153F85"/>
    <w:rsid w:val="00177F0B"/>
    <w:rsid w:val="00180A06"/>
    <w:rsid w:val="00182783"/>
    <w:rsid w:val="00195F8E"/>
    <w:rsid w:val="001A54FA"/>
    <w:rsid w:val="001B05C8"/>
    <w:rsid w:val="001B6DF9"/>
    <w:rsid w:val="001C267A"/>
    <w:rsid w:val="001C5098"/>
    <w:rsid w:val="001D55BC"/>
    <w:rsid w:val="001D7FB3"/>
    <w:rsid w:val="002009C2"/>
    <w:rsid w:val="00211C37"/>
    <w:rsid w:val="00212D24"/>
    <w:rsid w:val="00217581"/>
    <w:rsid w:val="0022221C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005F6"/>
    <w:rsid w:val="00310708"/>
    <w:rsid w:val="00312BD3"/>
    <w:rsid w:val="0031372C"/>
    <w:rsid w:val="00314F92"/>
    <w:rsid w:val="00347A3B"/>
    <w:rsid w:val="00367EEB"/>
    <w:rsid w:val="00370895"/>
    <w:rsid w:val="00392AE9"/>
    <w:rsid w:val="003B78F9"/>
    <w:rsid w:val="003D74A2"/>
    <w:rsid w:val="003D7A13"/>
    <w:rsid w:val="003E1B86"/>
    <w:rsid w:val="003F07A7"/>
    <w:rsid w:val="00402829"/>
    <w:rsid w:val="00430DC5"/>
    <w:rsid w:val="00450D89"/>
    <w:rsid w:val="004533A7"/>
    <w:rsid w:val="00460505"/>
    <w:rsid w:val="00463122"/>
    <w:rsid w:val="00480E77"/>
    <w:rsid w:val="00484C39"/>
    <w:rsid w:val="00490FA2"/>
    <w:rsid w:val="004955D9"/>
    <w:rsid w:val="004E633C"/>
    <w:rsid w:val="005019CB"/>
    <w:rsid w:val="00511CA5"/>
    <w:rsid w:val="005150CE"/>
    <w:rsid w:val="00530814"/>
    <w:rsid w:val="0053682C"/>
    <w:rsid w:val="00545301"/>
    <w:rsid w:val="00565333"/>
    <w:rsid w:val="005655CC"/>
    <w:rsid w:val="00591B39"/>
    <w:rsid w:val="005B1CC3"/>
    <w:rsid w:val="005B5A07"/>
    <w:rsid w:val="005C1372"/>
    <w:rsid w:val="005D4E64"/>
    <w:rsid w:val="00607A4B"/>
    <w:rsid w:val="0062704E"/>
    <w:rsid w:val="00634682"/>
    <w:rsid w:val="0063507E"/>
    <w:rsid w:val="00635EDD"/>
    <w:rsid w:val="006363E9"/>
    <w:rsid w:val="006854C9"/>
    <w:rsid w:val="006858D6"/>
    <w:rsid w:val="00687908"/>
    <w:rsid w:val="00695F95"/>
    <w:rsid w:val="006A0189"/>
    <w:rsid w:val="006A1127"/>
    <w:rsid w:val="006A188E"/>
    <w:rsid w:val="006A2F72"/>
    <w:rsid w:val="006A3278"/>
    <w:rsid w:val="006D3EBD"/>
    <w:rsid w:val="006E6F0B"/>
    <w:rsid w:val="006F6EEB"/>
    <w:rsid w:val="007104E4"/>
    <w:rsid w:val="007442BB"/>
    <w:rsid w:val="007463C5"/>
    <w:rsid w:val="00746846"/>
    <w:rsid w:val="007510C3"/>
    <w:rsid w:val="0076458E"/>
    <w:rsid w:val="00767063"/>
    <w:rsid w:val="0078682D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17127"/>
    <w:rsid w:val="00821754"/>
    <w:rsid w:val="0082209E"/>
    <w:rsid w:val="00831225"/>
    <w:rsid w:val="00840CFC"/>
    <w:rsid w:val="0084231D"/>
    <w:rsid w:val="008428AB"/>
    <w:rsid w:val="00863664"/>
    <w:rsid w:val="0088151C"/>
    <w:rsid w:val="008817AB"/>
    <w:rsid w:val="008843A4"/>
    <w:rsid w:val="008A355C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1361"/>
    <w:rsid w:val="009424FA"/>
    <w:rsid w:val="009426CB"/>
    <w:rsid w:val="00963073"/>
    <w:rsid w:val="0097315A"/>
    <w:rsid w:val="0097690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07A1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3E3D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B506C"/>
    <w:rsid w:val="00BC09F8"/>
    <w:rsid w:val="00BC547B"/>
    <w:rsid w:val="00BC5716"/>
    <w:rsid w:val="00BD4B6C"/>
    <w:rsid w:val="00C21C04"/>
    <w:rsid w:val="00C37933"/>
    <w:rsid w:val="00C408C7"/>
    <w:rsid w:val="00C47EEA"/>
    <w:rsid w:val="00C519D0"/>
    <w:rsid w:val="00C7094B"/>
    <w:rsid w:val="00C70ACB"/>
    <w:rsid w:val="00C76663"/>
    <w:rsid w:val="00CA4FEC"/>
    <w:rsid w:val="00CD011A"/>
    <w:rsid w:val="00CD7921"/>
    <w:rsid w:val="00CE084B"/>
    <w:rsid w:val="00CE5A74"/>
    <w:rsid w:val="00CF41B5"/>
    <w:rsid w:val="00D02D57"/>
    <w:rsid w:val="00D118D6"/>
    <w:rsid w:val="00D20266"/>
    <w:rsid w:val="00D20525"/>
    <w:rsid w:val="00D20C29"/>
    <w:rsid w:val="00D2188E"/>
    <w:rsid w:val="00D2294F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63D8B"/>
    <w:rsid w:val="00E7374B"/>
    <w:rsid w:val="00E81F4B"/>
    <w:rsid w:val="00EA11BE"/>
    <w:rsid w:val="00EB732D"/>
    <w:rsid w:val="00EC644A"/>
    <w:rsid w:val="00EC6A3F"/>
    <w:rsid w:val="00EE5757"/>
    <w:rsid w:val="00F30554"/>
    <w:rsid w:val="00F3137A"/>
    <w:rsid w:val="00F348D2"/>
    <w:rsid w:val="00F4485F"/>
    <w:rsid w:val="00F44B6A"/>
    <w:rsid w:val="00F521C7"/>
    <w:rsid w:val="00F60BF8"/>
    <w:rsid w:val="00F64863"/>
    <w:rsid w:val="00F83D54"/>
    <w:rsid w:val="00F84E34"/>
    <w:rsid w:val="00F960C1"/>
    <w:rsid w:val="00FA0331"/>
    <w:rsid w:val="00FB4E56"/>
    <w:rsid w:val="00FC049C"/>
    <w:rsid w:val="00FC1C0E"/>
    <w:rsid w:val="00FC5ED8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A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4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68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5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4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4C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8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4C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4C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4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68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54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4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54C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85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4C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54C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4812349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5</Value>
      <Value>3</Value>
      <Value>2</Value>
    </TaxCatchAll>
    <IWPSubjectTaxHTField0 xmlns="01d2705b-266c-471f-bbad-ca9cc3733704">
      <Terms xmlns="http://schemas.microsoft.com/office/infopath/2007/PartnerControls"/>
    </IWPSubjectTaxHTField0>
    <IWPOrganisationalUnit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Owner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IWPRightsProtectiveMarkingTaxHTField0 xmlns="01d2705b-266c-471f-bbad-ca9cc37337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SiteTypeTaxHTField0 xmlns="01d2705b-266c-471f-bbad-ca9cc3733704">
      <Terms xmlns="http://schemas.microsoft.com/office/infopath/2007/PartnerControls"/>
    </IWPSiteTypeTaxHTField0>
    <IWPContributor xmlns="01d2705b-266c-471f-bbad-ca9cc3733704">
      <UserInfo>
        <DisplayName/>
        <AccountId xsi:nil="true"/>
        <AccountType/>
      </UserInfo>
    </IWPContributor>
    <IWPFunctionTaxHTField0 xmlns="01d2705b-266c-471f-bbad-ca9cc3733704">
      <Terms xmlns="http://schemas.microsoft.com/office/infopath/2007/PartnerControls"/>
    </IWPFunctionTaxHTField0>
    <Comments xmlns="http://schemas.microsoft.com/sharepoint/v3" xsi:nil="true"/>
    <_dlc_DocId xmlns="b8cb3cbd-ce5c-4a72-9da4-9013f91c5903">HKPH4XM4QHZ4-9-14321</_dlc_DocId>
    <_dlc_DocIdUrl xmlns="b8cb3cbd-ce5c-4a72-9da4-9013f91c5903">
      <Url>http://workplaces/sites/ttg/d/_layouts/DocIdRedir.aspx?ID=HKPH4XM4QHZ4-9-14321</Url>
      <Description>HKPH4XM4QHZ4-9-14321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7F645D6FBA204A029FECB8BFC6578C39005279853530254253B886E13194843F8A003AA4A7828D8545A79A9356801481234900C26145F0145976469915D8AC13511CF7" ma:contentTypeVersion="9" ma:contentTypeDescription="For any briefing which is not in relation to a department policy. Records retained for 10 years." ma:contentTypeScope="" ma:versionID="670af5cf3e15662bf324795d771b715a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01d2705b-266c-471f-bbad-ca9cc3733704" targetNamespace="http://schemas.microsoft.com/office/2006/metadata/properties" ma:root="true" ma:fieldsID="9fa0d0003ae5271f7b85253d39227722" ns1:_="" ns2:_="" ns3:_="">
    <xsd:import namespace="http://schemas.microsoft.com/sharepoint/v3"/>
    <xsd:import namespace="b8cb3cbd-ce5c-4a72-9da4-9013f91c5903"/>
    <xsd:import namespace="01d2705b-266c-471f-bbad-ca9cc37337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4e53523-cc22-4b71-94d9-f0f05bc78804}" ma:internalName="TaxCatchAll" ma:showField="CatchAllData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4e53523-cc22-4b71-94d9-f0f05bc78804}" ma:internalName="TaxCatchAllLabel" ma:readOnly="true" ma:showField="CatchAllDataLabel" ma:web="01d2705b-266c-471f-bbad-ca9cc3733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E3CF-8365-4B0B-87F7-E347E756B6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632A330-3395-4333-ADB6-4C5D30FE29B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AAB4009-4770-4836-98B4-F781D745A01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1d2705b-266c-471f-bbad-ca9cc3733704"/>
    <ds:schemaRef ds:uri="http://purl.org/dc/elements/1.1/"/>
    <ds:schemaRef ds:uri="b8cb3cbd-ce5c-4a72-9da4-9013f91c5903"/>
  </ds:schemaRefs>
</ds:datastoreItem>
</file>

<file path=customXml/itemProps4.xml><?xml version="1.0" encoding="utf-8"?>
<ds:datastoreItem xmlns:ds="http://schemas.openxmlformats.org/officeDocument/2006/customXml" ds:itemID="{94C448ED-4728-476A-8F8A-26ACAE1919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387A3C-87A3-4540-8899-21A364D8D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01d2705b-266c-471f-bbad-ca9cc3733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3878C4C-DC6E-4FF8-A382-545804B0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F50ED6DB</Template>
  <TotalTime>0</TotalTime>
  <Pages>1</Pages>
  <Words>361</Words>
  <Characters>1911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Restricted editing applied prior to publication 071015</vt:lpstr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editing applied prior to publication 071015</dc:title>
  <dc:creator>CAMMACK, Karen</dc:creator>
  <cp:lastModifiedBy>CAMMACK, Karen</cp:lastModifiedBy>
  <cp:revision>2</cp:revision>
  <cp:lastPrinted>2015-10-26T11:48:00Z</cp:lastPrinted>
  <dcterms:created xsi:type="dcterms:W3CDTF">2015-12-16T14:56:00Z</dcterms:created>
  <dcterms:modified xsi:type="dcterms:W3CDTF">2015-12-16T14:56:00Z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0x0101007F645D6FBA204A029FECB8BFC6578C39005279853530254253B886E13194843F8A003AA4A7828D8545A79A9356801481234900C26145F0145976469915D8AC13511CF7</vt:lpwstr>
  </property>
  <property fmtid="{D5CDD505-2E9C-101B-9397-08002B2CF9AE}" pid="3" name="IWPOrganisationalUnit">
    <vt:lpwstr>5;#DfE|cc08a6d4-dfde-4d0f-bd85-069ebcef80d5</vt:lpwstr>
  </property>
  <property fmtid="{D5CDD505-2E9C-101B-9397-08002B2CF9AE}" pid="4" name="IWPOwner">
    <vt:lpwstr>2;#DfE|a484111e-5b24-4ad9-9778-c536c8c88985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3;#Official|0884c477-2e62-47ea-b19c-5af6e91124c5</vt:lpwstr>
  </property>
  <property fmtid="{D5CDD505-2E9C-101B-9397-08002B2CF9AE}" pid="9" name="_dlc_DocIdItemGuid">
    <vt:lpwstr>56234e92-ab33-4cba-b2ee-c993f4fd08be</vt:lpwstr>
  </property>
</Properties>
</file>