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AC520" w14:textId="77777777" w:rsidR="00533406" w:rsidRPr="00363983" w:rsidRDefault="00533406" w:rsidP="00C8363C">
      <w:pPr>
        <w:pStyle w:val="DeptBullets"/>
        <w:numPr>
          <w:ilvl w:val="0"/>
          <w:numId w:val="0"/>
        </w:numPr>
        <w:ind w:right="-99"/>
        <w:rPr>
          <w:rFonts w:cs="Arial"/>
          <w:b/>
          <w:sz w:val="22"/>
          <w:szCs w:val="22"/>
        </w:rPr>
      </w:pPr>
      <w:r w:rsidRPr="00363983">
        <w:rPr>
          <w:rFonts w:cs="Arial"/>
          <w:b/>
          <w:sz w:val="22"/>
          <w:szCs w:val="22"/>
        </w:rPr>
        <w:t>T</w:t>
      </w:r>
      <w:r w:rsidR="00D901A6" w:rsidRPr="00363983">
        <w:rPr>
          <w:rFonts w:cs="Arial"/>
          <w:b/>
          <w:sz w:val="22"/>
          <w:szCs w:val="22"/>
        </w:rPr>
        <w:t xml:space="preserve">eachers’ Pension Scheme </w:t>
      </w:r>
      <w:r w:rsidRPr="00363983">
        <w:rPr>
          <w:rFonts w:cs="Arial"/>
          <w:b/>
          <w:sz w:val="22"/>
          <w:szCs w:val="22"/>
        </w:rPr>
        <w:t>Pension Board</w:t>
      </w:r>
      <w:r w:rsidR="00695F57" w:rsidRPr="00363983">
        <w:rPr>
          <w:rFonts w:cs="Arial"/>
          <w:b/>
          <w:sz w:val="22"/>
          <w:szCs w:val="22"/>
        </w:rPr>
        <w:t xml:space="preserve"> </w:t>
      </w:r>
      <w:r w:rsidR="00B62931" w:rsidRPr="00363983">
        <w:rPr>
          <w:rFonts w:cs="Arial"/>
          <w:b/>
          <w:sz w:val="22"/>
          <w:szCs w:val="22"/>
        </w:rPr>
        <w:t>Finance, Risk and Audit Report.</w:t>
      </w:r>
    </w:p>
    <w:p w14:paraId="75192BE5" w14:textId="607F7DD3" w:rsidR="002F6007" w:rsidRPr="00363983" w:rsidRDefault="00B05496" w:rsidP="00B05496">
      <w:pPr>
        <w:widowControl/>
        <w:tabs>
          <w:tab w:val="left" w:pos="8222"/>
        </w:tabs>
        <w:overflowPunct/>
        <w:autoSpaceDE/>
        <w:autoSpaceDN/>
        <w:adjustRightInd/>
        <w:spacing w:line="276" w:lineRule="auto"/>
        <w:ind w:right="-58"/>
        <w:textAlignment w:val="auto"/>
        <w:rPr>
          <w:rFonts w:cs="Arial"/>
          <w:b/>
          <w:sz w:val="22"/>
          <w:szCs w:val="22"/>
          <w:u w:val="single"/>
        </w:rPr>
      </w:pPr>
      <w:r w:rsidRPr="00363983">
        <w:rPr>
          <w:rFonts w:cs="Arial"/>
          <w:sz w:val="22"/>
          <w:szCs w:val="22"/>
        </w:rPr>
        <w:t>The purpose of this document is to advise the Board of recent key events relating to the financial management, risk and auditing of the scheme</w:t>
      </w:r>
      <w:r w:rsidRPr="00363983">
        <w:rPr>
          <w:rFonts w:cs="Arial"/>
          <w:color w:val="000000" w:themeColor="text1"/>
          <w:sz w:val="22"/>
          <w:szCs w:val="22"/>
        </w:rPr>
        <w:t>.</w:t>
      </w:r>
    </w:p>
    <w:p w14:paraId="61B5F723" w14:textId="77777777" w:rsidR="002F6007" w:rsidRPr="00363983" w:rsidRDefault="002F6007" w:rsidP="002F6007">
      <w:pPr>
        <w:rPr>
          <w:rFonts w:cs="Arial"/>
          <w:b/>
          <w:sz w:val="22"/>
          <w:szCs w:val="22"/>
          <w:u w:val="single"/>
        </w:rPr>
      </w:pPr>
    </w:p>
    <w:p w14:paraId="1CD6D8CD" w14:textId="77777777" w:rsidR="002F6007" w:rsidRPr="00363983" w:rsidRDefault="00EE7286" w:rsidP="002F6007">
      <w:pPr>
        <w:jc w:val="center"/>
        <w:rPr>
          <w:rFonts w:cs="Arial"/>
          <w:b/>
          <w:sz w:val="28"/>
          <w:szCs w:val="28"/>
        </w:rPr>
      </w:pPr>
      <w:r w:rsidRPr="00363983">
        <w:rPr>
          <w:rFonts w:cs="Arial"/>
          <w:b/>
          <w:sz w:val="28"/>
          <w:szCs w:val="28"/>
        </w:rPr>
        <w:t>Finance</w:t>
      </w:r>
      <w:r w:rsidR="00000089" w:rsidRPr="00363983">
        <w:rPr>
          <w:rFonts w:cs="Arial"/>
          <w:b/>
          <w:sz w:val="28"/>
          <w:szCs w:val="28"/>
        </w:rPr>
        <w:t xml:space="preserve"> </w:t>
      </w:r>
    </w:p>
    <w:p w14:paraId="7947F734" w14:textId="77777777" w:rsidR="002F6007" w:rsidRPr="00363983" w:rsidRDefault="002F6007" w:rsidP="002F6007">
      <w:pPr>
        <w:jc w:val="center"/>
        <w:rPr>
          <w:rFonts w:cs="Arial"/>
          <w:b/>
          <w:sz w:val="28"/>
          <w:szCs w:val="28"/>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14C559EA" w14:textId="77777777" w:rsidTr="00DC6BD2">
        <w:tc>
          <w:tcPr>
            <w:tcW w:w="7230" w:type="dxa"/>
          </w:tcPr>
          <w:p w14:paraId="58E371B6" w14:textId="77777777" w:rsidR="00DC6BD2" w:rsidRPr="00363983" w:rsidRDefault="00DC6BD2" w:rsidP="00311C8A">
            <w:pPr>
              <w:rPr>
                <w:rFonts w:cs="Arial"/>
                <w:b/>
                <w:color w:val="000000"/>
                <w:sz w:val="22"/>
                <w:szCs w:val="22"/>
                <w:lang w:eastAsia="en-GB"/>
              </w:rPr>
            </w:pPr>
          </w:p>
          <w:p w14:paraId="288E3BA5" w14:textId="77777777" w:rsidR="00DC6BD2" w:rsidRPr="00363983" w:rsidRDefault="002F6007" w:rsidP="00311C8A">
            <w:pPr>
              <w:rPr>
                <w:rFonts w:cs="Arial"/>
                <w:b/>
                <w:color w:val="000000"/>
                <w:sz w:val="22"/>
                <w:szCs w:val="22"/>
                <w:lang w:eastAsia="en-GB"/>
              </w:rPr>
            </w:pPr>
            <w:r w:rsidRPr="00363983">
              <w:rPr>
                <w:rFonts w:cs="Arial"/>
                <w:b/>
                <w:color w:val="000000"/>
                <w:sz w:val="22"/>
                <w:szCs w:val="22"/>
                <w:lang w:eastAsia="en-GB"/>
              </w:rPr>
              <w:t>Cash Income and Expenditure</w:t>
            </w:r>
          </w:p>
          <w:p w14:paraId="7392EB53" w14:textId="77777777" w:rsidR="00DC6BD2" w:rsidRPr="00363983" w:rsidRDefault="00DC6BD2" w:rsidP="00311C8A">
            <w:pPr>
              <w:rPr>
                <w:rFonts w:cs="Arial"/>
                <w:b/>
                <w:sz w:val="22"/>
                <w:szCs w:val="22"/>
              </w:rPr>
            </w:pPr>
          </w:p>
        </w:tc>
        <w:tc>
          <w:tcPr>
            <w:tcW w:w="1134" w:type="dxa"/>
            <w:shd w:val="clear" w:color="auto" w:fill="00B050"/>
          </w:tcPr>
          <w:p w14:paraId="665ACCCE" w14:textId="77777777" w:rsidR="00DC6BD2" w:rsidRPr="00363983" w:rsidRDefault="00DC6BD2" w:rsidP="00311C8A">
            <w:pPr>
              <w:rPr>
                <w:rFonts w:cs="Arial"/>
                <w:color w:val="00B050"/>
                <w:sz w:val="22"/>
                <w:szCs w:val="22"/>
              </w:rPr>
            </w:pPr>
          </w:p>
          <w:p w14:paraId="446FEC34" w14:textId="30E019A6" w:rsidR="00DC6BD2" w:rsidRPr="00363983" w:rsidRDefault="006C7483" w:rsidP="00DC6BD2">
            <w:pPr>
              <w:rPr>
                <w:rFonts w:cs="Arial"/>
                <w:color w:val="00B050"/>
                <w:sz w:val="22"/>
                <w:szCs w:val="22"/>
              </w:rPr>
            </w:pPr>
            <w:r w:rsidRPr="00363983">
              <w:rPr>
                <w:rFonts w:cs="Arial"/>
                <w:noProof/>
                <w:color w:val="00B050"/>
                <w:szCs w:val="24"/>
                <w:lang w:eastAsia="en-GB"/>
              </w:rPr>
              <mc:AlternateContent>
                <mc:Choice Requires="wps">
                  <w:drawing>
                    <wp:anchor distT="0" distB="0" distL="114300" distR="114300" simplePos="0" relativeHeight="251681792" behindDoc="0" locked="0" layoutInCell="1" allowOverlap="1" wp14:anchorId="2044C225" wp14:editId="762FD7B5">
                      <wp:simplePos x="0" y="0"/>
                      <wp:positionH relativeFrom="column">
                        <wp:posOffset>118110</wp:posOffset>
                      </wp:positionH>
                      <wp:positionV relativeFrom="paragraph">
                        <wp:posOffset>91440</wp:posOffset>
                      </wp:positionV>
                      <wp:extent cx="350520" cy="0"/>
                      <wp:effectExtent l="0" t="76200" r="30480" b="152400"/>
                      <wp:wrapNone/>
                      <wp:docPr id="2" name="Straight Arrow Connector 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pt;margin-top:7.2pt;width:27.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MU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" strokecolor="windowText" strokeweight="2pt">
                      <v:stroke endarrow="open"/>
                      <v:shadow on="t" color="black" opacity="24903f" origin=",.5" offset="0,.55556mm"/>
                    </v:shape>
                  </w:pict>
                </mc:Fallback>
              </mc:AlternateContent>
            </w:r>
          </w:p>
        </w:tc>
      </w:tr>
    </w:tbl>
    <w:p w14:paraId="33478F6F" w14:textId="77777777" w:rsidR="008D340F" w:rsidRPr="00363983" w:rsidRDefault="008D340F" w:rsidP="008D340F">
      <w:pPr>
        <w:widowControl/>
        <w:overflowPunct/>
        <w:autoSpaceDE/>
        <w:autoSpaceDN/>
        <w:adjustRightInd/>
        <w:spacing w:line="276" w:lineRule="auto"/>
        <w:textAlignment w:val="auto"/>
        <w:rPr>
          <w:rFonts w:cs="Arial"/>
          <w:sz w:val="20"/>
        </w:rPr>
      </w:pPr>
    </w:p>
    <w:p w14:paraId="7ACA23AE" w14:textId="16DAF621" w:rsidR="008D340F" w:rsidRPr="00363983" w:rsidRDefault="008D340F" w:rsidP="008D340F">
      <w:pPr>
        <w:widowControl/>
        <w:tabs>
          <w:tab w:val="left" w:pos="8222"/>
        </w:tabs>
        <w:overflowPunct/>
        <w:autoSpaceDE/>
        <w:autoSpaceDN/>
        <w:adjustRightInd/>
        <w:spacing w:line="276" w:lineRule="auto"/>
        <w:ind w:right="-58"/>
        <w:textAlignment w:val="auto"/>
        <w:rPr>
          <w:rFonts w:cs="Arial"/>
          <w:sz w:val="22"/>
          <w:szCs w:val="22"/>
        </w:rPr>
      </w:pPr>
      <w:r w:rsidRPr="00363983">
        <w:rPr>
          <w:rFonts w:cs="Arial"/>
          <w:color w:val="000000" w:themeColor="text1"/>
          <w:sz w:val="22"/>
          <w:szCs w:val="22"/>
        </w:rPr>
        <w:t>At the end of October, following input of the approved Autumn OBR forecast figures</w:t>
      </w:r>
      <w:r w:rsidR="00EF5A60" w:rsidRPr="00363983">
        <w:rPr>
          <w:rFonts w:cs="Arial"/>
          <w:color w:val="000000" w:themeColor="text1"/>
          <w:sz w:val="22"/>
          <w:szCs w:val="22"/>
        </w:rPr>
        <w:t>, the</w:t>
      </w:r>
      <w:r w:rsidRPr="00363983">
        <w:rPr>
          <w:rFonts w:cs="Arial"/>
          <w:color w:val="000000" w:themeColor="text1"/>
          <w:sz w:val="22"/>
          <w:szCs w:val="22"/>
        </w:rPr>
        <w:t xml:space="preserve"> scheme had received 0.63% more income in the financial year to date than anticipated - equating to £21m on the forecasted £3.35b.  This variance is </w:t>
      </w:r>
      <w:r w:rsidRPr="00363983">
        <w:rPr>
          <w:rFonts w:cs="Arial"/>
          <w:sz w:val="22"/>
          <w:szCs w:val="22"/>
        </w:rPr>
        <w:t>solely attributable to extra contributions received over and above the revised forecast. The position can be expected to level out further as the year progresses before the final forecast is submitted in January as part of the Winter OBR exercise.</w:t>
      </w:r>
    </w:p>
    <w:p w14:paraId="37C7C89E" w14:textId="77777777" w:rsidR="008D340F" w:rsidRPr="00363983" w:rsidRDefault="008D340F" w:rsidP="008D340F">
      <w:pPr>
        <w:pStyle w:val="ListParagraph"/>
        <w:widowControl/>
        <w:overflowPunct/>
        <w:autoSpaceDE/>
        <w:autoSpaceDN/>
        <w:adjustRightInd/>
        <w:spacing w:line="276" w:lineRule="auto"/>
        <w:ind w:right="611"/>
        <w:textAlignment w:val="auto"/>
        <w:rPr>
          <w:rFonts w:cs="Arial"/>
          <w:sz w:val="22"/>
          <w:szCs w:val="22"/>
        </w:rPr>
      </w:pPr>
    </w:p>
    <w:p w14:paraId="0668195D" w14:textId="3551DE17" w:rsidR="008D340F" w:rsidRPr="00363983" w:rsidRDefault="008D340F" w:rsidP="00711F15">
      <w:pPr>
        <w:widowControl/>
        <w:overflowPunct/>
        <w:autoSpaceDE/>
        <w:autoSpaceDN/>
        <w:adjustRightInd/>
        <w:spacing w:line="276" w:lineRule="auto"/>
        <w:ind w:right="-58"/>
        <w:textAlignment w:val="auto"/>
        <w:rPr>
          <w:rFonts w:cs="Arial"/>
          <w:sz w:val="22"/>
          <w:szCs w:val="22"/>
        </w:rPr>
      </w:pPr>
      <w:r w:rsidRPr="00363983">
        <w:rPr>
          <w:rFonts w:cs="Arial"/>
          <w:color w:val="000000" w:themeColor="text1"/>
          <w:sz w:val="22"/>
          <w:szCs w:val="22"/>
        </w:rPr>
        <w:t>T</w:t>
      </w:r>
      <w:r w:rsidRPr="00363983">
        <w:rPr>
          <w:rFonts w:cs="Arial"/>
          <w:sz w:val="22"/>
          <w:szCs w:val="22"/>
        </w:rPr>
        <w:t xml:space="preserve">he year-to-date expenditure variance by comparison was 1.32% or £77.2m under the revised forecast of £5.79b. Such a comparatively large variance was seen despite the recent reforecasting exercise due to the </w:t>
      </w:r>
      <w:r w:rsidR="00EF5A60" w:rsidRPr="00363983">
        <w:rPr>
          <w:rFonts w:cs="Arial"/>
          <w:sz w:val="22"/>
          <w:szCs w:val="22"/>
        </w:rPr>
        <w:t>mid-September</w:t>
      </w:r>
      <w:r w:rsidRPr="00363983">
        <w:rPr>
          <w:rFonts w:cs="Arial"/>
          <w:sz w:val="22"/>
          <w:szCs w:val="22"/>
        </w:rPr>
        <w:t xml:space="preserve"> deadline meaning the actual September results could not be fully anticipated. However this can be addressed at the Winter OBR. The main drivers for this variance were </w:t>
      </w:r>
      <w:r w:rsidR="009427B5" w:rsidRPr="00363983">
        <w:rPr>
          <w:rFonts w:cs="Arial"/>
          <w:sz w:val="22"/>
          <w:szCs w:val="22"/>
        </w:rPr>
        <w:t>age lump sums and Actuarially Adjusted Benefit</w:t>
      </w:r>
      <w:r w:rsidRPr="00363983">
        <w:rPr>
          <w:rFonts w:cs="Arial"/>
          <w:sz w:val="22"/>
          <w:szCs w:val="22"/>
        </w:rPr>
        <w:t xml:space="preserve"> lump sums at £42.1m and £20.2m under forecast respectively. </w:t>
      </w:r>
    </w:p>
    <w:p w14:paraId="62A1AE98" w14:textId="77777777" w:rsidR="008D340F" w:rsidRPr="00363983" w:rsidRDefault="008D340F" w:rsidP="00711F15">
      <w:pPr>
        <w:pStyle w:val="ListParagraph"/>
        <w:rPr>
          <w:rFonts w:cs="Arial"/>
          <w:sz w:val="22"/>
          <w:szCs w:val="22"/>
        </w:rPr>
      </w:pPr>
    </w:p>
    <w:p w14:paraId="7B058BD0" w14:textId="77777777" w:rsidR="00B05496" w:rsidRPr="00363983" w:rsidRDefault="008D340F" w:rsidP="00711F15">
      <w:pPr>
        <w:ind w:right="-58"/>
        <w:rPr>
          <w:rFonts w:cs="Arial"/>
          <w:sz w:val="22"/>
          <w:szCs w:val="22"/>
        </w:rPr>
      </w:pPr>
      <w:r w:rsidRPr="00363983">
        <w:rPr>
          <w:rFonts w:cs="Arial"/>
          <w:color w:val="000000" w:themeColor="text1"/>
          <w:sz w:val="22"/>
          <w:szCs w:val="22"/>
        </w:rPr>
        <w:t>From a net cash requirement perspective we currently anticipate a £139m surplus at the year end, based on the main estimate.</w:t>
      </w:r>
      <w:r w:rsidRPr="00363983">
        <w:rPr>
          <w:rFonts w:cs="Arial"/>
          <w:sz w:val="22"/>
          <w:szCs w:val="22"/>
        </w:rPr>
        <w:t xml:space="preserve">  </w:t>
      </w:r>
    </w:p>
    <w:p w14:paraId="6952383F" w14:textId="77777777" w:rsidR="00B05496" w:rsidRPr="00363983" w:rsidRDefault="00B05496" w:rsidP="008D340F">
      <w:pPr>
        <w:ind w:right="-58"/>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2B6889CC" w14:textId="77777777" w:rsidTr="00DC6BD2">
        <w:tc>
          <w:tcPr>
            <w:tcW w:w="7230" w:type="dxa"/>
          </w:tcPr>
          <w:p w14:paraId="439AB4CD" w14:textId="77777777" w:rsidR="00DC6BD2" w:rsidRPr="00363983" w:rsidRDefault="00DC6BD2" w:rsidP="00311C8A">
            <w:pPr>
              <w:rPr>
                <w:rFonts w:cs="Arial"/>
                <w:b/>
                <w:color w:val="000000"/>
                <w:sz w:val="22"/>
                <w:szCs w:val="22"/>
                <w:lang w:eastAsia="en-GB"/>
              </w:rPr>
            </w:pPr>
          </w:p>
          <w:p w14:paraId="2116F5DD" w14:textId="77777777" w:rsidR="00DC6BD2" w:rsidRPr="00363983" w:rsidRDefault="00E749AF" w:rsidP="00311C8A">
            <w:pPr>
              <w:rPr>
                <w:rFonts w:cs="Arial"/>
                <w:b/>
                <w:color w:val="000000"/>
                <w:sz w:val="22"/>
                <w:szCs w:val="22"/>
                <w:lang w:eastAsia="en-GB"/>
              </w:rPr>
            </w:pPr>
            <w:r w:rsidRPr="00363983">
              <w:rPr>
                <w:rFonts w:cs="Arial"/>
                <w:b/>
                <w:color w:val="000000"/>
                <w:sz w:val="22"/>
                <w:szCs w:val="22"/>
                <w:lang w:eastAsia="en-GB"/>
              </w:rPr>
              <w:t>TPS</w:t>
            </w:r>
            <w:r w:rsidR="002F6007" w:rsidRPr="00363983">
              <w:rPr>
                <w:rFonts w:cs="Arial"/>
                <w:b/>
                <w:color w:val="000000"/>
                <w:sz w:val="22"/>
                <w:szCs w:val="22"/>
                <w:lang w:eastAsia="en-GB"/>
              </w:rPr>
              <w:t xml:space="preserve"> Forecasting Exercises </w:t>
            </w:r>
          </w:p>
          <w:p w14:paraId="08E2ED84" w14:textId="77777777" w:rsidR="00DC6BD2" w:rsidRPr="00363983" w:rsidRDefault="00DC6BD2" w:rsidP="00311C8A">
            <w:pPr>
              <w:rPr>
                <w:rFonts w:cs="Arial"/>
                <w:b/>
                <w:sz w:val="22"/>
                <w:szCs w:val="22"/>
              </w:rPr>
            </w:pPr>
          </w:p>
        </w:tc>
        <w:tc>
          <w:tcPr>
            <w:tcW w:w="1134" w:type="dxa"/>
            <w:shd w:val="clear" w:color="auto" w:fill="00B050"/>
          </w:tcPr>
          <w:p w14:paraId="04BE8659" w14:textId="77777777" w:rsidR="00DC6BD2" w:rsidRPr="00363983" w:rsidRDefault="00DC6BD2" w:rsidP="00311C8A">
            <w:pPr>
              <w:rPr>
                <w:rFonts w:cs="Arial"/>
                <w:sz w:val="22"/>
                <w:szCs w:val="22"/>
              </w:rPr>
            </w:pPr>
          </w:p>
          <w:p w14:paraId="1C34A9F3" w14:textId="49DF4625" w:rsidR="00DC6BD2" w:rsidRPr="00363983" w:rsidRDefault="00363983" w:rsidP="00DC6BD2">
            <w:pPr>
              <w:rPr>
                <w:rFonts w:cs="Arial"/>
                <w:sz w:val="22"/>
                <w:szCs w:val="22"/>
              </w:rPr>
            </w:pPr>
            <w:r w:rsidRPr="00363983">
              <w:rPr>
                <w:rFonts w:cs="Arial"/>
                <w:noProof/>
                <w:color w:val="00B050"/>
                <w:szCs w:val="24"/>
                <w:lang w:eastAsia="en-GB"/>
              </w:rPr>
              <mc:AlternateContent>
                <mc:Choice Requires="wps">
                  <w:drawing>
                    <wp:anchor distT="0" distB="0" distL="114300" distR="114300" simplePos="0" relativeHeight="251671552" behindDoc="0" locked="0" layoutInCell="1" allowOverlap="1" wp14:anchorId="0662226A" wp14:editId="1592E198">
                      <wp:simplePos x="0" y="0"/>
                      <wp:positionH relativeFrom="column">
                        <wp:posOffset>118110</wp:posOffset>
                      </wp:positionH>
                      <wp:positionV relativeFrom="paragraph">
                        <wp:posOffset>80645</wp:posOffset>
                      </wp:positionV>
                      <wp:extent cx="350520" cy="0"/>
                      <wp:effectExtent l="0" t="76200" r="30480" b="152400"/>
                      <wp:wrapNone/>
                      <wp:docPr id="7" name="Straight Arrow Connector 7"/>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9.3pt;margin-top:6.35pt;width:27.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" strokecolor="windowText" strokeweight="2pt">
                      <v:stroke endarrow="open"/>
                      <v:shadow on="t" color="black" opacity="24903f" origin=",.5" offset="0,.55556mm"/>
                    </v:shape>
                  </w:pict>
                </mc:Fallback>
              </mc:AlternateContent>
            </w:r>
          </w:p>
        </w:tc>
      </w:tr>
    </w:tbl>
    <w:p w14:paraId="24D51144" w14:textId="77777777" w:rsidR="008D340F" w:rsidRPr="00363983" w:rsidRDefault="008D340F" w:rsidP="008D340F">
      <w:pPr>
        <w:ind w:right="-58"/>
        <w:rPr>
          <w:rFonts w:cs="Arial"/>
          <w:sz w:val="22"/>
          <w:szCs w:val="22"/>
        </w:rPr>
      </w:pPr>
    </w:p>
    <w:p w14:paraId="44227313" w14:textId="7125B7B8" w:rsidR="00B05496" w:rsidRPr="00363983" w:rsidRDefault="00B05496" w:rsidP="00711F15">
      <w:pPr>
        <w:rPr>
          <w:rFonts w:cs="Arial"/>
          <w:sz w:val="22"/>
          <w:szCs w:val="22"/>
        </w:rPr>
      </w:pPr>
      <w:r w:rsidRPr="00363983">
        <w:rPr>
          <w:rFonts w:cs="Arial"/>
          <w:sz w:val="22"/>
          <w:szCs w:val="22"/>
        </w:rPr>
        <w:t xml:space="preserve">The Autumn Office of Budgetary Responsibility (OBR) exercise was successfully concluded during October. Final sign-off was achieved from the senior </w:t>
      </w:r>
      <w:r w:rsidR="009427B5" w:rsidRPr="00363983">
        <w:rPr>
          <w:rFonts w:cs="Arial"/>
          <w:sz w:val="22"/>
          <w:szCs w:val="22"/>
        </w:rPr>
        <w:t>B</w:t>
      </w:r>
      <w:r w:rsidRPr="00363983">
        <w:rPr>
          <w:rFonts w:cs="Arial"/>
          <w:sz w:val="22"/>
          <w:szCs w:val="22"/>
        </w:rPr>
        <w:t>oard and, for the second exercise running, the high quality of the TPS return meant that no challenge meeting was required. This is a rare occurrence from which a great deal of assurance can be taken. In additional the Scheme Technical Accountant attended a teach-in session during September. This allowed for the sharing of best practi</w:t>
      </w:r>
      <w:r w:rsidR="006C7483">
        <w:rPr>
          <w:rFonts w:cs="Arial"/>
          <w:sz w:val="22"/>
          <w:szCs w:val="22"/>
        </w:rPr>
        <w:t>c</w:t>
      </w:r>
      <w:r w:rsidRPr="00363983">
        <w:rPr>
          <w:rFonts w:cs="Arial"/>
          <w:sz w:val="22"/>
          <w:szCs w:val="22"/>
        </w:rPr>
        <w:t>e and feedback to the OBR with counterparts from other Public Sector Schemes in attendance. It is intended for this to become an annual event.</w:t>
      </w:r>
    </w:p>
    <w:p w14:paraId="5C77046E" w14:textId="77777777" w:rsidR="000C4018" w:rsidRPr="00363983" w:rsidRDefault="000C4018" w:rsidP="00844135">
      <w:pPr>
        <w:pStyle w:val="ListParagraph"/>
        <w:ind w:right="611"/>
        <w:rPr>
          <w:rFonts w:cs="Arial"/>
          <w:sz w:val="22"/>
          <w:szCs w:val="22"/>
        </w:rPr>
      </w:pPr>
      <w:r w:rsidRPr="00363983">
        <w:rPr>
          <w:rFonts w:cs="Arial"/>
          <w:sz w:val="22"/>
          <w:szCs w:val="22"/>
        </w:rPr>
        <w:t xml:space="preserve"> </w:t>
      </w:r>
    </w:p>
    <w:tbl>
      <w:tblPr>
        <w:tblStyle w:val="TableGrid"/>
        <w:tblW w:w="0" w:type="auto"/>
        <w:tblInd w:w="108" w:type="dxa"/>
        <w:tblLook w:val="04A0" w:firstRow="1" w:lastRow="0" w:firstColumn="1" w:lastColumn="0" w:noHBand="0" w:noVBand="1"/>
      </w:tblPr>
      <w:tblGrid>
        <w:gridCol w:w="7230"/>
        <w:gridCol w:w="1134"/>
      </w:tblGrid>
      <w:tr w:rsidR="009E525D" w:rsidRPr="00363983" w14:paraId="2F4D38CD" w14:textId="77777777" w:rsidTr="00B608DF">
        <w:tc>
          <w:tcPr>
            <w:tcW w:w="7230" w:type="dxa"/>
          </w:tcPr>
          <w:p w14:paraId="5CF1C9F3" w14:textId="77777777" w:rsidR="009E525D" w:rsidRPr="00363983" w:rsidRDefault="009E525D" w:rsidP="00B608DF">
            <w:pPr>
              <w:rPr>
                <w:rFonts w:cs="Arial"/>
                <w:b/>
                <w:color w:val="000000"/>
                <w:sz w:val="22"/>
                <w:szCs w:val="22"/>
                <w:lang w:eastAsia="en-GB"/>
              </w:rPr>
            </w:pPr>
          </w:p>
          <w:p w14:paraId="42DD4EE3" w14:textId="77777777" w:rsidR="009E525D" w:rsidRPr="00363983" w:rsidRDefault="009E525D" w:rsidP="00B608DF">
            <w:pPr>
              <w:rPr>
                <w:rFonts w:cs="Arial"/>
                <w:b/>
                <w:sz w:val="22"/>
                <w:szCs w:val="22"/>
              </w:rPr>
            </w:pPr>
            <w:r w:rsidRPr="00363983">
              <w:rPr>
                <w:rFonts w:cs="Arial"/>
                <w:b/>
                <w:sz w:val="22"/>
                <w:szCs w:val="22"/>
              </w:rPr>
              <w:t>Resource Accounts (net expenditure out-turn) Position</w:t>
            </w:r>
          </w:p>
          <w:p w14:paraId="3F282B9D" w14:textId="77777777" w:rsidR="009E525D" w:rsidRPr="00363983" w:rsidRDefault="009E525D" w:rsidP="00B608DF">
            <w:pPr>
              <w:rPr>
                <w:rFonts w:cs="Arial"/>
                <w:b/>
                <w:sz w:val="22"/>
                <w:szCs w:val="22"/>
              </w:rPr>
            </w:pPr>
          </w:p>
        </w:tc>
        <w:tc>
          <w:tcPr>
            <w:tcW w:w="1134" w:type="dxa"/>
            <w:shd w:val="clear" w:color="auto" w:fill="00B050"/>
          </w:tcPr>
          <w:p w14:paraId="031DF503" w14:textId="12FE0438" w:rsidR="009E525D" w:rsidRPr="00363983" w:rsidRDefault="00363983" w:rsidP="00B608DF">
            <w:pPr>
              <w:rPr>
                <w:rFonts w:cs="Arial"/>
                <w:sz w:val="22"/>
                <w:szCs w:val="22"/>
              </w:rPr>
            </w:pPr>
            <w:r w:rsidRPr="00363983">
              <w:rPr>
                <w:rFonts w:cs="Arial"/>
                <w:noProof/>
                <w:color w:val="00B050"/>
                <w:szCs w:val="24"/>
                <w:lang w:eastAsia="en-GB"/>
              </w:rPr>
              <mc:AlternateContent>
                <mc:Choice Requires="wps">
                  <w:drawing>
                    <wp:anchor distT="0" distB="0" distL="114300" distR="114300" simplePos="0" relativeHeight="251673600" behindDoc="0" locked="0" layoutInCell="1" allowOverlap="1" wp14:anchorId="716372BB" wp14:editId="35F48F32">
                      <wp:simplePos x="0" y="0"/>
                      <wp:positionH relativeFrom="column">
                        <wp:posOffset>148590</wp:posOffset>
                      </wp:positionH>
                      <wp:positionV relativeFrom="paragraph">
                        <wp:posOffset>242570</wp:posOffset>
                      </wp:positionV>
                      <wp:extent cx="350520" cy="0"/>
                      <wp:effectExtent l="0" t="76200" r="30480" b="152400"/>
                      <wp:wrapNone/>
                      <wp:docPr id="8" name="Straight Arrow Connector 8"/>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1.7pt;margin-top:19.1pt;width:27.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" strokecolor="windowText" strokeweight="2pt">
                      <v:stroke endarrow="open"/>
                      <v:shadow on="t" color="black" opacity="24903f" origin=",.5" offset="0,.55556mm"/>
                    </v:shape>
                  </w:pict>
                </mc:Fallback>
              </mc:AlternateContent>
            </w:r>
            <w:r w:rsidR="009E525D" w:rsidRPr="00363983">
              <w:rPr>
                <w:rFonts w:cs="Arial"/>
                <w:sz w:val="22"/>
                <w:szCs w:val="22"/>
              </w:rPr>
              <w:t xml:space="preserve">            </w:t>
            </w:r>
          </w:p>
        </w:tc>
      </w:tr>
    </w:tbl>
    <w:p w14:paraId="72E26BB2" w14:textId="77777777" w:rsidR="00B05496" w:rsidRPr="00363983" w:rsidRDefault="00B05496" w:rsidP="00B05496">
      <w:pPr>
        <w:pStyle w:val="DeptBullets"/>
        <w:numPr>
          <w:ilvl w:val="0"/>
          <w:numId w:val="0"/>
        </w:numPr>
        <w:spacing w:after="0"/>
        <w:ind w:right="-58"/>
        <w:rPr>
          <w:rFonts w:cs="Arial"/>
          <w:color w:val="000000" w:themeColor="text1"/>
          <w:sz w:val="22"/>
          <w:szCs w:val="22"/>
        </w:rPr>
      </w:pPr>
    </w:p>
    <w:p w14:paraId="02C03E09" w14:textId="34EBD1F2" w:rsidR="00677C1A" w:rsidRDefault="008D340F" w:rsidP="00B05496">
      <w:pPr>
        <w:pStyle w:val="DeptBullets"/>
        <w:numPr>
          <w:ilvl w:val="0"/>
          <w:numId w:val="0"/>
        </w:numPr>
        <w:spacing w:after="0"/>
        <w:ind w:right="-58"/>
        <w:rPr>
          <w:rFonts w:cs="Arial"/>
          <w:color w:val="000000" w:themeColor="text1"/>
          <w:sz w:val="22"/>
          <w:szCs w:val="22"/>
        </w:rPr>
      </w:pPr>
      <w:r w:rsidRPr="00363983">
        <w:rPr>
          <w:rFonts w:cs="Arial"/>
          <w:color w:val="000000" w:themeColor="text1"/>
          <w:sz w:val="22"/>
          <w:szCs w:val="22"/>
        </w:rPr>
        <w:t xml:space="preserve">The ‘main estimate’ as produced by the department </w:t>
      </w:r>
      <w:r w:rsidR="00677C1A">
        <w:rPr>
          <w:rFonts w:cs="Arial"/>
          <w:color w:val="000000" w:themeColor="text1"/>
          <w:sz w:val="22"/>
          <w:szCs w:val="22"/>
        </w:rPr>
        <w:t>at the start of the financial year, forecasts</w:t>
      </w:r>
      <w:r w:rsidRPr="00363983">
        <w:rPr>
          <w:rFonts w:cs="Arial"/>
          <w:color w:val="000000" w:themeColor="text1"/>
          <w:sz w:val="22"/>
          <w:szCs w:val="22"/>
        </w:rPr>
        <w:t xml:space="preserve"> net expenditure of £13.09b for 2015-16. When compared to the </w:t>
      </w:r>
      <w:r w:rsidR="00677C1A">
        <w:rPr>
          <w:rFonts w:cs="Arial"/>
          <w:color w:val="000000" w:themeColor="text1"/>
          <w:sz w:val="22"/>
          <w:szCs w:val="22"/>
        </w:rPr>
        <w:t>revised</w:t>
      </w:r>
      <w:r w:rsidRPr="00363983">
        <w:rPr>
          <w:rFonts w:cs="Arial"/>
          <w:color w:val="000000" w:themeColor="text1"/>
          <w:sz w:val="22"/>
          <w:szCs w:val="22"/>
        </w:rPr>
        <w:t xml:space="preserve"> forecast an under</w:t>
      </w:r>
      <w:r w:rsidR="009427B5" w:rsidRPr="00363983">
        <w:rPr>
          <w:rFonts w:cs="Arial"/>
          <w:color w:val="000000" w:themeColor="text1"/>
          <w:sz w:val="22"/>
          <w:szCs w:val="22"/>
        </w:rPr>
        <w:t>-</w:t>
      </w:r>
      <w:r w:rsidRPr="00363983">
        <w:rPr>
          <w:rFonts w:cs="Arial"/>
          <w:color w:val="000000" w:themeColor="text1"/>
          <w:sz w:val="22"/>
          <w:szCs w:val="22"/>
        </w:rPr>
        <w:t>spend of £1,105m is now predicted.</w:t>
      </w:r>
      <w:r w:rsidR="00677C1A">
        <w:rPr>
          <w:rFonts w:cs="Arial"/>
          <w:color w:val="000000" w:themeColor="text1"/>
          <w:sz w:val="22"/>
          <w:szCs w:val="22"/>
        </w:rPr>
        <w:t xml:space="preserve">  In</w:t>
      </w:r>
      <w:r w:rsidRPr="00363983">
        <w:rPr>
          <w:rFonts w:cs="Arial"/>
          <w:color w:val="000000" w:themeColor="text1"/>
          <w:sz w:val="22"/>
          <w:szCs w:val="22"/>
        </w:rPr>
        <w:t xml:space="preserve">come is </w:t>
      </w:r>
      <w:r w:rsidR="00677C1A">
        <w:rPr>
          <w:rFonts w:cs="Arial"/>
          <w:color w:val="000000" w:themeColor="text1"/>
          <w:sz w:val="22"/>
          <w:szCs w:val="22"/>
        </w:rPr>
        <w:t xml:space="preserve">now </w:t>
      </w:r>
      <w:r w:rsidRPr="00363983">
        <w:rPr>
          <w:rFonts w:cs="Arial"/>
          <w:color w:val="000000" w:themeColor="text1"/>
          <w:sz w:val="22"/>
          <w:szCs w:val="22"/>
        </w:rPr>
        <w:t>forecast at £6m under the main estimate</w:t>
      </w:r>
      <w:r w:rsidR="00677C1A">
        <w:rPr>
          <w:rFonts w:cs="Arial"/>
          <w:color w:val="000000" w:themeColor="text1"/>
          <w:sz w:val="22"/>
          <w:szCs w:val="22"/>
        </w:rPr>
        <w:t>;</w:t>
      </w:r>
      <w:r w:rsidRPr="00363983">
        <w:rPr>
          <w:rFonts w:cs="Arial"/>
          <w:color w:val="000000" w:themeColor="text1"/>
          <w:sz w:val="22"/>
          <w:szCs w:val="22"/>
        </w:rPr>
        <w:t xml:space="preserve"> expenditure is</w:t>
      </w:r>
      <w:r w:rsidR="00677C1A">
        <w:rPr>
          <w:rFonts w:cs="Arial"/>
          <w:color w:val="000000" w:themeColor="text1"/>
          <w:sz w:val="22"/>
          <w:szCs w:val="22"/>
        </w:rPr>
        <w:t xml:space="preserve"> expected to be</w:t>
      </w:r>
      <w:r w:rsidRPr="00363983">
        <w:rPr>
          <w:rFonts w:cs="Arial"/>
          <w:color w:val="000000" w:themeColor="text1"/>
          <w:sz w:val="22"/>
          <w:szCs w:val="22"/>
        </w:rPr>
        <w:t xml:space="preserve"> £1,111m under</w:t>
      </w:r>
      <w:r w:rsidR="00677C1A">
        <w:rPr>
          <w:rFonts w:cs="Arial"/>
          <w:color w:val="000000" w:themeColor="text1"/>
          <w:sz w:val="22"/>
          <w:szCs w:val="22"/>
        </w:rPr>
        <w:t xml:space="preserve"> the original estimate</w:t>
      </w:r>
      <w:r w:rsidR="009427B5" w:rsidRPr="00363983">
        <w:rPr>
          <w:rFonts w:cs="Arial"/>
          <w:color w:val="000000" w:themeColor="text1"/>
          <w:sz w:val="22"/>
          <w:szCs w:val="22"/>
        </w:rPr>
        <w:t>.  This is</w:t>
      </w:r>
      <w:r w:rsidRPr="00363983">
        <w:rPr>
          <w:rFonts w:cs="Arial"/>
          <w:color w:val="000000" w:themeColor="text1"/>
          <w:sz w:val="22"/>
          <w:szCs w:val="22"/>
        </w:rPr>
        <w:t xml:space="preserve"> due to changes in the current service cost (£673m) and the interest on scheme liabilities (£449m).</w:t>
      </w:r>
    </w:p>
    <w:p w14:paraId="5DAB7C18" w14:textId="77777777" w:rsidR="00677C1A" w:rsidRDefault="00677C1A" w:rsidP="00B05496">
      <w:pPr>
        <w:pStyle w:val="DeptBullets"/>
        <w:numPr>
          <w:ilvl w:val="0"/>
          <w:numId w:val="0"/>
        </w:numPr>
        <w:spacing w:after="0"/>
        <w:ind w:right="-58"/>
        <w:rPr>
          <w:rFonts w:cs="Arial"/>
          <w:color w:val="000000" w:themeColor="text1"/>
          <w:sz w:val="22"/>
          <w:szCs w:val="22"/>
        </w:rPr>
      </w:pPr>
    </w:p>
    <w:p w14:paraId="2FA6F4E5" w14:textId="139DD929" w:rsidR="009427B5" w:rsidRPr="00363983" w:rsidRDefault="008D340F" w:rsidP="00B05496">
      <w:pPr>
        <w:pStyle w:val="DeptBullets"/>
        <w:numPr>
          <w:ilvl w:val="0"/>
          <w:numId w:val="0"/>
        </w:numPr>
        <w:spacing w:after="0"/>
        <w:ind w:right="-58"/>
        <w:rPr>
          <w:rFonts w:cs="Arial"/>
          <w:color w:val="000000" w:themeColor="text1"/>
          <w:sz w:val="22"/>
          <w:szCs w:val="22"/>
        </w:rPr>
      </w:pPr>
      <w:r w:rsidRPr="00363983">
        <w:rPr>
          <w:rFonts w:cs="Arial"/>
          <w:color w:val="000000" w:themeColor="text1"/>
          <w:sz w:val="22"/>
          <w:szCs w:val="22"/>
        </w:rPr>
        <w:lastRenderedPageBreak/>
        <w:t xml:space="preserve">The cause of the current service cost fluctuation is the change in the employer rate from 14.1% to 16.4% </w:t>
      </w:r>
      <w:r w:rsidR="00677C1A">
        <w:rPr>
          <w:rFonts w:cs="Arial"/>
          <w:sz w:val="22"/>
          <w:szCs w:val="22"/>
        </w:rPr>
        <w:t>from</w:t>
      </w:r>
      <w:r w:rsidR="009427B5" w:rsidRPr="00711F15">
        <w:rPr>
          <w:rFonts w:cs="Arial"/>
          <w:sz w:val="22"/>
          <w:szCs w:val="22"/>
        </w:rPr>
        <w:t xml:space="preserve"> 1</w:t>
      </w:r>
      <w:r w:rsidRPr="00711F15">
        <w:rPr>
          <w:rFonts w:cs="Arial"/>
          <w:sz w:val="22"/>
          <w:szCs w:val="22"/>
        </w:rPr>
        <w:t xml:space="preserve"> September</w:t>
      </w:r>
      <w:r w:rsidR="00677C1A">
        <w:rPr>
          <w:rFonts w:cs="Arial"/>
          <w:sz w:val="22"/>
          <w:szCs w:val="22"/>
        </w:rPr>
        <w:t xml:space="preserve">.  This was overlooked by the department’s finance team in generating the main estimate. Additionally, the department’s </w:t>
      </w:r>
      <w:r w:rsidR="00EF5A60">
        <w:rPr>
          <w:rFonts w:cs="Arial"/>
          <w:sz w:val="22"/>
          <w:szCs w:val="22"/>
        </w:rPr>
        <w:t xml:space="preserve">new </w:t>
      </w:r>
      <w:r w:rsidR="00EF5A60" w:rsidRPr="00711F15">
        <w:rPr>
          <w:rFonts w:cs="Arial"/>
          <w:sz w:val="22"/>
          <w:szCs w:val="22"/>
        </w:rPr>
        <w:t>forecast</w:t>
      </w:r>
      <w:r w:rsidRPr="00363983">
        <w:rPr>
          <w:rFonts w:cs="Arial"/>
          <w:color w:val="000000" w:themeColor="text1"/>
          <w:sz w:val="22"/>
          <w:szCs w:val="22"/>
        </w:rPr>
        <w:t xml:space="preserve"> model accounts for interest</w:t>
      </w:r>
      <w:r w:rsidR="00677C1A">
        <w:rPr>
          <w:rFonts w:cs="Arial"/>
          <w:color w:val="000000" w:themeColor="text1"/>
          <w:sz w:val="22"/>
          <w:szCs w:val="22"/>
        </w:rPr>
        <w:t xml:space="preserve"> on a</w:t>
      </w:r>
      <w:r w:rsidRPr="00363983">
        <w:rPr>
          <w:rFonts w:cs="Arial"/>
          <w:color w:val="000000" w:themeColor="text1"/>
          <w:sz w:val="22"/>
          <w:szCs w:val="22"/>
        </w:rPr>
        <w:t xml:space="preserve"> monthly</w:t>
      </w:r>
      <w:r w:rsidR="00677C1A">
        <w:rPr>
          <w:rFonts w:cs="Arial"/>
          <w:color w:val="000000" w:themeColor="text1"/>
          <w:sz w:val="22"/>
          <w:szCs w:val="22"/>
        </w:rPr>
        <w:t xml:space="preserve"> rather than annual basis, which provides more accurate data.  Work</w:t>
      </w:r>
      <w:r w:rsidRPr="00363983">
        <w:rPr>
          <w:rFonts w:cs="Arial"/>
          <w:color w:val="000000" w:themeColor="text1"/>
          <w:sz w:val="22"/>
          <w:szCs w:val="22"/>
        </w:rPr>
        <w:t xml:space="preserve"> is ongoing with the Government Actuary’s Department to revise</w:t>
      </w:r>
      <w:r w:rsidR="00A564E4">
        <w:rPr>
          <w:rFonts w:cs="Arial"/>
          <w:color w:val="000000" w:themeColor="text1"/>
          <w:sz w:val="22"/>
          <w:szCs w:val="22"/>
        </w:rPr>
        <w:t xml:space="preserve"> </w:t>
      </w:r>
      <w:r w:rsidR="00677C1A">
        <w:rPr>
          <w:rFonts w:cs="Arial"/>
          <w:color w:val="000000" w:themeColor="text1"/>
          <w:sz w:val="22"/>
          <w:szCs w:val="22"/>
        </w:rPr>
        <w:t>the annual calculation – this will be reflected as monthly fluctuations throughout the year with the net effect likely to be a slight reduction in interest overall (approximately £10m).</w:t>
      </w:r>
    </w:p>
    <w:p w14:paraId="4CE3A2C9" w14:textId="330DB601" w:rsidR="008D340F" w:rsidRPr="00363983" w:rsidRDefault="008D340F" w:rsidP="00B05496">
      <w:pPr>
        <w:pStyle w:val="DeptBullets"/>
        <w:numPr>
          <w:ilvl w:val="0"/>
          <w:numId w:val="0"/>
        </w:numPr>
        <w:spacing w:after="0"/>
        <w:ind w:right="-58"/>
        <w:rPr>
          <w:rFonts w:cs="Arial"/>
          <w:color w:val="000000" w:themeColor="text1"/>
          <w:sz w:val="22"/>
          <w:szCs w:val="22"/>
        </w:rPr>
      </w:pPr>
      <w:r w:rsidRPr="00363983">
        <w:rPr>
          <w:rFonts w:cs="Arial"/>
          <w:color w:val="000000" w:themeColor="text1"/>
          <w:sz w:val="22"/>
          <w:szCs w:val="22"/>
        </w:rPr>
        <w:t xml:space="preserve"> </w:t>
      </w:r>
    </w:p>
    <w:p w14:paraId="53E8C61F" w14:textId="34E576FC" w:rsidR="008D340F" w:rsidRPr="00363983" w:rsidRDefault="008D340F" w:rsidP="008D340F">
      <w:pPr>
        <w:pStyle w:val="DeptBullets"/>
        <w:numPr>
          <w:ilvl w:val="0"/>
          <w:numId w:val="0"/>
        </w:numPr>
        <w:tabs>
          <w:tab w:val="left" w:pos="8222"/>
        </w:tabs>
        <w:ind w:right="-58"/>
        <w:rPr>
          <w:rFonts w:cs="Arial"/>
          <w:color w:val="000000" w:themeColor="text1"/>
          <w:sz w:val="22"/>
          <w:szCs w:val="22"/>
        </w:rPr>
      </w:pPr>
      <w:r w:rsidRPr="00363983">
        <w:rPr>
          <w:rFonts w:cs="Arial"/>
          <w:color w:val="000000" w:themeColor="text1"/>
          <w:sz w:val="22"/>
          <w:szCs w:val="22"/>
        </w:rPr>
        <w:t>The TPS Report and Accounts for 2014-15 were successfully laid before Parliament in October. Following the issuing of the Nationa</w:t>
      </w:r>
      <w:r w:rsidR="009427B5" w:rsidRPr="00363983">
        <w:rPr>
          <w:rFonts w:cs="Arial"/>
          <w:color w:val="000000" w:themeColor="text1"/>
          <w:sz w:val="22"/>
          <w:szCs w:val="22"/>
        </w:rPr>
        <w:t>l</w:t>
      </w:r>
      <w:r w:rsidRPr="00363983">
        <w:rPr>
          <w:rFonts w:cs="Arial"/>
          <w:color w:val="000000" w:themeColor="text1"/>
          <w:sz w:val="22"/>
          <w:szCs w:val="22"/>
        </w:rPr>
        <w:t xml:space="preserve"> Audit Office (NAO) </w:t>
      </w:r>
      <w:r w:rsidR="009427B5" w:rsidRPr="00363983">
        <w:rPr>
          <w:rFonts w:cs="Arial"/>
          <w:color w:val="000000" w:themeColor="text1"/>
          <w:sz w:val="22"/>
          <w:szCs w:val="22"/>
        </w:rPr>
        <w:t xml:space="preserve">audit report </w:t>
      </w:r>
      <w:r w:rsidRPr="00363983">
        <w:rPr>
          <w:rFonts w:cs="Arial"/>
          <w:color w:val="000000" w:themeColor="text1"/>
          <w:sz w:val="22"/>
          <w:szCs w:val="22"/>
        </w:rPr>
        <w:t>TP and the department have reviewed the recommendations made. Where appropriate these have been added to the service, strategic and finance risk registers respectively</w:t>
      </w:r>
      <w:r w:rsidR="00374620">
        <w:rPr>
          <w:rFonts w:cs="Arial"/>
          <w:color w:val="000000" w:themeColor="text1"/>
          <w:sz w:val="22"/>
          <w:szCs w:val="22"/>
        </w:rPr>
        <w:t>,</w:t>
      </w:r>
      <w:r w:rsidRPr="00363983">
        <w:rPr>
          <w:rFonts w:cs="Arial"/>
          <w:color w:val="000000" w:themeColor="text1"/>
          <w:sz w:val="22"/>
          <w:szCs w:val="22"/>
        </w:rPr>
        <w:t xml:space="preserve"> in order to manage </w:t>
      </w:r>
      <w:r w:rsidR="009427B5" w:rsidRPr="00363983">
        <w:rPr>
          <w:rFonts w:cs="Arial"/>
          <w:color w:val="000000" w:themeColor="text1"/>
          <w:sz w:val="22"/>
          <w:szCs w:val="22"/>
        </w:rPr>
        <w:t xml:space="preserve">them </w:t>
      </w:r>
      <w:r w:rsidRPr="00363983">
        <w:rPr>
          <w:rFonts w:cs="Arial"/>
          <w:color w:val="000000" w:themeColor="text1"/>
          <w:sz w:val="22"/>
          <w:szCs w:val="22"/>
        </w:rPr>
        <w:t xml:space="preserve">effectively. </w:t>
      </w:r>
      <w:r w:rsidRPr="00711F15">
        <w:rPr>
          <w:rFonts w:cs="Arial"/>
          <w:sz w:val="22"/>
          <w:szCs w:val="22"/>
        </w:rPr>
        <w:t>The department is continuing to work with TP and the auditors to develop a project plan for this year’s accounts to ensure that they are laid before Parliamentary recess in July 2016, in line with the Government-wide timetable</w:t>
      </w:r>
      <w:r w:rsidRPr="00363983">
        <w:rPr>
          <w:rFonts w:cs="Arial"/>
          <w:color w:val="FF0000"/>
          <w:sz w:val="22"/>
          <w:szCs w:val="22"/>
        </w:rPr>
        <w:t>.</w:t>
      </w:r>
      <w:r w:rsidRPr="00363983">
        <w:rPr>
          <w:rFonts w:cs="Arial"/>
          <w:color w:val="000000" w:themeColor="text1"/>
          <w:sz w:val="22"/>
          <w:szCs w:val="22"/>
        </w:rPr>
        <w:t xml:space="preserve"> The preliminary NAO visit, by Deloittes, </w:t>
      </w:r>
      <w:r w:rsidR="00374620">
        <w:rPr>
          <w:rFonts w:cs="Arial"/>
          <w:color w:val="000000" w:themeColor="text1"/>
          <w:sz w:val="22"/>
          <w:szCs w:val="22"/>
        </w:rPr>
        <w:t>is taking place</w:t>
      </w:r>
      <w:r w:rsidRPr="00363983">
        <w:rPr>
          <w:rFonts w:cs="Arial"/>
          <w:color w:val="000000" w:themeColor="text1"/>
          <w:sz w:val="22"/>
          <w:szCs w:val="22"/>
        </w:rPr>
        <w:t xml:space="preserve"> the week commencing 23 November for one week. </w:t>
      </w:r>
    </w:p>
    <w:p w14:paraId="5D10E493" w14:textId="4AC5836D" w:rsidR="00844135" w:rsidRPr="00363983" w:rsidRDefault="008D340F" w:rsidP="008D340F">
      <w:pPr>
        <w:pStyle w:val="DeptBullets"/>
        <w:numPr>
          <w:ilvl w:val="0"/>
          <w:numId w:val="0"/>
        </w:numPr>
        <w:tabs>
          <w:tab w:val="left" w:pos="8222"/>
        </w:tabs>
        <w:ind w:right="-58"/>
        <w:rPr>
          <w:rFonts w:cs="Arial"/>
          <w:color w:val="000000" w:themeColor="text1"/>
          <w:sz w:val="22"/>
          <w:szCs w:val="22"/>
        </w:rPr>
      </w:pPr>
      <w:r w:rsidRPr="00363983">
        <w:rPr>
          <w:rFonts w:cs="Arial"/>
          <w:color w:val="000000" w:themeColor="text1"/>
          <w:sz w:val="22"/>
          <w:szCs w:val="22"/>
        </w:rPr>
        <w:t>Additionally the monthly accounts keep in touch (KIT) meetings were re-introduced in September. Held between the department’s Corporate Finance team and TP this provides oversight of the year to date resource position. A new actions log has also been put in place, reviewed at each KIT and updated accordingly by TP</w:t>
      </w:r>
      <w:r w:rsidR="009427B5" w:rsidRPr="00363983">
        <w:rPr>
          <w:rFonts w:cs="Arial"/>
          <w:color w:val="000000" w:themeColor="text1"/>
          <w:sz w:val="22"/>
          <w:szCs w:val="22"/>
        </w:rPr>
        <w:t>.</w:t>
      </w:r>
    </w:p>
    <w:tbl>
      <w:tblPr>
        <w:tblStyle w:val="TableGrid"/>
        <w:tblW w:w="0" w:type="auto"/>
        <w:tblInd w:w="108" w:type="dxa"/>
        <w:tblLook w:val="04A0" w:firstRow="1" w:lastRow="0" w:firstColumn="1" w:lastColumn="0" w:noHBand="0" w:noVBand="1"/>
      </w:tblPr>
      <w:tblGrid>
        <w:gridCol w:w="7230"/>
        <w:gridCol w:w="1134"/>
      </w:tblGrid>
      <w:tr w:rsidR="00DC6BD2" w:rsidRPr="00363983" w14:paraId="4EB1C3E4" w14:textId="77777777" w:rsidTr="00BA52B9">
        <w:tc>
          <w:tcPr>
            <w:tcW w:w="7230" w:type="dxa"/>
          </w:tcPr>
          <w:p w14:paraId="6C1DD05D" w14:textId="77777777" w:rsidR="00DC6BD2" w:rsidRPr="00363983" w:rsidRDefault="00DC6BD2" w:rsidP="00311C8A">
            <w:pPr>
              <w:rPr>
                <w:rFonts w:cs="Arial"/>
                <w:b/>
                <w:color w:val="000000"/>
                <w:sz w:val="22"/>
                <w:szCs w:val="22"/>
                <w:lang w:eastAsia="en-GB"/>
              </w:rPr>
            </w:pPr>
          </w:p>
          <w:p w14:paraId="4ECF6E61" w14:textId="77777777" w:rsidR="00DC6BD2" w:rsidRPr="00363983" w:rsidRDefault="002F6007" w:rsidP="00311C8A">
            <w:pPr>
              <w:rPr>
                <w:rFonts w:cs="Arial"/>
                <w:b/>
                <w:color w:val="000000"/>
                <w:sz w:val="22"/>
                <w:szCs w:val="22"/>
                <w:lang w:eastAsia="en-GB"/>
              </w:rPr>
            </w:pPr>
            <w:r w:rsidRPr="00363983">
              <w:rPr>
                <w:rFonts w:cs="Arial"/>
                <w:b/>
                <w:color w:val="000000"/>
                <w:sz w:val="22"/>
                <w:szCs w:val="22"/>
                <w:lang w:eastAsia="en-GB"/>
              </w:rPr>
              <w:t>Contributions</w:t>
            </w:r>
          </w:p>
          <w:p w14:paraId="06CA5CFA" w14:textId="77777777" w:rsidR="00DC6BD2" w:rsidRPr="00363983" w:rsidRDefault="00DC6BD2" w:rsidP="00311C8A">
            <w:pPr>
              <w:rPr>
                <w:rFonts w:cs="Arial"/>
                <w:b/>
                <w:sz w:val="22"/>
                <w:szCs w:val="22"/>
              </w:rPr>
            </w:pPr>
          </w:p>
        </w:tc>
        <w:tc>
          <w:tcPr>
            <w:tcW w:w="1134" w:type="dxa"/>
            <w:shd w:val="clear" w:color="auto" w:fill="00B050"/>
          </w:tcPr>
          <w:p w14:paraId="1C5D9F37" w14:textId="7B86FD26" w:rsidR="006A31F2" w:rsidRPr="00363983" w:rsidRDefault="00DC6BD2" w:rsidP="00311C8A">
            <w:pPr>
              <w:rPr>
                <w:rFonts w:cs="Arial"/>
                <w:sz w:val="22"/>
                <w:szCs w:val="22"/>
              </w:rPr>
            </w:pPr>
            <w:r w:rsidRPr="00363983">
              <w:rPr>
                <w:rFonts w:cs="Arial"/>
                <w:sz w:val="22"/>
                <w:szCs w:val="22"/>
              </w:rPr>
              <w:t xml:space="preserve">            </w:t>
            </w:r>
          </w:p>
          <w:p w14:paraId="04AA9099" w14:textId="0DD83807" w:rsidR="00DC6BD2" w:rsidRPr="00363983" w:rsidRDefault="00363983" w:rsidP="006A31F2">
            <w:pPr>
              <w:rPr>
                <w:rFonts w:cs="Arial"/>
                <w:sz w:val="22"/>
                <w:szCs w:val="22"/>
              </w:rPr>
            </w:pPr>
            <w:r w:rsidRPr="00363983">
              <w:rPr>
                <w:rFonts w:cs="Arial"/>
                <w:noProof/>
                <w:color w:val="00B050"/>
                <w:szCs w:val="24"/>
                <w:lang w:eastAsia="en-GB"/>
              </w:rPr>
              <mc:AlternateContent>
                <mc:Choice Requires="wps">
                  <w:drawing>
                    <wp:anchor distT="0" distB="0" distL="114300" distR="114300" simplePos="0" relativeHeight="251675648" behindDoc="0" locked="0" layoutInCell="1" allowOverlap="1" wp14:anchorId="3AEA0DFB" wp14:editId="6C219CF5">
                      <wp:simplePos x="0" y="0"/>
                      <wp:positionH relativeFrom="column">
                        <wp:posOffset>125730</wp:posOffset>
                      </wp:positionH>
                      <wp:positionV relativeFrom="paragraph">
                        <wp:posOffset>83185</wp:posOffset>
                      </wp:positionV>
                      <wp:extent cx="350520" cy="0"/>
                      <wp:effectExtent l="0" t="76200" r="30480" b="152400"/>
                      <wp:wrapNone/>
                      <wp:docPr id="9" name="Straight Arrow Connector 9"/>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9pt;margin-top:6.55pt;width:27.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" strokecolor="windowText" strokeweight="2pt">
                      <v:stroke endarrow="open"/>
                      <v:shadow on="t" color="black" opacity="24903f" origin=",.5" offset="0,.55556mm"/>
                    </v:shape>
                  </w:pict>
                </mc:Fallback>
              </mc:AlternateContent>
            </w:r>
          </w:p>
        </w:tc>
      </w:tr>
    </w:tbl>
    <w:p w14:paraId="7FCFDE9B" w14:textId="77777777" w:rsidR="008D340F" w:rsidRPr="00363983" w:rsidRDefault="008D340F" w:rsidP="008D340F">
      <w:pPr>
        <w:pStyle w:val="DeptBullets"/>
        <w:numPr>
          <w:ilvl w:val="0"/>
          <w:numId w:val="0"/>
        </w:numPr>
        <w:spacing w:after="0"/>
        <w:ind w:right="-58"/>
        <w:rPr>
          <w:rFonts w:cs="Arial"/>
          <w:b/>
          <w:sz w:val="22"/>
          <w:szCs w:val="22"/>
        </w:rPr>
      </w:pPr>
    </w:p>
    <w:p w14:paraId="6FF13832" w14:textId="77777777" w:rsidR="008D340F" w:rsidRPr="00363983" w:rsidRDefault="008D340F" w:rsidP="008D340F">
      <w:pPr>
        <w:pStyle w:val="DeptBullets"/>
        <w:numPr>
          <w:ilvl w:val="0"/>
          <w:numId w:val="0"/>
        </w:numPr>
        <w:spacing w:after="0"/>
        <w:ind w:right="-58"/>
        <w:rPr>
          <w:rFonts w:cs="Arial"/>
          <w:sz w:val="22"/>
          <w:szCs w:val="22"/>
        </w:rPr>
      </w:pPr>
      <w:r w:rsidRPr="00363983">
        <w:rPr>
          <w:rFonts w:cs="Arial"/>
          <w:b/>
          <w:sz w:val="22"/>
          <w:szCs w:val="22"/>
        </w:rPr>
        <w:t>Unallocated Contributions</w:t>
      </w:r>
      <w:r w:rsidRPr="00363983">
        <w:rPr>
          <w:rFonts w:cs="Arial"/>
          <w:sz w:val="22"/>
          <w:szCs w:val="22"/>
        </w:rPr>
        <w:t xml:space="preserve"> – Scheme contributions are paid by default to a suspense account, and allocated to the appropriate account once a ‘paying in’ slip has been received from the corresponding employer.  Late receipt of this supporting data can lead to delays in allocating contributions.  There is a structured approach to pursuing this outstanding data.</w:t>
      </w:r>
    </w:p>
    <w:p w14:paraId="164FCD7C" w14:textId="77777777" w:rsidR="009427B5" w:rsidRDefault="009427B5" w:rsidP="008D340F">
      <w:pPr>
        <w:pStyle w:val="DeptBullets"/>
        <w:numPr>
          <w:ilvl w:val="0"/>
          <w:numId w:val="0"/>
        </w:numPr>
        <w:spacing w:after="0"/>
        <w:ind w:right="-58"/>
        <w:rPr>
          <w:rFonts w:cs="Arial"/>
          <w:sz w:val="22"/>
          <w:szCs w:val="22"/>
        </w:rPr>
      </w:pPr>
    </w:p>
    <w:p w14:paraId="0C752C10" w14:textId="77777777" w:rsidR="00711F15" w:rsidRPr="00363983" w:rsidRDefault="00711F15" w:rsidP="008D340F">
      <w:pPr>
        <w:pStyle w:val="DeptBullets"/>
        <w:numPr>
          <w:ilvl w:val="0"/>
          <w:numId w:val="0"/>
        </w:numPr>
        <w:spacing w:after="0"/>
        <w:ind w:right="-58"/>
        <w:rPr>
          <w:rFonts w:cs="Arial"/>
          <w:sz w:val="22"/>
          <w:szCs w:val="22"/>
        </w:rPr>
      </w:pPr>
    </w:p>
    <w:p w14:paraId="1405BF71" w14:textId="126C4CE6" w:rsidR="008D340F" w:rsidRPr="00363983" w:rsidRDefault="008D340F" w:rsidP="008D340F">
      <w:pPr>
        <w:pStyle w:val="DeptBullets"/>
        <w:numPr>
          <w:ilvl w:val="0"/>
          <w:numId w:val="26"/>
        </w:numPr>
        <w:ind w:right="84"/>
        <w:rPr>
          <w:rFonts w:cs="Arial"/>
          <w:sz w:val="22"/>
          <w:szCs w:val="22"/>
        </w:rPr>
      </w:pPr>
      <w:r w:rsidRPr="00363983">
        <w:rPr>
          <w:rFonts w:cs="Arial"/>
          <w:sz w:val="22"/>
          <w:szCs w:val="22"/>
        </w:rPr>
        <w:t>The current balance of monies requiring allocation to an employer record is £110m. This balance consists of £31m to be cleared down within the accounts from 2013-14, £26.9m now being reviewed as part of the current 2014-15 end of year certificate (EOYC) exercise and £51.9m from the current financial year. Further reminders will be issued this month in respect of these missing monthly breakdown slips.</w:t>
      </w:r>
    </w:p>
    <w:p w14:paraId="3B8E0D78" w14:textId="6CB8F529" w:rsidR="008D340F" w:rsidRPr="00363983" w:rsidRDefault="008D340F" w:rsidP="008D340F">
      <w:pPr>
        <w:pStyle w:val="DeptBullets"/>
        <w:numPr>
          <w:ilvl w:val="0"/>
          <w:numId w:val="26"/>
        </w:numPr>
        <w:ind w:right="84"/>
        <w:rPr>
          <w:rFonts w:cs="Arial"/>
          <w:sz w:val="22"/>
          <w:szCs w:val="22"/>
        </w:rPr>
      </w:pPr>
      <w:r w:rsidRPr="00363983">
        <w:rPr>
          <w:rFonts w:cs="Arial"/>
          <w:sz w:val="22"/>
          <w:szCs w:val="22"/>
        </w:rPr>
        <w:t>The breakdown by sector shows £18.2m attributable to Academies, £ 72.1m to local authorities. £5.6 to FE Colleges, £6.7m to HE colleges and £4.2m to independ</w:t>
      </w:r>
      <w:r w:rsidR="007C7F73" w:rsidRPr="00363983">
        <w:rPr>
          <w:rFonts w:cs="Arial"/>
          <w:sz w:val="22"/>
          <w:szCs w:val="22"/>
        </w:rPr>
        <w:t>e</w:t>
      </w:r>
      <w:r w:rsidRPr="00363983">
        <w:rPr>
          <w:rFonts w:cs="Arial"/>
          <w:sz w:val="22"/>
          <w:szCs w:val="22"/>
        </w:rPr>
        <w:t>nts.</w:t>
      </w:r>
    </w:p>
    <w:p w14:paraId="53A79001" w14:textId="77777777" w:rsidR="008D340F" w:rsidRPr="00363983" w:rsidRDefault="008D340F" w:rsidP="008D340F">
      <w:pPr>
        <w:pStyle w:val="DeptBullets"/>
        <w:numPr>
          <w:ilvl w:val="0"/>
          <w:numId w:val="26"/>
        </w:numPr>
        <w:ind w:right="84"/>
        <w:rPr>
          <w:rFonts w:cs="Arial"/>
          <w:sz w:val="22"/>
          <w:szCs w:val="22"/>
        </w:rPr>
      </w:pPr>
      <w:r w:rsidRPr="00363983">
        <w:rPr>
          <w:rFonts w:cs="Arial"/>
          <w:sz w:val="22"/>
          <w:szCs w:val="22"/>
        </w:rPr>
        <w:t xml:space="preserve">In addition it is worth noting that the balance has been reduced by £37m (24%) in the past contract year.  </w:t>
      </w:r>
    </w:p>
    <w:p w14:paraId="5E4C6747" w14:textId="77777777" w:rsidR="008D340F" w:rsidRPr="00363983" w:rsidRDefault="008D340F" w:rsidP="008D340F">
      <w:pPr>
        <w:pStyle w:val="DeptBullets"/>
        <w:numPr>
          <w:ilvl w:val="0"/>
          <w:numId w:val="26"/>
        </w:numPr>
        <w:rPr>
          <w:rFonts w:cs="Arial"/>
          <w:sz w:val="22"/>
          <w:szCs w:val="22"/>
        </w:rPr>
      </w:pPr>
      <w:r w:rsidRPr="00363983">
        <w:rPr>
          <w:rFonts w:cs="Arial"/>
          <w:sz w:val="22"/>
          <w:szCs w:val="22"/>
        </w:rPr>
        <w:t>The first contributions dashboard measure is designed to illustrate that the actual amount of employee contributions received across the 6 tiers equals that expected, when based upon actual employer contributions received. The result is a minimal variance of 0.15% or £281k on £189.9m. This continues to give assurance that employers are accurately remitting contributions in the correct tiers.</w:t>
      </w:r>
    </w:p>
    <w:p w14:paraId="342304BB" w14:textId="63D3E819" w:rsidR="008D340F" w:rsidRDefault="008D340F" w:rsidP="008D340F">
      <w:pPr>
        <w:pStyle w:val="DeptBullets"/>
        <w:numPr>
          <w:ilvl w:val="0"/>
          <w:numId w:val="26"/>
        </w:numPr>
        <w:rPr>
          <w:rFonts w:cs="Arial"/>
          <w:sz w:val="22"/>
          <w:szCs w:val="22"/>
        </w:rPr>
      </w:pPr>
      <w:r w:rsidRPr="00363983">
        <w:rPr>
          <w:rFonts w:cs="Arial"/>
          <w:sz w:val="22"/>
          <w:szCs w:val="22"/>
        </w:rPr>
        <w:lastRenderedPageBreak/>
        <w:t xml:space="preserve">The increase in the employer contribution rate from 14.1% to 16.4% took effect from 1 September. Additionally the admin levy of 0.08% also became applicable. TP are monitoring the results, an increase in ratio variances was reported in October (641 from 206) and additional reporting measures are in place to gain assurance that the 0.08% has been paid. Particular attention will be paid to the smaller school sectors for early signs of financial difficulties materialising as a result of the increases. </w:t>
      </w:r>
    </w:p>
    <w:p w14:paraId="6C276806" w14:textId="15475A41" w:rsidR="006D0C35" w:rsidRPr="00363983" w:rsidRDefault="006D0C35" w:rsidP="008D340F">
      <w:pPr>
        <w:pStyle w:val="DeptBullets"/>
        <w:numPr>
          <w:ilvl w:val="0"/>
          <w:numId w:val="26"/>
        </w:numPr>
        <w:rPr>
          <w:rFonts w:cs="Arial"/>
          <w:sz w:val="22"/>
          <w:szCs w:val="22"/>
        </w:rPr>
      </w:pPr>
      <w:r w:rsidRPr="006D0C35">
        <w:rPr>
          <w:rFonts w:cs="Arial"/>
          <w:b/>
          <w:sz w:val="22"/>
          <w:szCs w:val="22"/>
        </w:rPr>
        <w:t>Late Payers</w:t>
      </w:r>
      <w:r>
        <w:rPr>
          <w:rFonts w:cs="Arial"/>
          <w:sz w:val="22"/>
          <w:szCs w:val="22"/>
        </w:rPr>
        <w:t xml:space="preserve"> – The analysis for October shows 199 late payers of scheme contributions worth £10.4m and </w:t>
      </w:r>
      <w:r w:rsidR="00EF5A60">
        <w:rPr>
          <w:rFonts w:cs="Arial"/>
          <w:sz w:val="22"/>
          <w:szCs w:val="22"/>
        </w:rPr>
        <w:t>consisting</w:t>
      </w:r>
      <w:r>
        <w:rPr>
          <w:rFonts w:cs="Arial"/>
          <w:sz w:val="22"/>
          <w:szCs w:val="22"/>
        </w:rPr>
        <w:t xml:space="preserve"> of 91 independents schools (£2m), 78 academies (£2.2m), 15 free schools (£133k), 4 Local Authorities (£5.6m), 2 Further Education establishments (£277k), 1 Sixth Form College (£96k),  5 University Technical Colleges (£30k) and 3 Function Providers (£2k).  134 of these employers (67%) paid within 3 working days of the deadline. As an indicator of numbers the 4 Local Authorities were in respect of 7735 members of the scheme.  </w:t>
      </w:r>
    </w:p>
    <w:p w14:paraId="3E7FEC9C" w14:textId="77777777" w:rsidR="006D0C35" w:rsidRDefault="006D0C35" w:rsidP="008D340F">
      <w:pPr>
        <w:pStyle w:val="DeptBullets"/>
        <w:numPr>
          <w:ilvl w:val="0"/>
          <w:numId w:val="0"/>
        </w:numPr>
        <w:rPr>
          <w:rFonts w:cs="Arial"/>
          <w:b/>
          <w:sz w:val="22"/>
          <w:szCs w:val="22"/>
        </w:rPr>
      </w:pPr>
    </w:p>
    <w:p w14:paraId="3E795007" w14:textId="257C530C" w:rsidR="008D340F" w:rsidRPr="00363983" w:rsidRDefault="008D340F" w:rsidP="008D340F">
      <w:pPr>
        <w:pStyle w:val="DeptBullets"/>
        <w:numPr>
          <w:ilvl w:val="0"/>
          <w:numId w:val="0"/>
        </w:numPr>
        <w:rPr>
          <w:rFonts w:cs="Arial"/>
          <w:sz w:val="22"/>
          <w:szCs w:val="22"/>
        </w:rPr>
      </w:pPr>
      <w:r w:rsidRPr="00363983">
        <w:rPr>
          <w:rFonts w:cs="Arial"/>
          <w:b/>
          <w:sz w:val="22"/>
          <w:szCs w:val="22"/>
        </w:rPr>
        <w:t>End of Year Certificate (EOYC)</w:t>
      </w:r>
      <w:r w:rsidRPr="00363983">
        <w:rPr>
          <w:rFonts w:cs="Arial"/>
          <w:sz w:val="22"/>
          <w:szCs w:val="22"/>
        </w:rPr>
        <w:t xml:space="preserve"> – </w:t>
      </w:r>
      <w:r w:rsidR="007C7F73" w:rsidRPr="00363983">
        <w:rPr>
          <w:rFonts w:cs="Arial"/>
          <w:sz w:val="22"/>
          <w:szCs w:val="22"/>
        </w:rPr>
        <w:t>O</w:t>
      </w:r>
      <w:r w:rsidRPr="00363983">
        <w:rPr>
          <w:rFonts w:cs="Arial"/>
          <w:sz w:val="22"/>
          <w:szCs w:val="22"/>
        </w:rPr>
        <w:t>ne return in respect of 2013-14</w:t>
      </w:r>
      <w:r w:rsidR="007C7F73" w:rsidRPr="00363983">
        <w:rPr>
          <w:rFonts w:cs="Arial"/>
          <w:sz w:val="22"/>
          <w:szCs w:val="22"/>
        </w:rPr>
        <w:t xml:space="preserve"> </w:t>
      </w:r>
      <w:r w:rsidR="00EF5A60" w:rsidRPr="00363983">
        <w:rPr>
          <w:rFonts w:cs="Arial"/>
          <w:sz w:val="22"/>
          <w:szCs w:val="22"/>
        </w:rPr>
        <w:t>(from</w:t>
      </w:r>
      <w:r w:rsidRPr="00363983">
        <w:rPr>
          <w:rFonts w:cs="Arial"/>
          <w:sz w:val="22"/>
          <w:szCs w:val="22"/>
        </w:rPr>
        <w:t xml:space="preserve"> the Education Centre</w:t>
      </w:r>
      <w:r w:rsidR="007C7F73" w:rsidRPr="00363983">
        <w:rPr>
          <w:rFonts w:cs="Arial"/>
          <w:sz w:val="22"/>
          <w:szCs w:val="22"/>
        </w:rPr>
        <w:t>)</w:t>
      </w:r>
      <w:r w:rsidRPr="00363983">
        <w:rPr>
          <w:rFonts w:cs="Arial"/>
          <w:sz w:val="22"/>
          <w:szCs w:val="22"/>
        </w:rPr>
        <w:t xml:space="preserve"> remains outstanding, it has been communicated </w:t>
      </w:r>
      <w:r w:rsidR="007C7F73" w:rsidRPr="00363983">
        <w:rPr>
          <w:rFonts w:cs="Arial"/>
          <w:sz w:val="22"/>
          <w:szCs w:val="22"/>
        </w:rPr>
        <w:t xml:space="preserve">to them </w:t>
      </w:r>
      <w:r w:rsidRPr="00363983">
        <w:rPr>
          <w:rFonts w:cs="Arial"/>
          <w:sz w:val="22"/>
          <w:szCs w:val="22"/>
        </w:rPr>
        <w:t xml:space="preserve">that the Pensions Regulator will be informed if TP are not in receipt by 31 December. With regards to the 2014-15 exercise, 235 non-local </w:t>
      </w:r>
      <w:r w:rsidR="00EF5A60" w:rsidRPr="00363983">
        <w:rPr>
          <w:rFonts w:cs="Arial"/>
          <w:sz w:val="22"/>
          <w:szCs w:val="22"/>
        </w:rPr>
        <w:t>authority returns</w:t>
      </w:r>
      <w:r w:rsidRPr="00363983">
        <w:rPr>
          <w:rFonts w:cs="Arial"/>
          <w:sz w:val="22"/>
          <w:szCs w:val="22"/>
        </w:rPr>
        <w:t xml:space="preserve"> were outstanding at the end of </w:t>
      </w:r>
      <w:r w:rsidR="00EF5A60" w:rsidRPr="00363983">
        <w:rPr>
          <w:rFonts w:cs="Arial"/>
          <w:sz w:val="22"/>
          <w:szCs w:val="22"/>
        </w:rPr>
        <w:t>October following</w:t>
      </w:r>
      <w:r w:rsidRPr="00363983">
        <w:rPr>
          <w:rFonts w:cs="Arial"/>
          <w:sz w:val="22"/>
          <w:szCs w:val="22"/>
        </w:rPr>
        <w:t xml:space="preserve"> the audited return deadline of </w:t>
      </w:r>
      <w:r w:rsidR="00EF5A60" w:rsidRPr="00363983">
        <w:rPr>
          <w:rFonts w:cs="Arial"/>
          <w:sz w:val="22"/>
          <w:szCs w:val="22"/>
        </w:rPr>
        <w:t>30 September</w:t>
      </w:r>
      <w:r w:rsidRPr="00363983">
        <w:rPr>
          <w:rFonts w:cs="Arial"/>
          <w:sz w:val="22"/>
          <w:szCs w:val="22"/>
        </w:rPr>
        <w:t xml:space="preserve">. This consists of 127 Academies, 15 Free Schools, 8 Function Providers, 19 FE Colleges, 1 HE College, 59 </w:t>
      </w:r>
      <w:r w:rsidR="00EF5A60" w:rsidRPr="00363983">
        <w:rPr>
          <w:rFonts w:cs="Arial"/>
          <w:sz w:val="22"/>
          <w:szCs w:val="22"/>
        </w:rPr>
        <w:t>Independents</w:t>
      </w:r>
      <w:r w:rsidRPr="00363983">
        <w:rPr>
          <w:rFonts w:cs="Arial"/>
          <w:sz w:val="22"/>
          <w:szCs w:val="22"/>
        </w:rPr>
        <w:t>, 2 Sixth Form Colleges, 1 Studio and 3 University Technical Colleges. This represents a return rate of 96.4% on a population of 6,543 employers compared to 94.3% - of 5,724 employers - at October 2014. The local authority deadline for audited returns is 30 November.</w:t>
      </w:r>
    </w:p>
    <w:p w14:paraId="746F6136" w14:textId="4EBA62CF" w:rsidR="008D340F" w:rsidRDefault="008D340F" w:rsidP="008D340F">
      <w:pPr>
        <w:pStyle w:val="DeptBullets"/>
        <w:numPr>
          <w:ilvl w:val="0"/>
          <w:numId w:val="0"/>
        </w:numPr>
        <w:rPr>
          <w:rFonts w:cs="Arial"/>
          <w:sz w:val="22"/>
          <w:szCs w:val="22"/>
        </w:rPr>
      </w:pPr>
      <w:r w:rsidRPr="00363983">
        <w:rPr>
          <w:rFonts w:cs="Arial"/>
          <w:sz w:val="22"/>
          <w:szCs w:val="22"/>
        </w:rPr>
        <w:t>The final draft of the proposed engagement paper for the Pensions Regulator has now been agreed. This contains a table outlining those measures TP intend to report to the Regulator on in order to fulfil the scheme’s obligations</w:t>
      </w:r>
      <w:r w:rsidR="007C7F73" w:rsidRPr="00363983">
        <w:rPr>
          <w:rFonts w:cs="Arial"/>
          <w:sz w:val="22"/>
          <w:szCs w:val="22"/>
        </w:rPr>
        <w:t xml:space="preserve">.  </w:t>
      </w:r>
    </w:p>
    <w:p w14:paraId="5F6D8B9E" w14:textId="77777777" w:rsidR="00711F15" w:rsidRPr="00363983" w:rsidRDefault="00711F15" w:rsidP="008D340F">
      <w:pPr>
        <w:pStyle w:val="DeptBullets"/>
        <w:numPr>
          <w:ilvl w:val="0"/>
          <w:numId w:val="0"/>
        </w:numPr>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03513C2B" w14:textId="77777777" w:rsidTr="00176043">
        <w:tc>
          <w:tcPr>
            <w:tcW w:w="7230" w:type="dxa"/>
          </w:tcPr>
          <w:p w14:paraId="1478B3A8" w14:textId="77777777" w:rsidR="00DC6BD2" w:rsidRPr="00363983" w:rsidRDefault="00DC6BD2" w:rsidP="00311C8A">
            <w:pPr>
              <w:rPr>
                <w:rFonts w:cs="Arial"/>
                <w:b/>
                <w:color w:val="000000"/>
                <w:sz w:val="22"/>
                <w:szCs w:val="22"/>
                <w:lang w:eastAsia="en-GB"/>
              </w:rPr>
            </w:pPr>
          </w:p>
          <w:p w14:paraId="7591033A" w14:textId="77777777" w:rsidR="00DC6BD2" w:rsidRPr="00363983" w:rsidRDefault="002F6007" w:rsidP="00311C8A">
            <w:pPr>
              <w:rPr>
                <w:rFonts w:cs="Arial"/>
                <w:b/>
                <w:color w:val="000000"/>
                <w:sz w:val="22"/>
                <w:szCs w:val="22"/>
                <w:lang w:eastAsia="en-GB"/>
              </w:rPr>
            </w:pPr>
            <w:r w:rsidRPr="00363983">
              <w:rPr>
                <w:rFonts w:cs="Arial"/>
                <w:b/>
                <w:color w:val="000000"/>
                <w:sz w:val="22"/>
                <w:szCs w:val="22"/>
                <w:lang w:eastAsia="en-GB"/>
              </w:rPr>
              <w:t>Debt</w:t>
            </w:r>
          </w:p>
          <w:p w14:paraId="5735C80C" w14:textId="77777777" w:rsidR="00DC6BD2" w:rsidRPr="00363983" w:rsidRDefault="00DC6BD2" w:rsidP="00311C8A">
            <w:pPr>
              <w:rPr>
                <w:rFonts w:cs="Arial"/>
                <w:b/>
                <w:sz w:val="22"/>
                <w:szCs w:val="22"/>
              </w:rPr>
            </w:pPr>
          </w:p>
        </w:tc>
        <w:tc>
          <w:tcPr>
            <w:tcW w:w="1134" w:type="dxa"/>
            <w:shd w:val="clear" w:color="auto" w:fill="FFC000"/>
          </w:tcPr>
          <w:p w14:paraId="4548577D" w14:textId="03B0B8DB" w:rsidR="00B05496" w:rsidRPr="00363983" w:rsidRDefault="00DC6BD2" w:rsidP="00311C8A">
            <w:pPr>
              <w:rPr>
                <w:rFonts w:cs="Arial"/>
                <w:sz w:val="22"/>
                <w:szCs w:val="22"/>
              </w:rPr>
            </w:pPr>
            <w:r w:rsidRPr="00363983">
              <w:rPr>
                <w:rFonts w:cs="Arial"/>
                <w:color w:val="00B050"/>
                <w:sz w:val="22"/>
                <w:szCs w:val="22"/>
              </w:rPr>
              <w:t xml:space="preserve">                        </w:t>
            </w:r>
          </w:p>
          <w:p w14:paraId="2DB05D43" w14:textId="77791E73" w:rsidR="00DC6BD2" w:rsidRPr="00363983" w:rsidRDefault="00363983" w:rsidP="00B05496">
            <w:pPr>
              <w:rPr>
                <w:rFonts w:cs="Arial"/>
                <w:sz w:val="22"/>
                <w:szCs w:val="22"/>
              </w:rPr>
            </w:pPr>
            <w:r w:rsidRPr="00363983">
              <w:rPr>
                <w:rFonts w:cs="Arial"/>
                <w:noProof/>
                <w:color w:val="00B050"/>
                <w:szCs w:val="24"/>
                <w:lang w:eastAsia="en-GB"/>
              </w:rPr>
              <mc:AlternateContent>
                <mc:Choice Requires="wps">
                  <w:drawing>
                    <wp:anchor distT="0" distB="0" distL="114300" distR="114300" simplePos="0" relativeHeight="251677696" behindDoc="0" locked="0" layoutInCell="1" allowOverlap="1" wp14:anchorId="7C92184F" wp14:editId="0C037338">
                      <wp:simplePos x="0" y="0"/>
                      <wp:positionH relativeFrom="column">
                        <wp:posOffset>140970</wp:posOffset>
                      </wp:positionH>
                      <wp:positionV relativeFrom="paragraph">
                        <wp:posOffset>63500</wp:posOffset>
                      </wp:positionV>
                      <wp:extent cx="350520" cy="0"/>
                      <wp:effectExtent l="0" t="76200" r="30480" b="152400"/>
                      <wp:wrapNone/>
                      <wp:docPr id="1" name="Straight Arrow Connector 1"/>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1.1pt;margin-top:5pt;width:27.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3rHgIAADw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" strokecolor="windowText" strokeweight="2pt">
                      <v:stroke endarrow="open"/>
                      <v:shadow on="t" color="black" opacity="24903f" origin=",.5" offset="0,.55556mm"/>
                    </v:shape>
                  </w:pict>
                </mc:Fallback>
              </mc:AlternateContent>
            </w:r>
          </w:p>
        </w:tc>
      </w:tr>
    </w:tbl>
    <w:p w14:paraId="0CC1B61A" w14:textId="77777777" w:rsidR="008D340F" w:rsidRPr="00363983" w:rsidRDefault="008D340F" w:rsidP="008D340F">
      <w:pPr>
        <w:pStyle w:val="DeptBullets"/>
        <w:numPr>
          <w:ilvl w:val="0"/>
          <w:numId w:val="0"/>
        </w:numPr>
        <w:tabs>
          <w:tab w:val="left" w:pos="8364"/>
        </w:tabs>
        <w:rPr>
          <w:rFonts w:cs="Arial"/>
          <w:sz w:val="22"/>
          <w:szCs w:val="22"/>
        </w:rPr>
      </w:pPr>
    </w:p>
    <w:p w14:paraId="1C903468" w14:textId="08A2F108" w:rsidR="008D340F" w:rsidRPr="00363983" w:rsidRDefault="008D340F" w:rsidP="008D340F">
      <w:pPr>
        <w:pStyle w:val="DeptBullets"/>
        <w:numPr>
          <w:ilvl w:val="0"/>
          <w:numId w:val="0"/>
        </w:numPr>
        <w:tabs>
          <w:tab w:val="left" w:pos="8364"/>
        </w:tabs>
        <w:rPr>
          <w:rFonts w:cs="Arial"/>
          <w:sz w:val="22"/>
          <w:szCs w:val="22"/>
        </w:rPr>
      </w:pPr>
      <w:r w:rsidRPr="00363983">
        <w:rPr>
          <w:rFonts w:cs="Arial"/>
          <w:b/>
          <w:sz w:val="22"/>
          <w:szCs w:val="22"/>
        </w:rPr>
        <w:t>Member Overpayments</w:t>
      </w:r>
      <w:r w:rsidRPr="00363983">
        <w:rPr>
          <w:rFonts w:cs="Arial"/>
          <w:sz w:val="22"/>
          <w:szCs w:val="22"/>
        </w:rPr>
        <w:t xml:space="preserve"> –The outstanding balance has been reduced by £620k since the last quarter. TP reported in the annual contract report that in the past 12 months the volume of cases in recovery (excluding death cases) has increased from 63% to 79%. Likewise the value has been increased from 53% to 71%. Overall the value of cases TP are actively chasing </w:t>
      </w:r>
      <w:r w:rsidR="007C7F73" w:rsidRPr="00363983">
        <w:rPr>
          <w:rFonts w:cs="Arial"/>
          <w:sz w:val="22"/>
          <w:szCs w:val="22"/>
        </w:rPr>
        <w:t xml:space="preserve">for </w:t>
      </w:r>
      <w:r w:rsidRPr="00363983">
        <w:rPr>
          <w:rFonts w:cs="Arial"/>
          <w:sz w:val="22"/>
          <w:szCs w:val="22"/>
        </w:rPr>
        <w:t xml:space="preserve">repayment is £3.2m or 40%. The forecast paper in respect of the remarriage declaration exercise has highlighted the likelihood of significant additional overpayments arising.  </w:t>
      </w:r>
    </w:p>
    <w:p w14:paraId="63372B9B" w14:textId="3CA7C079" w:rsidR="008D340F" w:rsidRPr="00363983" w:rsidRDefault="008D340F" w:rsidP="008D340F">
      <w:pPr>
        <w:pStyle w:val="DeptBullets"/>
        <w:numPr>
          <w:ilvl w:val="0"/>
          <w:numId w:val="0"/>
        </w:numPr>
        <w:ind w:right="-58"/>
        <w:rPr>
          <w:rFonts w:cs="Arial"/>
          <w:sz w:val="22"/>
          <w:szCs w:val="22"/>
        </w:rPr>
      </w:pPr>
      <w:r w:rsidRPr="00363983">
        <w:rPr>
          <w:rFonts w:cs="Arial"/>
          <w:b/>
          <w:sz w:val="22"/>
          <w:szCs w:val="22"/>
        </w:rPr>
        <w:t>Arrears of Contributions</w:t>
      </w:r>
      <w:r w:rsidRPr="00363983">
        <w:rPr>
          <w:rFonts w:cs="Arial"/>
          <w:sz w:val="22"/>
          <w:szCs w:val="22"/>
        </w:rPr>
        <w:t xml:space="preserve"> – The outstanding balance of member and employer arrears has remained static during the quarter. It is to be noted that taking into account cases currently in recovery (£389k) and those in dispute by employers (£1.243m) TP are left with £1.25m to actively chase. With regards to the latter category TP are reviewing the cases in order to further </w:t>
      </w:r>
      <w:r w:rsidR="00EF5A60" w:rsidRPr="00363983">
        <w:rPr>
          <w:rFonts w:cs="Arial"/>
          <w:sz w:val="22"/>
          <w:szCs w:val="22"/>
        </w:rPr>
        <w:t>categorise</w:t>
      </w:r>
      <w:r w:rsidRPr="00363983">
        <w:rPr>
          <w:rFonts w:cs="Arial"/>
          <w:sz w:val="22"/>
          <w:szCs w:val="22"/>
        </w:rPr>
        <w:t xml:space="preserve"> </w:t>
      </w:r>
      <w:r w:rsidR="007C7F73" w:rsidRPr="00363983">
        <w:rPr>
          <w:rFonts w:cs="Arial"/>
          <w:sz w:val="22"/>
          <w:szCs w:val="22"/>
        </w:rPr>
        <w:t xml:space="preserve">and </w:t>
      </w:r>
      <w:r w:rsidRPr="00363983">
        <w:rPr>
          <w:rFonts w:cs="Arial"/>
          <w:sz w:val="22"/>
          <w:szCs w:val="22"/>
        </w:rPr>
        <w:t xml:space="preserve">determine next actions. </w:t>
      </w:r>
    </w:p>
    <w:p w14:paraId="5690D17E" w14:textId="77777777" w:rsidR="008D340F" w:rsidRDefault="008D340F" w:rsidP="008D340F">
      <w:pPr>
        <w:pStyle w:val="DeptBullets"/>
        <w:numPr>
          <w:ilvl w:val="0"/>
          <w:numId w:val="0"/>
        </w:numPr>
        <w:rPr>
          <w:rFonts w:cs="Arial"/>
          <w:sz w:val="22"/>
          <w:szCs w:val="22"/>
        </w:rPr>
      </w:pPr>
      <w:r w:rsidRPr="00363983">
        <w:rPr>
          <w:rFonts w:cs="Arial"/>
          <w:sz w:val="22"/>
          <w:szCs w:val="22"/>
        </w:rPr>
        <w:lastRenderedPageBreak/>
        <w:t>The overall rating of amber on scheme debt continues to prudently reflect the inherent challenges in reducing the debt position and the potential impact of ongoing and future exercises, such as the remarriage declarations and deferred member projects.</w:t>
      </w:r>
    </w:p>
    <w:p w14:paraId="77C21A9D" w14:textId="77777777" w:rsidR="00E8261A" w:rsidRDefault="00E8261A" w:rsidP="008D340F">
      <w:pPr>
        <w:pStyle w:val="DeptBullets"/>
        <w:numPr>
          <w:ilvl w:val="0"/>
          <w:numId w:val="0"/>
        </w:numPr>
        <w:rPr>
          <w:rFonts w:cs="Arial"/>
          <w:sz w:val="22"/>
          <w:szCs w:val="22"/>
        </w:rPr>
      </w:pPr>
    </w:p>
    <w:tbl>
      <w:tblPr>
        <w:tblStyle w:val="TableGrid"/>
        <w:tblW w:w="0" w:type="auto"/>
        <w:tblInd w:w="108" w:type="dxa"/>
        <w:tblLook w:val="04A0" w:firstRow="1" w:lastRow="0" w:firstColumn="1" w:lastColumn="0" w:noHBand="0" w:noVBand="1"/>
      </w:tblPr>
      <w:tblGrid>
        <w:gridCol w:w="7230"/>
        <w:gridCol w:w="1134"/>
      </w:tblGrid>
      <w:tr w:rsidR="00DC6BD2" w:rsidRPr="00363983" w14:paraId="6D9C454D" w14:textId="77777777" w:rsidTr="00F22F63">
        <w:tc>
          <w:tcPr>
            <w:tcW w:w="7230" w:type="dxa"/>
          </w:tcPr>
          <w:p w14:paraId="259B1418" w14:textId="77777777" w:rsidR="00DC6BD2" w:rsidRPr="00363983" w:rsidRDefault="00DC6BD2" w:rsidP="00311C8A">
            <w:pPr>
              <w:rPr>
                <w:rFonts w:cs="Arial"/>
                <w:b/>
                <w:color w:val="000000"/>
                <w:sz w:val="22"/>
                <w:szCs w:val="22"/>
                <w:lang w:eastAsia="en-GB"/>
              </w:rPr>
            </w:pPr>
          </w:p>
          <w:p w14:paraId="495EAEEA" w14:textId="77777777" w:rsidR="00DC6BD2" w:rsidRPr="00363983" w:rsidRDefault="00580DCC" w:rsidP="009961F8">
            <w:pPr>
              <w:rPr>
                <w:rFonts w:cs="Arial"/>
                <w:b/>
                <w:sz w:val="22"/>
                <w:szCs w:val="22"/>
              </w:rPr>
            </w:pPr>
            <w:r w:rsidRPr="00363983">
              <w:rPr>
                <w:rFonts w:cs="Arial"/>
                <w:b/>
                <w:sz w:val="22"/>
                <w:szCs w:val="22"/>
                <w:lang w:eastAsia="en-GB"/>
              </w:rPr>
              <w:t>Contractor &amp; DfE Costs</w:t>
            </w:r>
            <w:r w:rsidR="00AD7A0B" w:rsidRPr="00363983">
              <w:rPr>
                <w:rFonts w:cs="Arial"/>
                <w:b/>
                <w:sz w:val="22"/>
                <w:szCs w:val="22"/>
                <w:lang w:eastAsia="en-GB"/>
              </w:rPr>
              <w:t xml:space="preserve"> </w:t>
            </w:r>
          </w:p>
        </w:tc>
        <w:tc>
          <w:tcPr>
            <w:tcW w:w="1134" w:type="dxa"/>
            <w:shd w:val="clear" w:color="auto" w:fill="00B050"/>
          </w:tcPr>
          <w:p w14:paraId="50692AD0" w14:textId="4930658A" w:rsidR="00DC6BD2" w:rsidRPr="00363983" w:rsidRDefault="00363983" w:rsidP="00311C8A">
            <w:pPr>
              <w:rPr>
                <w:rFonts w:cs="Arial"/>
                <w:sz w:val="22"/>
                <w:szCs w:val="22"/>
              </w:rPr>
            </w:pPr>
            <w:r w:rsidRPr="00363983">
              <w:rPr>
                <w:rFonts w:cs="Arial"/>
                <w:noProof/>
                <w:color w:val="00B050"/>
                <w:szCs w:val="24"/>
                <w:lang w:eastAsia="en-GB"/>
              </w:rPr>
              <mc:AlternateContent>
                <mc:Choice Requires="wps">
                  <w:drawing>
                    <wp:anchor distT="0" distB="0" distL="114300" distR="114300" simplePos="0" relativeHeight="251679744" behindDoc="0" locked="0" layoutInCell="1" allowOverlap="1" wp14:anchorId="3E474D34" wp14:editId="60B42B55">
                      <wp:simplePos x="0" y="0"/>
                      <wp:positionH relativeFrom="column">
                        <wp:posOffset>148590</wp:posOffset>
                      </wp:positionH>
                      <wp:positionV relativeFrom="paragraph">
                        <wp:posOffset>161290</wp:posOffset>
                      </wp:positionV>
                      <wp:extent cx="350520" cy="0"/>
                      <wp:effectExtent l="0" t="76200" r="30480" b="152400"/>
                      <wp:wrapNone/>
                      <wp:docPr id="10" name="Straight Arrow Connector 10"/>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1.7pt;margin-top:12.7pt;width:27.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" strokecolor="windowText" strokeweight="2pt">
                      <v:stroke endarrow="open"/>
                      <v:shadow on="t" color="black" opacity="24903f" origin=",.5" offset="0,.55556mm"/>
                    </v:shape>
                  </w:pict>
                </mc:Fallback>
              </mc:AlternateContent>
            </w:r>
            <w:r w:rsidR="00F22F63" w:rsidRPr="00363983">
              <w:rPr>
                <w:rFonts w:cs="Arial"/>
                <w:sz w:val="22"/>
                <w:szCs w:val="22"/>
              </w:rPr>
              <w:t xml:space="preserve"> </w:t>
            </w:r>
          </w:p>
        </w:tc>
      </w:tr>
    </w:tbl>
    <w:p w14:paraId="1F1B8FB7" w14:textId="77777777" w:rsidR="002F6007" w:rsidRDefault="002F6007" w:rsidP="002F6007">
      <w:pPr>
        <w:rPr>
          <w:rFonts w:cs="Arial"/>
          <w:b/>
          <w:color w:val="000000"/>
          <w:sz w:val="22"/>
          <w:szCs w:val="22"/>
          <w:u w:val="single"/>
          <w:lang w:eastAsia="en-GB"/>
        </w:rPr>
      </w:pPr>
    </w:p>
    <w:p w14:paraId="3073CB32" w14:textId="77777777" w:rsidR="00DB6E90" w:rsidRPr="00DB6E90" w:rsidRDefault="00DB6E90" w:rsidP="00DB6E90">
      <w:pPr>
        <w:rPr>
          <w:rFonts w:cs="Arial"/>
          <w:b/>
          <w:color w:val="000000"/>
          <w:sz w:val="22"/>
          <w:szCs w:val="22"/>
          <w:u w:val="single"/>
          <w:lang w:eastAsia="en-GB"/>
        </w:rPr>
      </w:pPr>
      <w:r w:rsidRPr="00DB6E90">
        <w:rPr>
          <w:rFonts w:cs="Arial"/>
          <w:b/>
          <w:color w:val="000000"/>
          <w:sz w:val="22"/>
          <w:szCs w:val="22"/>
          <w:u w:val="single"/>
          <w:lang w:eastAsia="en-GB"/>
        </w:rPr>
        <w:t>The figures below represent the spend to date in the current financial year.</w:t>
      </w:r>
    </w:p>
    <w:p w14:paraId="654709BD" w14:textId="77777777" w:rsidR="00DB6E90" w:rsidRPr="00DB6E90" w:rsidRDefault="00DB6E90" w:rsidP="00DB6E90">
      <w:pPr>
        <w:rPr>
          <w:rFonts w:cs="Arial"/>
          <w:color w:val="000000"/>
          <w:sz w:val="22"/>
          <w:szCs w:val="22"/>
          <w:u w:val="single"/>
          <w:lang w:eastAsia="en-GB"/>
        </w:rPr>
      </w:pPr>
    </w:p>
    <w:tbl>
      <w:tblPr>
        <w:tblStyle w:val="TableGrid"/>
        <w:tblW w:w="8505" w:type="dxa"/>
        <w:tblInd w:w="108" w:type="dxa"/>
        <w:tblLayout w:type="fixed"/>
        <w:tblLook w:val="04A0" w:firstRow="1" w:lastRow="0" w:firstColumn="1" w:lastColumn="0" w:noHBand="0" w:noVBand="1"/>
      </w:tblPr>
      <w:tblGrid>
        <w:gridCol w:w="993"/>
        <w:gridCol w:w="1559"/>
        <w:gridCol w:w="1417"/>
        <w:gridCol w:w="1418"/>
        <w:gridCol w:w="3118"/>
      </w:tblGrid>
      <w:tr w:rsidR="00DB6E90" w:rsidRPr="00DB6E90" w14:paraId="78A13C00" w14:textId="77777777" w:rsidTr="00DB6E90">
        <w:tc>
          <w:tcPr>
            <w:tcW w:w="993" w:type="dxa"/>
          </w:tcPr>
          <w:p w14:paraId="714D89EC" w14:textId="77777777" w:rsidR="00DB6E90" w:rsidRPr="00DB6E90" w:rsidRDefault="00DB6E90" w:rsidP="00C124D6">
            <w:pPr>
              <w:rPr>
                <w:rFonts w:cs="Arial"/>
              </w:rPr>
            </w:pPr>
          </w:p>
        </w:tc>
        <w:tc>
          <w:tcPr>
            <w:tcW w:w="1559" w:type="dxa"/>
            <w:tcBorders>
              <w:bottom w:val="single" w:sz="4" w:space="0" w:color="auto"/>
            </w:tcBorders>
            <w:vAlign w:val="bottom"/>
          </w:tcPr>
          <w:p w14:paraId="46B12303" w14:textId="77777777" w:rsidR="00DB6E90" w:rsidRPr="00DB6E90" w:rsidRDefault="00DB6E90" w:rsidP="00C124D6">
            <w:pPr>
              <w:jc w:val="center"/>
              <w:rPr>
                <w:rFonts w:cs="Arial"/>
                <w:color w:val="000000"/>
                <w:sz w:val="22"/>
                <w:szCs w:val="22"/>
                <w:lang w:eastAsia="en-GB"/>
              </w:rPr>
            </w:pPr>
            <w:r w:rsidRPr="00DB6E90">
              <w:rPr>
                <w:rFonts w:cs="Arial"/>
                <w:color w:val="000000"/>
                <w:sz w:val="22"/>
                <w:szCs w:val="22"/>
                <w:lang w:eastAsia="en-GB"/>
              </w:rPr>
              <w:t>YTD Profile</w:t>
            </w:r>
          </w:p>
        </w:tc>
        <w:tc>
          <w:tcPr>
            <w:tcW w:w="1417" w:type="dxa"/>
            <w:tcBorders>
              <w:bottom w:val="single" w:sz="4" w:space="0" w:color="auto"/>
            </w:tcBorders>
            <w:vAlign w:val="bottom"/>
          </w:tcPr>
          <w:p w14:paraId="149902BC" w14:textId="77777777" w:rsidR="00DB6E90" w:rsidRPr="00DB6E90" w:rsidRDefault="00DB6E90" w:rsidP="00C124D6">
            <w:pPr>
              <w:jc w:val="center"/>
              <w:rPr>
                <w:rFonts w:cs="Arial"/>
                <w:color w:val="000000"/>
                <w:sz w:val="22"/>
                <w:szCs w:val="22"/>
                <w:lang w:eastAsia="en-GB"/>
              </w:rPr>
            </w:pPr>
            <w:r w:rsidRPr="00DB6E90">
              <w:rPr>
                <w:rFonts w:cs="Arial"/>
                <w:color w:val="000000"/>
                <w:sz w:val="22"/>
                <w:szCs w:val="22"/>
                <w:lang w:eastAsia="en-GB"/>
              </w:rPr>
              <w:t>YTD actual</w:t>
            </w:r>
          </w:p>
        </w:tc>
        <w:tc>
          <w:tcPr>
            <w:tcW w:w="1418" w:type="dxa"/>
            <w:tcBorders>
              <w:bottom w:val="single" w:sz="4" w:space="0" w:color="auto"/>
            </w:tcBorders>
          </w:tcPr>
          <w:p w14:paraId="4D0A9534" w14:textId="77777777" w:rsidR="00DB6E90" w:rsidRPr="00DB6E90" w:rsidRDefault="00DB6E90" w:rsidP="00C124D6">
            <w:pPr>
              <w:rPr>
                <w:rFonts w:cs="Arial"/>
              </w:rPr>
            </w:pPr>
            <w:r w:rsidRPr="00DB6E90">
              <w:rPr>
                <w:rFonts w:cs="Arial"/>
                <w:color w:val="000000"/>
                <w:sz w:val="22"/>
                <w:szCs w:val="22"/>
                <w:lang w:eastAsia="en-GB"/>
              </w:rPr>
              <w:t>Variance</w:t>
            </w:r>
          </w:p>
        </w:tc>
        <w:tc>
          <w:tcPr>
            <w:tcW w:w="3118" w:type="dxa"/>
          </w:tcPr>
          <w:p w14:paraId="2A0ABA7E" w14:textId="77777777" w:rsidR="00DB6E90" w:rsidRPr="00DB6E90" w:rsidRDefault="00DB6E90" w:rsidP="00C124D6">
            <w:pPr>
              <w:rPr>
                <w:rFonts w:cs="Arial"/>
                <w:sz w:val="22"/>
                <w:szCs w:val="22"/>
              </w:rPr>
            </w:pPr>
            <w:r w:rsidRPr="00DB6E90">
              <w:rPr>
                <w:rFonts w:cs="Arial"/>
                <w:sz w:val="22"/>
                <w:szCs w:val="22"/>
              </w:rPr>
              <w:t>Narrative</w:t>
            </w:r>
          </w:p>
        </w:tc>
      </w:tr>
      <w:tr w:rsidR="00DB6E90" w:rsidRPr="00DB6E90" w14:paraId="3FCCD656" w14:textId="77777777" w:rsidTr="00DB6E90">
        <w:tc>
          <w:tcPr>
            <w:tcW w:w="993" w:type="dxa"/>
          </w:tcPr>
          <w:p w14:paraId="5C87D019"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 xml:space="preserve">Capita </w:t>
            </w:r>
          </w:p>
        </w:tc>
        <w:tc>
          <w:tcPr>
            <w:tcW w:w="1559" w:type="dxa"/>
            <w:tcBorders>
              <w:bottom w:val="single" w:sz="4" w:space="0" w:color="auto"/>
            </w:tcBorders>
            <w:shd w:val="clear" w:color="auto" w:fill="FFFFFF" w:themeFill="background1"/>
          </w:tcPr>
          <w:p w14:paraId="614731E9" w14:textId="19480183"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7" w:type="dxa"/>
            <w:tcBorders>
              <w:bottom w:val="single" w:sz="4" w:space="0" w:color="auto"/>
            </w:tcBorders>
            <w:shd w:val="clear" w:color="auto" w:fill="FFFFFF" w:themeFill="background1"/>
          </w:tcPr>
          <w:p w14:paraId="0352A7E4" w14:textId="02FA1021"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8" w:type="dxa"/>
            <w:shd w:val="clear" w:color="auto" w:fill="FFFFFF" w:themeFill="background1"/>
          </w:tcPr>
          <w:p w14:paraId="6858F33F" w14:textId="77777777" w:rsidR="002F48FA"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p w14:paraId="2AD3008C" w14:textId="2C32A7ED" w:rsidR="00DB6E90" w:rsidRPr="00DB6E90" w:rsidRDefault="002F48FA" w:rsidP="002F48FA">
            <w:pPr>
              <w:jc w:val="right"/>
              <w:rPr>
                <w:rFonts w:cs="Arial"/>
                <w:color w:val="000000"/>
                <w:sz w:val="22"/>
                <w:szCs w:val="22"/>
                <w:lang w:eastAsia="en-GB"/>
              </w:rPr>
            </w:pPr>
            <w:r w:rsidRPr="002F48FA">
              <w:rPr>
                <w:rFonts w:cs="Arial"/>
                <w:color w:val="000000"/>
                <w:sz w:val="22"/>
                <w:szCs w:val="22"/>
                <w:highlight w:val="black"/>
                <w:lang w:eastAsia="en-GB"/>
              </w:rPr>
              <w:t>redacted</w:t>
            </w:r>
            <w:r w:rsidR="00DB6E90" w:rsidRPr="00DB6E90">
              <w:rPr>
                <w:rFonts w:cs="Arial"/>
                <w:color w:val="000000"/>
                <w:sz w:val="22"/>
                <w:szCs w:val="22"/>
                <w:lang w:eastAsia="en-GB"/>
              </w:rPr>
              <w:t>%</w:t>
            </w:r>
          </w:p>
        </w:tc>
        <w:tc>
          <w:tcPr>
            <w:tcW w:w="3118" w:type="dxa"/>
          </w:tcPr>
          <w:p w14:paraId="7BC8B6A6"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Milestone payments for June and July (£1.5m) relating to Capita’s site move are pending approval.</w:t>
            </w:r>
          </w:p>
          <w:p w14:paraId="5E13FC8F"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Additionally, service credits, fee indexation* and deferred Scheme Sanction Charge invoicing by HMRC contribute to the current YTD underspend.</w:t>
            </w:r>
          </w:p>
        </w:tc>
      </w:tr>
      <w:tr w:rsidR="00DB6E90" w:rsidRPr="00DB6E90" w14:paraId="022DDA5E" w14:textId="77777777" w:rsidTr="00DB6E90">
        <w:tc>
          <w:tcPr>
            <w:tcW w:w="993" w:type="dxa"/>
          </w:tcPr>
          <w:p w14:paraId="304779A9"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 xml:space="preserve">GAD </w:t>
            </w:r>
          </w:p>
        </w:tc>
        <w:tc>
          <w:tcPr>
            <w:tcW w:w="1559" w:type="dxa"/>
            <w:shd w:val="clear" w:color="auto" w:fill="FFFFFF" w:themeFill="background1"/>
          </w:tcPr>
          <w:p w14:paraId="411308C2" w14:textId="430B0907"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7" w:type="dxa"/>
            <w:shd w:val="clear" w:color="auto" w:fill="FFFFFF" w:themeFill="background1"/>
          </w:tcPr>
          <w:p w14:paraId="1243D571" w14:textId="0010FAFA"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8" w:type="dxa"/>
            <w:shd w:val="clear" w:color="auto" w:fill="FFFFFF" w:themeFill="background1"/>
          </w:tcPr>
          <w:p w14:paraId="4F601728" w14:textId="080F7CD5" w:rsidR="00DB6E90" w:rsidRPr="00DB6E90" w:rsidRDefault="00DB6E90" w:rsidP="00C124D6">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p w14:paraId="346541D5" w14:textId="61D5F65B" w:rsidR="00DB6E90" w:rsidRPr="00DB6E90" w:rsidRDefault="002F48FA" w:rsidP="00C124D6">
            <w:pPr>
              <w:jc w:val="right"/>
              <w:rPr>
                <w:rFonts w:cs="Arial"/>
                <w:color w:val="000000"/>
                <w:sz w:val="22"/>
                <w:szCs w:val="22"/>
                <w:lang w:eastAsia="en-GB"/>
              </w:rPr>
            </w:pPr>
            <w:r w:rsidRPr="002F48FA">
              <w:rPr>
                <w:rFonts w:cs="Arial"/>
                <w:color w:val="000000"/>
                <w:sz w:val="22"/>
                <w:szCs w:val="22"/>
                <w:highlight w:val="black"/>
                <w:lang w:eastAsia="en-GB"/>
              </w:rPr>
              <w:t>redacted</w:t>
            </w:r>
            <w:r w:rsidR="00DB6E90" w:rsidRPr="00DB6E90">
              <w:rPr>
                <w:rFonts w:cs="Arial"/>
                <w:color w:val="000000"/>
                <w:sz w:val="22"/>
                <w:szCs w:val="22"/>
                <w:lang w:eastAsia="en-GB"/>
              </w:rPr>
              <w:t>%</w:t>
            </w:r>
          </w:p>
        </w:tc>
        <w:tc>
          <w:tcPr>
            <w:tcW w:w="3118" w:type="dxa"/>
          </w:tcPr>
          <w:p w14:paraId="2B9B5C3A"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Variance has been driven by an under accrual of the October costs.  This will be addressed in November.</w:t>
            </w:r>
          </w:p>
        </w:tc>
      </w:tr>
      <w:tr w:rsidR="00DB6E90" w:rsidRPr="00DB6E90" w14:paraId="38F54019" w14:textId="77777777" w:rsidTr="00DB6E90">
        <w:tc>
          <w:tcPr>
            <w:tcW w:w="993" w:type="dxa"/>
          </w:tcPr>
          <w:p w14:paraId="341EEB97"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 xml:space="preserve">OH Assist </w:t>
            </w:r>
          </w:p>
        </w:tc>
        <w:tc>
          <w:tcPr>
            <w:tcW w:w="1559" w:type="dxa"/>
            <w:shd w:val="clear" w:color="auto" w:fill="FFFFFF" w:themeFill="background1"/>
          </w:tcPr>
          <w:p w14:paraId="2140D67A" w14:textId="5AE2F965"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7" w:type="dxa"/>
            <w:shd w:val="clear" w:color="auto" w:fill="FFFFFF" w:themeFill="background1"/>
          </w:tcPr>
          <w:p w14:paraId="4F70CFE6" w14:textId="51313AE8"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redactedd</w:t>
            </w:r>
          </w:p>
        </w:tc>
        <w:tc>
          <w:tcPr>
            <w:tcW w:w="1418" w:type="dxa"/>
            <w:shd w:val="clear" w:color="auto" w:fill="FFFFFF" w:themeFill="background1"/>
          </w:tcPr>
          <w:p w14:paraId="35E492A2" w14:textId="68843B5D" w:rsidR="00DB6E90" w:rsidRPr="00DB6E90" w:rsidRDefault="00DB6E90" w:rsidP="00C124D6">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p w14:paraId="1CDA0FCB" w14:textId="279D642C" w:rsidR="00DB6E90" w:rsidRPr="00DB6E90" w:rsidRDefault="002F48FA" w:rsidP="00C124D6">
            <w:pPr>
              <w:jc w:val="right"/>
              <w:rPr>
                <w:rFonts w:cs="Arial"/>
                <w:color w:val="000000"/>
                <w:sz w:val="22"/>
                <w:szCs w:val="22"/>
                <w:lang w:eastAsia="en-GB"/>
              </w:rPr>
            </w:pPr>
            <w:r w:rsidRPr="002F48FA">
              <w:rPr>
                <w:rFonts w:cs="Arial"/>
                <w:color w:val="000000"/>
                <w:sz w:val="22"/>
                <w:szCs w:val="22"/>
                <w:highlight w:val="black"/>
                <w:lang w:eastAsia="en-GB"/>
              </w:rPr>
              <w:t>redacted</w:t>
            </w:r>
            <w:r w:rsidR="00DB6E90" w:rsidRPr="00DB6E90">
              <w:rPr>
                <w:rFonts w:cs="Arial"/>
                <w:color w:val="000000"/>
                <w:sz w:val="22"/>
                <w:szCs w:val="22"/>
                <w:lang w:eastAsia="en-GB"/>
              </w:rPr>
              <w:t>%</w:t>
            </w:r>
          </w:p>
        </w:tc>
        <w:tc>
          <w:tcPr>
            <w:tcW w:w="3118" w:type="dxa"/>
          </w:tcPr>
          <w:p w14:paraId="749CA866" w14:textId="77777777" w:rsidR="00DB6E90" w:rsidRPr="00DB6E90" w:rsidRDefault="00DB6E90" w:rsidP="00C124D6">
            <w:pPr>
              <w:rPr>
                <w:rFonts w:cs="Arial"/>
                <w:color w:val="000000"/>
                <w:sz w:val="22"/>
                <w:szCs w:val="22"/>
                <w:lang w:eastAsia="en-GB"/>
              </w:rPr>
            </w:pPr>
          </w:p>
        </w:tc>
      </w:tr>
      <w:tr w:rsidR="00DB6E90" w:rsidRPr="00DB6E90" w14:paraId="4B69D6B5" w14:textId="77777777" w:rsidTr="00DB6E90">
        <w:tc>
          <w:tcPr>
            <w:tcW w:w="993" w:type="dxa"/>
          </w:tcPr>
          <w:p w14:paraId="33A8E044" w14:textId="77777777"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DfE</w:t>
            </w:r>
          </w:p>
        </w:tc>
        <w:tc>
          <w:tcPr>
            <w:tcW w:w="1559" w:type="dxa"/>
            <w:shd w:val="clear" w:color="auto" w:fill="FFFFFF" w:themeFill="background1"/>
          </w:tcPr>
          <w:p w14:paraId="70B05ABB" w14:textId="38737A7D"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7" w:type="dxa"/>
            <w:shd w:val="clear" w:color="auto" w:fill="FFFFFF" w:themeFill="background1"/>
          </w:tcPr>
          <w:p w14:paraId="3895A375" w14:textId="3C5C7719" w:rsidR="00DB6E90" w:rsidRPr="00DB6E90" w:rsidRDefault="00DB6E90" w:rsidP="002F48FA">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tc>
        <w:tc>
          <w:tcPr>
            <w:tcW w:w="1418" w:type="dxa"/>
            <w:shd w:val="clear" w:color="auto" w:fill="FFFFFF" w:themeFill="background1"/>
          </w:tcPr>
          <w:p w14:paraId="5FAC8C27" w14:textId="596C88B2" w:rsidR="00DB6E90" w:rsidRPr="00DB6E90" w:rsidRDefault="00DB6E90" w:rsidP="00C124D6">
            <w:pPr>
              <w:jc w:val="right"/>
              <w:rPr>
                <w:rFonts w:cs="Arial"/>
                <w:color w:val="000000"/>
                <w:sz w:val="22"/>
                <w:szCs w:val="22"/>
                <w:lang w:eastAsia="en-GB"/>
              </w:rPr>
            </w:pPr>
            <w:r w:rsidRPr="00DB6E90">
              <w:rPr>
                <w:rFonts w:cs="Arial"/>
                <w:color w:val="000000"/>
                <w:sz w:val="22"/>
                <w:szCs w:val="22"/>
                <w:lang w:eastAsia="en-GB"/>
              </w:rPr>
              <w:t>£</w:t>
            </w:r>
            <w:r w:rsidR="002F48FA" w:rsidRPr="002F48FA">
              <w:rPr>
                <w:rFonts w:cs="Arial"/>
                <w:color w:val="000000"/>
                <w:sz w:val="22"/>
                <w:szCs w:val="22"/>
                <w:highlight w:val="black"/>
                <w:lang w:eastAsia="en-GB"/>
              </w:rPr>
              <w:t>redacted</w:t>
            </w:r>
          </w:p>
          <w:p w14:paraId="7989AD66" w14:textId="2873F4B4" w:rsidR="00DB6E90" w:rsidRPr="00DB6E90" w:rsidRDefault="002F48FA" w:rsidP="00C124D6">
            <w:pPr>
              <w:jc w:val="right"/>
              <w:rPr>
                <w:rFonts w:cs="Arial"/>
                <w:color w:val="000000"/>
                <w:sz w:val="22"/>
                <w:szCs w:val="22"/>
                <w:lang w:eastAsia="en-GB"/>
              </w:rPr>
            </w:pPr>
            <w:bookmarkStart w:id="0" w:name="_GoBack"/>
            <w:bookmarkEnd w:id="0"/>
            <w:r w:rsidRPr="002F48FA">
              <w:rPr>
                <w:rFonts w:cs="Arial"/>
                <w:color w:val="000000"/>
                <w:sz w:val="22"/>
                <w:szCs w:val="22"/>
                <w:highlight w:val="black"/>
                <w:lang w:eastAsia="en-GB"/>
              </w:rPr>
              <w:t>redacted</w:t>
            </w:r>
            <w:r w:rsidR="00DB6E90" w:rsidRPr="00DB6E90">
              <w:rPr>
                <w:rFonts w:cs="Arial"/>
                <w:color w:val="000000"/>
                <w:sz w:val="22"/>
                <w:szCs w:val="22"/>
                <w:lang w:eastAsia="en-GB"/>
              </w:rPr>
              <w:t>%</w:t>
            </w:r>
          </w:p>
        </w:tc>
        <w:tc>
          <w:tcPr>
            <w:tcW w:w="3118" w:type="dxa"/>
          </w:tcPr>
          <w:p w14:paraId="31CE1E36" w14:textId="46A8B858" w:rsidR="00DB6E90" w:rsidRPr="00DB6E90" w:rsidRDefault="00DB6E90" w:rsidP="00C124D6">
            <w:pPr>
              <w:rPr>
                <w:rFonts w:cs="Arial"/>
                <w:color w:val="000000"/>
                <w:sz w:val="22"/>
                <w:szCs w:val="22"/>
                <w:lang w:eastAsia="en-GB"/>
              </w:rPr>
            </w:pPr>
            <w:r w:rsidRPr="00DB6E90">
              <w:rPr>
                <w:rFonts w:cs="Arial"/>
                <w:color w:val="000000"/>
                <w:sz w:val="22"/>
                <w:szCs w:val="22"/>
                <w:lang w:eastAsia="en-GB"/>
              </w:rPr>
              <w:t xml:space="preserve">Costs for a G7 finance manager have been included in the team profile.  A new G7 has been appointed from </w:t>
            </w:r>
            <w:r w:rsidR="00EF5A60" w:rsidRPr="00DB6E90">
              <w:rPr>
                <w:rFonts w:cs="Arial"/>
                <w:color w:val="000000"/>
                <w:sz w:val="22"/>
                <w:szCs w:val="22"/>
                <w:lang w:eastAsia="en-GB"/>
              </w:rPr>
              <w:t>November</w:t>
            </w:r>
            <w:r w:rsidRPr="00DB6E90">
              <w:rPr>
                <w:rFonts w:cs="Arial"/>
                <w:color w:val="000000"/>
                <w:sz w:val="22"/>
                <w:szCs w:val="22"/>
                <w:lang w:eastAsia="en-GB"/>
              </w:rPr>
              <w:t>.</w:t>
            </w:r>
          </w:p>
        </w:tc>
      </w:tr>
    </w:tbl>
    <w:p w14:paraId="365EB678" w14:textId="77777777" w:rsidR="00DB6E90" w:rsidRPr="00DB6E90" w:rsidRDefault="00DB6E90" w:rsidP="00DB6E90">
      <w:pPr>
        <w:jc w:val="center"/>
        <w:rPr>
          <w:rFonts w:cs="Arial"/>
          <w:b/>
          <w:sz w:val="28"/>
          <w:szCs w:val="28"/>
        </w:rPr>
      </w:pPr>
    </w:p>
    <w:p w14:paraId="6A8AF5D4" w14:textId="77777777" w:rsidR="00DB6E90" w:rsidRPr="00DB6E90" w:rsidRDefault="00DB6E90" w:rsidP="00DB6E90">
      <w:pPr>
        <w:rPr>
          <w:rFonts w:cs="Arial"/>
          <w:sz w:val="22"/>
          <w:szCs w:val="22"/>
        </w:rPr>
      </w:pPr>
      <w:r w:rsidRPr="00DB6E90">
        <w:rPr>
          <w:rFonts w:cs="Arial"/>
          <w:sz w:val="22"/>
          <w:szCs w:val="22"/>
        </w:rPr>
        <w:t>*The original cost profile for the administration contract anticipated an index related fee increase from 1 September to coincide with the start of the new contract year.  However, the Office for National Statistics has confirmed that the CPI rate fell to -0.1% (negative) in September 2015.  As a result, there will be no increase in Year 5 contract fees.  This will generate an underspend between now and the end of the current financial year.</w:t>
      </w:r>
    </w:p>
    <w:p w14:paraId="64EC1093" w14:textId="77777777" w:rsidR="00DB6E90" w:rsidRPr="00DB6E90" w:rsidRDefault="00DB6E90" w:rsidP="002F6007">
      <w:pPr>
        <w:rPr>
          <w:rFonts w:cs="Arial"/>
          <w:b/>
          <w:color w:val="000000"/>
          <w:sz w:val="22"/>
          <w:szCs w:val="22"/>
          <w:u w:val="single"/>
          <w:lang w:eastAsia="en-GB"/>
        </w:rPr>
      </w:pPr>
    </w:p>
    <w:p w14:paraId="4F44C672" w14:textId="77777777" w:rsidR="00DB6E90" w:rsidRDefault="00DB6E90" w:rsidP="002F6007">
      <w:pPr>
        <w:rPr>
          <w:rFonts w:cs="Arial"/>
          <w:b/>
          <w:color w:val="000000"/>
          <w:sz w:val="22"/>
          <w:szCs w:val="22"/>
          <w:u w:val="single"/>
          <w:lang w:eastAsia="en-GB"/>
        </w:rPr>
      </w:pPr>
    </w:p>
    <w:p w14:paraId="22E549DD" w14:textId="21FB852A" w:rsidR="000A7DC3" w:rsidRPr="00363983" w:rsidRDefault="000A7DC3" w:rsidP="00C5630B">
      <w:pPr>
        <w:jc w:val="center"/>
        <w:rPr>
          <w:rFonts w:cs="Arial"/>
          <w:b/>
          <w:sz w:val="28"/>
          <w:szCs w:val="28"/>
        </w:rPr>
      </w:pPr>
    </w:p>
    <w:p w14:paraId="6D69B55E" w14:textId="77777777" w:rsidR="00E376C4" w:rsidRPr="00363983" w:rsidRDefault="00E376C4" w:rsidP="00E376C4">
      <w:pPr>
        <w:jc w:val="center"/>
        <w:rPr>
          <w:rFonts w:cs="Arial"/>
          <w:b/>
          <w:sz w:val="28"/>
          <w:szCs w:val="28"/>
        </w:rPr>
      </w:pPr>
      <w:r w:rsidRPr="00363983">
        <w:rPr>
          <w:rFonts w:cs="Arial"/>
          <w:b/>
          <w:sz w:val="28"/>
          <w:szCs w:val="28"/>
        </w:rPr>
        <w:t xml:space="preserve">Risk Update </w:t>
      </w:r>
    </w:p>
    <w:p w14:paraId="0B5FDACD" w14:textId="77777777" w:rsidR="00E376C4" w:rsidRPr="00363983" w:rsidRDefault="00E376C4" w:rsidP="00E376C4">
      <w:pPr>
        <w:rPr>
          <w:rFonts w:cs="Arial"/>
          <w:sz w:val="22"/>
          <w:szCs w:val="22"/>
        </w:rPr>
      </w:pPr>
    </w:p>
    <w:p w14:paraId="44E1FB61" w14:textId="4EB1EE4B"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The Risk management process remains robust, with regular monthly meeting</w:t>
      </w:r>
      <w:r w:rsidR="00252E33" w:rsidRPr="00363983">
        <w:rPr>
          <w:rFonts w:cs="Arial"/>
          <w:color w:val="000000"/>
          <w:sz w:val="22"/>
          <w:szCs w:val="22"/>
          <w:lang w:eastAsia="en-GB"/>
        </w:rPr>
        <w:t>s</w:t>
      </w:r>
      <w:r w:rsidRPr="00363983">
        <w:rPr>
          <w:rFonts w:cs="Arial"/>
          <w:color w:val="000000"/>
          <w:sz w:val="22"/>
          <w:szCs w:val="22"/>
          <w:lang w:eastAsia="en-GB"/>
        </w:rPr>
        <w:t xml:space="preserve"> held between key members of DfE and </w:t>
      </w:r>
      <w:r w:rsidR="00252E33" w:rsidRPr="00363983">
        <w:rPr>
          <w:rFonts w:cs="Arial"/>
          <w:color w:val="000000"/>
          <w:sz w:val="22"/>
          <w:szCs w:val="22"/>
          <w:lang w:eastAsia="en-GB"/>
        </w:rPr>
        <w:t>TP’s</w:t>
      </w:r>
      <w:r w:rsidRPr="00363983">
        <w:rPr>
          <w:rFonts w:cs="Arial"/>
          <w:color w:val="000000"/>
          <w:sz w:val="22"/>
          <w:szCs w:val="22"/>
          <w:lang w:eastAsia="en-GB"/>
        </w:rPr>
        <w:t xml:space="preserve"> teams to review the current status of active risks and discuss potential emerging risks. </w:t>
      </w:r>
      <w:r w:rsidR="00252E33" w:rsidRPr="00363983">
        <w:rPr>
          <w:rFonts w:cs="Arial"/>
          <w:color w:val="000000"/>
          <w:sz w:val="22"/>
          <w:szCs w:val="22"/>
          <w:lang w:eastAsia="en-GB"/>
        </w:rPr>
        <w:t>TP</w:t>
      </w:r>
      <w:r w:rsidRPr="00363983">
        <w:rPr>
          <w:rFonts w:cs="Arial"/>
          <w:color w:val="000000"/>
          <w:sz w:val="22"/>
          <w:szCs w:val="22"/>
          <w:lang w:eastAsia="en-GB"/>
        </w:rPr>
        <w:t xml:space="preserve"> can supplement this process by calling upon wider Group expertise where required.</w:t>
      </w:r>
    </w:p>
    <w:p w14:paraId="2C759394" w14:textId="77777777" w:rsidR="00E376C4" w:rsidRPr="00363983" w:rsidRDefault="00E376C4" w:rsidP="00E376C4">
      <w:pPr>
        <w:ind w:left="426"/>
        <w:rPr>
          <w:rFonts w:cs="Arial"/>
          <w:color w:val="000000"/>
          <w:sz w:val="22"/>
          <w:szCs w:val="22"/>
          <w:lang w:eastAsia="en-GB"/>
        </w:rPr>
      </w:pPr>
    </w:p>
    <w:p w14:paraId="35AB585A" w14:textId="40460275"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The Key Risks report</w:t>
      </w:r>
      <w:r w:rsidR="00252E33" w:rsidRPr="00363983">
        <w:rPr>
          <w:rFonts w:cs="Arial"/>
          <w:color w:val="000000"/>
          <w:sz w:val="22"/>
          <w:szCs w:val="22"/>
          <w:lang w:eastAsia="en-GB"/>
        </w:rPr>
        <w:t>ed</w:t>
      </w:r>
      <w:r w:rsidRPr="00363983">
        <w:rPr>
          <w:rFonts w:cs="Arial"/>
          <w:color w:val="000000"/>
          <w:sz w:val="22"/>
          <w:szCs w:val="22"/>
          <w:lang w:eastAsia="en-GB"/>
        </w:rPr>
        <w:t xml:space="preserve"> to the Pension Board are determined during the Risk Committee</w:t>
      </w:r>
      <w:r w:rsidR="00252E33" w:rsidRPr="00363983">
        <w:rPr>
          <w:rFonts w:cs="Arial"/>
          <w:color w:val="000000"/>
          <w:sz w:val="22"/>
          <w:szCs w:val="22"/>
          <w:lang w:eastAsia="en-GB"/>
        </w:rPr>
        <w:t xml:space="preserve"> meeting</w:t>
      </w:r>
      <w:r w:rsidRPr="00363983">
        <w:rPr>
          <w:rFonts w:cs="Arial"/>
          <w:color w:val="000000"/>
          <w:sz w:val="22"/>
          <w:szCs w:val="22"/>
          <w:lang w:eastAsia="en-GB"/>
        </w:rPr>
        <w:t xml:space="preserve"> by key members of the DfE Account Management Team and </w:t>
      </w:r>
      <w:r w:rsidR="00252E33" w:rsidRPr="00363983">
        <w:rPr>
          <w:rFonts w:cs="Arial"/>
          <w:color w:val="000000"/>
          <w:sz w:val="22"/>
          <w:szCs w:val="22"/>
          <w:lang w:eastAsia="en-GB"/>
        </w:rPr>
        <w:t>TP’s Adminis</w:t>
      </w:r>
      <w:r w:rsidRPr="00363983">
        <w:rPr>
          <w:rFonts w:cs="Arial"/>
          <w:color w:val="000000"/>
          <w:sz w:val="22"/>
          <w:szCs w:val="22"/>
          <w:lang w:eastAsia="en-GB"/>
        </w:rPr>
        <w:t xml:space="preserve">tration Team. </w:t>
      </w:r>
    </w:p>
    <w:p w14:paraId="09694865" w14:textId="77777777" w:rsidR="00E376C4" w:rsidRDefault="00E376C4" w:rsidP="00E376C4">
      <w:pPr>
        <w:ind w:left="426"/>
        <w:rPr>
          <w:rFonts w:cs="Arial"/>
          <w:color w:val="000000"/>
          <w:sz w:val="22"/>
          <w:szCs w:val="22"/>
          <w:lang w:eastAsia="en-GB"/>
        </w:rPr>
      </w:pPr>
    </w:p>
    <w:p w14:paraId="270AFA0C" w14:textId="77777777" w:rsidR="00E376C4" w:rsidRPr="00363983" w:rsidRDefault="00E376C4" w:rsidP="00E376C4">
      <w:pPr>
        <w:ind w:left="426"/>
        <w:rPr>
          <w:rFonts w:cs="Arial"/>
          <w:color w:val="000000"/>
          <w:sz w:val="22"/>
          <w:szCs w:val="22"/>
          <w:lang w:eastAsia="en-GB"/>
        </w:rPr>
      </w:pPr>
    </w:p>
    <w:p w14:paraId="6B277067" w14:textId="77777777" w:rsidR="00E376C4" w:rsidRPr="00363983" w:rsidRDefault="00E376C4" w:rsidP="00481F37">
      <w:pPr>
        <w:ind w:firstLine="360"/>
        <w:rPr>
          <w:rFonts w:cs="Arial"/>
          <w:b/>
          <w:color w:val="000000"/>
          <w:szCs w:val="24"/>
          <w:lang w:eastAsia="en-GB"/>
        </w:rPr>
      </w:pPr>
      <w:r w:rsidRPr="00363983">
        <w:rPr>
          <w:rFonts w:cs="Arial"/>
          <w:b/>
          <w:color w:val="000000"/>
          <w:szCs w:val="24"/>
          <w:lang w:eastAsia="en-GB"/>
        </w:rPr>
        <w:t>Key Risks</w:t>
      </w:r>
    </w:p>
    <w:p w14:paraId="63101BA6" w14:textId="77777777" w:rsidR="00E376C4" w:rsidRPr="00363983" w:rsidRDefault="00E376C4" w:rsidP="00E376C4">
      <w:pPr>
        <w:ind w:left="426"/>
        <w:rPr>
          <w:rFonts w:cs="Arial"/>
          <w:b/>
          <w:color w:val="000000"/>
          <w:sz w:val="22"/>
          <w:szCs w:val="22"/>
          <w:lang w:eastAsia="en-GB"/>
        </w:rPr>
      </w:pPr>
    </w:p>
    <w:p w14:paraId="7C018F49" w14:textId="77777777" w:rsidR="00E376C4" w:rsidRPr="00363983" w:rsidRDefault="00E376C4" w:rsidP="00481F37">
      <w:pPr>
        <w:pStyle w:val="ListParagraph"/>
        <w:rPr>
          <w:rFonts w:cs="Arial"/>
          <w:b/>
          <w:color w:val="000000"/>
          <w:sz w:val="22"/>
          <w:szCs w:val="22"/>
          <w:lang w:eastAsia="en-GB"/>
        </w:rPr>
      </w:pPr>
      <w:r w:rsidRPr="00363983">
        <w:rPr>
          <w:rFonts w:cs="Arial"/>
          <w:b/>
          <w:color w:val="000000"/>
          <w:sz w:val="22"/>
          <w:szCs w:val="22"/>
          <w:lang w:eastAsia="en-GB"/>
        </w:rPr>
        <w:t>Deferred Project</w:t>
      </w:r>
    </w:p>
    <w:p w14:paraId="62E2D782" w14:textId="77777777"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A deferred pension relates to an active unclaimed pension, where a member has left the scheme but has neither transferred their existing pension to a new scheme nor claimed the residual funds.</w:t>
      </w:r>
    </w:p>
    <w:p w14:paraId="337276F6" w14:textId="77777777" w:rsidR="00E376C4" w:rsidRPr="00363983" w:rsidRDefault="00E376C4" w:rsidP="00E376C4">
      <w:pPr>
        <w:ind w:left="426"/>
        <w:rPr>
          <w:rFonts w:cs="Arial"/>
          <w:color w:val="000000"/>
          <w:sz w:val="22"/>
          <w:szCs w:val="22"/>
          <w:lang w:eastAsia="en-GB"/>
        </w:rPr>
      </w:pPr>
    </w:p>
    <w:p w14:paraId="494A81F3" w14:textId="17FEC5EA"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 xml:space="preserve">A project was initiated in May 2015 to trace and verify deferred members, passing data to a tracing service and offering payment of pension or a refund of contributions as appropriate. The project will attempt to trace c. 200k members over 48 months from April 2015 and so far </w:t>
      </w:r>
      <w:r w:rsidR="005B1967" w:rsidRPr="00363983">
        <w:rPr>
          <w:rFonts w:cs="Arial"/>
          <w:color w:val="000000"/>
          <w:sz w:val="22"/>
          <w:szCs w:val="22"/>
          <w:lang w:eastAsia="en-GB"/>
        </w:rPr>
        <w:t>15,112</w:t>
      </w:r>
      <w:r w:rsidRPr="00363983">
        <w:rPr>
          <w:rFonts w:cs="Arial"/>
          <w:color w:val="000000"/>
          <w:sz w:val="22"/>
          <w:szCs w:val="22"/>
          <w:lang w:eastAsia="en-GB"/>
        </w:rPr>
        <w:t xml:space="preserve"> records have been processed</w:t>
      </w:r>
      <w:r w:rsidR="00252E33" w:rsidRPr="00363983">
        <w:rPr>
          <w:rFonts w:cs="Arial"/>
          <w:color w:val="000000"/>
          <w:sz w:val="22"/>
          <w:szCs w:val="22"/>
          <w:lang w:eastAsia="en-GB"/>
        </w:rPr>
        <w:t xml:space="preserve"> </w:t>
      </w:r>
      <w:r w:rsidR="00252E33" w:rsidRPr="00363983">
        <w:rPr>
          <w:rFonts w:cs="Arial"/>
          <w:sz w:val="22"/>
          <w:szCs w:val="22"/>
          <w:lang w:eastAsia="en-GB"/>
        </w:rPr>
        <w:t>(an increase from 2,742 reported last quarter</w:t>
      </w:r>
      <w:r w:rsidR="008F14F7" w:rsidRPr="00363983">
        <w:rPr>
          <w:rFonts w:cs="Arial"/>
          <w:sz w:val="22"/>
          <w:szCs w:val="22"/>
          <w:lang w:eastAsia="en-GB"/>
        </w:rPr>
        <w:t>)</w:t>
      </w:r>
      <w:r w:rsidRPr="00363983">
        <w:rPr>
          <w:rFonts w:cs="Arial"/>
          <w:sz w:val="22"/>
          <w:szCs w:val="22"/>
          <w:lang w:eastAsia="en-GB"/>
        </w:rPr>
        <w:t xml:space="preserve">. Analysis of results received so far </w:t>
      </w:r>
      <w:r w:rsidR="005B1967" w:rsidRPr="00363983">
        <w:rPr>
          <w:rFonts w:cs="Arial"/>
          <w:sz w:val="22"/>
          <w:szCs w:val="22"/>
          <w:lang w:eastAsia="en-GB"/>
        </w:rPr>
        <w:t>has been carried out but is inconclusive</w:t>
      </w:r>
      <w:r w:rsidR="00252E33" w:rsidRPr="00363983">
        <w:rPr>
          <w:rFonts w:cs="Arial"/>
          <w:sz w:val="22"/>
          <w:szCs w:val="22"/>
          <w:lang w:eastAsia="en-GB"/>
        </w:rPr>
        <w:t xml:space="preserve"> and no trends have been determined</w:t>
      </w:r>
      <w:r w:rsidR="005B1967" w:rsidRPr="00363983">
        <w:rPr>
          <w:rFonts w:cs="Arial"/>
          <w:color w:val="000000"/>
          <w:sz w:val="22"/>
          <w:szCs w:val="22"/>
          <w:lang w:eastAsia="en-GB"/>
        </w:rPr>
        <w:t xml:space="preserve">. </w:t>
      </w:r>
      <w:r w:rsidR="00252E33" w:rsidRPr="00363983">
        <w:rPr>
          <w:rFonts w:cs="Arial"/>
          <w:sz w:val="22"/>
          <w:szCs w:val="22"/>
          <w:lang w:eastAsia="en-GB"/>
        </w:rPr>
        <w:t xml:space="preserve">Consequently, </w:t>
      </w:r>
      <w:r w:rsidR="005B1967" w:rsidRPr="00363983">
        <w:rPr>
          <w:rFonts w:cs="Arial"/>
          <w:sz w:val="22"/>
          <w:szCs w:val="22"/>
          <w:lang w:eastAsia="en-GB"/>
        </w:rPr>
        <w:t xml:space="preserve">there </w:t>
      </w:r>
      <w:r w:rsidR="005B1967" w:rsidRPr="00363983">
        <w:rPr>
          <w:rFonts w:cs="Arial"/>
          <w:color w:val="000000"/>
          <w:sz w:val="22"/>
          <w:szCs w:val="22"/>
          <w:lang w:eastAsia="en-GB"/>
        </w:rPr>
        <w:t>has been a change in the appro</w:t>
      </w:r>
      <w:r w:rsidR="004302F0" w:rsidRPr="00363983">
        <w:rPr>
          <w:rFonts w:cs="Arial"/>
          <w:color w:val="000000"/>
          <w:sz w:val="22"/>
          <w:szCs w:val="22"/>
          <w:lang w:eastAsia="en-GB"/>
        </w:rPr>
        <w:t xml:space="preserve">ach to the way data is reviewed </w:t>
      </w:r>
      <w:r w:rsidR="005B1967" w:rsidRPr="00363983">
        <w:rPr>
          <w:rFonts w:cs="Arial"/>
          <w:color w:val="000000"/>
          <w:sz w:val="22"/>
          <w:szCs w:val="22"/>
          <w:lang w:eastAsia="en-GB"/>
        </w:rPr>
        <w:t xml:space="preserve">and the monthly data </w:t>
      </w:r>
      <w:r w:rsidR="004302F0" w:rsidRPr="00363983">
        <w:rPr>
          <w:rFonts w:cs="Arial"/>
          <w:sz w:val="22"/>
          <w:szCs w:val="22"/>
          <w:lang w:eastAsia="en-GB"/>
        </w:rPr>
        <w:t>interrogation</w:t>
      </w:r>
      <w:r w:rsidR="005B1967" w:rsidRPr="00363983">
        <w:rPr>
          <w:rFonts w:cs="Arial"/>
          <w:sz w:val="22"/>
          <w:szCs w:val="22"/>
          <w:lang w:eastAsia="en-GB"/>
        </w:rPr>
        <w:t xml:space="preserve"> </w:t>
      </w:r>
      <w:r w:rsidR="005B1967" w:rsidRPr="00363983">
        <w:rPr>
          <w:rFonts w:cs="Arial"/>
          <w:color w:val="000000"/>
          <w:sz w:val="22"/>
          <w:szCs w:val="22"/>
          <w:lang w:eastAsia="en-GB"/>
        </w:rPr>
        <w:t xml:space="preserve">will now include </w:t>
      </w:r>
      <w:r w:rsidR="004302F0" w:rsidRPr="00363983">
        <w:rPr>
          <w:rFonts w:cs="Arial"/>
          <w:color w:val="000000"/>
          <w:sz w:val="22"/>
          <w:szCs w:val="22"/>
          <w:lang w:eastAsia="en-GB"/>
        </w:rPr>
        <w:t>around</w:t>
      </w:r>
      <w:r w:rsidR="005B1967" w:rsidRPr="00363983">
        <w:rPr>
          <w:rFonts w:cs="Arial"/>
          <w:color w:val="000000"/>
          <w:sz w:val="22"/>
          <w:szCs w:val="22"/>
          <w:lang w:eastAsia="en-GB"/>
        </w:rPr>
        <w:t xml:space="preserve"> 500 cases </w:t>
      </w:r>
      <w:r w:rsidR="004302F0" w:rsidRPr="00363983">
        <w:rPr>
          <w:rFonts w:cs="Arial"/>
          <w:color w:val="000000"/>
          <w:sz w:val="22"/>
          <w:szCs w:val="22"/>
          <w:lang w:eastAsia="en-GB"/>
        </w:rPr>
        <w:t xml:space="preserve">where the </w:t>
      </w:r>
      <w:r w:rsidR="005B1967" w:rsidRPr="00363983">
        <w:rPr>
          <w:rFonts w:cs="Arial"/>
          <w:color w:val="000000"/>
          <w:sz w:val="22"/>
          <w:szCs w:val="22"/>
          <w:lang w:eastAsia="en-GB"/>
        </w:rPr>
        <w:t>predicted</w:t>
      </w:r>
      <w:r w:rsidR="004302F0" w:rsidRPr="00363983">
        <w:rPr>
          <w:rFonts w:cs="Arial"/>
          <w:color w:val="000000"/>
          <w:sz w:val="22"/>
          <w:szCs w:val="22"/>
          <w:lang w:eastAsia="en-GB"/>
        </w:rPr>
        <w:t xml:space="preserve"> value is</w:t>
      </w:r>
      <w:r w:rsidR="005B1967" w:rsidRPr="00363983">
        <w:rPr>
          <w:rFonts w:cs="Arial"/>
          <w:color w:val="000000"/>
          <w:sz w:val="22"/>
          <w:szCs w:val="22"/>
          <w:lang w:eastAsia="en-GB"/>
        </w:rPr>
        <w:t xml:space="preserve"> highest</w:t>
      </w:r>
      <w:r w:rsidR="00252E33" w:rsidRPr="00363983">
        <w:rPr>
          <w:rFonts w:cs="Arial"/>
          <w:color w:val="000000"/>
          <w:sz w:val="22"/>
          <w:szCs w:val="22"/>
          <w:lang w:eastAsia="en-GB"/>
        </w:rPr>
        <w:t>;</w:t>
      </w:r>
      <w:r w:rsidR="004302F0" w:rsidRPr="00363983">
        <w:rPr>
          <w:rFonts w:cs="Arial"/>
          <w:color w:val="000000"/>
          <w:sz w:val="22"/>
          <w:szCs w:val="22"/>
          <w:lang w:eastAsia="en-GB"/>
        </w:rPr>
        <w:t xml:space="preserve"> </w:t>
      </w:r>
      <w:r w:rsidR="005B1967" w:rsidRPr="00363983">
        <w:rPr>
          <w:rFonts w:cs="Arial"/>
          <w:color w:val="000000"/>
          <w:sz w:val="22"/>
          <w:szCs w:val="22"/>
          <w:lang w:eastAsia="en-GB"/>
        </w:rPr>
        <w:t xml:space="preserve">  the intention</w:t>
      </w:r>
      <w:r w:rsidR="004302F0" w:rsidRPr="00363983">
        <w:rPr>
          <w:rFonts w:cs="Arial"/>
          <w:color w:val="000000"/>
          <w:sz w:val="22"/>
          <w:szCs w:val="22"/>
          <w:lang w:eastAsia="en-GB"/>
        </w:rPr>
        <w:t xml:space="preserve"> being to </w:t>
      </w:r>
      <w:r w:rsidR="00252E33" w:rsidRPr="00363983">
        <w:rPr>
          <w:rFonts w:cs="Arial"/>
          <w:color w:val="000000"/>
          <w:sz w:val="22"/>
          <w:szCs w:val="22"/>
          <w:lang w:eastAsia="en-GB"/>
        </w:rPr>
        <w:t>inform</w:t>
      </w:r>
      <w:r w:rsidR="005B1967" w:rsidRPr="00363983">
        <w:rPr>
          <w:rFonts w:cs="Arial"/>
          <w:color w:val="000000"/>
          <w:sz w:val="22"/>
          <w:szCs w:val="22"/>
          <w:lang w:eastAsia="en-GB"/>
        </w:rPr>
        <w:t xml:space="preserve"> a more accurate forecast of scheme impact.</w:t>
      </w:r>
    </w:p>
    <w:p w14:paraId="4A68252A" w14:textId="77777777" w:rsidR="00E376C4" w:rsidRPr="00363983" w:rsidRDefault="00E376C4" w:rsidP="00E376C4">
      <w:pPr>
        <w:ind w:left="426"/>
        <w:rPr>
          <w:rFonts w:cs="Arial"/>
          <w:color w:val="000000"/>
          <w:sz w:val="22"/>
          <w:szCs w:val="22"/>
          <w:lang w:eastAsia="en-GB"/>
        </w:rPr>
      </w:pPr>
    </w:p>
    <w:p w14:paraId="18668697" w14:textId="1D6C3FB1"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 xml:space="preserve">The </w:t>
      </w:r>
      <w:r w:rsidR="0005390B" w:rsidRPr="00363983">
        <w:rPr>
          <w:rFonts w:cs="Arial"/>
          <w:color w:val="000000"/>
          <w:sz w:val="22"/>
          <w:szCs w:val="22"/>
          <w:lang w:eastAsia="en-GB"/>
        </w:rPr>
        <w:t>n</w:t>
      </w:r>
      <w:r w:rsidRPr="00363983">
        <w:rPr>
          <w:rFonts w:cs="Arial"/>
          <w:color w:val="000000"/>
          <w:sz w:val="22"/>
          <w:szCs w:val="22"/>
          <w:lang w:eastAsia="en-GB"/>
        </w:rPr>
        <w:t xml:space="preserve">et </w:t>
      </w:r>
      <w:r w:rsidR="0005390B" w:rsidRPr="00363983">
        <w:rPr>
          <w:rFonts w:cs="Arial"/>
          <w:color w:val="000000"/>
          <w:sz w:val="22"/>
          <w:szCs w:val="22"/>
          <w:lang w:eastAsia="en-GB"/>
        </w:rPr>
        <w:t>r</w:t>
      </w:r>
      <w:r w:rsidRPr="00363983">
        <w:rPr>
          <w:rFonts w:cs="Arial"/>
          <w:color w:val="000000"/>
          <w:sz w:val="22"/>
          <w:szCs w:val="22"/>
          <w:lang w:eastAsia="en-GB"/>
        </w:rPr>
        <w:t xml:space="preserve">isk remains the same as the </w:t>
      </w:r>
      <w:r w:rsidR="0005390B" w:rsidRPr="00363983">
        <w:rPr>
          <w:rFonts w:cs="Arial"/>
          <w:color w:val="000000"/>
          <w:sz w:val="22"/>
          <w:szCs w:val="22"/>
          <w:lang w:eastAsia="en-GB"/>
        </w:rPr>
        <w:t>t</w:t>
      </w:r>
      <w:r w:rsidRPr="00363983">
        <w:rPr>
          <w:rFonts w:cs="Arial"/>
          <w:color w:val="000000"/>
          <w:sz w:val="22"/>
          <w:szCs w:val="22"/>
          <w:lang w:eastAsia="en-GB"/>
        </w:rPr>
        <w:t xml:space="preserve">arget </w:t>
      </w:r>
      <w:r w:rsidR="0005390B" w:rsidRPr="00363983">
        <w:rPr>
          <w:rFonts w:cs="Arial"/>
          <w:color w:val="000000"/>
          <w:sz w:val="22"/>
          <w:szCs w:val="22"/>
          <w:lang w:eastAsia="en-GB"/>
        </w:rPr>
        <w:t>r</w:t>
      </w:r>
      <w:r w:rsidRPr="00363983">
        <w:rPr>
          <w:rFonts w:cs="Arial"/>
          <w:color w:val="000000"/>
          <w:sz w:val="22"/>
          <w:szCs w:val="22"/>
          <w:lang w:eastAsia="en-GB"/>
        </w:rPr>
        <w:t xml:space="preserve">isk, although comfort may be derived from the results of </w:t>
      </w:r>
      <w:r w:rsidR="005B1967" w:rsidRPr="00363983">
        <w:rPr>
          <w:rFonts w:cs="Arial"/>
          <w:color w:val="000000"/>
          <w:sz w:val="22"/>
          <w:szCs w:val="22"/>
          <w:lang w:eastAsia="en-GB"/>
        </w:rPr>
        <w:t xml:space="preserve">further </w:t>
      </w:r>
      <w:r w:rsidRPr="00363983">
        <w:rPr>
          <w:rFonts w:cs="Arial"/>
          <w:color w:val="000000"/>
          <w:sz w:val="22"/>
          <w:szCs w:val="22"/>
          <w:lang w:eastAsia="en-GB"/>
        </w:rPr>
        <w:t>analysis</w:t>
      </w:r>
      <w:r w:rsidR="005B1967" w:rsidRPr="00363983">
        <w:rPr>
          <w:rFonts w:cs="Arial"/>
          <w:color w:val="000000"/>
          <w:sz w:val="22"/>
          <w:szCs w:val="22"/>
          <w:lang w:eastAsia="en-GB"/>
        </w:rPr>
        <w:t xml:space="preserve"> following the change in approach</w:t>
      </w:r>
      <w:r w:rsidRPr="00363983">
        <w:rPr>
          <w:rFonts w:cs="Arial"/>
          <w:color w:val="000000"/>
          <w:sz w:val="22"/>
          <w:szCs w:val="22"/>
          <w:lang w:eastAsia="en-GB"/>
        </w:rPr>
        <w:t>.</w:t>
      </w:r>
    </w:p>
    <w:p w14:paraId="30460987" w14:textId="77777777" w:rsidR="00E376C4" w:rsidRPr="00363983" w:rsidRDefault="00E376C4" w:rsidP="00E376C4">
      <w:pPr>
        <w:ind w:left="426"/>
        <w:rPr>
          <w:rFonts w:cs="Arial"/>
          <w:color w:val="000000"/>
          <w:sz w:val="22"/>
          <w:szCs w:val="22"/>
          <w:lang w:eastAsia="en-GB"/>
        </w:rPr>
      </w:pPr>
    </w:p>
    <w:p w14:paraId="09E83C24" w14:textId="77777777" w:rsidR="00E376C4" w:rsidRPr="00363983" w:rsidRDefault="00E376C4" w:rsidP="00481F37">
      <w:pPr>
        <w:pStyle w:val="ListParagraph"/>
        <w:rPr>
          <w:rFonts w:cs="Arial"/>
          <w:b/>
          <w:color w:val="000000"/>
          <w:sz w:val="22"/>
          <w:szCs w:val="22"/>
          <w:lang w:eastAsia="en-GB"/>
        </w:rPr>
      </w:pPr>
      <w:r w:rsidRPr="00363983">
        <w:rPr>
          <w:rFonts w:cs="Arial"/>
          <w:b/>
          <w:color w:val="000000"/>
          <w:sz w:val="22"/>
          <w:szCs w:val="22"/>
          <w:lang w:eastAsia="en-GB"/>
        </w:rPr>
        <w:t>Outcomes</w:t>
      </w:r>
    </w:p>
    <w:p w14:paraId="2D57D81E" w14:textId="33F96D16" w:rsidR="00E376C4" w:rsidRPr="00363983" w:rsidRDefault="00BC135C" w:rsidP="00481F37">
      <w:pPr>
        <w:pStyle w:val="ListParagraph"/>
        <w:numPr>
          <w:ilvl w:val="0"/>
          <w:numId w:val="23"/>
        </w:numPr>
        <w:rPr>
          <w:rFonts w:cs="Arial"/>
          <w:sz w:val="22"/>
          <w:szCs w:val="22"/>
          <w:lang w:eastAsia="en-GB"/>
        </w:rPr>
      </w:pPr>
      <w:r w:rsidRPr="00363983">
        <w:rPr>
          <w:rFonts w:cs="Arial"/>
          <w:color w:val="000000"/>
          <w:sz w:val="22"/>
          <w:szCs w:val="22"/>
          <w:lang w:eastAsia="en-GB"/>
        </w:rPr>
        <w:t xml:space="preserve">Changes in the approach to the way a number of outcomes are measured, as mentioned in the previous report, appear to have borne fruit and initial results are promising. The full year results are due in November and </w:t>
      </w:r>
      <w:r w:rsidR="005E4B0F" w:rsidRPr="00363983">
        <w:rPr>
          <w:rFonts w:cs="Arial"/>
          <w:color w:val="000000"/>
          <w:sz w:val="22"/>
          <w:szCs w:val="22"/>
          <w:lang w:eastAsia="en-GB"/>
        </w:rPr>
        <w:t>will be</w:t>
      </w:r>
      <w:r w:rsidRPr="00363983">
        <w:rPr>
          <w:rFonts w:cs="Arial"/>
          <w:color w:val="000000"/>
          <w:sz w:val="22"/>
          <w:szCs w:val="22"/>
          <w:lang w:eastAsia="en-GB"/>
        </w:rPr>
        <w:t xml:space="preserve"> presented to the Board in December</w:t>
      </w:r>
      <w:r w:rsidR="0005390B" w:rsidRPr="00363983">
        <w:rPr>
          <w:rFonts w:cs="Arial"/>
          <w:color w:val="000000"/>
          <w:sz w:val="22"/>
          <w:szCs w:val="22"/>
          <w:lang w:eastAsia="en-GB"/>
        </w:rPr>
        <w:t xml:space="preserve"> </w:t>
      </w:r>
      <w:r w:rsidR="0005390B" w:rsidRPr="00363983">
        <w:rPr>
          <w:rFonts w:cs="Arial"/>
          <w:sz w:val="22"/>
          <w:szCs w:val="22"/>
          <w:lang w:eastAsia="en-GB"/>
        </w:rPr>
        <w:t>(agenda item 7)</w:t>
      </w:r>
      <w:r w:rsidRPr="00363983">
        <w:rPr>
          <w:rFonts w:cs="Arial"/>
          <w:sz w:val="22"/>
          <w:szCs w:val="22"/>
          <w:lang w:eastAsia="en-GB"/>
        </w:rPr>
        <w:t>.</w:t>
      </w:r>
    </w:p>
    <w:p w14:paraId="1E0AC2BA" w14:textId="77777777" w:rsidR="00E376C4" w:rsidRPr="00363983" w:rsidRDefault="00E376C4" w:rsidP="00E376C4">
      <w:pPr>
        <w:ind w:left="426"/>
        <w:rPr>
          <w:rFonts w:cs="Arial"/>
          <w:color w:val="000000"/>
          <w:sz w:val="22"/>
          <w:szCs w:val="22"/>
          <w:lang w:eastAsia="en-GB"/>
        </w:rPr>
      </w:pPr>
    </w:p>
    <w:p w14:paraId="1DDD2C85" w14:textId="586325B7"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 xml:space="preserve">The </w:t>
      </w:r>
      <w:r w:rsidR="0005390B" w:rsidRPr="00363983">
        <w:rPr>
          <w:rFonts w:cs="Arial"/>
          <w:color w:val="000000"/>
          <w:sz w:val="22"/>
          <w:szCs w:val="22"/>
          <w:lang w:eastAsia="en-GB"/>
        </w:rPr>
        <w:t>n</w:t>
      </w:r>
      <w:r w:rsidRPr="00363983">
        <w:rPr>
          <w:rFonts w:cs="Arial"/>
          <w:color w:val="000000"/>
          <w:sz w:val="22"/>
          <w:szCs w:val="22"/>
          <w:lang w:eastAsia="en-GB"/>
        </w:rPr>
        <w:t xml:space="preserve">et </w:t>
      </w:r>
      <w:r w:rsidR="0005390B" w:rsidRPr="00363983">
        <w:rPr>
          <w:rFonts w:cs="Arial"/>
          <w:color w:val="000000"/>
          <w:sz w:val="22"/>
          <w:szCs w:val="22"/>
          <w:lang w:eastAsia="en-GB"/>
        </w:rPr>
        <w:t>r</w:t>
      </w:r>
      <w:r w:rsidRPr="00363983">
        <w:rPr>
          <w:rFonts w:cs="Arial"/>
          <w:color w:val="000000"/>
          <w:sz w:val="22"/>
          <w:szCs w:val="22"/>
          <w:lang w:eastAsia="en-GB"/>
        </w:rPr>
        <w:t>isk remains Amber until the revised targets have been officially accepted and year-end results can be analysed against the targets.</w:t>
      </w:r>
    </w:p>
    <w:p w14:paraId="4901A0B7" w14:textId="77777777" w:rsidR="00E376C4" w:rsidRPr="00363983" w:rsidRDefault="00E376C4" w:rsidP="00E376C4">
      <w:pPr>
        <w:ind w:left="426"/>
        <w:rPr>
          <w:rFonts w:cs="Arial"/>
          <w:color w:val="000000"/>
          <w:sz w:val="22"/>
          <w:szCs w:val="22"/>
          <w:lang w:eastAsia="en-GB"/>
        </w:rPr>
      </w:pPr>
    </w:p>
    <w:p w14:paraId="196D207A" w14:textId="77777777" w:rsidR="00E376C4" w:rsidRPr="00363983" w:rsidRDefault="00E376C4" w:rsidP="00481F37">
      <w:pPr>
        <w:ind w:firstLine="720"/>
        <w:rPr>
          <w:rFonts w:cs="Arial"/>
          <w:b/>
          <w:color w:val="000000"/>
          <w:sz w:val="22"/>
          <w:szCs w:val="22"/>
          <w:lang w:eastAsia="en-GB"/>
        </w:rPr>
      </w:pPr>
      <w:r w:rsidRPr="00363983">
        <w:rPr>
          <w:rFonts w:cs="Arial"/>
          <w:b/>
          <w:color w:val="000000"/>
          <w:sz w:val="22"/>
          <w:szCs w:val="22"/>
          <w:lang w:eastAsia="en-GB"/>
        </w:rPr>
        <w:t>Re-location of Administration Services</w:t>
      </w:r>
    </w:p>
    <w:p w14:paraId="0A839DD3" w14:textId="6948685B" w:rsidR="00BC135C" w:rsidRPr="00363983" w:rsidRDefault="0005390B" w:rsidP="00BC135C">
      <w:pPr>
        <w:pStyle w:val="ListParagraph"/>
        <w:numPr>
          <w:ilvl w:val="0"/>
          <w:numId w:val="23"/>
        </w:numPr>
        <w:rPr>
          <w:rFonts w:cs="Arial"/>
          <w:color w:val="000000"/>
          <w:sz w:val="22"/>
          <w:szCs w:val="22"/>
          <w:lang w:eastAsia="en-GB"/>
        </w:rPr>
      </w:pPr>
      <w:r w:rsidRPr="00363983">
        <w:rPr>
          <w:rFonts w:cs="Arial"/>
          <w:color w:val="000000"/>
          <w:sz w:val="22"/>
          <w:szCs w:val="22"/>
          <w:lang w:eastAsia="en-GB"/>
        </w:rPr>
        <w:t>During October t</w:t>
      </w:r>
      <w:r w:rsidR="00BC135C" w:rsidRPr="00363983">
        <w:rPr>
          <w:rFonts w:cs="Arial"/>
          <w:color w:val="000000"/>
          <w:sz w:val="22"/>
          <w:szCs w:val="22"/>
          <w:lang w:eastAsia="en-GB"/>
        </w:rPr>
        <w:t xml:space="preserve">he administration service relocated from </w:t>
      </w:r>
      <w:r w:rsidR="00BC135C" w:rsidRPr="00363983">
        <w:rPr>
          <w:rFonts w:cs="Arial"/>
          <w:sz w:val="22"/>
          <w:szCs w:val="22"/>
          <w:lang w:eastAsia="en-GB"/>
        </w:rPr>
        <w:t xml:space="preserve">its </w:t>
      </w:r>
      <w:r w:rsidRPr="00363983">
        <w:rPr>
          <w:rFonts w:cs="Arial"/>
          <w:sz w:val="22"/>
          <w:szCs w:val="22"/>
          <w:lang w:eastAsia="en-GB"/>
        </w:rPr>
        <w:t xml:space="preserve">site </w:t>
      </w:r>
      <w:r w:rsidRPr="00363983">
        <w:rPr>
          <w:rFonts w:cs="Arial"/>
          <w:color w:val="000000"/>
          <w:sz w:val="22"/>
          <w:szCs w:val="22"/>
          <w:lang w:eastAsia="en-GB"/>
        </w:rPr>
        <w:t>in</w:t>
      </w:r>
      <w:r w:rsidR="00BC135C" w:rsidRPr="00363983">
        <w:rPr>
          <w:rFonts w:cs="Arial"/>
          <w:color w:val="000000"/>
          <w:sz w:val="22"/>
          <w:szCs w:val="22"/>
          <w:lang w:eastAsia="en-GB"/>
        </w:rPr>
        <w:t xml:space="preserve"> Mowden Hall to new premises at Lingfield Point, Darlington.</w:t>
      </w:r>
    </w:p>
    <w:p w14:paraId="764A4F49" w14:textId="77777777" w:rsidR="00BC135C" w:rsidRPr="00363983" w:rsidRDefault="00BC135C" w:rsidP="00BC135C">
      <w:pPr>
        <w:pStyle w:val="ListParagraph"/>
        <w:rPr>
          <w:rFonts w:cs="Arial"/>
          <w:color w:val="000000"/>
          <w:sz w:val="22"/>
          <w:szCs w:val="22"/>
          <w:lang w:eastAsia="en-GB"/>
        </w:rPr>
      </w:pPr>
    </w:p>
    <w:p w14:paraId="5BEC4B35" w14:textId="71416489"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 xml:space="preserve">A number of key </w:t>
      </w:r>
      <w:r w:rsidRPr="00363983">
        <w:rPr>
          <w:rFonts w:cs="Arial"/>
          <w:sz w:val="22"/>
          <w:szCs w:val="22"/>
          <w:lang w:eastAsia="en-GB"/>
        </w:rPr>
        <w:t>milestones</w:t>
      </w:r>
      <w:r w:rsidR="0005390B" w:rsidRPr="00363983">
        <w:rPr>
          <w:rFonts w:cs="Arial"/>
          <w:sz w:val="22"/>
          <w:szCs w:val="22"/>
          <w:lang w:eastAsia="en-GB"/>
        </w:rPr>
        <w:t xml:space="preserve"> in respect of the move</w:t>
      </w:r>
      <w:r w:rsidRPr="00363983">
        <w:rPr>
          <w:rFonts w:cs="Arial"/>
          <w:sz w:val="22"/>
          <w:szCs w:val="22"/>
          <w:lang w:eastAsia="en-GB"/>
        </w:rPr>
        <w:t xml:space="preserve"> </w:t>
      </w:r>
      <w:r w:rsidR="00BC135C" w:rsidRPr="00363983">
        <w:rPr>
          <w:rFonts w:cs="Arial"/>
          <w:color w:val="000000"/>
          <w:sz w:val="22"/>
          <w:szCs w:val="22"/>
          <w:lang w:eastAsia="en-GB"/>
        </w:rPr>
        <w:t>were met and</w:t>
      </w:r>
      <w:r w:rsidRPr="00363983">
        <w:rPr>
          <w:rFonts w:cs="Arial"/>
          <w:color w:val="000000"/>
          <w:sz w:val="22"/>
          <w:szCs w:val="22"/>
          <w:lang w:eastAsia="en-GB"/>
        </w:rPr>
        <w:t xml:space="preserve"> provide</w:t>
      </w:r>
      <w:r w:rsidR="00BC135C" w:rsidRPr="00363983">
        <w:rPr>
          <w:rFonts w:cs="Arial"/>
          <w:color w:val="000000"/>
          <w:sz w:val="22"/>
          <w:szCs w:val="22"/>
          <w:lang w:eastAsia="en-GB"/>
        </w:rPr>
        <w:t>d</w:t>
      </w:r>
      <w:r w:rsidRPr="00363983">
        <w:rPr>
          <w:rFonts w:cs="Arial"/>
          <w:color w:val="000000"/>
          <w:sz w:val="22"/>
          <w:szCs w:val="22"/>
          <w:lang w:eastAsia="en-GB"/>
        </w:rPr>
        <w:t xml:space="preserve"> </w:t>
      </w:r>
      <w:r w:rsidR="0005390B" w:rsidRPr="00363983">
        <w:rPr>
          <w:rFonts w:cs="Arial"/>
          <w:color w:val="000000"/>
          <w:sz w:val="22"/>
          <w:szCs w:val="22"/>
          <w:lang w:eastAsia="en-GB"/>
        </w:rPr>
        <w:t xml:space="preserve">on-going </w:t>
      </w:r>
      <w:r w:rsidRPr="00363983">
        <w:rPr>
          <w:rFonts w:cs="Arial"/>
          <w:color w:val="000000"/>
          <w:sz w:val="22"/>
          <w:szCs w:val="22"/>
          <w:lang w:eastAsia="en-GB"/>
        </w:rPr>
        <w:t xml:space="preserve">assurance of progress. </w:t>
      </w:r>
      <w:r w:rsidR="00BC135C" w:rsidRPr="00363983">
        <w:rPr>
          <w:rFonts w:cs="Arial"/>
          <w:color w:val="000000"/>
          <w:sz w:val="22"/>
          <w:szCs w:val="22"/>
          <w:lang w:eastAsia="en-GB"/>
        </w:rPr>
        <w:t xml:space="preserve">The final milestone </w:t>
      </w:r>
      <w:r w:rsidR="00EB5FBB" w:rsidRPr="00363983">
        <w:rPr>
          <w:rFonts w:cs="Arial"/>
          <w:color w:val="000000"/>
          <w:sz w:val="22"/>
          <w:szCs w:val="22"/>
          <w:lang w:eastAsia="en-GB"/>
        </w:rPr>
        <w:t>is due for completion in December, following the successful delivery of service from the new location for a full month. Following successful completion of this final milestone this risk will be closed.</w:t>
      </w:r>
    </w:p>
    <w:p w14:paraId="130E0F57" w14:textId="77777777" w:rsidR="00E376C4" w:rsidRPr="00363983" w:rsidRDefault="00E376C4" w:rsidP="00E376C4">
      <w:pPr>
        <w:ind w:left="426"/>
        <w:rPr>
          <w:rFonts w:cs="Arial"/>
          <w:color w:val="000000"/>
          <w:sz w:val="22"/>
          <w:szCs w:val="22"/>
          <w:lang w:eastAsia="en-GB"/>
        </w:rPr>
      </w:pPr>
    </w:p>
    <w:p w14:paraId="1D6F4357" w14:textId="77777777" w:rsidR="00E376C4" w:rsidRPr="00363983" w:rsidRDefault="00E376C4" w:rsidP="00481F37">
      <w:pPr>
        <w:ind w:firstLine="720"/>
        <w:rPr>
          <w:rFonts w:cs="Arial"/>
          <w:b/>
          <w:color w:val="000000"/>
          <w:sz w:val="22"/>
          <w:szCs w:val="22"/>
          <w:lang w:eastAsia="en-GB"/>
        </w:rPr>
      </w:pPr>
      <w:r w:rsidRPr="00363983">
        <w:rPr>
          <w:rFonts w:cs="Arial"/>
          <w:b/>
          <w:color w:val="000000"/>
          <w:sz w:val="22"/>
          <w:szCs w:val="22"/>
          <w:lang w:eastAsia="en-GB"/>
        </w:rPr>
        <w:t>Data Quality</w:t>
      </w:r>
    </w:p>
    <w:p w14:paraId="50772610" w14:textId="60164ADF" w:rsidR="00E376C4" w:rsidRPr="00363983" w:rsidRDefault="00252D14" w:rsidP="00481F37">
      <w:pPr>
        <w:pStyle w:val="ListParagraph"/>
        <w:numPr>
          <w:ilvl w:val="0"/>
          <w:numId w:val="23"/>
        </w:numPr>
        <w:rPr>
          <w:rFonts w:cs="Arial"/>
          <w:sz w:val="22"/>
          <w:szCs w:val="22"/>
          <w:lang w:eastAsia="en-GB"/>
        </w:rPr>
      </w:pPr>
      <w:r w:rsidRPr="00363983">
        <w:rPr>
          <w:rFonts w:cs="Arial"/>
          <w:color w:val="000000"/>
          <w:sz w:val="22"/>
          <w:szCs w:val="22"/>
          <w:lang w:eastAsia="en-GB"/>
        </w:rPr>
        <w:t>Data Quality was the subject of a ‘Horizon Scanning’ session held in October between the department and the administrators; this will result in the production of a revised Data Strategy to be delivered during contract year five and beyond</w:t>
      </w:r>
      <w:r w:rsidR="0005390B" w:rsidRPr="00363983">
        <w:rPr>
          <w:rFonts w:cs="Arial"/>
          <w:color w:val="000000"/>
          <w:sz w:val="22"/>
          <w:szCs w:val="22"/>
          <w:lang w:eastAsia="en-GB"/>
        </w:rPr>
        <w:t xml:space="preserve">, </w:t>
      </w:r>
      <w:r w:rsidR="008F14F7" w:rsidRPr="00363983">
        <w:rPr>
          <w:rFonts w:cs="Arial"/>
          <w:sz w:val="22"/>
          <w:szCs w:val="22"/>
          <w:lang w:eastAsia="en-GB"/>
        </w:rPr>
        <w:t>and which</w:t>
      </w:r>
      <w:r w:rsidR="0005390B" w:rsidRPr="00363983">
        <w:rPr>
          <w:rFonts w:cs="Arial"/>
          <w:sz w:val="22"/>
          <w:szCs w:val="22"/>
          <w:lang w:eastAsia="en-GB"/>
        </w:rPr>
        <w:t xml:space="preserve"> builds on initiatives already in place</w:t>
      </w:r>
      <w:r w:rsidRPr="00363983">
        <w:rPr>
          <w:rFonts w:cs="Arial"/>
          <w:sz w:val="22"/>
          <w:szCs w:val="22"/>
          <w:lang w:eastAsia="en-GB"/>
        </w:rPr>
        <w:t>.</w:t>
      </w:r>
    </w:p>
    <w:p w14:paraId="05FC1C44" w14:textId="77777777" w:rsidR="00E376C4" w:rsidRPr="00363983" w:rsidRDefault="00E376C4" w:rsidP="00E376C4">
      <w:pPr>
        <w:ind w:left="426"/>
        <w:rPr>
          <w:rFonts w:cs="Arial"/>
          <w:color w:val="000000"/>
          <w:sz w:val="22"/>
          <w:szCs w:val="22"/>
          <w:lang w:eastAsia="en-GB"/>
        </w:rPr>
      </w:pPr>
    </w:p>
    <w:p w14:paraId="33D5181F" w14:textId="505D43AD"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 xml:space="preserve">The risk remains at amber as recent results </w:t>
      </w:r>
      <w:r w:rsidR="008F14F7" w:rsidRPr="00363983">
        <w:rPr>
          <w:rFonts w:cs="Arial"/>
          <w:sz w:val="22"/>
          <w:szCs w:val="22"/>
          <w:lang w:eastAsia="en-GB"/>
        </w:rPr>
        <w:t xml:space="preserve">continue to </w:t>
      </w:r>
      <w:r w:rsidRPr="00363983">
        <w:rPr>
          <w:rFonts w:cs="Arial"/>
          <w:sz w:val="22"/>
          <w:szCs w:val="22"/>
          <w:lang w:eastAsia="en-GB"/>
        </w:rPr>
        <w:t xml:space="preserve">show </w:t>
      </w:r>
      <w:r w:rsidRPr="00363983">
        <w:rPr>
          <w:rFonts w:cs="Arial"/>
          <w:color w:val="000000"/>
          <w:sz w:val="22"/>
          <w:szCs w:val="22"/>
          <w:lang w:eastAsia="en-GB"/>
        </w:rPr>
        <w:t>that current targets are not all being achieved due to the scale of planned improvements and the stretching nature of those targets.  Current targets for the quality of common and conditional data are all set at 100%, with an average achieved rate of 9</w:t>
      </w:r>
      <w:r w:rsidR="000308E1" w:rsidRPr="00363983">
        <w:rPr>
          <w:rFonts w:cs="Arial"/>
          <w:color w:val="000000"/>
          <w:sz w:val="22"/>
          <w:szCs w:val="22"/>
          <w:lang w:eastAsia="en-GB"/>
        </w:rPr>
        <w:t>4.4</w:t>
      </w:r>
      <w:r w:rsidRPr="00363983">
        <w:rPr>
          <w:rFonts w:cs="Arial"/>
          <w:color w:val="000000"/>
          <w:sz w:val="22"/>
          <w:szCs w:val="22"/>
          <w:lang w:eastAsia="en-GB"/>
        </w:rPr>
        <w:t>%</w:t>
      </w:r>
      <w:r w:rsidR="000308E1" w:rsidRPr="00363983">
        <w:rPr>
          <w:rFonts w:cs="Arial"/>
          <w:color w:val="000000"/>
          <w:sz w:val="22"/>
          <w:szCs w:val="22"/>
          <w:lang w:eastAsia="en-GB"/>
        </w:rPr>
        <w:t>, an increase since last reported (92% previously)</w:t>
      </w:r>
      <w:r w:rsidRPr="00363983">
        <w:rPr>
          <w:rFonts w:cs="Arial"/>
          <w:color w:val="000000"/>
          <w:sz w:val="22"/>
          <w:szCs w:val="22"/>
          <w:lang w:eastAsia="en-GB"/>
        </w:rPr>
        <w:t xml:space="preserve">. </w:t>
      </w:r>
    </w:p>
    <w:p w14:paraId="110B38AD" w14:textId="77777777" w:rsidR="00E376C4" w:rsidRPr="00363983" w:rsidRDefault="00E376C4" w:rsidP="00E376C4">
      <w:pPr>
        <w:ind w:left="426"/>
        <w:rPr>
          <w:rFonts w:cs="Arial"/>
          <w:color w:val="000000"/>
          <w:sz w:val="22"/>
          <w:szCs w:val="22"/>
          <w:lang w:eastAsia="en-GB"/>
        </w:rPr>
      </w:pPr>
    </w:p>
    <w:p w14:paraId="297DB1FE" w14:textId="77777777" w:rsidR="00481F37" w:rsidRPr="00363983" w:rsidRDefault="00E376C4" w:rsidP="00481F37">
      <w:pPr>
        <w:pStyle w:val="ListParagraph"/>
        <w:rPr>
          <w:rFonts w:cs="Arial"/>
          <w:b/>
          <w:color w:val="000000"/>
          <w:sz w:val="22"/>
          <w:szCs w:val="22"/>
          <w:lang w:eastAsia="en-GB"/>
        </w:rPr>
      </w:pPr>
      <w:r w:rsidRPr="00363983">
        <w:rPr>
          <w:rFonts w:cs="Arial"/>
          <w:b/>
          <w:color w:val="000000"/>
          <w:sz w:val="22"/>
          <w:szCs w:val="22"/>
          <w:lang w:eastAsia="en-GB"/>
        </w:rPr>
        <w:t>Guaranteed Minimum Pension records</w:t>
      </w:r>
    </w:p>
    <w:p w14:paraId="5622335D" w14:textId="76B78760" w:rsidR="00E376C4" w:rsidRPr="00363983" w:rsidRDefault="00A5747E" w:rsidP="00481F37">
      <w:pPr>
        <w:pStyle w:val="ListParagraph"/>
        <w:numPr>
          <w:ilvl w:val="0"/>
          <w:numId w:val="23"/>
        </w:numPr>
        <w:rPr>
          <w:rFonts w:cs="Arial"/>
          <w:sz w:val="22"/>
          <w:szCs w:val="22"/>
          <w:lang w:eastAsia="en-GB"/>
        </w:rPr>
      </w:pPr>
      <w:r w:rsidRPr="00363983">
        <w:rPr>
          <w:rFonts w:cs="Arial"/>
          <w:color w:val="000000"/>
          <w:sz w:val="22"/>
          <w:szCs w:val="22"/>
          <w:lang w:eastAsia="en-GB"/>
        </w:rPr>
        <w:t xml:space="preserve">A detailed proposal has been submitted to progress the project which will </w:t>
      </w:r>
      <w:r w:rsidRPr="00363983">
        <w:rPr>
          <w:rFonts w:cs="Arial"/>
          <w:color w:val="000000"/>
          <w:sz w:val="22"/>
          <w:szCs w:val="22"/>
          <w:lang w:eastAsia="en-GB"/>
        </w:rPr>
        <w:lastRenderedPageBreak/>
        <w:t>reconcile HMRC data with TP data to ensure members have the right GMP value for their benefit calculations</w:t>
      </w:r>
      <w:r w:rsidR="009E748A" w:rsidRPr="00363983">
        <w:rPr>
          <w:rFonts w:cs="Arial"/>
          <w:color w:val="000000"/>
          <w:sz w:val="22"/>
          <w:szCs w:val="22"/>
          <w:lang w:eastAsia="en-GB"/>
        </w:rPr>
        <w:t>.  I</w:t>
      </w:r>
      <w:r w:rsidRPr="00363983">
        <w:rPr>
          <w:rFonts w:cs="Arial"/>
          <w:color w:val="000000"/>
          <w:sz w:val="22"/>
          <w:szCs w:val="22"/>
          <w:lang w:eastAsia="en-GB"/>
        </w:rPr>
        <w:t xml:space="preserve">t is proposed this work will begin </w:t>
      </w:r>
      <w:r w:rsidR="009E748A" w:rsidRPr="00363983">
        <w:rPr>
          <w:rFonts w:cs="Arial"/>
          <w:color w:val="000000"/>
          <w:sz w:val="22"/>
          <w:szCs w:val="22"/>
          <w:lang w:eastAsia="en-GB"/>
        </w:rPr>
        <w:t>in late</w:t>
      </w:r>
      <w:r w:rsidRPr="00363983">
        <w:rPr>
          <w:rFonts w:cs="Arial"/>
          <w:color w:val="000000"/>
          <w:sz w:val="22"/>
          <w:szCs w:val="22"/>
          <w:lang w:eastAsia="en-GB"/>
        </w:rPr>
        <w:t xml:space="preserve"> 201</w:t>
      </w:r>
      <w:r w:rsidR="009E748A" w:rsidRPr="00363983">
        <w:rPr>
          <w:rFonts w:cs="Arial"/>
          <w:color w:val="000000"/>
          <w:sz w:val="22"/>
          <w:szCs w:val="22"/>
          <w:lang w:eastAsia="en-GB"/>
        </w:rPr>
        <w:t>5/early 2016</w:t>
      </w:r>
      <w:r w:rsidRPr="00363983">
        <w:rPr>
          <w:rFonts w:cs="Arial"/>
          <w:color w:val="000000"/>
          <w:sz w:val="22"/>
          <w:szCs w:val="22"/>
          <w:lang w:eastAsia="en-GB"/>
        </w:rPr>
        <w:t xml:space="preserve"> subject to the proposal being agreed</w:t>
      </w:r>
      <w:r w:rsidRPr="00363983">
        <w:rPr>
          <w:rFonts w:cs="Arial"/>
          <w:sz w:val="22"/>
          <w:szCs w:val="22"/>
          <w:lang w:eastAsia="en-GB"/>
        </w:rPr>
        <w:t>.</w:t>
      </w:r>
      <w:r w:rsidR="008F14F7" w:rsidRPr="00363983">
        <w:rPr>
          <w:rFonts w:cs="Arial"/>
          <w:sz w:val="22"/>
          <w:szCs w:val="22"/>
          <w:lang w:eastAsia="en-GB"/>
        </w:rPr>
        <w:t xml:space="preserve">  This represents stage 2 of the project </w:t>
      </w:r>
      <w:r w:rsidR="00C14A68" w:rsidRPr="00363983">
        <w:rPr>
          <w:rFonts w:cs="Arial"/>
          <w:sz w:val="22"/>
          <w:szCs w:val="22"/>
          <w:lang w:eastAsia="en-GB"/>
        </w:rPr>
        <w:t>shown in the previous report, and further details on progressing stages 3-5 of the project will be worked up once further information becomes available from HMRC</w:t>
      </w:r>
      <w:r w:rsidR="009E748A" w:rsidRPr="00363983">
        <w:rPr>
          <w:rFonts w:cs="Arial"/>
          <w:sz w:val="22"/>
          <w:szCs w:val="22"/>
          <w:lang w:eastAsia="en-GB"/>
        </w:rPr>
        <w:t xml:space="preserve"> and experience is gained in </w:t>
      </w:r>
      <w:r w:rsidR="00EF5A60" w:rsidRPr="00363983">
        <w:rPr>
          <w:rFonts w:cs="Arial"/>
          <w:sz w:val="22"/>
          <w:szCs w:val="22"/>
          <w:lang w:eastAsia="en-GB"/>
        </w:rPr>
        <w:t>relation</w:t>
      </w:r>
      <w:r w:rsidR="009E748A" w:rsidRPr="00363983">
        <w:rPr>
          <w:rFonts w:cs="Arial"/>
          <w:sz w:val="22"/>
          <w:szCs w:val="22"/>
          <w:lang w:eastAsia="en-GB"/>
        </w:rPr>
        <w:t xml:space="preserve"> to stage 2</w:t>
      </w:r>
      <w:r w:rsidR="00C14A68" w:rsidRPr="00363983">
        <w:rPr>
          <w:rFonts w:cs="Arial"/>
          <w:sz w:val="22"/>
          <w:szCs w:val="22"/>
          <w:lang w:eastAsia="en-GB"/>
        </w:rPr>
        <w:t xml:space="preserve">. </w:t>
      </w:r>
    </w:p>
    <w:p w14:paraId="79196BAC" w14:textId="77777777" w:rsidR="00A5747E" w:rsidRPr="00363983" w:rsidRDefault="00A5747E" w:rsidP="00A5747E">
      <w:pPr>
        <w:pStyle w:val="ListParagraph"/>
        <w:rPr>
          <w:rFonts w:cs="Arial"/>
          <w:color w:val="000000"/>
          <w:sz w:val="22"/>
          <w:szCs w:val="22"/>
          <w:lang w:eastAsia="en-GB"/>
        </w:rPr>
      </w:pPr>
    </w:p>
    <w:p w14:paraId="63E64D1A" w14:textId="17846D0A" w:rsidR="00A5747E" w:rsidRPr="00363983" w:rsidRDefault="00A5747E" w:rsidP="00A5747E">
      <w:pPr>
        <w:pStyle w:val="ListParagraph"/>
        <w:numPr>
          <w:ilvl w:val="0"/>
          <w:numId w:val="23"/>
        </w:numPr>
        <w:rPr>
          <w:rFonts w:cs="Arial"/>
          <w:color w:val="000000"/>
          <w:sz w:val="22"/>
          <w:szCs w:val="22"/>
          <w:lang w:eastAsia="en-GB"/>
        </w:rPr>
      </w:pPr>
      <w:r w:rsidRPr="00363983">
        <w:rPr>
          <w:rFonts w:cs="Arial"/>
          <w:color w:val="000000"/>
          <w:sz w:val="22"/>
          <w:szCs w:val="22"/>
          <w:lang w:eastAsia="en-GB"/>
        </w:rPr>
        <w:t>This risk is further c</w:t>
      </w:r>
      <w:r w:rsidR="009E748A" w:rsidRPr="00363983">
        <w:rPr>
          <w:rFonts w:cs="Arial"/>
          <w:color w:val="000000"/>
          <w:sz w:val="22"/>
          <w:szCs w:val="22"/>
          <w:lang w:eastAsia="en-GB"/>
        </w:rPr>
        <w:t>omplicated by the fact that GMPs may need to be equalised between men and women (currently the payment of GMS differs depending on gender).  HMT are currently taking legal advice on the best way in which to equalise the GMPs</w:t>
      </w:r>
      <w:r w:rsidR="005E4B0F" w:rsidRPr="00363983">
        <w:rPr>
          <w:rFonts w:cs="Arial"/>
          <w:color w:val="000000"/>
          <w:sz w:val="22"/>
          <w:szCs w:val="22"/>
          <w:lang w:eastAsia="en-GB"/>
        </w:rPr>
        <w:t>; t</w:t>
      </w:r>
      <w:r w:rsidR="009E748A" w:rsidRPr="00363983">
        <w:rPr>
          <w:rFonts w:cs="Arial"/>
          <w:color w:val="000000"/>
          <w:sz w:val="22"/>
          <w:szCs w:val="22"/>
          <w:lang w:eastAsia="en-GB"/>
        </w:rPr>
        <w:t>his is likely to change the amount of GMP the scheme needs to pay.  D</w:t>
      </w:r>
      <w:r w:rsidR="005E4B0F" w:rsidRPr="00363983">
        <w:rPr>
          <w:rFonts w:cs="Arial"/>
          <w:color w:val="000000"/>
          <w:sz w:val="22"/>
          <w:szCs w:val="22"/>
          <w:lang w:eastAsia="en-GB"/>
        </w:rPr>
        <w:t>ep</w:t>
      </w:r>
      <w:r w:rsidR="009E748A" w:rsidRPr="00363983">
        <w:rPr>
          <w:rFonts w:cs="Arial"/>
          <w:color w:val="000000"/>
          <w:sz w:val="22"/>
          <w:szCs w:val="22"/>
          <w:lang w:eastAsia="en-GB"/>
        </w:rPr>
        <w:t>ending on the method of equalisation the administration of  GMPs may become significantly more complex.</w:t>
      </w:r>
    </w:p>
    <w:p w14:paraId="43B4FAC0" w14:textId="77777777" w:rsidR="009E748A" w:rsidRPr="00363983" w:rsidRDefault="009E748A" w:rsidP="009E748A">
      <w:pPr>
        <w:pStyle w:val="ListParagraph"/>
        <w:rPr>
          <w:rFonts w:cs="Arial"/>
          <w:color w:val="000000"/>
          <w:sz w:val="22"/>
          <w:szCs w:val="22"/>
          <w:lang w:eastAsia="en-GB"/>
        </w:rPr>
      </w:pPr>
    </w:p>
    <w:p w14:paraId="58859F6B" w14:textId="3F6A840C" w:rsidR="00A5747E" w:rsidRPr="00363983" w:rsidRDefault="00A5747E" w:rsidP="00A5747E">
      <w:pPr>
        <w:pStyle w:val="ListParagraph"/>
        <w:numPr>
          <w:ilvl w:val="0"/>
          <w:numId w:val="23"/>
        </w:numPr>
        <w:rPr>
          <w:rFonts w:cs="Arial"/>
          <w:color w:val="000000"/>
          <w:sz w:val="22"/>
          <w:szCs w:val="22"/>
          <w:lang w:eastAsia="en-GB"/>
        </w:rPr>
      </w:pPr>
      <w:r w:rsidRPr="00363983">
        <w:rPr>
          <w:rFonts w:cs="Arial"/>
          <w:color w:val="000000"/>
          <w:sz w:val="22"/>
          <w:szCs w:val="22"/>
          <w:lang w:eastAsia="en-GB"/>
        </w:rPr>
        <w:t>The Net Risk remains red as a number of decisions are still required to progress the actions associated with the control of this risk</w:t>
      </w:r>
      <w:r w:rsidR="00C14A68" w:rsidRPr="00363983">
        <w:rPr>
          <w:rFonts w:cs="Arial"/>
          <w:color w:val="000000"/>
          <w:sz w:val="22"/>
          <w:szCs w:val="22"/>
          <w:lang w:eastAsia="en-GB"/>
        </w:rPr>
        <w:t>.</w:t>
      </w:r>
    </w:p>
    <w:p w14:paraId="1941C28F" w14:textId="77777777" w:rsidR="00E376C4" w:rsidRPr="00363983" w:rsidRDefault="00E376C4" w:rsidP="00E376C4">
      <w:pPr>
        <w:ind w:left="426"/>
        <w:rPr>
          <w:rFonts w:cs="Arial"/>
          <w:b/>
          <w:color w:val="000000"/>
          <w:szCs w:val="24"/>
          <w:lang w:eastAsia="en-GB"/>
        </w:rPr>
      </w:pPr>
    </w:p>
    <w:p w14:paraId="0AD1B701" w14:textId="77777777" w:rsidR="00E376C4" w:rsidRPr="00363983" w:rsidRDefault="00E376C4" w:rsidP="00481F37">
      <w:pPr>
        <w:pStyle w:val="ListParagraph"/>
        <w:rPr>
          <w:rFonts w:cs="Arial"/>
          <w:b/>
          <w:color w:val="000000"/>
          <w:szCs w:val="24"/>
          <w:lang w:eastAsia="en-GB"/>
        </w:rPr>
      </w:pPr>
      <w:r w:rsidRPr="00363983">
        <w:rPr>
          <w:rFonts w:cs="Arial"/>
          <w:b/>
          <w:color w:val="000000"/>
          <w:szCs w:val="24"/>
          <w:lang w:eastAsia="en-GB"/>
        </w:rPr>
        <w:t>Overview of all Risks</w:t>
      </w:r>
    </w:p>
    <w:p w14:paraId="2A6646AE" w14:textId="77777777" w:rsidR="00E376C4" w:rsidRPr="00363983" w:rsidRDefault="00E376C4" w:rsidP="00E376C4">
      <w:pPr>
        <w:ind w:left="426"/>
        <w:rPr>
          <w:rFonts w:cs="Arial"/>
          <w:color w:val="000000"/>
          <w:sz w:val="22"/>
          <w:szCs w:val="22"/>
          <w:lang w:eastAsia="en-GB"/>
        </w:rPr>
      </w:pPr>
    </w:p>
    <w:p w14:paraId="30B24639" w14:textId="77777777" w:rsidR="00A5747E" w:rsidRPr="00363983" w:rsidRDefault="00A5747E"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A thorough review of all risks was held in September/October and this resulted in a reduction of the volume of risks reported on the Risk Register (due to both closure and consolidation).</w:t>
      </w:r>
    </w:p>
    <w:p w14:paraId="423CB759" w14:textId="77777777" w:rsidR="00A5747E" w:rsidRPr="00363983" w:rsidRDefault="00A5747E" w:rsidP="00A5747E">
      <w:pPr>
        <w:pStyle w:val="ListParagraph"/>
        <w:rPr>
          <w:rFonts w:cs="Arial"/>
          <w:color w:val="000000"/>
          <w:sz w:val="22"/>
          <w:szCs w:val="22"/>
          <w:lang w:eastAsia="en-GB"/>
        </w:rPr>
      </w:pPr>
    </w:p>
    <w:p w14:paraId="2E52A57A" w14:textId="77777777" w:rsidR="00E376C4" w:rsidRPr="00363983" w:rsidRDefault="00A5747E"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There are currently 19</w:t>
      </w:r>
      <w:r w:rsidR="00E376C4" w:rsidRPr="00363983">
        <w:rPr>
          <w:rFonts w:cs="Arial"/>
          <w:color w:val="000000"/>
          <w:sz w:val="22"/>
          <w:szCs w:val="22"/>
          <w:lang w:eastAsia="en-GB"/>
        </w:rPr>
        <w:t xml:space="preserve"> </w:t>
      </w:r>
      <w:r w:rsidR="00E376C4" w:rsidRPr="00363983">
        <w:rPr>
          <w:rFonts w:cs="Arial"/>
          <w:b/>
          <w:color w:val="000000"/>
          <w:sz w:val="22"/>
          <w:szCs w:val="22"/>
          <w:lang w:eastAsia="en-GB"/>
        </w:rPr>
        <w:t>Strategic Risks</w:t>
      </w:r>
      <w:r w:rsidR="00E376C4" w:rsidRPr="00363983">
        <w:rPr>
          <w:rFonts w:cs="Arial"/>
          <w:color w:val="000000"/>
          <w:sz w:val="22"/>
          <w:szCs w:val="22"/>
          <w:lang w:eastAsia="en-GB"/>
        </w:rPr>
        <w:t xml:space="preserve"> under management</w:t>
      </w:r>
      <w:r w:rsidRPr="00363983">
        <w:rPr>
          <w:rFonts w:cs="Arial"/>
          <w:color w:val="000000"/>
          <w:sz w:val="22"/>
          <w:szCs w:val="22"/>
          <w:lang w:eastAsia="en-GB"/>
        </w:rPr>
        <w:t xml:space="preserve"> (previously 26)</w:t>
      </w:r>
      <w:r w:rsidR="00E376C4" w:rsidRPr="00363983">
        <w:rPr>
          <w:rFonts w:cs="Arial"/>
          <w:color w:val="000000"/>
          <w:sz w:val="22"/>
          <w:szCs w:val="22"/>
          <w:lang w:eastAsia="en-GB"/>
        </w:rPr>
        <w:t>, t</w:t>
      </w:r>
      <w:r w:rsidRPr="00363983">
        <w:rPr>
          <w:rFonts w:cs="Arial"/>
          <w:color w:val="000000"/>
          <w:sz w:val="22"/>
          <w:szCs w:val="22"/>
          <w:lang w:eastAsia="en-GB"/>
        </w:rPr>
        <w:t>wo</w:t>
      </w:r>
      <w:r w:rsidR="00E376C4" w:rsidRPr="00363983">
        <w:rPr>
          <w:rFonts w:cs="Arial"/>
          <w:color w:val="000000"/>
          <w:sz w:val="22"/>
          <w:szCs w:val="22"/>
          <w:lang w:eastAsia="en-GB"/>
        </w:rPr>
        <w:t xml:space="preserve"> of which carry a ‘High’ net risk rating and which have strong controls in place:</w:t>
      </w:r>
    </w:p>
    <w:p w14:paraId="33A3127C" w14:textId="77777777" w:rsidR="00E376C4" w:rsidRPr="00363983" w:rsidRDefault="00E376C4" w:rsidP="00E376C4">
      <w:pPr>
        <w:ind w:left="426"/>
        <w:rPr>
          <w:rFonts w:cs="Arial"/>
          <w:color w:val="000000"/>
          <w:sz w:val="22"/>
          <w:szCs w:val="22"/>
          <w:lang w:eastAsia="en-GB"/>
        </w:rPr>
      </w:pPr>
    </w:p>
    <w:p w14:paraId="1208FEBC" w14:textId="77777777" w:rsidR="00E376C4" w:rsidRPr="00363983" w:rsidRDefault="00481F37" w:rsidP="00481F37">
      <w:pPr>
        <w:pStyle w:val="ListParagraph"/>
        <w:rPr>
          <w:rFonts w:cs="Arial"/>
          <w:color w:val="000000"/>
          <w:sz w:val="22"/>
          <w:szCs w:val="22"/>
          <w:lang w:eastAsia="en-GB"/>
        </w:rPr>
      </w:pPr>
      <w:r w:rsidRPr="00363983">
        <w:rPr>
          <w:rFonts w:cs="Arial"/>
          <w:b/>
          <w:color w:val="000000"/>
          <w:sz w:val="22"/>
          <w:szCs w:val="22"/>
          <w:lang w:eastAsia="en-GB"/>
        </w:rPr>
        <w:t xml:space="preserve">i) </w:t>
      </w:r>
      <w:r w:rsidR="00A5747E" w:rsidRPr="00363983">
        <w:rPr>
          <w:rFonts w:cs="Arial"/>
          <w:b/>
          <w:color w:val="000000"/>
          <w:sz w:val="22"/>
          <w:szCs w:val="22"/>
          <w:lang w:eastAsia="en-GB"/>
        </w:rPr>
        <w:t>Data Quality</w:t>
      </w:r>
      <w:r w:rsidR="00E376C4" w:rsidRPr="00363983">
        <w:rPr>
          <w:rFonts w:cs="Arial"/>
          <w:color w:val="000000"/>
          <w:sz w:val="22"/>
          <w:szCs w:val="22"/>
          <w:lang w:eastAsia="en-GB"/>
        </w:rPr>
        <w:t xml:space="preserve"> – As described above (Dashboard item)</w:t>
      </w:r>
      <w:r w:rsidR="009D4542" w:rsidRPr="00363983">
        <w:rPr>
          <w:rFonts w:cs="Arial"/>
          <w:color w:val="000000"/>
          <w:sz w:val="22"/>
          <w:szCs w:val="22"/>
          <w:lang w:eastAsia="en-GB"/>
        </w:rPr>
        <w:t>.</w:t>
      </w:r>
    </w:p>
    <w:p w14:paraId="7E21240C" w14:textId="77777777" w:rsidR="00E376C4" w:rsidRPr="00363983" w:rsidRDefault="00E376C4" w:rsidP="00E376C4">
      <w:pPr>
        <w:ind w:left="426"/>
        <w:rPr>
          <w:rFonts w:cs="Arial"/>
          <w:color w:val="000000"/>
          <w:sz w:val="22"/>
          <w:szCs w:val="22"/>
          <w:lang w:eastAsia="en-GB"/>
        </w:rPr>
      </w:pPr>
    </w:p>
    <w:p w14:paraId="5870D193" w14:textId="77777777" w:rsidR="00E376C4" w:rsidRPr="00363983" w:rsidRDefault="00481F37" w:rsidP="00481F37">
      <w:pPr>
        <w:pStyle w:val="ListParagraph"/>
        <w:rPr>
          <w:rFonts w:cs="Arial"/>
          <w:color w:val="000000"/>
          <w:sz w:val="22"/>
          <w:szCs w:val="22"/>
          <w:lang w:eastAsia="en-GB"/>
        </w:rPr>
      </w:pPr>
      <w:r w:rsidRPr="00363983">
        <w:rPr>
          <w:rFonts w:cs="Arial"/>
          <w:b/>
          <w:color w:val="000000"/>
          <w:sz w:val="22"/>
          <w:szCs w:val="22"/>
          <w:lang w:eastAsia="en-GB"/>
        </w:rPr>
        <w:t xml:space="preserve">ii) </w:t>
      </w:r>
      <w:r w:rsidR="00E376C4" w:rsidRPr="00363983">
        <w:rPr>
          <w:rFonts w:cs="Arial"/>
          <w:b/>
          <w:color w:val="000000"/>
          <w:sz w:val="22"/>
          <w:szCs w:val="22"/>
          <w:lang w:eastAsia="en-GB"/>
        </w:rPr>
        <w:t>Guaranteed Minimum Pension records</w:t>
      </w:r>
      <w:r w:rsidR="00E376C4" w:rsidRPr="00363983">
        <w:rPr>
          <w:rFonts w:cs="Arial"/>
          <w:color w:val="000000"/>
          <w:sz w:val="22"/>
          <w:szCs w:val="22"/>
          <w:lang w:eastAsia="en-GB"/>
        </w:rPr>
        <w:t xml:space="preserve"> (Scheme accounts) - As described above (Dashboard item)</w:t>
      </w:r>
      <w:r w:rsidR="009D4542" w:rsidRPr="00363983">
        <w:rPr>
          <w:rFonts w:cs="Arial"/>
          <w:color w:val="000000"/>
          <w:sz w:val="22"/>
          <w:szCs w:val="22"/>
          <w:lang w:eastAsia="en-GB"/>
        </w:rPr>
        <w:t>.</w:t>
      </w:r>
      <w:r w:rsidR="00E376C4" w:rsidRPr="00363983">
        <w:rPr>
          <w:rFonts w:cs="Arial"/>
          <w:color w:val="000000"/>
          <w:sz w:val="22"/>
          <w:szCs w:val="22"/>
          <w:lang w:eastAsia="en-GB"/>
        </w:rPr>
        <w:t xml:space="preserve"> </w:t>
      </w:r>
    </w:p>
    <w:p w14:paraId="7B24DFEC" w14:textId="77777777" w:rsidR="00E376C4" w:rsidRPr="00363983" w:rsidRDefault="00E376C4" w:rsidP="00E376C4">
      <w:pPr>
        <w:ind w:left="426"/>
        <w:rPr>
          <w:rFonts w:cs="Arial"/>
          <w:color w:val="000000"/>
          <w:sz w:val="22"/>
          <w:szCs w:val="22"/>
          <w:lang w:eastAsia="en-GB"/>
        </w:rPr>
      </w:pPr>
    </w:p>
    <w:p w14:paraId="50AF53AC" w14:textId="77777777" w:rsidR="00E376C4" w:rsidRPr="00363983" w:rsidRDefault="00E376C4" w:rsidP="00481F37">
      <w:pPr>
        <w:pStyle w:val="ListParagraph"/>
        <w:numPr>
          <w:ilvl w:val="0"/>
          <w:numId w:val="23"/>
        </w:numPr>
        <w:rPr>
          <w:rFonts w:cs="Arial"/>
          <w:color w:val="000000"/>
          <w:sz w:val="22"/>
          <w:szCs w:val="22"/>
          <w:lang w:eastAsia="en-GB"/>
        </w:rPr>
      </w:pPr>
      <w:r w:rsidRPr="00363983">
        <w:rPr>
          <w:rFonts w:cs="Arial"/>
          <w:color w:val="000000"/>
          <w:sz w:val="22"/>
          <w:szCs w:val="22"/>
          <w:lang w:eastAsia="en-GB"/>
        </w:rPr>
        <w:t>I</w:t>
      </w:r>
      <w:r w:rsidR="00A5747E" w:rsidRPr="00363983">
        <w:rPr>
          <w:rFonts w:cs="Arial"/>
          <w:color w:val="000000"/>
          <w:sz w:val="22"/>
          <w:szCs w:val="22"/>
          <w:lang w:eastAsia="en-GB"/>
        </w:rPr>
        <w:t>n addition there are a further 17</w:t>
      </w:r>
      <w:r w:rsidRPr="00363983">
        <w:rPr>
          <w:rFonts w:cs="Arial"/>
          <w:color w:val="000000"/>
          <w:sz w:val="22"/>
          <w:szCs w:val="22"/>
          <w:lang w:eastAsia="en-GB"/>
        </w:rPr>
        <w:t xml:space="preserve"> </w:t>
      </w:r>
      <w:r w:rsidRPr="00363983">
        <w:rPr>
          <w:rFonts w:cs="Arial"/>
          <w:b/>
          <w:color w:val="000000"/>
          <w:sz w:val="22"/>
          <w:szCs w:val="22"/>
          <w:lang w:eastAsia="en-GB"/>
        </w:rPr>
        <w:t>Service Delivery Risks</w:t>
      </w:r>
      <w:r w:rsidRPr="00363983">
        <w:rPr>
          <w:rFonts w:cs="Arial"/>
          <w:color w:val="000000"/>
          <w:sz w:val="22"/>
          <w:szCs w:val="22"/>
          <w:lang w:eastAsia="en-GB"/>
        </w:rPr>
        <w:t xml:space="preserve"> under management</w:t>
      </w:r>
      <w:r w:rsidR="00A5747E" w:rsidRPr="00363983">
        <w:rPr>
          <w:rFonts w:cs="Arial"/>
          <w:color w:val="000000"/>
          <w:sz w:val="22"/>
          <w:szCs w:val="22"/>
          <w:lang w:eastAsia="en-GB"/>
        </w:rPr>
        <w:t xml:space="preserve"> (previously 26)</w:t>
      </w:r>
      <w:r w:rsidRPr="00363983">
        <w:rPr>
          <w:rFonts w:cs="Arial"/>
          <w:color w:val="000000"/>
          <w:sz w:val="22"/>
          <w:szCs w:val="22"/>
          <w:lang w:eastAsia="en-GB"/>
        </w:rPr>
        <w:t xml:space="preserve">, </w:t>
      </w:r>
      <w:r w:rsidR="009D4542" w:rsidRPr="00363983">
        <w:rPr>
          <w:rFonts w:cs="Arial"/>
          <w:color w:val="000000"/>
          <w:sz w:val="22"/>
          <w:szCs w:val="22"/>
          <w:lang w:eastAsia="en-GB"/>
        </w:rPr>
        <w:t>one</w:t>
      </w:r>
      <w:r w:rsidRPr="00363983">
        <w:rPr>
          <w:rFonts w:cs="Arial"/>
          <w:color w:val="000000"/>
          <w:sz w:val="22"/>
          <w:szCs w:val="22"/>
          <w:lang w:eastAsia="en-GB"/>
        </w:rPr>
        <w:t xml:space="preserve"> of which carr</w:t>
      </w:r>
      <w:r w:rsidR="009D4542" w:rsidRPr="00363983">
        <w:rPr>
          <w:rFonts w:cs="Arial"/>
          <w:color w:val="000000"/>
          <w:sz w:val="22"/>
          <w:szCs w:val="22"/>
          <w:lang w:eastAsia="en-GB"/>
        </w:rPr>
        <w:t>ies</w:t>
      </w:r>
      <w:r w:rsidRPr="00363983">
        <w:rPr>
          <w:rFonts w:cs="Arial"/>
          <w:color w:val="000000"/>
          <w:sz w:val="22"/>
          <w:szCs w:val="22"/>
          <w:lang w:eastAsia="en-GB"/>
        </w:rPr>
        <w:t xml:space="preserve"> a ‘High’ net risk rating:</w:t>
      </w:r>
    </w:p>
    <w:p w14:paraId="7129DFBF" w14:textId="77777777" w:rsidR="00E376C4" w:rsidRPr="00363983" w:rsidRDefault="00E376C4" w:rsidP="00E376C4">
      <w:pPr>
        <w:ind w:left="426"/>
        <w:rPr>
          <w:rFonts w:cs="Arial"/>
          <w:color w:val="000000"/>
          <w:sz w:val="22"/>
          <w:szCs w:val="22"/>
          <w:lang w:eastAsia="en-GB"/>
        </w:rPr>
      </w:pPr>
    </w:p>
    <w:p w14:paraId="6E79A2A9" w14:textId="77777777" w:rsidR="00E376C4" w:rsidRPr="00363983" w:rsidRDefault="005500C1" w:rsidP="009D4542">
      <w:pPr>
        <w:pStyle w:val="ListParagraph"/>
        <w:rPr>
          <w:rFonts w:cs="Arial"/>
          <w:b/>
          <w:sz w:val="28"/>
          <w:szCs w:val="28"/>
        </w:rPr>
        <w:sectPr w:rsidR="00E376C4" w:rsidRPr="00363983" w:rsidSect="00C8363C">
          <w:headerReference w:type="default" r:id="rId14"/>
          <w:footerReference w:type="default" r:id="rId15"/>
          <w:pgSz w:w="11906" w:h="16838"/>
          <w:pgMar w:top="1440" w:right="1700" w:bottom="1440" w:left="1800" w:header="708" w:footer="708" w:gutter="0"/>
          <w:cols w:space="708"/>
          <w:docGrid w:linePitch="360"/>
        </w:sectPr>
      </w:pPr>
      <w:r w:rsidRPr="00363983">
        <w:rPr>
          <w:rFonts w:cs="Arial"/>
          <w:b/>
          <w:color w:val="000000"/>
          <w:sz w:val="22"/>
          <w:szCs w:val="22"/>
          <w:lang w:eastAsia="en-GB"/>
        </w:rPr>
        <w:t xml:space="preserve">i) </w:t>
      </w:r>
      <w:r w:rsidR="00E376C4" w:rsidRPr="00363983">
        <w:rPr>
          <w:rFonts w:cs="Arial"/>
          <w:b/>
          <w:color w:val="000000"/>
          <w:sz w:val="22"/>
          <w:szCs w:val="22"/>
          <w:lang w:eastAsia="en-GB"/>
        </w:rPr>
        <w:t>Guaranteed Minimum Pension records</w:t>
      </w:r>
      <w:r w:rsidR="00E376C4" w:rsidRPr="00363983">
        <w:rPr>
          <w:rFonts w:cs="Arial"/>
          <w:color w:val="000000"/>
          <w:sz w:val="22"/>
          <w:szCs w:val="22"/>
          <w:lang w:eastAsia="en-GB"/>
        </w:rPr>
        <w:t xml:space="preserve"> (Operational delivery)- As described above (Dashboard item) and within the Administration report.</w:t>
      </w:r>
    </w:p>
    <w:p w14:paraId="4B622C66" w14:textId="77777777" w:rsidR="00E376C4" w:rsidRPr="00363983" w:rsidRDefault="00E376C4" w:rsidP="00E376C4">
      <w:pPr>
        <w:rPr>
          <w:rFonts w:cs="Arial"/>
          <w:sz w:val="22"/>
          <w:szCs w:val="22"/>
          <w:lang w:val="en-US"/>
        </w:rPr>
      </w:pPr>
      <w:r w:rsidRPr="00363983">
        <w:rPr>
          <w:rFonts w:cs="Arial"/>
          <w:b/>
          <w:sz w:val="28"/>
          <w:szCs w:val="28"/>
        </w:rPr>
        <w:lastRenderedPageBreak/>
        <w:t>Group Internal Audit (GIA) Update</w:t>
      </w:r>
    </w:p>
    <w:p w14:paraId="104E1A67" w14:textId="77777777" w:rsidR="00E376C4" w:rsidRPr="00363983" w:rsidRDefault="00E376C4" w:rsidP="00E376C4">
      <w:pPr>
        <w:rPr>
          <w:rFonts w:cs="Arial"/>
          <w:sz w:val="22"/>
          <w:szCs w:val="22"/>
          <w:lang w:val="en-US"/>
        </w:rPr>
      </w:pPr>
    </w:p>
    <w:p w14:paraId="1F5790A0" w14:textId="2F7A1380" w:rsidR="00A120CA" w:rsidRPr="00363983" w:rsidRDefault="00A120CA" w:rsidP="00A120CA">
      <w:pPr>
        <w:widowControl/>
        <w:overflowPunct/>
        <w:autoSpaceDE/>
        <w:autoSpaceDN/>
        <w:adjustRightInd/>
        <w:ind w:left="15"/>
        <w:textAlignment w:val="auto"/>
        <w:rPr>
          <w:rFonts w:cs="Arial"/>
          <w:sz w:val="22"/>
          <w:szCs w:val="22"/>
        </w:rPr>
      </w:pPr>
      <w:r w:rsidRPr="00363983">
        <w:rPr>
          <w:rFonts w:cs="Arial"/>
          <w:sz w:val="22"/>
          <w:szCs w:val="22"/>
        </w:rPr>
        <w:t xml:space="preserve">The main focus of GIA activity during the period has been the continued progression of the 2015 plan, commencing the 2016 audit planning cycle and supporting </w:t>
      </w:r>
      <w:r w:rsidR="00546012" w:rsidRPr="00363983">
        <w:rPr>
          <w:rFonts w:cs="Arial"/>
          <w:sz w:val="22"/>
          <w:szCs w:val="22"/>
        </w:rPr>
        <w:t>TP</w:t>
      </w:r>
      <w:r w:rsidRPr="00363983">
        <w:rPr>
          <w:rFonts w:cs="Arial"/>
          <w:sz w:val="22"/>
          <w:szCs w:val="22"/>
        </w:rPr>
        <w:t xml:space="preserve"> management to address open audit issues. The 2015 plan remains fully resourced for completion. </w:t>
      </w:r>
    </w:p>
    <w:p w14:paraId="7D540E3B" w14:textId="77777777" w:rsidR="00A120CA" w:rsidRPr="00363983" w:rsidRDefault="00A120CA" w:rsidP="00A120CA">
      <w:pPr>
        <w:widowControl/>
        <w:overflowPunct/>
        <w:autoSpaceDE/>
        <w:autoSpaceDN/>
        <w:adjustRightInd/>
        <w:ind w:left="15"/>
        <w:textAlignment w:val="auto"/>
        <w:rPr>
          <w:rFonts w:cs="Arial"/>
          <w:sz w:val="22"/>
          <w:szCs w:val="22"/>
        </w:rPr>
      </w:pPr>
    </w:p>
    <w:p w14:paraId="1CB2F1E9" w14:textId="79D163E2" w:rsidR="00A120CA" w:rsidRPr="00363983" w:rsidRDefault="00A120CA" w:rsidP="00A120CA">
      <w:pPr>
        <w:widowControl/>
        <w:overflowPunct/>
        <w:autoSpaceDE/>
        <w:autoSpaceDN/>
        <w:adjustRightInd/>
        <w:ind w:left="15"/>
        <w:textAlignment w:val="auto"/>
        <w:rPr>
          <w:rFonts w:cs="Arial"/>
          <w:sz w:val="22"/>
          <w:szCs w:val="22"/>
        </w:rPr>
      </w:pPr>
      <w:r w:rsidRPr="00363983">
        <w:rPr>
          <w:rFonts w:cs="Arial"/>
          <w:sz w:val="22"/>
          <w:szCs w:val="22"/>
        </w:rPr>
        <w:t>Fieldwork is complete for the audit of Fraud Data Mining, and is in progress for the reviews of Scheme Reform – Operational Effectiveness, Monthly Data Collection and Deferred Members Project. The IT audit of</w:t>
      </w:r>
      <w:r w:rsidR="002337EC" w:rsidRPr="00363983">
        <w:rPr>
          <w:rFonts w:cs="Arial"/>
          <w:sz w:val="22"/>
          <w:szCs w:val="22"/>
        </w:rPr>
        <w:t xml:space="preserve"> the Restricted Managed Hosting (RMH) </w:t>
      </w:r>
      <w:r w:rsidRPr="00363983">
        <w:rPr>
          <w:rFonts w:cs="Arial"/>
          <w:sz w:val="22"/>
          <w:szCs w:val="22"/>
        </w:rPr>
        <w:t xml:space="preserve">Environment is at planning stage and ‘Draft’ TOR </w:t>
      </w:r>
      <w:r w:rsidR="002337EC" w:rsidRPr="00363983">
        <w:rPr>
          <w:rFonts w:cs="Arial"/>
          <w:sz w:val="22"/>
          <w:szCs w:val="22"/>
        </w:rPr>
        <w:t>are</w:t>
      </w:r>
      <w:r w:rsidRPr="00363983">
        <w:rPr>
          <w:rFonts w:cs="Arial"/>
          <w:sz w:val="22"/>
          <w:szCs w:val="22"/>
        </w:rPr>
        <w:t xml:space="preserve"> expected week commencing 9 November. </w:t>
      </w:r>
    </w:p>
    <w:p w14:paraId="17F73085" w14:textId="77777777" w:rsidR="00A120CA" w:rsidRPr="00363983" w:rsidRDefault="00A120CA" w:rsidP="00A120CA">
      <w:pPr>
        <w:widowControl/>
        <w:overflowPunct/>
        <w:autoSpaceDE/>
        <w:autoSpaceDN/>
        <w:adjustRightInd/>
        <w:ind w:left="15"/>
        <w:textAlignment w:val="auto"/>
        <w:rPr>
          <w:rFonts w:cs="Arial"/>
          <w:sz w:val="22"/>
          <w:szCs w:val="22"/>
        </w:rPr>
      </w:pPr>
    </w:p>
    <w:p w14:paraId="010D0CA0" w14:textId="77777777" w:rsidR="00A120CA" w:rsidRPr="00363983" w:rsidRDefault="00A120CA" w:rsidP="00A120CA">
      <w:pPr>
        <w:widowControl/>
        <w:overflowPunct/>
        <w:autoSpaceDE/>
        <w:autoSpaceDN/>
        <w:adjustRightInd/>
        <w:ind w:left="15"/>
        <w:textAlignment w:val="auto"/>
        <w:rPr>
          <w:rFonts w:cs="Arial"/>
          <w:sz w:val="22"/>
          <w:szCs w:val="22"/>
        </w:rPr>
      </w:pPr>
      <w:r w:rsidRPr="00363983">
        <w:rPr>
          <w:rFonts w:cs="Arial"/>
          <w:sz w:val="22"/>
          <w:szCs w:val="22"/>
        </w:rPr>
        <w:t>Following an internal fraud incident, Durham Constabulary has advised their investigations remain ongoing and the individual arrested will be ‘bailed’ during November.</w:t>
      </w:r>
    </w:p>
    <w:p w14:paraId="6CAA1357" w14:textId="77777777" w:rsidR="00E376C4" w:rsidRPr="00363983" w:rsidRDefault="00E376C4" w:rsidP="00E376C4">
      <w:pPr>
        <w:widowControl/>
        <w:overflowPunct/>
        <w:autoSpaceDE/>
        <w:autoSpaceDN/>
        <w:adjustRightInd/>
        <w:ind w:left="15"/>
        <w:jc w:val="center"/>
        <w:textAlignment w:val="auto"/>
        <w:rPr>
          <w:rFonts w:cs="Arial"/>
          <w:b/>
          <w:lang w:eastAsia="en-GB"/>
        </w:rPr>
      </w:pPr>
    </w:p>
    <w:p w14:paraId="53B4D9CE" w14:textId="77777777" w:rsidR="00E376C4" w:rsidRPr="00363983" w:rsidRDefault="00E376C4" w:rsidP="00E376C4">
      <w:pPr>
        <w:widowControl/>
        <w:overflowPunct/>
        <w:autoSpaceDE/>
        <w:autoSpaceDN/>
        <w:adjustRightInd/>
        <w:ind w:left="15"/>
        <w:jc w:val="center"/>
        <w:textAlignment w:val="auto"/>
        <w:rPr>
          <w:rFonts w:cs="Arial"/>
          <w:b/>
          <w:lang w:eastAsia="en-GB"/>
        </w:rPr>
      </w:pPr>
    </w:p>
    <w:p w14:paraId="5C149A1D" w14:textId="77777777" w:rsidR="00E376C4" w:rsidRPr="00363983" w:rsidRDefault="00E376C4" w:rsidP="00A120CA">
      <w:pPr>
        <w:widowControl/>
        <w:overflowPunct/>
        <w:autoSpaceDE/>
        <w:autoSpaceDN/>
        <w:adjustRightInd/>
        <w:ind w:left="15"/>
        <w:jc w:val="center"/>
        <w:textAlignment w:val="auto"/>
        <w:rPr>
          <w:rFonts w:cs="Arial"/>
          <w:b/>
          <w:lang w:eastAsia="en-GB"/>
        </w:rPr>
      </w:pPr>
      <w:r w:rsidRPr="00363983">
        <w:rPr>
          <w:rFonts w:cs="Arial"/>
          <w:b/>
          <w:lang w:eastAsia="en-GB"/>
        </w:rPr>
        <w:t>Outstanding Issues</w:t>
      </w:r>
    </w:p>
    <w:p w14:paraId="1D69220E" w14:textId="77777777" w:rsidR="00A120CA" w:rsidRPr="00363983" w:rsidRDefault="00A120CA" w:rsidP="00A120CA">
      <w:pPr>
        <w:widowControl/>
        <w:overflowPunct/>
        <w:autoSpaceDE/>
        <w:autoSpaceDN/>
        <w:adjustRightInd/>
        <w:ind w:left="15"/>
        <w:jc w:val="center"/>
        <w:textAlignment w:val="auto"/>
        <w:rPr>
          <w:rFonts w:cs="Arial"/>
          <w:b/>
          <w:lang w:eastAsia="en-GB"/>
        </w:rPr>
      </w:pPr>
    </w:p>
    <w:tbl>
      <w:tblPr>
        <w:tblW w:w="10416" w:type="dxa"/>
        <w:jc w:val="center"/>
        <w:tblInd w:w="93" w:type="dxa"/>
        <w:tblLayout w:type="fixed"/>
        <w:tblLook w:val="0000" w:firstRow="0" w:lastRow="0" w:firstColumn="0" w:lastColumn="0" w:noHBand="0" w:noVBand="0"/>
      </w:tblPr>
      <w:tblGrid>
        <w:gridCol w:w="1995"/>
        <w:gridCol w:w="498"/>
        <w:gridCol w:w="498"/>
        <w:gridCol w:w="540"/>
        <w:gridCol w:w="445"/>
        <w:gridCol w:w="440"/>
        <w:gridCol w:w="480"/>
        <w:gridCol w:w="460"/>
        <w:gridCol w:w="460"/>
        <w:gridCol w:w="400"/>
        <w:gridCol w:w="460"/>
        <w:gridCol w:w="420"/>
        <w:gridCol w:w="520"/>
        <w:gridCol w:w="460"/>
        <w:gridCol w:w="480"/>
        <w:gridCol w:w="460"/>
        <w:gridCol w:w="440"/>
        <w:gridCol w:w="960"/>
      </w:tblGrid>
      <w:tr w:rsidR="00A120CA" w:rsidRPr="00363983" w14:paraId="365629A4" w14:textId="77777777" w:rsidTr="00A120CA">
        <w:trPr>
          <w:trHeight w:val="330"/>
          <w:jc w:val="center"/>
        </w:trPr>
        <w:tc>
          <w:tcPr>
            <w:tcW w:w="10416" w:type="dxa"/>
            <w:gridSpan w:val="18"/>
            <w:tcBorders>
              <w:top w:val="single" w:sz="8" w:space="0" w:color="auto"/>
              <w:left w:val="single" w:sz="8" w:space="0" w:color="auto"/>
              <w:bottom w:val="single" w:sz="8" w:space="0" w:color="auto"/>
              <w:right w:val="single" w:sz="8" w:space="0" w:color="000000"/>
            </w:tcBorders>
            <w:shd w:val="clear" w:color="auto" w:fill="969696"/>
            <w:vAlign w:val="bottom"/>
          </w:tcPr>
          <w:p w14:paraId="654C2C8E" w14:textId="77777777" w:rsidR="00A120CA" w:rsidRPr="00363983" w:rsidRDefault="00A120CA" w:rsidP="00BC135C">
            <w:pPr>
              <w:rPr>
                <w:rFonts w:cs="Arial"/>
                <w:b/>
                <w:bCs/>
                <w:color w:val="FFFFFF"/>
                <w:szCs w:val="24"/>
                <w:lang w:eastAsia="en-GB"/>
              </w:rPr>
            </w:pPr>
            <w:r w:rsidRPr="00363983">
              <w:rPr>
                <w:rFonts w:cs="Arial"/>
                <w:b/>
                <w:bCs/>
                <w:color w:val="FFFFFF"/>
                <w:szCs w:val="24"/>
                <w:lang w:eastAsia="en-GB"/>
              </w:rPr>
              <w:t>Overdue 1-30 days: Green; 31-60 days: Amber; 60 days plus: Red</w:t>
            </w:r>
          </w:p>
        </w:tc>
      </w:tr>
      <w:tr w:rsidR="00A120CA" w:rsidRPr="00363983" w14:paraId="589334AF" w14:textId="77777777" w:rsidTr="00A120CA">
        <w:trPr>
          <w:trHeight w:val="315"/>
          <w:jc w:val="center"/>
        </w:trPr>
        <w:tc>
          <w:tcPr>
            <w:tcW w:w="1995" w:type="dxa"/>
            <w:vMerge w:val="restart"/>
            <w:tcBorders>
              <w:top w:val="nil"/>
              <w:left w:val="single" w:sz="8" w:space="0" w:color="auto"/>
              <w:bottom w:val="single" w:sz="8" w:space="0" w:color="000000"/>
              <w:right w:val="single" w:sz="8" w:space="0" w:color="auto"/>
            </w:tcBorders>
            <w:shd w:val="clear" w:color="auto" w:fill="C0C0C0"/>
            <w:vAlign w:val="bottom"/>
          </w:tcPr>
          <w:p w14:paraId="22883B31" w14:textId="77777777" w:rsidR="00A120CA" w:rsidRPr="00363983" w:rsidRDefault="00A120CA" w:rsidP="00BC135C">
            <w:pPr>
              <w:rPr>
                <w:rFonts w:cs="Arial"/>
                <w:b/>
                <w:bCs/>
                <w:color w:val="FFFFFF"/>
                <w:lang w:eastAsia="en-GB"/>
              </w:rPr>
            </w:pPr>
            <w:r w:rsidRPr="00363983">
              <w:rPr>
                <w:rFonts w:cs="Arial"/>
                <w:b/>
                <w:bCs/>
                <w:color w:val="FFFFFF"/>
                <w:lang w:eastAsia="en-GB"/>
              </w:rPr>
              <w:t>Source</w:t>
            </w:r>
          </w:p>
        </w:tc>
        <w:tc>
          <w:tcPr>
            <w:tcW w:w="1981" w:type="dxa"/>
            <w:gridSpan w:val="4"/>
            <w:tcBorders>
              <w:top w:val="single" w:sz="8" w:space="0" w:color="auto"/>
              <w:left w:val="nil"/>
              <w:bottom w:val="single" w:sz="8" w:space="0" w:color="auto"/>
              <w:right w:val="single" w:sz="8" w:space="0" w:color="000000"/>
            </w:tcBorders>
            <w:shd w:val="clear" w:color="auto" w:fill="C0C0C0"/>
            <w:vAlign w:val="bottom"/>
          </w:tcPr>
          <w:p w14:paraId="5F538CA2"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Total Open</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234707C8"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 xml:space="preserve">1 to 30 days </w:t>
            </w:r>
          </w:p>
        </w:tc>
        <w:tc>
          <w:tcPr>
            <w:tcW w:w="1800" w:type="dxa"/>
            <w:gridSpan w:val="4"/>
            <w:tcBorders>
              <w:top w:val="single" w:sz="8" w:space="0" w:color="auto"/>
              <w:left w:val="nil"/>
              <w:bottom w:val="single" w:sz="8" w:space="0" w:color="auto"/>
              <w:right w:val="single" w:sz="8" w:space="0" w:color="000000"/>
            </w:tcBorders>
            <w:shd w:val="clear" w:color="auto" w:fill="C0C0C0"/>
            <w:vAlign w:val="bottom"/>
          </w:tcPr>
          <w:p w14:paraId="770250D4"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31 to 60 days</w:t>
            </w:r>
          </w:p>
        </w:tc>
        <w:tc>
          <w:tcPr>
            <w:tcW w:w="1840" w:type="dxa"/>
            <w:gridSpan w:val="4"/>
            <w:tcBorders>
              <w:top w:val="single" w:sz="8" w:space="0" w:color="auto"/>
              <w:left w:val="nil"/>
              <w:bottom w:val="single" w:sz="8" w:space="0" w:color="auto"/>
              <w:right w:val="single" w:sz="8" w:space="0" w:color="000000"/>
            </w:tcBorders>
            <w:shd w:val="clear" w:color="auto" w:fill="C0C0C0"/>
            <w:vAlign w:val="bottom"/>
          </w:tcPr>
          <w:p w14:paraId="2EE3D8AA"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60 days +</w:t>
            </w:r>
          </w:p>
        </w:tc>
        <w:tc>
          <w:tcPr>
            <w:tcW w:w="960" w:type="dxa"/>
            <w:vMerge w:val="restart"/>
            <w:tcBorders>
              <w:top w:val="nil"/>
              <w:left w:val="single" w:sz="8" w:space="0" w:color="auto"/>
              <w:bottom w:val="single" w:sz="8" w:space="0" w:color="000000"/>
              <w:right w:val="single" w:sz="8" w:space="0" w:color="auto"/>
            </w:tcBorders>
            <w:shd w:val="clear" w:color="auto" w:fill="C0C0C0"/>
            <w:vAlign w:val="bottom"/>
          </w:tcPr>
          <w:p w14:paraId="75FBD123"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Trend</w:t>
            </w:r>
          </w:p>
        </w:tc>
      </w:tr>
      <w:tr w:rsidR="00A120CA" w:rsidRPr="00363983" w14:paraId="61050F65" w14:textId="77777777" w:rsidTr="00A120CA">
        <w:trPr>
          <w:trHeight w:val="315"/>
          <w:jc w:val="center"/>
        </w:trPr>
        <w:tc>
          <w:tcPr>
            <w:tcW w:w="1995" w:type="dxa"/>
            <w:vMerge/>
            <w:tcBorders>
              <w:top w:val="nil"/>
              <w:left w:val="single" w:sz="8" w:space="0" w:color="auto"/>
              <w:bottom w:val="single" w:sz="8" w:space="0" w:color="000000"/>
              <w:right w:val="single" w:sz="8" w:space="0" w:color="auto"/>
            </w:tcBorders>
            <w:vAlign w:val="center"/>
          </w:tcPr>
          <w:p w14:paraId="2258F8EA" w14:textId="77777777" w:rsidR="00A120CA" w:rsidRPr="00363983" w:rsidRDefault="00A120CA" w:rsidP="00BC135C">
            <w:pPr>
              <w:rPr>
                <w:rFonts w:cs="Arial"/>
                <w:b/>
                <w:bCs/>
                <w:color w:val="FFFFFF"/>
                <w:lang w:eastAsia="en-GB"/>
              </w:rPr>
            </w:pPr>
          </w:p>
        </w:tc>
        <w:tc>
          <w:tcPr>
            <w:tcW w:w="498" w:type="dxa"/>
            <w:tcBorders>
              <w:top w:val="nil"/>
              <w:left w:val="nil"/>
              <w:bottom w:val="single" w:sz="8" w:space="0" w:color="auto"/>
              <w:right w:val="single" w:sz="8" w:space="0" w:color="auto"/>
            </w:tcBorders>
            <w:shd w:val="clear" w:color="auto" w:fill="C0C0C0"/>
            <w:vAlign w:val="bottom"/>
          </w:tcPr>
          <w:p w14:paraId="4A51EC98"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C</w:t>
            </w:r>
          </w:p>
        </w:tc>
        <w:tc>
          <w:tcPr>
            <w:tcW w:w="498" w:type="dxa"/>
            <w:tcBorders>
              <w:top w:val="nil"/>
              <w:left w:val="nil"/>
              <w:bottom w:val="single" w:sz="8" w:space="0" w:color="auto"/>
              <w:right w:val="single" w:sz="8" w:space="0" w:color="auto"/>
            </w:tcBorders>
            <w:shd w:val="clear" w:color="auto" w:fill="C0C0C0"/>
            <w:vAlign w:val="bottom"/>
          </w:tcPr>
          <w:p w14:paraId="43EE56EA"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H</w:t>
            </w:r>
          </w:p>
        </w:tc>
        <w:tc>
          <w:tcPr>
            <w:tcW w:w="540" w:type="dxa"/>
            <w:tcBorders>
              <w:top w:val="nil"/>
              <w:left w:val="nil"/>
              <w:bottom w:val="single" w:sz="8" w:space="0" w:color="auto"/>
              <w:right w:val="single" w:sz="8" w:space="0" w:color="auto"/>
            </w:tcBorders>
            <w:shd w:val="clear" w:color="auto" w:fill="C0C0C0"/>
            <w:vAlign w:val="bottom"/>
          </w:tcPr>
          <w:p w14:paraId="298924BA"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M</w:t>
            </w:r>
          </w:p>
        </w:tc>
        <w:tc>
          <w:tcPr>
            <w:tcW w:w="445" w:type="dxa"/>
            <w:tcBorders>
              <w:top w:val="nil"/>
              <w:left w:val="nil"/>
              <w:bottom w:val="single" w:sz="8" w:space="0" w:color="auto"/>
              <w:right w:val="single" w:sz="8" w:space="0" w:color="auto"/>
            </w:tcBorders>
            <w:shd w:val="clear" w:color="auto" w:fill="C0C0C0"/>
            <w:vAlign w:val="bottom"/>
          </w:tcPr>
          <w:p w14:paraId="0D52C59F"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L</w:t>
            </w:r>
          </w:p>
        </w:tc>
        <w:tc>
          <w:tcPr>
            <w:tcW w:w="440" w:type="dxa"/>
            <w:tcBorders>
              <w:top w:val="nil"/>
              <w:left w:val="nil"/>
              <w:bottom w:val="single" w:sz="8" w:space="0" w:color="auto"/>
              <w:right w:val="single" w:sz="8" w:space="0" w:color="auto"/>
            </w:tcBorders>
            <w:shd w:val="clear" w:color="auto" w:fill="C0C0C0"/>
            <w:vAlign w:val="bottom"/>
          </w:tcPr>
          <w:p w14:paraId="3B741444"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6F3A54AF"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2BCFB191"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M</w:t>
            </w:r>
          </w:p>
        </w:tc>
        <w:tc>
          <w:tcPr>
            <w:tcW w:w="460" w:type="dxa"/>
            <w:tcBorders>
              <w:top w:val="nil"/>
              <w:left w:val="nil"/>
              <w:bottom w:val="single" w:sz="8" w:space="0" w:color="auto"/>
              <w:right w:val="single" w:sz="8" w:space="0" w:color="auto"/>
            </w:tcBorders>
            <w:shd w:val="clear" w:color="auto" w:fill="C0C0C0"/>
            <w:vAlign w:val="bottom"/>
          </w:tcPr>
          <w:p w14:paraId="59DBC20B"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L</w:t>
            </w:r>
          </w:p>
        </w:tc>
        <w:tc>
          <w:tcPr>
            <w:tcW w:w="400" w:type="dxa"/>
            <w:tcBorders>
              <w:top w:val="nil"/>
              <w:left w:val="nil"/>
              <w:bottom w:val="single" w:sz="8" w:space="0" w:color="auto"/>
              <w:right w:val="single" w:sz="8" w:space="0" w:color="auto"/>
            </w:tcBorders>
            <w:shd w:val="clear" w:color="auto" w:fill="C0C0C0"/>
            <w:vAlign w:val="bottom"/>
          </w:tcPr>
          <w:p w14:paraId="5EB00CF1"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C</w:t>
            </w:r>
          </w:p>
        </w:tc>
        <w:tc>
          <w:tcPr>
            <w:tcW w:w="460" w:type="dxa"/>
            <w:tcBorders>
              <w:top w:val="nil"/>
              <w:left w:val="nil"/>
              <w:bottom w:val="single" w:sz="8" w:space="0" w:color="auto"/>
              <w:right w:val="single" w:sz="8" w:space="0" w:color="auto"/>
            </w:tcBorders>
            <w:shd w:val="clear" w:color="auto" w:fill="C0C0C0"/>
            <w:vAlign w:val="bottom"/>
          </w:tcPr>
          <w:p w14:paraId="22ED5770"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H</w:t>
            </w:r>
          </w:p>
        </w:tc>
        <w:tc>
          <w:tcPr>
            <w:tcW w:w="420" w:type="dxa"/>
            <w:tcBorders>
              <w:top w:val="nil"/>
              <w:left w:val="nil"/>
              <w:bottom w:val="single" w:sz="8" w:space="0" w:color="auto"/>
              <w:right w:val="single" w:sz="8" w:space="0" w:color="auto"/>
            </w:tcBorders>
            <w:shd w:val="clear" w:color="auto" w:fill="C0C0C0"/>
            <w:vAlign w:val="bottom"/>
          </w:tcPr>
          <w:p w14:paraId="06402E05"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M</w:t>
            </w:r>
          </w:p>
        </w:tc>
        <w:tc>
          <w:tcPr>
            <w:tcW w:w="520" w:type="dxa"/>
            <w:tcBorders>
              <w:top w:val="nil"/>
              <w:left w:val="nil"/>
              <w:bottom w:val="single" w:sz="8" w:space="0" w:color="auto"/>
              <w:right w:val="single" w:sz="8" w:space="0" w:color="auto"/>
            </w:tcBorders>
            <w:shd w:val="clear" w:color="auto" w:fill="C0C0C0"/>
            <w:vAlign w:val="bottom"/>
          </w:tcPr>
          <w:p w14:paraId="6732307C"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L</w:t>
            </w:r>
          </w:p>
        </w:tc>
        <w:tc>
          <w:tcPr>
            <w:tcW w:w="460" w:type="dxa"/>
            <w:tcBorders>
              <w:top w:val="nil"/>
              <w:left w:val="nil"/>
              <w:bottom w:val="single" w:sz="8" w:space="0" w:color="auto"/>
              <w:right w:val="single" w:sz="8" w:space="0" w:color="auto"/>
            </w:tcBorders>
            <w:shd w:val="clear" w:color="auto" w:fill="C0C0C0"/>
            <w:vAlign w:val="bottom"/>
          </w:tcPr>
          <w:p w14:paraId="0B7AE782"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C</w:t>
            </w:r>
          </w:p>
        </w:tc>
        <w:tc>
          <w:tcPr>
            <w:tcW w:w="480" w:type="dxa"/>
            <w:tcBorders>
              <w:top w:val="nil"/>
              <w:left w:val="nil"/>
              <w:bottom w:val="single" w:sz="8" w:space="0" w:color="auto"/>
              <w:right w:val="single" w:sz="8" w:space="0" w:color="auto"/>
            </w:tcBorders>
            <w:shd w:val="clear" w:color="auto" w:fill="C0C0C0"/>
            <w:vAlign w:val="bottom"/>
          </w:tcPr>
          <w:p w14:paraId="05100D45"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H</w:t>
            </w:r>
          </w:p>
        </w:tc>
        <w:tc>
          <w:tcPr>
            <w:tcW w:w="460" w:type="dxa"/>
            <w:tcBorders>
              <w:top w:val="nil"/>
              <w:left w:val="nil"/>
              <w:bottom w:val="single" w:sz="8" w:space="0" w:color="auto"/>
              <w:right w:val="single" w:sz="8" w:space="0" w:color="auto"/>
            </w:tcBorders>
            <w:shd w:val="clear" w:color="auto" w:fill="C0C0C0"/>
            <w:vAlign w:val="bottom"/>
          </w:tcPr>
          <w:p w14:paraId="53D9B588"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M</w:t>
            </w:r>
          </w:p>
        </w:tc>
        <w:tc>
          <w:tcPr>
            <w:tcW w:w="440" w:type="dxa"/>
            <w:tcBorders>
              <w:top w:val="nil"/>
              <w:left w:val="nil"/>
              <w:bottom w:val="single" w:sz="8" w:space="0" w:color="auto"/>
              <w:right w:val="single" w:sz="8" w:space="0" w:color="auto"/>
            </w:tcBorders>
            <w:shd w:val="clear" w:color="auto" w:fill="C0C0C0"/>
            <w:vAlign w:val="bottom"/>
          </w:tcPr>
          <w:p w14:paraId="6215F55A" w14:textId="77777777" w:rsidR="00A120CA" w:rsidRPr="00363983" w:rsidRDefault="00A120CA" w:rsidP="00BC135C">
            <w:pPr>
              <w:jc w:val="center"/>
              <w:rPr>
                <w:rFonts w:cs="Arial"/>
                <w:b/>
                <w:bCs/>
                <w:color w:val="FFFFFF"/>
                <w:lang w:eastAsia="en-GB"/>
              </w:rPr>
            </w:pPr>
            <w:r w:rsidRPr="00363983">
              <w:rPr>
                <w:rFonts w:cs="Arial"/>
                <w:b/>
                <w:bCs/>
                <w:color w:val="FFFFFF"/>
                <w:lang w:eastAsia="en-GB"/>
              </w:rPr>
              <w:t>L</w:t>
            </w:r>
          </w:p>
        </w:tc>
        <w:tc>
          <w:tcPr>
            <w:tcW w:w="960" w:type="dxa"/>
            <w:vMerge/>
            <w:tcBorders>
              <w:top w:val="nil"/>
              <w:left w:val="single" w:sz="8" w:space="0" w:color="auto"/>
              <w:bottom w:val="single" w:sz="8" w:space="0" w:color="000000"/>
              <w:right w:val="single" w:sz="8" w:space="0" w:color="auto"/>
            </w:tcBorders>
            <w:vAlign w:val="center"/>
          </w:tcPr>
          <w:p w14:paraId="7F725A74" w14:textId="77777777" w:rsidR="00A120CA" w:rsidRPr="00363983" w:rsidRDefault="00A120CA" w:rsidP="00BC135C">
            <w:pPr>
              <w:rPr>
                <w:rFonts w:cs="Arial"/>
                <w:b/>
                <w:bCs/>
                <w:color w:val="FFFFFF"/>
                <w:lang w:eastAsia="en-GB"/>
              </w:rPr>
            </w:pPr>
          </w:p>
        </w:tc>
      </w:tr>
      <w:tr w:rsidR="00A120CA" w:rsidRPr="00363983" w14:paraId="7559A95F" w14:textId="77777777" w:rsidTr="00A120CA">
        <w:trPr>
          <w:trHeight w:val="315"/>
          <w:jc w:val="center"/>
        </w:trPr>
        <w:tc>
          <w:tcPr>
            <w:tcW w:w="1995" w:type="dxa"/>
            <w:tcBorders>
              <w:top w:val="nil"/>
              <w:left w:val="single" w:sz="8" w:space="0" w:color="auto"/>
              <w:bottom w:val="single" w:sz="8" w:space="0" w:color="auto"/>
              <w:right w:val="single" w:sz="8" w:space="0" w:color="auto"/>
            </w:tcBorders>
            <w:noWrap/>
            <w:vAlign w:val="bottom"/>
          </w:tcPr>
          <w:p w14:paraId="1A2C8E41" w14:textId="77777777" w:rsidR="00A120CA" w:rsidRPr="00363983" w:rsidRDefault="00A120CA" w:rsidP="00BC135C">
            <w:pPr>
              <w:rPr>
                <w:rFonts w:cs="Arial"/>
                <w:b/>
                <w:bCs/>
                <w:lang w:eastAsia="en-GB"/>
              </w:rPr>
            </w:pPr>
            <w:r w:rsidRPr="00363983">
              <w:rPr>
                <w:rFonts w:cs="Arial"/>
                <w:b/>
                <w:bCs/>
                <w:lang w:eastAsia="en-GB"/>
              </w:rPr>
              <w:t>TPS Operations</w:t>
            </w:r>
          </w:p>
        </w:tc>
        <w:tc>
          <w:tcPr>
            <w:tcW w:w="498" w:type="dxa"/>
            <w:tcBorders>
              <w:top w:val="nil"/>
              <w:left w:val="nil"/>
              <w:bottom w:val="single" w:sz="8" w:space="0" w:color="auto"/>
              <w:right w:val="single" w:sz="8" w:space="0" w:color="auto"/>
            </w:tcBorders>
            <w:noWrap/>
            <w:vAlign w:val="bottom"/>
          </w:tcPr>
          <w:p w14:paraId="3A5A110E" w14:textId="77777777" w:rsidR="00A120CA" w:rsidRPr="00363983" w:rsidRDefault="00A120CA" w:rsidP="00BC135C">
            <w:pPr>
              <w:jc w:val="center"/>
              <w:rPr>
                <w:rFonts w:cs="Arial"/>
                <w:lang w:eastAsia="en-GB"/>
              </w:rPr>
            </w:pPr>
            <w:r w:rsidRPr="00363983">
              <w:rPr>
                <w:rFonts w:cs="Arial"/>
                <w:lang w:eastAsia="en-GB"/>
              </w:rPr>
              <w:t>0</w:t>
            </w:r>
          </w:p>
        </w:tc>
        <w:tc>
          <w:tcPr>
            <w:tcW w:w="498" w:type="dxa"/>
            <w:tcBorders>
              <w:top w:val="nil"/>
              <w:left w:val="nil"/>
              <w:bottom w:val="single" w:sz="8" w:space="0" w:color="auto"/>
              <w:right w:val="single" w:sz="8" w:space="0" w:color="auto"/>
            </w:tcBorders>
            <w:noWrap/>
            <w:vAlign w:val="bottom"/>
          </w:tcPr>
          <w:p w14:paraId="2C4D1DD4" w14:textId="77777777" w:rsidR="00A120CA" w:rsidRPr="00363983" w:rsidRDefault="00A120CA" w:rsidP="00BC135C">
            <w:pPr>
              <w:jc w:val="center"/>
              <w:rPr>
                <w:rFonts w:cs="Arial"/>
                <w:lang w:eastAsia="en-GB"/>
              </w:rPr>
            </w:pPr>
            <w:r w:rsidRPr="00363983">
              <w:rPr>
                <w:rFonts w:cs="Arial"/>
                <w:lang w:eastAsia="en-GB"/>
              </w:rPr>
              <w:t>4</w:t>
            </w:r>
          </w:p>
        </w:tc>
        <w:tc>
          <w:tcPr>
            <w:tcW w:w="540" w:type="dxa"/>
            <w:tcBorders>
              <w:top w:val="nil"/>
              <w:left w:val="nil"/>
              <w:bottom w:val="single" w:sz="8" w:space="0" w:color="auto"/>
              <w:right w:val="single" w:sz="8" w:space="0" w:color="auto"/>
            </w:tcBorders>
            <w:noWrap/>
            <w:vAlign w:val="bottom"/>
          </w:tcPr>
          <w:p w14:paraId="257E1C64" w14:textId="77777777" w:rsidR="00A120CA" w:rsidRPr="00363983" w:rsidRDefault="00A120CA" w:rsidP="00BC135C">
            <w:pPr>
              <w:jc w:val="center"/>
              <w:rPr>
                <w:rFonts w:cs="Arial"/>
                <w:lang w:eastAsia="en-GB"/>
              </w:rPr>
            </w:pPr>
            <w:r w:rsidRPr="00363983">
              <w:rPr>
                <w:rFonts w:cs="Arial"/>
                <w:lang w:eastAsia="en-GB"/>
              </w:rPr>
              <w:t>7</w:t>
            </w:r>
          </w:p>
        </w:tc>
        <w:tc>
          <w:tcPr>
            <w:tcW w:w="445" w:type="dxa"/>
            <w:tcBorders>
              <w:top w:val="nil"/>
              <w:left w:val="nil"/>
              <w:bottom w:val="single" w:sz="8" w:space="0" w:color="auto"/>
              <w:right w:val="single" w:sz="8" w:space="0" w:color="auto"/>
            </w:tcBorders>
            <w:noWrap/>
            <w:vAlign w:val="bottom"/>
          </w:tcPr>
          <w:p w14:paraId="72140204" w14:textId="77777777" w:rsidR="00A120CA" w:rsidRPr="00363983" w:rsidRDefault="00A120CA" w:rsidP="00BC135C">
            <w:pPr>
              <w:jc w:val="center"/>
              <w:rPr>
                <w:rFonts w:cs="Arial"/>
                <w:lang w:eastAsia="en-GB"/>
              </w:rPr>
            </w:pPr>
            <w:r w:rsidRPr="00363983">
              <w:rPr>
                <w:rFonts w:cs="Arial"/>
                <w:lang w:eastAsia="en-GB"/>
              </w:rPr>
              <w:t>0</w:t>
            </w:r>
          </w:p>
        </w:tc>
        <w:tc>
          <w:tcPr>
            <w:tcW w:w="440" w:type="dxa"/>
            <w:tcBorders>
              <w:top w:val="nil"/>
              <w:left w:val="nil"/>
              <w:bottom w:val="single" w:sz="8" w:space="0" w:color="auto"/>
              <w:right w:val="single" w:sz="8" w:space="0" w:color="auto"/>
            </w:tcBorders>
            <w:shd w:val="clear" w:color="auto" w:fill="00FF00"/>
            <w:noWrap/>
            <w:vAlign w:val="bottom"/>
          </w:tcPr>
          <w:p w14:paraId="049E3D8E" w14:textId="77777777" w:rsidR="00A120CA" w:rsidRPr="00363983" w:rsidRDefault="00A120CA" w:rsidP="00BC135C">
            <w:pPr>
              <w:jc w:val="center"/>
              <w:rPr>
                <w:rFonts w:cs="Arial"/>
                <w:lang w:eastAsia="en-GB"/>
              </w:rPr>
            </w:pPr>
            <w:r w:rsidRPr="00363983">
              <w:rPr>
                <w:rFonts w:cs="Arial"/>
                <w:lang w:eastAsia="en-GB"/>
              </w:rPr>
              <w:t>0</w:t>
            </w:r>
          </w:p>
        </w:tc>
        <w:tc>
          <w:tcPr>
            <w:tcW w:w="480" w:type="dxa"/>
            <w:tcBorders>
              <w:top w:val="nil"/>
              <w:left w:val="nil"/>
              <w:bottom w:val="single" w:sz="8" w:space="0" w:color="auto"/>
              <w:right w:val="single" w:sz="8" w:space="0" w:color="auto"/>
            </w:tcBorders>
            <w:shd w:val="clear" w:color="auto" w:fill="00FF00"/>
            <w:noWrap/>
            <w:vAlign w:val="bottom"/>
          </w:tcPr>
          <w:p w14:paraId="45AC2BDB" w14:textId="77777777" w:rsidR="00A120CA" w:rsidRPr="00363983" w:rsidRDefault="00A120CA" w:rsidP="00BC135C">
            <w:pPr>
              <w:jc w:val="center"/>
              <w:rPr>
                <w:rFonts w:cs="Arial"/>
                <w:lang w:eastAsia="en-GB"/>
              </w:rPr>
            </w:pPr>
            <w:r w:rsidRPr="00363983">
              <w:rPr>
                <w:rFonts w:cs="Arial"/>
                <w:lang w:eastAsia="en-GB"/>
              </w:rPr>
              <w:t>0</w:t>
            </w:r>
          </w:p>
        </w:tc>
        <w:tc>
          <w:tcPr>
            <w:tcW w:w="460" w:type="dxa"/>
            <w:tcBorders>
              <w:top w:val="nil"/>
              <w:left w:val="nil"/>
              <w:bottom w:val="single" w:sz="8" w:space="0" w:color="auto"/>
              <w:right w:val="single" w:sz="8" w:space="0" w:color="auto"/>
            </w:tcBorders>
            <w:shd w:val="clear" w:color="auto" w:fill="00FF00"/>
            <w:noWrap/>
            <w:vAlign w:val="bottom"/>
          </w:tcPr>
          <w:p w14:paraId="791B3E08" w14:textId="77777777" w:rsidR="00A120CA" w:rsidRPr="00363983" w:rsidRDefault="00A120CA" w:rsidP="00BC135C">
            <w:pPr>
              <w:jc w:val="center"/>
              <w:rPr>
                <w:rFonts w:cs="Arial"/>
                <w:lang w:eastAsia="en-GB"/>
              </w:rPr>
            </w:pPr>
            <w:r w:rsidRPr="00363983">
              <w:rPr>
                <w:rFonts w:cs="Arial"/>
                <w:lang w:eastAsia="en-GB"/>
              </w:rPr>
              <w:t>1</w:t>
            </w:r>
          </w:p>
        </w:tc>
        <w:tc>
          <w:tcPr>
            <w:tcW w:w="460" w:type="dxa"/>
            <w:tcBorders>
              <w:top w:val="nil"/>
              <w:left w:val="nil"/>
              <w:bottom w:val="single" w:sz="8" w:space="0" w:color="auto"/>
              <w:right w:val="single" w:sz="8" w:space="0" w:color="auto"/>
            </w:tcBorders>
            <w:shd w:val="clear" w:color="auto" w:fill="00FF00"/>
            <w:noWrap/>
            <w:vAlign w:val="bottom"/>
          </w:tcPr>
          <w:p w14:paraId="2527B211" w14:textId="77777777" w:rsidR="00A120CA" w:rsidRPr="00363983" w:rsidRDefault="00A120CA" w:rsidP="00BC135C">
            <w:pPr>
              <w:jc w:val="center"/>
              <w:rPr>
                <w:rFonts w:cs="Arial"/>
                <w:lang w:eastAsia="en-GB"/>
              </w:rPr>
            </w:pPr>
            <w:r w:rsidRPr="00363983">
              <w:rPr>
                <w:rFonts w:cs="Arial"/>
                <w:lang w:eastAsia="en-GB"/>
              </w:rPr>
              <w:t>0</w:t>
            </w:r>
          </w:p>
        </w:tc>
        <w:tc>
          <w:tcPr>
            <w:tcW w:w="400" w:type="dxa"/>
            <w:tcBorders>
              <w:top w:val="nil"/>
              <w:left w:val="nil"/>
              <w:bottom w:val="single" w:sz="8" w:space="0" w:color="auto"/>
              <w:right w:val="single" w:sz="8" w:space="0" w:color="auto"/>
            </w:tcBorders>
            <w:shd w:val="clear" w:color="auto" w:fill="FFCC00"/>
            <w:vAlign w:val="bottom"/>
          </w:tcPr>
          <w:p w14:paraId="7EE70512" w14:textId="77777777" w:rsidR="00A120CA" w:rsidRPr="00363983" w:rsidRDefault="00A120CA" w:rsidP="00BC135C">
            <w:pPr>
              <w:jc w:val="center"/>
              <w:rPr>
                <w:rFonts w:cs="Arial"/>
                <w:lang w:eastAsia="en-GB"/>
              </w:rPr>
            </w:pPr>
            <w:r w:rsidRPr="00363983">
              <w:rPr>
                <w:rFonts w:cs="Arial"/>
                <w:lang w:eastAsia="en-GB"/>
              </w:rPr>
              <w:t>0</w:t>
            </w:r>
          </w:p>
        </w:tc>
        <w:tc>
          <w:tcPr>
            <w:tcW w:w="460" w:type="dxa"/>
            <w:tcBorders>
              <w:top w:val="nil"/>
              <w:left w:val="nil"/>
              <w:bottom w:val="single" w:sz="8" w:space="0" w:color="auto"/>
              <w:right w:val="single" w:sz="8" w:space="0" w:color="auto"/>
            </w:tcBorders>
            <w:shd w:val="clear" w:color="auto" w:fill="FFCC00"/>
            <w:vAlign w:val="bottom"/>
          </w:tcPr>
          <w:p w14:paraId="7FBA8E01" w14:textId="77777777" w:rsidR="00A120CA" w:rsidRPr="00363983" w:rsidRDefault="00A120CA" w:rsidP="00BC135C">
            <w:pPr>
              <w:jc w:val="center"/>
              <w:rPr>
                <w:rFonts w:cs="Arial"/>
                <w:lang w:eastAsia="en-GB"/>
              </w:rPr>
            </w:pPr>
            <w:r w:rsidRPr="00363983">
              <w:rPr>
                <w:rFonts w:cs="Arial"/>
                <w:lang w:eastAsia="en-GB"/>
              </w:rPr>
              <w:t>0</w:t>
            </w:r>
          </w:p>
        </w:tc>
        <w:tc>
          <w:tcPr>
            <w:tcW w:w="420" w:type="dxa"/>
            <w:tcBorders>
              <w:top w:val="nil"/>
              <w:left w:val="nil"/>
              <w:bottom w:val="single" w:sz="8" w:space="0" w:color="auto"/>
              <w:right w:val="single" w:sz="8" w:space="0" w:color="auto"/>
            </w:tcBorders>
            <w:shd w:val="clear" w:color="auto" w:fill="FFCC00"/>
            <w:vAlign w:val="bottom"/>
          </w:tcPr>
          <w:p w14:paraId="32E6AFFB" w14:textId="77777777" w:rsidR="00A120CA" w:rsidRPr="00363983" w:rsidRDefault="00A120CA" w:rsidP="00BC135C">
            <w:pPr>
              <w:jc w:val="center"/>
              <w:rPr>
                <w:rFonts w:cs="Arial"/>
                <w:lang w:eastAsia="en-GB"/>
              </w:rPr>
            </w:pPr>
            <w:r w:rsidRPr="00363983">
              <w:rPr>
                <w:rFonts w:cs="Arial"/>
                <w:lang w:eastAsia="en-GB"/>
              </w:rPr>
              <w:t>0</w:t>
            </w:r>
          </w:p>
        </w:tc>
        <w:tc>
          <w:tcPr>
            <w:tcW w:w="520" w:type="dxa"/>
            <w:tcBorders>
              <w:top w:val="nil"/>
              <w:left w:val="nil"/>
              <w:bottom w:val="single" w:sz="8" w:space="0" w:color="auto"/>
              <w:right w:val="single" w:sz="8" w:space="0" w:color="auto"/>
            </w:tcBorders>
            <w:shd w:val="clear" w:color="auto" w:fill="FFCC00"/>
            <w:vAlign w:val="bottom"/>
          </w:tcPr>
          <w:p w14:paraId="56F9EE26" w14:textId="77777777" w:rsidR="00A120CA" w:rsidRPr="00363983" w:rsidRDefault="00A120CA" w:rsidP="00BC135C">
            <w:pPr>
              <w:jc w:val="center"/>
              <w:rPr>
                <w:rFonts w:cs="Arial"/>
                <w:lang w:eastAsia="en-GB"/>
              </w:rPr>
            </w:pPr>
            <w:r w:rsidRPr="00363983">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4D3209F6" w14:textId="77777777" w:rsidR="00A120CA" w:rsidRPr="00363983" w:rsidRDefault="00A120CA" w:rsidP="00BC135C">
            <w:pPr>
              <w:jc w:val="center"/>
              <w:rPr>
                <w:rFonts w:cs="Arial"/>
                <w:lang w:eastAsia="en-GB"/>
              </w:rPr>
            </w:pPr>
            <w:r w:rsidRPr="00363983">
              <w:rPr>
                <w:rFonts w:cs="Arial"/>
                <w:lang w:eastAsia="en-GB"/>
              </w:rPr>
              <w:t>0</w:t>
            </w:r>
          </w:p>
        </w:tc>
        <w:tc>
          <w:tcPr>
            <w:tcW w:w="480" w:type="dxa"/>
            <w:tcBorders>
              <w:top w:val="nil"/>
              <w:left w:val="nil"/>
              <w:bottom w:val="single" w:sz="8" w:space="0" w:color="auto"/>
              <w:right w:val="single" w:sz="8" w:space="0" w:color="auto"/>
            </w:tcBorders>
            <w:shd w:val="clear" w:color="auto" w:fill="FF0000"/>
            <w:vAlign w:val="bottom"/>
          </w:tcPr>
          <w:p w14:paraId="13B4FA43" w14:textId="77777777" w:rsidR="00A120CA" w:rsidRPr="00363983" w:rsidRDefault="00A120CA" w:rsidP="00BC135C">
            <w:pPr>
              <w:jc w:val="center"/>
              <w:rPr>
                <w:rFonts w:cs="Arial"/>
                <w:lang w:eastAsia="en-GB"/>
              </w:rPr>
            </w:pPr>
            <w:r w:rsidRPr="00363983">
              <w:rPr>
                <w:rFonts w:cs="Arial"/>
                <w:lang w:eastAsia="en-GB"/>
              </w:rPr>
              <w:t>0</w:t>
            </w:r>
          </w:p>
        </w:tc>
        <w:tc>
          <w:tcPr>
            <w:tcW w:w="460" w:type="dxa"/>
            <w:tcBorders>
              <w:top w:val="nil"/>
              <w:left w:val="nil"/>
              <w:bottom w:val="single" w:sz="8" w:space="0" w:color="auto"/>
              <w:right w:val="single" w:sz="8" w:space="0" w:color="auto"/>
            </w:tcBorders>
            <w:shd w:val="clear" w:color="auto" w:fill="FF0000"/>
            <w:vAlign w:val="bottom"/>
          </w:tcPr>
          <w:p w14:paraId="20F1924A" w14:textId="77777777" w:rsidR="00A120CA" w:rsidRPr="00363983" w:rsidRDefault="00A120CA" w:rsidP="00BC135C">
            <w:pPr>
              <w:jc w:val="center"/>
              <w:rPr>
                <w:rFonts w:cs="Arial"/>
                <w:lang w:eastAsia="en-GB"/>
              </w:rPr>
            </w:pPr>
            <w:r w:rsidRPr="00363983">
              <w:rPr>
                <w:rFonts w:cs="Arial"/>
                <w:lang w:eastAsia="en-GB"/>
              </w:rPr>
              <w:t>0</w:t>
            </w:r>
          </w:p>
        </w:tc>
        <w:tc>
          <w:tcPr>
            <w:tcW w:w="440" w:type="dxa"/>
            <w:tcBorders>
              <w:top w:val="nil"/>
              <w:left w:val="nil"/>
              <w:bottom w:val="single" w:sz="8" w:space="0" w:color="auto"/>
              <w:right w:val="single" w:sz="8" w:space="0" w:color="auto"/>
            </w:tcBorders>
            <w:shd w:val="clear" w:color="auto" w:fill="FF0000"/>
            <w:vAlign w:val="bottom"/>
          </w:tcPr>
          <w:p w14:paraId="6E85F254" w14:textId="77777777" w:rsidR="00A120CA" w:rsidRPr="00363983" w:rsidRDefault="00A120CA" w:rsidP="00BC135C">
            <w:pPr>
              <w:jc w:val="center"/>
              <w:rPr>
                <w:rFonts w:cs="Arial"/>
                <w:lang w:eastAsia="en-GB"/>
              </w:rPr>
            </w:pPr>
            <w:r w:rsidRPr="00363983">
              <w:rPr>
                <w:rFonts w:cs="Arial"/>
                <w:lang w:eastAsia="en-GB"/>
              </w:rPr>
              <w:t>0</w:t>
            </w:r>
          </w:p>
        </w:tc>
        <w:tc>
          <w:tcPr>
            <w:tcW w:w="960" w:type="dxa"/>
            <w:tcBorders>
              <w:top w:val="nil"/>
              <w:left w:val="nil"/>
              <w:bottom w:val="single" w:sz="8" w:space="0" w:color="auto"/>
              <w:right w:val="single" w:sz="8" w:space="0" w:color="auto"/>
            </w:tcBorders>
            <w:vAlign w:val="bottom"/>
          </w:tcPr>
          <w:p w14:paraId="23AE6B5E" w14:textId="77777777" w:rsidR="00A120CA" w:rsidRPr="00363983" w:rsidRDefault="00A120CA" w:rsidP="00BC135C">
            <w:pPr>
              <w:jc w:val="center"/>
              <w:rPr>
                <w:rFonts w:cs="Arial"/>
                <w:color w:val="404040"/>
              </w:rPr>
            </w:pPr>
            <w:r w:rsidRPr="00363983">
              <w:rPr>
                <w:rFonts w:cs="Arial"/>
                <w:b/>
                <w:bCs/>
                <w:lang w:eastAsia="en-GB"/>
              </w:rPr>
              <w:t></w:t>
            </w:r>
          </w:p>
        </w:tc>
      </w:tr>
    </w:tbl>
    <w:p w14:paraId="0BC39282" w14:textId="77777777" w:rsidR="00A120CA" w:rsidRPr="00363983" w:rsidRDefault="00A120CA" w:rsidP="00A120CA">
      <w:pPr>
        <w:widowControl/>
        <w:overflowPunct/>
        <w:autoSpaceDE/>
        <w:autoSpaceDN/>
        <w:adjustRightInd/>
        <w:ind w:left="15"/>
        <w:jc w:val="center"/>
        <w:textAlignment w:val="auto"/>
        <w:rPr>
          <w:rFonts w:cs="Arial"/>
          <w:b/>
          <w:lang w:eastAsia="en-GB"/>
        </w:rPr>
      </w:pPr>
    </w:p>
    <w:p w14:paraId="68D83567" w14:textId="77777777" w:rsidR="00E376C4" w:rsidRPr="00363983" w:rsidRDefault="00E376C4" w:rsidP="00E376C4">
      <w:pPr>
        <w:widowControl/>
        <w:overflowPunct/>
        <w:autoSpaceDE/>
        <w:autoSpaceDN/>
        <w:adjustRightInd/>
        <w:ind w:left="15"/>
        <w:jc w:val="center"/>
        <w:textAlignment w:val="auto"/>
        <w:rPr>
          <w:rFonts w:cs="Arial"/>
          <w:b/>
          <w:lang w:eastAsia="en-GB"/>
        </w:rPr>
      </w:pPr>
    </w:p>
    <w:p w14:paraId="4985A8C1" w14:textId="77777777" w:rsidR="00A120CA" w:rsidRPr="00363983" w:rsidRDefault="00A120CA" w:rsidP="00A120CA">
      <w:pPr>
        <w:rPr>
          <w:rFonts w:cs="Arial"/>
          <w:sz w:val="22"/>
          <w:szCs w:val="22"/>
          <w:lang w:eastAsia="en-GB"/>
        </w:rPr>
      </w:pPr>
      <w:r w:rsidRPr="00363983">
        <w:rPr>
          <w:rFonts w:cs="Arial"/>
          <w:sz w:val="22"/>
          <w:szCs w:val="22"/>
          <w:lang w:eastAsia="en-GB"/>
        </w:rPr>
        <w:t>There is one overdue ‘Low’ rated overdue action in the 1-30 day category (11 days overdue at the end of October).</w:t>
      </w:r>
    </w:p>
    <w:p w14:paraId="27A7C304" w14:textId="77777777" w:rsidR="00A120CA" w:rsidRPr="00363983" w:rsidRDefault="00A120CA" w:rsidP="00A120CA">
      <w:pPr>
        <w:rPr>
          <w:rFonts w:cs="Arial"/>
          <w:sz w:val="22"/>
          <w:szCs w:val="22"/>
          <w:lang w:eastAsia="en-GB"/>
        </w:rPr>
      </w:pPr>
    </w:p>
    <w:p w14:paraId="69F12E31" w14:textId="77777777" w:rsidR="00A120CA" w:rsidRPr="00363983" w:rsidRDefault="00A120CA" w:rsidP="00A120CA">
      <w:pPr>
        <w:numPr>
          <w:ilvl w:val="0"/>
          <w:numId w:val="15"/>
        </w:numPr>
        <w:rPr>
          <w:rFonts w:cs="Arial"/>
          <w:sz w:val="22"/>
          <w:szCs w:val="22"/>
          <w:lang w:eastAsia="en-GB"/>
        </w:rPr>
      </w:pPr>
      <w:r w:rsidRPr="00363983">
        <w:rPr>
          <w:rFonts w:cs="Arial"/>
          <w:b/>
          <w:sz w:val="22"/>
          <w:szCs w:val="22"/>
          <w:lang w:eastAsia="en-GB"/>
        </w:rPr>
        <w:t>Fraud Data Mining (Finding 1 rated ‘Medium’ due 20 October 2015)</w:t>
      </w:r>
      <w:r w:rsidRPr="00363983">
        <w:rPr>
          <w:rFonts w:cs="Arial"/>
          <w:sz w:val="22"/>
          <w:szCs w:val="22"/>
          <w:lang w:eastAsia="en-GB"/>
        </w:rPr>
        <w:t xml:space="preserve">: Processes for the recording of Identity and Verification (IDV) checks should be reviewed and updated to ensure that the appropriate evidence is retained for all standing data changes and member retirement applications. </w:t>
      </w:r>
    </w:p>
    <w:p w14:paraId="6486016A" w14:textId="237D1A32" w:rsidR="00A120CA" w:rsidRPr="00363983" w:rsidRDefault="00546012" w:rsidP="00A120CA">
      <w:pPr>
        <w:rPr>
          <w:rFonts w:cs="Arial"/>
          <w:sz w:val="22"/>
          <w:szCs w:val="22"/>
          <w:lang w:eastAsia="en-GB"/>
        </w:rPr>
      </w:pPr>
      <w:r w:rsidRPr="00363983">
        <w:rPr>
          <w:rFonts w:cs="Arial"/>
          <w:sz w:val="22"/>
          <w:szCs w:val="22"/>
          <w:lang w:eastAsia="en-GB"/>
        </w:rPr>
        <w:t xml:space="preserve">Action Owner Update </w:t>
      </w:r>
      <w:r w:rsidR="00A120CA" w:rsidRPr="00363983">
        <w:rPr>
          <w:rFonts w:cs="Arial"/>
          <w:sz w:val="22"/>
          <w:szCs w:val="22"/>
          <w:lang w:eastAsia="en-GB"/>
        </w:rPr>
        <w:t xml:space="preserve">: The alternative call logging system is currently being tested prior to implementation into the live database and will be completed by 13 November 2015. </w:t>
      </w:r>
    </w:p>
    <w:p w14:paraId="03F123C4" w14:textId="77777777" w:rsidR="00A120CA" w:rsidRPr="00363983" w:rsidRDefault="00A120CA" w:rsidP="00A120CA">
      <w:pPr>
        <w:rPr>
          <w:rFonts w:cs="Arial"/>
          <w:sz w:val="22"/>
          <w:szCs w:val="22"/>
          <w:lang w:eastAsia="en-GB"/>
        </w:rPr>
      </w:pPr>
    </w:p>
    <w:p w14:paraId="54F5CB07" w14:textId="2720C69C" w:rsidR="00A120CA" w:rsidRPr="00363983" w:rsidRDefault="00546012" w:rsidP="00A120CA">
      <w:pPr>
        <w:rPr>
          <w:rFonts w:cs="Arial"/>
          <w:sz w:val="22"/>
          <w:szCs w:val="22"/>
          <w:lang w:eastAsia="en-GB"/>
        </w:rPr>
      </w:pPr>
      <w:r w:rsidRPr="00363983">
        <w:rPr>
          <w:rFonts w:cs="Arial"/>
          <w:sz w:val="22"/>
          <w:szCs w:val="22"/>
          <w:lang w:eastAsia="en-GB"/>
        </w:rPr>
        <w:t>TP</w:t>
      </w:r>
      <w:r w:rsidR="00A120CA" w:rsidRPr="00363983">
        <w:rPr>
          <w:rFonts w:cs="Arial"/>
          <w:sz w:val="22"/>
          <w:szCs w:val="22"/>
          <w:lang w:eastAsia="en-GB"/>
        </w:rPr>
        <w:t xml:space="preserve"> management continue to prioritise the closure of outstanding issues, and monthly challenge sessions are continuing to be held between GIA and </w:t>
      </w:r>
      <w:r w:rsidRPr="00363983">
        <w:rPr>
          <w:rFonts w:cs="Arial"/>
          <w:sz w:val="22"/>
          <w:szCs w:val="22"/>
          <w:lang w:eastAsia="en-GB"/>
        </w:rPr>
        <w:t>TP</w:t>
      </w:r>
      <w:r w:rsidR="00A120CA" w:rsidRPr="00363983">
        <w:rPr>
          <w:rFonts w:cs="Arial"/>
          <w:sz w:val="22"/>
          <w:szCs w:val="22"/>
          <w:lang w:eastAsia="en-GB"/>
        </w:rPr>
        <w:t xml:space="preserve"> management to assist with this focus. </w:t>
      </w:r>
    </w:p>
    <w:p w14:paraId="747AA78D" w14:textId="77777777" w:rsidR="00C5630B" w:rsidRPr="00363983" w:rsidRDefault="00E376C4" w:rsidP="006A4A6F">
      <w:pPr>
        <w:pStyle w:val="Heading2"/>
        <w:spacing w:before="0"/>
        <w:rPr>
          <w:rFonts w:cs="Arial"/>
        </w:rPr>
      </w:pPr>
      <w:r w:rsidRPr="00363983">
        <w:rPr>
          <w:rFonts w:cs="Arial"/>
        </w:rPr>
        <w:lastRenderedPageBreak/>
        <w:t>Progress against Audit Plan for 2015</w:t>
      </w:r>
    </w:p>
    <w:p w14:paraId="207ACE86" w14:textId="77777777" w:rsidR="006A4A6F" w:rsidRPr="00363983" w:rsidRDefault="006A4A6F" w:rsidP="006A4A6F">
      <w:pPr>
        <w:rPr>
          <w:rFonts w:cs="Arial"/>
        </w:rPr>
      </w:pPr>
    </w:p>
    <w:tbl>
      <w:tblPr>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5"/>
        <w:gridCol w:w="432"/>
        <w:gridCol w:w="500"/>
        <w:gridCol w:w="500"/>
        <w:gridCol w:w="500"/>
        <w:gridCol w:w="500"/>
        <w:gridCol w:w="1100"/>
        <w:gridCol w:w="1100"/>
        <w:gridCol w:w="1000"/>
        <w:gridCol w:w="900"/>
        <w:gridCol w:w="1000"/>
        <w:gridCol w:w="1000"/>
        <w:gridCol w:w="1000"/>
        <w:gridCol w:w="800"/>
        <w:gridCol w:w="500"/>
        <w:gridCol w:w="500"/>
        <w:gridCol w:w="500"/>
        <w:gridCol w:w="500"/>
      </w:tblGrid>
      <w:tr w:rsidR="006A4A6F" w:rsidRPr="00363983" w14:paraId="70215D6A" w14:textId="77777777" w:rsidTr="00BC135C">
        <w:trPr>
          <w:tblHeader/>
        </w:trPr>
        <w:tc>
          <w:tcPr>
            <w:tcW w:w="2325" w:type="dxa"/>
            <w:shd w:val="clear" w:color="auto" w:fill="004E73"/>
            <w:vAlign w:val="center"/>
          </w:tcPr>
          <w:p w14:paraId="2251BFBA" w14:textId="77777777" w:rsidR="006A4A6F" w:rsidRPr="00363983" w:rsidRDefault="006A4A6F" w:rsidP="00BC135C">
            <w:pPr>
              <w:pStyle w:val="TableHeading"/>
              <w:jc w:val="center"/>
              <w:rPr>
                <w:rFonts w:cs="Arial"/>
              </w:rPr>
            </w:pPr>
            <w:r w:rsidRPr="00363983">
              <w:rPr>
                <w:rFonts w:cs="Arial"/>
                <w:sz w:val="22"/>
                <w:szCs w:val="22"/>
              </w:rPr>
              <w:t>Audit Title</w:t>
            </w:r>
          </w:p>
        </w:tc>
        <w:tc>
          <w:tcPr>
            <w:tcW w:w="432" w:type="dxa"/>
            <w:shd w:val="clear" w:color="auto" w:fill="004E73"/>
            <w:vAlign w:val="center"/>
          </w:tcPr>
          <w:p w14:paraId="3534FC44" w14:textId="77777777" w:rsidR="006A4A6F" w:rsidRPr="00363983" w:rsidRDefault="006A4A6F" w:rsidP="00BC135C">
            <w:pPr>
              <w:pStyle w:val="TableHeading"/>
              <w:jc w:val="center"/>
              <w:rPr>
                <w:rFonts w:cs="Arial"/>
              </w:rPr>
            </w:pPr>
            <w:r w:rsidRPr="00363983">
              <w:rPr>
                <w:rFonts w:cs="Arial"/>
                <w:sz w:val="22"/>
                <w:szCs w:val="22"/>
              </w:rPr>
              <w:t>IA</w:t>
            </w:r>
          </w:p>
        </w:tc>
        <w:tc>
          <w:tcPr>
            <w:tcW w:w="500" w:type="dxa"/>
            <w:shd w:val="clear" w:color="auto" w:fill="004E73"/>
            <w:vAlign w:val="center"/>
          </w:tcPr>
          <w:p w14:paraId="4CBE914C" w14:textId="77777777" w:rsidR="006A4A6F" w:rsidRPr="00363983" w:rsidRDefault="006A4A6F" w:rsidP="00BC135C">
            <w:pPr>
              <w:pStyle w:val="TableHeading"/>
              <w:jc w:val="center"/>
              <w:rPr>
                <w:rFonts w:cs="Arial"/>
              </w:rPr>
            </w:pPr>
            <w:r w:rsidRPr="00363983">
              <w:rPr>
                <w:rFonts w:cs="Arial"/>
                <w:sz w:val="22"/>
                <w:szCs w:val="22"/>
              </w:rPr>
              <w:t>Q1</w:t>
            </w:r>
          </w:p>
        </w:tc>
        <w:tc>
          <w:tcPr>
            <w:tcW w:w="500" w:type="dxa"/>
            <w:shd w:val="clear" w:color="auto" w:fill="004E73"/>
            <w:vAlign w:val="center"/>
          </w:tcPr>
          <w:p w14:paraId="45D8ED39" w14:textId="77777777" w:rsidR="006A4A6F" w:rsidRPr="00363983" w:rsidRDefault="006A4A6F" w:rsidP="00BC135C">
            <w:pPr>
              <w:pStyle w:val="TableHeading"/>
              <w:jc w:val="center"/>
              <w:rPr>
                <w:rFonts w:cs="Arial"/>
              </w:rPr>
            </w:pPr>
            <w:r w:rsidRPr="00363983">
              <w:rPr>
                <w:rFonts w:cs="Arial"/>
                <w:sz w:val="22"/>
                <w:szCs w:val="22"/>
              </w:rPr>
              <w:t>Q2</w:t>
            </w:r>
          </w:p>
        </w:tc>
        <w:tc>
          <w:tcPr>
            <w:tcW w:w="500" w:type="dxa"/>
            <w:shd w:val="clear" w:color="auto" w:fill="004E73"/>
            <w:vAlign w:val="center"/>
          </w:tcPr>
          <w:p w14:paraId="2E116AAA" w14:textId="77777777" w:rsidR="006A4A6F" w:rsidRPr="00363983" w:rsidRDefault="006A4A6F" w:rsidP="00BC135C">
            <w:pPr>
              <w:pStyle w:val="TableHeading"/>
              <w:jc w:val="center"/>
              <w:rPr>
                <w:rFonts w:cs="Arial"/>
              </w:rPr>
            </w:pPr>
            <w:r w:rsidRPr="00363983">
              <w:rPr>
                <w:rFonts w:cs="Arial"/>
                <w:sz w:val="22"/>
                <w:szCs w:val="22"/>
              </w:rPr>
              <w:t>Q3</w:t>
            </w:r>
          </w:p>
        </w:tc>
        <w:tc>
          <w:tcPr>
            <w:tcW w:w="500" w:type="dxa"/>
            <w:shd w:val="clear" w:color="auto" w:fill="004E73"/>
            <w:vAlign w:val="center"/>
          </w:tcPr>
          <w:p w14:paraId="6D35D61E" w14:textId="77777777" w:rsidR="006A4A6F" w:rsidRPr="00363983" w:rsidRDefault="006A4A6F" w:rsidP="00BC135C">
            <w:pPr>
              <w:pStyle w:val="TableHeading"/>
              <w:jc w:val="center"/>
              <w:rPr>
                <w:rFonts w:cs="Arial"/>
              </w:rPr>
            </w:pPr>
            <w:r w:rsidRPr="00363983">
              <w:rPr>
                <w:rFonts w:cs="Arial"/>
                <w:sz w:val="22"/>
                <w:szCs w:val="22"/>
              </w:rPr>
              <w:t>Q4</w:t>
            </w:r>
          </w:p>
        </w:tc>
        <w:tc>
          <w:tcPr>
            <w:tcW w:w="1100" w:type="dxa"/>
            <w:shd w:val="clear" w:color="auto" w:fill="004E73"/>
            <w:tcMar>
              <w:left w:w="113" w:type="dxa"/>
              <w:right w:w="85" w:type="dxa"/>
            </w:tcMar>
            <w:vAlign w:val="center"/>
          </w:tcPr>
          <w:p w14:paraId="45643F59" w14:textId="77777777" w:rsidR="006A4A6F" w:rsidRPr="00363983" w:rsidRDefault="006A4A6F" w:rsidP="00BC135C">
            <w:pPr>
              <w:pStyle w:val="TableHeading"/>
              <w:jc w:val="center"/>
              <w:rPr>
                <w:rFonts w:cs="Arial"/>
              </w:rPr>
            </w:pPr>
            <w:r w:rsidRPr="00363983">
              <w:rPr>
                <w:rFonts w:cs="Arial"/>
                <w:sz w:val="22"/>
                <w:szCs w:val="22"/>
              </w:rPr>
              <w:t>Current Status</w:t>
            </w:r>
            <w:r w:rsidRPr="00363983">
              <w:rPr>
                <w:rFonts w:cs="Arial"/>
                <w:sz w:val="22"/>
                <w:szCs w:val="22"/>
                <w:vertAlign w:val="superscript"/>
              </w:rPr>
              <w:t>1</w:t>
            </w:r>
          </w:p>
        </w:tc>
        <w:tc>
          <w:tcPr>
            <w:tcW w:w="1100" w:type="dxa"/>
            <w:tcBorders>
              <w:bottom w:val="single" w:sz="4" w:space="0" w:color="auto"/>
            </w:tcBorders>
            <w:shd w:val="clear" w:color="auto" w:fill="004E73"/>
          </w:tcPr>
          <w:p w14:paraId="31DF1C50" w14:textId="77777777" w:rsidR="006A4A6F" w:rsidRPr="00363983" w:rsidRDefault="006A4A6F" w:rsidP="00BC135C">
            <w:pPr>
              <w:pStyle w:val="TableHeading"/>
              <w:jc w:val="center"/>
              <w:rPr>
                <w:rFonts w:cs="Arial"/>
              </w:rPr>
            </w:pPr>
            <w:r w:rsidRPr="00363983">
              <w:rPr>
                <w:rFonts w:cs="Arial"/>
                <w:sz w:val="22"/>
                <w:szCs w:val="22"/>
              </w:rPr>
              <w:t>Target Final Draft ToR*</w:t>
            </w:r>
          </w:p>
        </w:tc>
        <w:tc>
          <w:tcPr>
            <w:tcW w:w="1000" w:type="dxa"/>
            <w:tcBorders>
              <w:bottom w:val="single" w:sz="4" w:space="0" w:color="auto"/>
            </w:tcBorders>
            <w:shd w:val="clear" w:color="auto" w:fill="004E73"/>
          </w:tcPr>
          <w:p w14:paraId="574E00E1" w14:textId="77777777" w:rsidR="006A4A6F" w:rsidRPr="00363983" w:rsidRDefault="006A4A6F" w:rsidP="00BC135C">
            <w:pPr>
              <w:pStyle w:val="TableHeading"/>
              <w:jc w:val="center"/>
              <w:rPr>
                <w:rFonts w:cs="Arial"/>
              </w:rPr>
            </w:pPr>
            <w:r w:rsidRPr="00363983">
              <w:rPr>
                <w:rFonts w:cs="Arial"/>
                <w:sz w:val="22"/>
                <w:szCs w:val="22"/>
              </w:rPr>
              <w:t>Actual Final Draft ToR*</w:t>
            </w:r>
          </w:p>
        </w:tc>
        <w:tc>
          <w:tcPr>
            <w:tcW w:w="900" w:type="dxa"/>
            <w:tcBorders>
              <w:bottom w:val="single" w:sz="4" w:space="0" w:color="auto"/>
            </w:tcBorders>
            <w:shd w:val="clear" w:color="auto" w:fill="004E73"/>
          </w:tcPr>
          <w:p w14:paraId="66848D14" w14:textId="77777777" w:rsidR="006A4A6F" w:rsidRPr="00363983" w:rsidRDefault="006A4A6F" w:rsidP="00BC135C">
            <w:pPr>
              <w:pStyle w:val="TableHeading"/>
              <w:jc w:val="center"/>
              <w:rPr>
                <w:rFonts w:cs="Arial"/>
              </w:rPr>
            </w:pPr>
            <w:r w:rsidRPr="00363983">
              <w:rPr>
                <w:rFonts w:cs="Arial"/>
                <w:sz w:val="22"/>
                <w:szCs w:val="22"/>
              </w:rPr>
              <w:t>Final ToR</w:t>
            </w:r>
          </w:p>
        </w:tc>
        <w:tc>
          <w:tcPr>
            <w:tcW w:w="1000" w:type="dxa"/>
            <w:tcBorders>
              <w:bottom w:val="single" w:sz="4" w:space="0" w:color="auto"/>
            </w:tcBorders>
            <w:shd w:val="clear" w:color="auto" w:fill="004E73"/>
          </w:tcPr>
          <w:p w14:paraId="06253433" w14:textId="77777777" w:rsidR="006A4A6F" w:rsidRPr="00363983" w:rsidRDefault="006A4A6F" w:rsidP="00BC135C">
            <w:pPr>
              <w:pStyle w:val="TableHeading"/>
              <w:jc w:val="center"/>
              <w:rPr>
                <w:rFonts w:cs="Arial"/>
              </w:rPr>
            </w:pPr>
            <w:r w:rsidRPr="00363983">
              <w:rPr>
                <w:rFonts w:cs="Arial"/>
                <w:sz w:val="22"/>
                <w:szCs w:val="22"/>
              </w:rPr>
              <w:t>Target Final Draft Report*</w:t>
            </w:r>
          </w:p>
        </w:tc>
        <w:tc>
          <w:tcPr>
            <w:tcW w:w="1000" w:type="dxa"/>
            <w:tcBorders>
              <w:bottom w:val="single" w:sz="4" w:space="0" w:color="auto"/>
            </w:tcBorders>
            <w:shd w:val="clear" w:color="auto" w:fill="004E73"/>
          </w:tcPr>
          <w:p w14:paraId="5C504CA3" w14:textId="77777777" w:rsidR="006A4A6F" w:rsidRPr="00363983" w:rsidRDefault="006A4A6F" w:rsidP="00BC135C">
            <w:pPr>
              <w:pStyle w:val="TableHeading"/>
              <w:jc w:val="center"/>
              <w:rPr>
                <w:rFonts w:cs="Arial"/>
              </w:rPr>
            </w:pPr>
            <w:r w:rsidRPr="00363983">
              <w:rPr>
                <w:rFonts w:cs="Arial"/>
                <w:sz w:val="22"/>
                <w:szCs w:val="22"/>
              </w:rPr>
              <w:t>Actual Final Draft Report*</w:t>
            </w:r>
          </w:p>
        </w:tc>
        <w:tc>
          <w:tcPr>
            <w:tcW w:w="1000" w:type="dxa"/>
            <w:tcBorders>
              <w:bottom w:val="single" w:sz="4" w:space="0" w:color="auto"/>
            </w:tcBorders>
            <w:shd w:val="clear" w:color="auto" w:fill="004E73"/>
          </w:tcPr>
          <w:p w14:paraId="0F98E754" w14:textId="77777777" w:rsidR="006A4A6F" w:rsidRPr="00363983" w:rsidRDefault="006A4A6F" w:rsidP="00BC135C">
            <w:pPr>
              <w:pStyle w:val="TableHeading"/>
              <w:jc w:val="center"/>
              <w:rPr>
                <w:rFonts w:cs="Arial"/>
              </w:rPr>
            </w:pPr>
            <w:r w:rsidRPr="00363983">
              <w:rPr>
                <w:rFonts w:cs="Arial"/>
                <w:sz w:val="22"/>
                <w:szCs w:val="22"/>
              </w:rPr>
              <w:t>Final Report</w:t>
            </w:r>
          </w:p>
        </w:tc>
        <w:tc>
          <w:tcPr>
            <w:tcW w:w="800" w:type="dxa"/>
            <w:tcBorders>
              <w:bottom w:val="single" w:sz="4" w:space="0" w:color="auto"/>
            </w:tcBorders>
            <w:shd w:val="clear" w:color="auto" w:fill="004E73"/>
            <w:vAlign w:val="center"/>
          </w:tcPr>
          <w:p w14:paraId="77EF3A62" w14:textId="77777777" w:rsidR="006A4A6F" w:rsidRPr="00363983" w:rsidRDefault="006A4A6F" w:rsidP="00BC135C">
            <w:pPr>
              <w:pStyle w:val="TableHeading"/>
              <w:jc w:val="center"/>
              <w:rPr>
                <w:rFonts w:cs="Arial"/>
              </w:rPr>
            </w:pPr>
            <w:r w:rsidRPr="00363983">
              <w:rPr>
                <w:rFonts w:cs="Arial"/>
                <w:sz w:val="22"/>
                <w:szCs w:val="22"/>
              </w:rPr>
              <w:t>E/IR/ SIR/I</w:t>
            </w:r>
            <w:r w:rsidRPr="00363983">
              <w:rPr>
                <w:rFonts w:cs="Arial"/>
                <w:sz w:val="22"/>
                <w:szCs w:val="22"/>
                <w:vertAlign w:val="superscript"/>
              </w:rPr>
              <w:t>2</w:t>
            </w:r>
          </w:p>
        </w:tc>
        <w:tc>
          <w:tcPr>
            <w:tcW w:w="500" w:type="dxa"/>
            <w:tcBorders>
              <w:bottom w:val="single" w:sz="4" w:space="0" w:color="auto"/>
            </w:tcBorders>
            <w:shd w:val="clear" w:color="auto" w:fill="004E73"/>
            <w:vAlign w:val="center"/>
          </w:tcPr>
          <w:p w14:paraId="2F9FBCA3" w14:textId="77777777" w:rsidR="006A4A6F" w:rsidRPr="00363983" w:rsidRDefault="006A4A6F" w:rsidP="00BC135C">
            <w:pPr>
              <w:pStyle w:val="TableHeading"/>
              <w:jc w:val="center"/>
              <w:rPr>
                <w:rFonts w:cs="Arial"/>
              </w:rPr>
            </w:pPr>
            <w:r w:rsidRPr="00363983">
              <w:rPr>
                <w:rFonts w:cs="Arial"/>
                <w:sz w:val="22"/>
                <w:szCs w:val="22"/>
              </w:rPr>
              <w:t>C</w:t>
            </w:r>
          </w:p>
        </w:tc>
        <w:tc>
          <w:tcPr>
            <w:tcW w:w="500" w:type="dxa"/>
            <w:tcBorders>
              <w:bottom w:val="single" w:sz="4" w:space="0" w:color="auto"/>
            </w:tcBorders>
            <w:shd w:val="clear" w:color="auto" w:fill="004E73"/>
            <w:vAlign w:val="center"/>
          </w:tcPr>
          <w:p w14:paraId="1E14766F" w14:textId="77777777" w:rsidR="006A4A6F" w:rsidRPr="00363983" w:rsidRDefault="006A4A6F" w:rsidP="00BC135C">
            <w:pPr>
              <w:pStyle w:val="TableHeading"/>
              <w:jc w:val="center"/>
              <w:rPr>
                <w:rFonts w:cs="Arial"/>
              </w:rPr>
            </w:pPr>
            <w:r w:rsidRPr="00363983">
              <w:rPr>
                <w:rFonts w:cs="Arial"/>
                <w:sz w:val="22"/>
                <w:szCs w:val="22"/>
              </w:rPr>
              <w:t>H</w:t>
            </w:r>
          </w:p>
        </w:tc>
        <w:tc>
          <w:tcPr>
            <w:tcW w:w="500" w:type="dxa"/>
            <w:tcBorders>
              <w:bottom w:val="single" w:sz="4" w:space="0" w:color="auto"/>
            </w:tcBorders>
            <w:shd w:val="clear" w:color="auto" w:fill="004E73"/>
            <w:vAlign w:val="center"/>
          </w:tcPr>
          <w:p w14:paraId="1210432A" w14:textId="77777777" w:rsidR="006A4A6F" w:rsidRPr="00363983" w:rsidRDefault="006A4A6F" w:rsidP="00BC135C">
            <w:pPr>
              <w:pStyle w:val="TableHeading"/>
              <w:jc w:val="center"/>
              <w:rPr>
                <w:rFonts w:cs="Arial"/>
              </w:rPr>
            </w:pPr>
            <w:r w:rsidRPr="00363983">
              <w:rPr>
                <w:rFonts w:cs="Arial"/>
                <w:sz w:val="22"/>
                <w:szCs w:val="22"/>
              </w:rPr>
              <w:t>M</w:t>
            </w:r>
          </w:p>
        </w:tc>
        <w:tc>
          <w:tcPr>
            <w:tcW w:w="500" w:type="dxa"/>
            <w:tcBorders>
              <w:bottom w:val="single" w:sz="4" w:space="0" w:color="auto"/>
            </w:tcBorders>
            <w:shd w:val="clear" w:color="auto" w:fill="004E73"/>
            <w:vAlign w:val="center"/>
          </w:tcPr>
          <w:p w14:paraId="14ED56A3" w14:textId="77777777" w:rsidR="006A4A6F" w:rsidRPr="00363983" w:rsidRDefault="006A4A6F" w:rsidP="00BC135C">
            <w:pPr>
              <w:pStyle w:val="TableHeading"/>
              <w:jc w:val="center"/>
              <w:rPr>
                <w:rFonts w:cs="Arial"/>
              </w:rPr>
            </w:pPr>
            <w:r w:rsidRPr="00363983">
              <w:rPr>
                <w:rFonts w:cs="Arial"/>
                <w:sz w:val="22"/>
                <w:szCs w:val="22"/>
              </w:rPr>
              <w:t>L</w:t>
            </w:r>
          </w:p>
        </w:tc>
      </w:tr>
      <w:tr w:rsidR="006A4A6F" w:rsidRPr="00363983" w14:paraId="5D57327A" w14:textId="77777777" w:rsidTr="00BC135C">
        <w:trPr>
          <w:trHeight w:val="454"/>
        </w:trPr>
        <w:tc>
          <w:tcPr>
            <w:tcW w:w="2325" w:type="dxa"/>
            <w:tcMar>
              <w:left w:w="85" w:type="dxa"/>
              <w:right w:w="85" w:type="dxa"/>
            </w:tcMar>
            <w:vAlign w:val="center"/>
          </w:tcPr>
          <w:p w14:paraId="4B09A02C" w14:textId="77777777" w:rsidR="006A4A6F" w:rsidRPr="00363983" w:rsidRDefault="006A4A6F" w:rsidP="00BC135C">
            <w:pPr>
              <w:rPr>
                <w:rFonts w:cs="Arial"/>
                <w:sz w:val="18"/>
                <w:szCs w:val="18"/>
              </w:rPr>
            </w:pPr>
            <w:r w:rsidRPr="00363983">
              <w:rPr>
                <w:rFonts w:cs="Arial"/>
                <w:sz w:val="18"/>
                <w:szCs w:val="18"/>
              </w:rPr>
              <w:t>TP01 SLA &amp; Performance MI</w:t>
            </w:r>
          </w:p>
        </w:tc>
        <w:tc>
          <w:tcPr>
            <w:tcW w:w="432" w:type="dxa"/>
            <w:vAlign w:val="center"/>
          </w:tcPr>
          <w:p w14:paraId="4B528AC8" w14:textId="77777777" w:rsidR="006A4A6F" w:rsidRPr="00363983" w:rsidRDefault="006A4A6F" w:rsidP="00BC135C">
            <w:pPr>
              <w:spacing w:before="120" w:after="120"/>
              <w:jc w:val="center"/>
              <w:rPr>
                <w:rFonts w:cs="Arial"/>
                <w:sz w:val="18"/>
                <w:szCs w:val="18"/>
              </w:rPr>
            </w:pPr>
            <w:r w:rsidRPr="00363983">
              <w:rPr>
                <w:rFonts w:cs="Arial"/>
                <w:sz w:val="18"/>
                <w:szCs w:val="18"/>
              </w:rPr>
              <w:t>AB</w:t>
            </w:r>
          </w:p>
        </w:tc>
        <w:tc>
          <w:tcPr>
            <w:tcW w:w="500" w:type="dxa"/>
            <w:vAlign w:val="center"/>
          </w:tcPr>
          <w:p w14:paraId="38A2E97B" w14:textId="77777777" w:rsidR="006A4A6F" w:rsidRPr="00363983" w:rsidRDefault="006A4A6F" w:rsidP="00BC135C">
            <w:pPr>
              <w:jc w:val="center"/>
              <w:rPr>
                <w:rFonts w:cs="Arial"/>
                <w:sz w:val="18"/>
                <w:szCs w:val="18"/>
              </w:rPr>
            </w:pPr>
            <w:r w:rsidRPr="00363983">
              <w:rPr>
                <w:rFonts w:cs="Arial"/>
                <w:sz w:val="18"/>
                <w:szCs w:val="18"/>
              </w:rPr>
              <w:t>30</w:t>
            </w:r>
          </w:p>
        </w:tc>
        <w:tc>
          <w:tcPr>
            <w:tcW w:w="500" w:type="dxa"/>
            <w:vAlign w:val="center"/>
          </w:tcPr>
          <w:p w14:paraId="5CE3F0D1" w14:textId="77777777" w:rsidR="006A4A6F" w:rsidRPr="00363983" w:rsidRDefault="006A4A6F" w:rsidP="00BC135C">
            <w:pPr>
              <w:jc w:val="center"/>
              <w:rPr>
                <w:rFonts w:cs="Arial"/>
                <w:sz w:val="18"/>
                <w:szCs w:val="18"/>
              </w:rPr>
            </w:pPr>
          </w:p>
        </w:tc>
        <w:tc>
          <w:tcPr>
            <w:tcW w:w="500" w:type="dxa"/>
            <w:vAlign w:val="center"/>
          </w:tcPr>
          <w:p w14:paraId="2F9A79AA" w14:textId="77777777" w:rsidR="006A4A6F" w:rsidRPr="00363983" w:rsidRDefault="006A4A6F" w:rsidP="00BC135C">
            <w:pPr>
              <w:jc w:val="center"/>
              <w:rPr>
                <w:rFonts w:cs="Arial"/>
                <w:sz w:val="18"/>
                <w:szCs w:val="18"/>
              </w:rPr>
            </w:pPr>
          </w:p>
        </w:tc>
        <w:tc>
          <w:tcPr>
            <w:tcW w:w="500" w:type="dxa"/>
            <w:vAlign w:val="center"/>
          </w:tcPr>
          <w:p w14:paraId="543A2C46"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56C15823" w14:textId="77777777" w:rsidR="006A4A6F" w:rsidRPr="00363983" w:rsidRDefault="006A4A6F" w:rsidP="00BC135C">
            <w:pPr>
              <w:ind w:left="-108" w:right="-108"/>
              <w:jc w:val="center"/>
              <w:rPr>
                <w:rFonts w:cs="Arial"/>
                <w:sz w:val="18"/>
                <w:szCs w:val="18"/>
              </w:rPr>
            </w:pPr>
            <w:r w:rsidRPr="00363983">
              <w:rPr>
                <w:rFonts w:cs="Arial"/>
                <w:sz w:val="18"/>
                <w:szCs w:val="18"/>
              </w:rPr>
              <w:t>Final Report</w:t>
            </w:r>
          </w:p>
        </w:tc>
        <w:tc>
          <w:tcPr>
            <w:tcW w:w="1100" w:type="dxa"/>
            <w:vAlign w:val="center"/>
          </w:tcPr>
          <w:p w14:paraId="525F2755" w14:textId="77777777" w:rsidR="006A4A6F" w:rsidRPr="00363983" w:rsidRDefault="006A4A6F" w:rsidP="00BC135C">
            <w:pPr>
              <w:ind w:left="-108" w:right="-108"/>
              <w:jc w:val="center"/>
              <w:rPr>
                <w:rFonts w:cs="Arial"/>
                <w:sz w:val="18"/>
                <w:szCs w:val="18"/>
              </w:rPr>
            </w:pPr>
            <w:r w:rsidRPr="00363983">
              <w:rPr>
                <w:rFonts w:cs="Arial"/>
                <w:sz w:val="18"/>
                <w:szCs w:val="18"/>
              </w:rPr>
              <w:t>Feb 2015</w:t>
            </w:r>
          </w:p>
        </w:tc>
        <w:tc>
          <w:tcPr>
            <w:tcW w:w="1000" w:type="dxa"/>
            <w:tcBorders>
              <w:bottom w:val="single" w:sz="4" w:space="0" w:color="auto"/>
            </w:tcBorders>
            <w:shd w:val="clear" w:color="auto" w:fill="00B050"/>
            <w:vAlign w:val="center"/>
          </w:tcPr>
          <w:p w14:paraId="2774C1F2" w14:textId="77777777" w:rsidR="006A4A6F" w:rsidRPr="00363983" w:rsidRDefault="006A4A6F" w:rsidP="00BC135C">
            <w:pPr>
              <w:ind w:left="-108" w:right="-108"/>
              <w:jc w:val="center"/>
              <w:rPr>
                <w:rFonts w:cs="Arial"/>
                <w:sz w:val="18"/>
                <w:szCs w:val="18"/>
              </w:rPr>
            </w:pPr>
            <w:r w:rsidRPr="00363983">
              <w:rPr>
                <w:rFonts w:cs="Arial"/>
                <w:sz w:val="18"/>
                <w:szCs w:val="18"/>
              </w:rPr>
              <w:t>Feb 2015</w:t>
            </w:r>
          </w:p>
        </w:tc>
        <w:tc>
          <w:tcPr>
            <w:tcW w:w="900" w:type="dxa"/>
            <w:shd w:val="clear" w:color="auto" w:fill="auto"/>
            <w:vAlign w:val="center"/>
          </w:tcPr>
          <w:p w14:paraId="45412121" w14:textId="77777777" w:rsidR="006A4A6F" w:rsidRPr="00363983" w:rsidRDefault="006A4A6F" w:rsidP="00BC135C">
            <w:pPr>
              <w:ind w:left="-108" w:right="-108"/>
              <w:jc w:val="center"/>
              <w:rPr>
                <w:rFonts w:cs="Arial"/>
                <w:sz w:val="18"/>
                <w:szCs w:val="18"/>
              </w:rPr>
            </w:pPr>
            <w:r w:rsidRPr="00363983">
              <w:rPr>
                <w:rFonts w:cs="Arial"/>
                <w:sz w:val="18"/>
                <w:szCs w:val="18"/>
              </w:rPr>
              <w:t>02/03/15</w:t>
            </w:r>
          </w:p>
        </w:tc>
        <w:tc>
          <w:tcPr>
            <w:tcW w:w="1000" w:type="dxa"/>
            <w:shd w:val="clear" w:color="auto" w:fill="auto"/>
            <w:vAlign w:val="center"/>
          </w:tcPr>
          <w:p w14:paraId="6EA0BC03" w14:textId="77777777" w:rsidR="006A4A6F" w:rsidRPr="00363983" w:rsidRDefault="006A4A6F" w:rsidP="00BC135C">
            <w:pPr>
              <w:ind w:left="-108" w:right="-108"/>
              <w:jc w:val="center"/>
              <w:rPr>
                <w:rFonts w:cs="Arial"/>
                <w:sz w:val="18"/>
                <w:szCs w:val="18"/>
              </w:rPr>
            </w:pPr>
            <w:r w:rsidRPr="00363983">
              <w:rPr>
                <w:rFonts w:cs="Arial"/>
                <w:sz w:val="18"/>
                <w:szCs w:val="18"/>
              </w:rPr>
              <w:t>Jun 2015</w:t>
            </w:r>
          </w:p>
        </w:tc>
        <w:tc>
          <w:tcPr>
            <w:tcW w:w="1000" w:type="dxa"/>
            <w:tcBorders>
              <w:bottom w:val="single" w:sz="4" w:space="0" w:color="auto"/>
            </w:tcBorders>
            <w:shd w:val="clear" w:color="auto" w:fill="00B050"/>
            <w:vAlign w:val="center"/>
          </w:tcPr>
          <w:p w14:paraId="2759B4CE" w14:textId="77777777" w:rsidR="006A4A6F" w:rsidRPr="00363983" w:rsidRDefault="006A4A6F" w:rsidP="00BC135C">
            <w:pPr>
              <w:ind w:left="-108" w:right="-108"/>
              <w:jc w:val="center"/>
              <w:rPr>
                <w:rFonts w:cs="Arial"/>
                <w:sz w:val="18"/>
                <w:szCs w:val="18"/>
              </w:rPr>
            </w:pPr>
            <w:r w:rsidRPr="00363983">
              <w:rPr>
                <w:rFonts w:cs="Arial"/>
                <w:sz w:val="18"/>
                <w:szCs w:val="18"/>
              </w:rPr>
              <w:t>June 2015</w:t>
            </w:r>
          </w:p>
        </w:tc>
        <w:tc>
          <w:tcPr>
            <w:tcW w:w="1000" w:type="dxa"/>
            <w:shd w:val="clear" w:color="auto" w:fill="auto"/>
            <w:vAlign w:val="center"/>
          </w:tcPr>
          <w:p w14:paraId="377A0419" w14:textId="77777777" w:rsidR="006A4A6F" w:rsidRPr="00363983" w:rsidRDefault="006A4A6F" w:rsidP="00BC135C">
            <w:pPr>
              <w:ind w:left="-108" w:right="-108"/>
              <w:jc w:val="center"/>
              <w:rPr>
                <w:rFonts w:cs="Arial"/>
                <w:sz w:val="18"/>
                <w:szCs w:val="18"/>
              </w:rPr>
            </w:pPr>
            <w:r w:rsidRPr="00363983">
              <w:rPr>
                <w:rFonts w:cs="Arial"/>
                <w:sz w:val="18"/>
                <w:szCs w:val="18"/>
              </w:rPr>
              <w:t>10/07/15</w:t>
            </w:r>
          </w:p>
        </w:tc>
        <w:tc>
          <w:tcPr>
            <w:tcW w:w="800" w:type="dxa"/>
            <w:shd w:val="clear" w:color="auto" w:fill="auto"/>
            <w:vAlign w:val="center"/>
          </w:tcPr>
          <w:p w14:paraId="5EFC14F0" w14:textId="77777777" w:rsidR="006A4A6F" w:rsidRPr="00363983" w:rsidRDefault="006A4A6F" w:rsidP="00BC135C">
            <w:pPr>
              <w:ind w:left="-108" w:right="-108"/>
              <w:jc w:val="center"/>
              <w:rPr>
                <w:rFonts w:cs="Arial"/>
                <w:sz w:val="18"/>
                <w:szCs w:val="18"/>
              </w:rPr>
            </w:pPr>
            <w:r w:rsidRPr="00363983">
              <w:rPr>
                <w:rFonts w:cs="Arial"/>
                <w:sz w:val="18"/>
                <w:szCs w:val="18"/>
              </w:rPr>
              <w:t>IR</w:t>
            </w:r>
          </w:p>
        </w:tc>
        <w:tc>
          <w:tcPr>
            <w:tcW w:w="500" w:type="dxa"/>
            <w:shd w:val="clear" w:color="auto" w:fill="auto"/>
            <w:vAlign w:val="center"/>
          </w:tcPr>
          <w:p w14:paraId="07BC1D92" w14:textId="77777777" w:rsidR="006A4A6F" w:rsidRPr="00363983" w:rsidRDefault="006A4A6F" w:rsidP="00BC135C">
            <w:pPr>
              <w:ind w:left="-108" w:right="-108"/>
              <w:jc w:val="center"/>
              <w:rPr>
                <w:rFonts w:cs="Arial"/>
                <w:sz w:val="18"/>
                <w:szCs w:val="18"/>
              </w:rPr>
            </w:pPr>
            <w:r w:rsidRPr="00363983">
              <w:rPr>
                <w:rFonts w:cs="Arial"/>
                <w:sz w:val="18"/>
                <w:szCs w:val="18"/>
              </w:rPr>
              <w:t>-</w:t>
            </w:r>
          </w:p>
        </w:tc>
        <w:tc>
          <w:tcPr>
            <w:tcW w:w="500" w:type="dxa"/>
            <w:shd w:val="clear" w:color="auto" w:fill="auto"/>
            <w:vAlign w:val="center"/>
          </w:tcPr>
          <w:p w14:paraId="56C73078" w14:textId="77777777" w:rsidR="006A4A6F" w:rsidRPr="00363983" w:rsidRDefault="006A4A6F" w:rsidP="00BC135C">
            <w:pPr>
              <w:ind w:left="-108" w:right="-108"/>
              <w:jc w:val="center"/>
              <w:rPr>
                <w:rFonts w:cs="Arial"/>
                <w:sz w:val="18"/>
                <w:szCs w:val="18"/>
              </w:rPr>
            </w:pPr>
            <w:r w:rsidRPr="00363983">
              <w:rPr>
                <w:rFonts w:cs="Arial"/>
                <w:sz w:val="18"/>
                <w:szCs w:val="18"/>
              </w:rPr>
              <w:t>-</w:t>
            </w:r>
          </w:p>
        </w:tc>
        <w:tc>
          <w:tcPr>
            <w:tcW w:w="500" w:type="dxa"/>
            <w:shd w:val="clear" w:color="auto" w:fill="auto"/>
            <w:vAlign w:val="center"/>
          </w:tcPr>
          <w:p w14:paraId="329B61E8" w14:textId="77777777" w:rsidR="006A4A6F" w:rsidRPr="00363983" w:rsidRDefault="006A4A6F" w:rsidP="00BC135C">
            <w:pPr>
              <w:ind w:left="-108" w:right="-108"/>
              <w:jc w:val="center"/>
              <w:rPr>
                <w:rFonts w:cs="Arial"/>
                <w:sz w:val="18"/>
                <w:szCs w:val="18"/>
              </w:rPr>
            </w:pPr>
            <w:r w:rsidRPr="00363983">
              <w:rPr>
                <w:rFonts w:cs="Arial"/>
                <w:sz w:val="18"/>
                <w:szCs w:val="18"/>
              </w:rPr>
              <w:t>3</w:t>
            </w:r>
          </w:p>
        </w:tc>
        <w:tc>
          <w:tcPr>
            <w:tcW w:w="500" w:type="dxa"/>
            <w:shd w:val="clear" w:color="auto" w:fill="auto"/>
            <w:vAlign w:val="center"/>
          </w:tcPr>
          <w:p w14:paraId="0E07D3DB" w14:textId="77777777" w:rsidR="006A4A6F" w:rsidRPr="00363983" w:rsidRDefault="006A4A6F" w:rsidP="00BC135C">
            <w:pPr>
              <w:ind w:left="-108" w:right="-108"/>
              <w:jc w:val="center"/>
              <w:rPr>
                <w:rFonts w:cs="Arial"/>
                <w:sz w:val="18"/>
                <w:szCs w:val="18"/>
              </w:rPr>
            </w:pPr>
            <w:r w:rsidRPr="00363983">
              <w:rPr>
                <w:rFonts w:cs="Arial"/>
                <w:sz w:val="18"/>
                <w:szCs w:val="18"/>
              </w:rPr>
              <w:t>-</w:t>
            </w:r>
          </w:p>
        </w:tc>
      </w:tr>
      <w:tr w:rsidR="006A4A6F" w:rsidRPr="00363983" w14:paraId="1656114B" w14:textId="77777777" w:rsidTr="00BC135C">
        <w:trPr>
          <w:trHeight w:val="454"/>
        </w:trPr>
        <w:tc>
          <w:tcPr>
            <w:tcW w:w="2325" w:type="dxa"/>
            <w:tcMar>
              <w:left w:w="85" w:type="dxa"/>
              <w:right w:w="85" w:type="dxa"/>
            </w:tcMar>
            <w:vAlign w:val="center"/>
          </w:tcPr>
          <w:p w14:paraId="75385BD1" w14:textId="77777777" w:rsidR="006A4A6F" w:rsidRPr="00363983" w:rsidRDefault="006A4A6F" w:rsidP="00BC135C">
            <w:pPr>
              <w:rPr>
                <w:rFonts w:cs="Arial"/>
                <w:sz w:val="18"/>
                <w:szCs w:val="18"/>
              </w:rPr>
            </w:pPr>
            <w:r w:rsidRPr="00363983">
              <w:rPr>
                <w:rFonts w:cs="Arial"/>
                <w:sz w:val="18"/>
                <w:szCs w:val="18"/>
              </w:rPr>
              <w:t>TP02 Scheme Accounting</w:t>
            </w:r>
          </w:p>
        </w:tc>
        <w:tc>
          <w:tcPr>
            <w:tcW w:w="12332" w:type="dxa"/>
            <w:gridSpan w:val="17"/>
            <w:vAlign w:val="center"/>
          </w:tcPr>
          <w:p w14:paraId="0E27578A" w14:textId="77777777" w:rsidR="006A4A6F" w:rsidRPr="00363983" w:rsidRDefault="006A4A6F" w:rsidP="00BC135C">
            <w:pPr>
              <w:jc w:val="center"/>
              <w:rPr>
                <w:rFonts w:cs="Arial"/>
                <w:sz w:val="18"/>
                <w:szCs w:val="18"/>
              </w:rPr>
            </w:pPr>
            <w:r w:rsidRPr="00363983">
              <w:rPr>
                <w:rFonts w:cs="Arial"/>
                <w:sz w:val="18"/>
                <w:szCs w:val="18"/>
              </w:rPr>
              <w:t xml:space="preserve">Audit </w:t>
            </w:r>
            <w:r w:rsidRPr="00363983">
              <w:rPr>
                <w:rFonts w:cs="Arial"/>
                <w:i/>
                <w:sz w:val="18"/>
                <w:szCs w:val="18"/>
              </w:rPr>
              <w:t>‘Deferred’</w:t>
            </w:r>
            <w:r w:rsidRPr="00363983">
              <w:rPr>
                <w:rFonts w:cs="Arial"/>
                <w:sz w:val="18"/>
                <w:szCs w:val="18"/>
              </w:rPr>
              <w:t xml:space="preserve"> into 2016 Plan and replaced with </w:t>
            </w:r>
            <w:r w:rsidRPr="00363983">
              <w:rPr>
                <w:rFonts w:cs="Arial"/>
                <w:i/>
                <w:sz w:val="18"/>
                <w:szCs w:val="18"/>
              </w:rPr>
              <w:t>TP09 Scheme Reform – Operational Effectiveness</w:t>
            </w:r>
          </w:p>
        </w:tc>
      </w:tr>
      <w:tr w:rsidR="006A4A6F" w:rsidRPr="00363983" w14:paraId="7DD7F831" w14:textId="77777777" w:rsidTr="00BC135C">
        <w:trPr>
          <w:trHeight w:val="454"/>
        </w:trPr>
        <w:tc>
          <w:tcPr>
            <w:tcW w:w="2325" w:type="dxa"/>
            <w:tcMar>
              <w:left w:w="85" w:type="dxa"/>
              <w:right w:w="85" w:type="dxa"/>
            </w:tcMar>
            <w:vAlign w:val="center"/>
          </w:tcPr>
          <w:p w14:paraId="7EE21AA5" w14:textId="77777777" w:rsidR="006A4A6F" w:rsidRPr="00363983" w:rsidRDefault="006A4A6F" w:rsidP="00BC135C">
            <w:pPr>
              <w:rPr>
                <w:rFonts w:cs="Arial"/>
                <w:sz w:val="18"/>
                <w:szCs w:val="18"/>
              </w:rPr>
            </w:pPr>
            <w:r w:rsidRPr="00363983">
              <w:rPr>
                <w:rFonts w:cs="Arial"/>
                <w:sz w:val="18"/>
                <w:szCs w:val="18"/>
              </w:rPr>
              <w:t xml:space="preserve">TP03 Monthly Data Collection </w:t>
            </w:r>
          </w:p>
        </w:tc>
        <w:tc>
          <w:tcPr>
            <w:tcW w:w="432" w:type="dxa"/>
            <w:vAlign w:val="center"/>
          </w:tcPr>
          <w:p w14:paraId="4325392E" w14:textId="77777777" w:rsidR="006A4A6F" w:rsidRPr="00363983" w:rsidRDefault="006A4A6F" w:rsidP="00BC135C">
            <w:pPr>
              <w:jc w:val="center"/>
              <w:rPr>
                <w:rFonts w:cs="Arial"/>
                <w:sz w:val="18"/>
                <w:szCs w:val="18"/>
              </w:rPr>
            </w:pPr>
            <w:r w:rsidRPr="00363983">
              <w:rPr>
                <w:rFonts w:cs="Arial"/>
                <w:sz w:val="18"/>
                <w:szCs w:val="18"/>
              </w:rPr>
              <w:t>AB</w:t>
            </w:r>
          </w:p>
        </w:tc>
        <w:tc>
          <w:tcPr>
            <w:tcW w:w="500" w:type="dxa"/>
            <w:vAlign w:val="center"/>
          </w:tcPr>
          <w:p w14:paraId="060F82B0" w14:textId="77777777" w:rsidR="006A4A6F" w:rsidRPr="00363983" w:rsidRDefault="006A4A6F" w:rsidP="00BC135C">
            <w:pPr>
              <w:jc w:val="center"/>
              <w:rPr>
                <w:rFonts w:cs="Arial"/>
                <w:sz w:val="18"/>
                <w:szCs w:val="18"/>
              </w:rPr>
            </w:pPr>
          </w:p>
        </w:tc>
        <w:tc>
          <w:tcPr>
            <w:tcW w:w="500" w:type="dxa"/>
            <w:vAlign w:val="center"/>
          </w:tcPr>
          <w:p w14:paraId="1C155FC6" w14:textId="77777777" w:rsidR="006A4A6F" w:rsidRPr="00363983" w:rsidRDefault="006A4A6F" w:rsidP="00BC135C">
            <w:pPr>
              <w:jc w:val="center"/>
              <w:rPr>
                <w:rFonts w:cs="Arial"/>
                <w:sz w:val="18"/>
                <w:szCs w:val="18"/>
              </w:rPr>
            </w:pPr>
          </w:p>
        </w:tc>
        <w:tc>
          <w:tcPr>
            <w:tcW w:w="500" w:type="dxa"/>
            <w:vAlign w:val="center"/>
          </w:tcPr>
          <w:p w14:paraId="7B07ED7E" w14:textId="77777777" w:rsidR="006A4A6F" w:rsidRPr="00363983" w:rsidRDefault="006A4A6F" w:rsidP="00BC135C">
            <w:pPr>
              <w:jc w:val="center"/>
              <w:rPr>
                <w:rFonts w:cs="Arial"/>
                <w:sz w:val="18"/>
                <w:szCs w:val="18"/>
              </w:rPr>
            </w:pPr>
          </w:p>
        </w:tc>
        <w:tc>
          <w:tcPr>
            <w:tcW w:w="500" w:type="dxa"/>
            <w:vAlign w:val="center"/>
          </w:tcPr>
          <w:p w14:paraId="7A2EEE4F" w14:textId="77777777" w:rsidR="006A4A6F" w:rsidRPr="00363983" w:rsidRDefault="006A4A6F" w:rsidP="00BC135C">
            <w:pPr>
              <w:jc w:val="center"/>
              <w:rPr>
                <w:rFonts w:cs="Arial"/>
                <w:sz w:val="18"/>
                <w:szCs w:val="18"/>
              </w:rPr>
            </w:pPr>
            <w:r w:rsidRPr="00363983">
              <w:rPr>
                <w:rFonts w:cs="Arial"/>
                <w:sz w:val="18"/>
                <w:szCs w:val="18"/>
              </w:rPr>
              <w:t>25</w:t>
            </w:r>
          </w:p>
        </w:tc>
        <w:tc>
          <w:tcPr>
            <w:tcW w:w="1100" w:type="dxa"/>
            <w:tcMar>
              <w:left w:w="113" w:type="dxa"/>
              <w:right w:w="85" w:type="dxa"/>
            </w:tcMar>
            <w:vAlign w:val="center"/>
          </w:tcPr>
          <w:p w14:paraId="75795058" w14:textId="77777777" w:rsidR="006A4A6F" w:rsidRPr="00363983" w:rsidRDefault="006A4A6F" w:rsidP="00BC135C">
            <w:pPr>
              <w:ind w:left="-135" w:right="-97"/>
              <w:jc w:val="center"/>
              <w:rPr>
                <w:rFonts w:cs="Arial"/>
                <w:sz w:val="18"/>
                <w:szCs w:val="18"/>
              </w:rPr>
            </w:pPr>
            <w:r w:rsidRPr="00363983">
              <w:rPr>
                <w:rFonts w:cs="Arial"/>
                <w:sz w:val="18"/>
                <w:szCs w:val="18"/>
              </w:rPr>
              <w:t>Fieldwork</w:t>
            </w:r>
          </w:p>
        </w:tc>
        <w:tc>
          <w:tcPr>
            <w:tcW w:w="1100" w:type="dxa"/>
            <w:vAlign w:val="center"/>
          </w:tcPr>
          <w:p w14:paraId="4A0C45B7" w14:textId="77777777" w:rsidR="006A4A6F" w:rsidRPr="00363983" w:rsidRDefault="006A4A6F" w:rsidP="00BC135C">
            <w:pPr>
              <w:jc w:val="center"/>
              <w:rPr>
                <w:rFonts w:cs="Arial"/>
                <w:sz w:val="18"/>
                <w:szCs w:val="18"/>
              </w:rPr>
            </w:pPr>
            <w:r w:rsidRPr="00363983">
              <w:rPr>
                <w:rFonts w:cs="Arial"/>
                <w:sz w:val="18"/>
                <w:szCs w:val="18"/>
              </w:rPr>
              <w:t>Oct 2015</w:t>
            </w:r>
          </w:p>
        </w:tc>
        <w:tc>
          <w:tcPr>
            <w:tcW w:w="1000" w:type="dxa"/>
            <w:tcBorders>
              <w:bottom w:val="single" w:sz="4" w:space="0" w:color="auto"/>
            </w:tcBorders>
            <w:shd w:val="clear" w:color="auto" w:fill="00B050"/>
            <w:vAlign w:val="center"/>
          </w:tcPr>
          <w:p w14:paraId="53DB6029" w14:textId="77777777" w:rsidR="006A4A6F" w:rsidRPr="00363983" w:rsidRDefault="006A4A6F" w:rsidP="00BC135C">
            <w:pPr>
              <w:jc w:val="center"/>
              <w:rPr>
                <w:rFonts w:cs="Arial"/>
                <w:sz w:val="18"/>
                <w:szCs w:val="18"/>
              </w:rPr>
            </w:pPr>
            <w:r w:rsidRPr="00363983">
              <w:rPr>
                <w:rFonts w:cs="Arial"/>
                <w:sz w:val="18"/>
                <w:szCs w:val="18"/>
              </w:rPr>
              <w:t>Oct 2015</w:t>
            </w:r>
          </w:p>
        </w:tc>
        <w:tc>
          <w:tcPr>
            <w:tcW w:w="900" w:type="dxa"/>
            <w:shd w:val="clear" w:color="auto" w:fill="auto"/>
            <w:vAlign w:val="center"/>
          </w:tcPr>
          <w:p w14:paraId="2204E734" w14:textId="77777777" w:rsidR="006A4A6F" w:rsidRPr="00363983" w:rsidRDefault="006A4A6F" w:rsidP="00BC135C">
            <w:pPr>
              <w:jc w:val="center"/>
              <w:rPr>
                <w:rFonts w:cs="Arial"/>
                <w:sz w:val="18"/>
                <w:szCs w:val="18"/>
              </w:rPr>
            </w:pPr>
            <w:r w:rsidRPr="00363983">
              <w:rPr>
                <w:rFonts w:cs="Arial"/>
                <w:sz w:val="18"/>
                <w:szCs w:val="18"/>
              </w:rPr>
              <w:t>22/10/15</w:t>
            </w:r>
          </w:p>
        </w:tc>
        <w:tc>
          <w:tcPr>
            <w:tcW w:w="1000" w:type="dxa"/>
            <w:shd w:val="clear" w:color="auto" w:fill="auto"/>
            <w:vAlign w:val="center"/>
          </w:tcPr>
          <w:p w14:paraId="3126755B" w14:textId="77777777" w:rsidR="006A4A6F" w:rsidRPr="00363983" w:rsidRDefault="006A4A6F" w:rsidP="00BC135C">
            <w:pPr>
              <w:jc w:val="center"/>
              <w:rPr>
                <w:rFonts w:cs="Arial"/>
                <w:sz w:val="18"/>
                <w:szCs w:val="18"/>
              </w:rPr>
            </w:pPr>
            <w:r w:rsidRPr="00363983">
              <w:rPr>
                <w:rFonts w:cs="Arial"/>
                <w:sz w:val="18"/>
                <w:szCs w:val="18"/>
              </w:rPr>
              <w:t>Dec 2015</w:t>
            </w:r>
          </w:p>
        </w:tc>
        <w:tc>
          <w:tcPr>
            <w:tcW w:w="1000" w:type="dxa"/>
            <w:tcBorders>
              <w:bottom w:val="single" w:sz="4" w:space="0" w:color="auto"/>
            </w:tcBorders>
            <w:shd w:val="clear" w:color="auto" w:fill="auto"/>
            <w:vAlign w:val="center"/>
          </w:tcPr>
          <w:p w14:paraId="2B70F821" w14:textId="77777777" w:rsidR="006A4A6F" w:rsidRPr="00363983" w:rsidRDefault="006A4A6F" w:rsidP="00BC135C">
            <w:pPr>
              <w:jc w:val="center"/>
              <w:rPr>
                <w:rFonts w:cs="Arial"/>
                <w:sz w:val="18"/>
                <w:szCs w:val="18"/>
              </w:rPr>
            </w:pPr>
          </w:p>
        </w:tc>
        <w:tc>
          <w:tcPr>
            <w:tcW w:w="1000" w:type="dxa"/>
            <w:shd w:val="clear" w:color="auto" w:fill="auto"/>
            <w:vAlign w:val="center"/>
          </w:tcPr>
          <w:p w14:paraId="27EBDC30" w14:textId="77777777" w:rsidR="006A4A6F" w:rsidRPr="00363983" w:rsidRDefault="006A4A6F" w:rsidP="00BC135C">
            <w:pPr>
              <w:jc w:val="center"/>
              <w:rPr>
                <w:rFonts w:cs="Arial"/>
                <w:sz w:val="18"/>
                <w:szCs w:val="18"/>
              </w:rPr>
            </w:pPr>
          </w:p>
        </w:tc>
        <w:tc>
          <w:tcPr>
            <w:tcW w:w="800" w:type="dxa"/>
            <w:shd w:val="clear" w:color="auto" w:fill="auto"/>
            <w:vAlign w:val="center"/>
          </w:tcPr>
          <w:p w14:paraId="1E6ADAE2" w14:textId="77777777" w:rsidR="006A4A6F" w:rsidRPr="00363983" w:rsidRDefault="006A4A6F" w:rsidP="00BC135C">
            <w:pPr>
              <w:jc w:val="center"/>
              <w:rPr>
                <w:rFonts w:cs="Arial"/>
                <w:sz w:val="18"/>
                <w:szCs w:val="18"/>
              </w:rPr>
            </w:pPr>
          </w:p>
        </w:tc>
        <w:tc>
          <w:tcPr>
            <w:tcW w:w="500" w:type="dxa"/>
            <w:shd w:val="clear" w:color="auto" w:fill="auto"/>
            <w:vAlign w:val="center"/>
          </w:tcPr>
          <w:p w14:paraId="045BC17C" w14:textId="77777777" w:rsidR="006A4A6F" w:rsidRPr="00363983" w:rsidRDefault="006A4A6F" w:rsidP="00BC135C">
            <w:pPr>
              <w:jc w:val="center"/>
              <w:rPr>
                <w:rFonts w:cs="Arial"/>
                <w:sz w:val="18"/>
                <w:szCs w:val="18"/>
              </w:rPr>
            </w:pPr>
          </w:p>
        </w:tc>
        <w:tc>
          <w:tcPr>
            <w:tcW w:w="500" w:type="dxa"/>
            <w:shd w:val="clear" w:color="auto" w:fill="auto"/>
            <w:vAlign w:val="center"/>
          </w:tcPr>
          <w:p w14:paraId="4F1A5A0F" w14:textId="77777777" w:rsidR="006A4A6F" w:rsidRPr="00363983" w:rsidRDefault="006A4A6F" w:rsidP="00BC135C">
            <w:pPr>
              <w:jc w:val="center"/>
              <w:rPr>
                <w:rFonts w:cs="Arial"/>
                <w:sz w:val="18"/>
                <w:szCs w:val="18"/>
              </w:rPr>
            </w:pPr>
          </w:p>
        </w:tc>
        <w:tc>
          <w:tcPr>
            <w:tcW w:w="500" w:type="dxa"/>
            <w:shd w:val="clear" w:color="auto" w:fill="auto"/>
            <w:vAlign w:val="center"/>
          </w:tcPr>
          <w:p w14:paraId="40FDCB23" w14:textId="77777777" w:rsidR="006A4A6F" w:rsidRPr="00363983" w:rsidRDefault="006A4A6F" w:rsidP="00BC135C">
            <w:pPr>
              <w:jc w:val="center"/>
              <w:rPr>
                <w:rFonts w:cs="Arial"/>
                <w:sz w:val="18"/>
                <w:szCs w:val="18"/>
              </w:rPr>
            </w:pPr>
          </w:p>
        </w:tc>
        <w:tc>
          <w:tcPr>
            <w:tcW w:w="500" w:type="dxa"/>
            <w:shd w:val="clear" w:color="auto" w:fill="auto"/>
            <w:vAlign w:val="center"/>
          </w:tcPr>
          <w:p w14:paraId="6366E7D0" w14:textId="77777777" w:rsidR="006A4A6F" w:rsidRPr="00363983" w:rsidRDefault="006A4A6F" w:rsidP="00BC135C">
            <w:pPr>
              <w:jc w:val="center"/>
              <w:rPr>
                <w:rFonts w:cs="Arial"/>
                <w:sz w:val="18"/>
                <w:szCs w:val="18"/>
              </w:rPr>
            </w:pPr>
          </w:p>
        </w:tc>
      </w:tr>
      <w:tr w:rsidR="006A4A6F" w:rsidRPr="00363983" w14:paraId="4F1AFAB3" w14:textId="77777777" w:rsidTr="00BC135C">
        <w:trPr>
          <w:trHeight w:val="454"/>
        </w:trPr>
        <w:tc>
          <w:tcPr>
            <w:tcW w:w="2325" w:type="dxa"/>
            <w:tcMar>
              <w:left w:w="85" w:type="dxa"/>
              <w:right w:w="85" w:type="dxa"/>
            </w:tcMar>
            <w:vAlign w:val="center"/>
          </w:tcPr>
          <w:p w14:paraId="615963A3" w14:textId="77777777" w:rsidR="006A4A6F" w:rsidRPr="00363983" w:rsidRDefault="006A4A6F" w:rsidP="00BC135C">
            <w:pPr>
              <w:rPr>
                <w:rFonts w:cs="Arial"/>
                <w:sz w:val="18"/>
                <w:szCs w:val="18"/>
              </w:rPr>
            </w:pPr>
            <w:r w:rsidRPr="00363983">
              <w:rPr>
                <w:rFonts w:cs="Arial"/>
                <w:sz w:val="18"/>
                <w:szCs w:val="18"/>
              </w:rPr>
              <w:t>TP04 Contributions</w:t>
            </w:r>
          </w:p>
        </w:tc>
        <w:tc>
          <w:tcPr>
            <w:tcW w:w="12332" w:type="dxa"/>
            <w:gridSpan w:val="17"/>
            <w:vAlign w:val="center"/>
          </w:tcPr>
          <w:p w14:paraId="3D505D60" w14:textId="77777777" w:rsidR="006A4A6F" w:rsidRPr="00363983" w:rsidRDefault="006A4A6F" w:rsidP="00BC135C">
            <w:pPr>
              <w:jc w:val="center"/>
              <w:rPr>
                <w:rFonts w:cs="Arial"/>
                <w:sz w:val="18"/>
                <w:szCs w:val="18"/>
              </w:rPr>
            </w:pPr>
            <w:r w:rsidRPr="00363983">
              <w:rPr>
                <w:rFonts w:cs="Arial"/>
                <w:sz w:val="18"/>
                <w:szCs w:val="18"/>
              </w:rPr>
              <w:t xml:space="preserve">Audit </w:t>
            </w:r>
            <w:r w:rsidRPr="00363983">
              <w:rPr>
                <w:rFonts w:cs="Arial"/>
                <w:i/>
                <w:sz w:val="18"/>
                <w:szCs w:val="18"/>
              </w:rPr>
              <w:t>‘Deferred’</w:t>
            </w:r>
            <w:r w:rsidRPr="00363983">
              <w:rPr>
                <w:rFonts w:cs="Arial"/>
                <w:sz w:val="18"/>
                <w:szCs w:val="18"/>
              </w:rPr>
              <w:t xml:space="preserve"> into 2016 Plan and replaced with </w:t>
            </w:r>
            <w:r w:rsidRPr="00363983">
              <w:rPr>
                <w:rFonts w:cs="Arial"/>
                <w:i/>
                <w:sz w:val="18"/>
                <w:szCs w:val="18"/>
              </w:rPr>
              <w:t>TP09 Scheme Reform – Operational Effectiveness</w:t>
            </w:r>
          </w:p>
        </w:tc>
      </w:tr>
      <w:tr w:rsidR="006A4A6F" w:rsidRPr="00363983" w14:paraId="78AFA230" w14:textId="77777777" w:rsidTr="00BC135C">
        <w:trPr>
          <w:trHeight w:val="454"/>
        </w:trPr>
        <w:tc>
          <w:tcPr>
            <w:tcW w:w="2325" w:type="dxa"/>
            <w:tcMar>
              <w:left w:w="85" w:type="dxa"/>
              <w:right w:w="85" w:type="dxa"/>
            </w:tcMar>
            <w:vAlign w:val="center"/>
          </w:tcPr>
          <w:p w14:paraId="59108229" w14:textId="77777777" w:rsidR="006A4A6F" w:rsidRPr="00363983" w:rsidRDefault="006A4A6F" w:rsidP="00BC135C">
            <w:pPr>
              <w:rPr>
                <w:rFonts w:cs="Arial"/>
                <w:sz w:val="18"/>
                <w:szCs w:val="18"/>
              </w:rPr>
            </w:pPr>
            <w:r w:rsidRPr="00363983">
              <w:rPr>
                <w:rFonts w:cs="Arial"/>
                <w:sz w:val="18"/>
                <w:szCs w:val="18"/>
              </w:rPr>
              <w:t xml:space="preserve">TP05 Fraud Data Mining </w:t>
            </w:r>
          </w:p>
        </w:tc>
        <w:tc>
          <w:tcPr>
            <w:tcW w:w="432" w:type="dxa"/>
            <w:vAlign w:val="center"/>
          </w:tcPr>
          <w:p w14:paraId="695E56A1" w14:textId="77777777" w:rsidR="006A4A6F" w:rsidRPr="00363983" w:rsidRDefault="006A4A6F" w:rsidP="00BC135C">
            <w:pPr>
              <w:jc w:val="center"/>
              <w:rPr>
                <w:rFonts w:cs="Arial"/>
                <w:sz w:val="18"/>
                <w:szCs w:val="18"/>
              </w:rPr>
            </w:pPr>
            <w:r w:rsidRPr="00363983">
              <w:rPr>
                <w:rFonts w:cs="Arial"/>
                <w:sz w:val="18"/>
                <w:szCs w:val="18"/>
              </w:rPr>
              <w:t>HU</w:t>
            </w:r>
          </w:p>
        </w:tc>
        <w:tc>
          <w:tcPr>
            <w:tcW w:w="500" w:type="dxa"/>
            <w:vAlign w:val="center"/>
          </w:tcPr>
          <w:p w14:paraId="632E425E" w14:textId="77777777" w:rsidR="006A4A6F" w:rsidRPr="00363983" w:rsidRDefault="006A4A6F" w:rsidP="00BC135C">
            <w:pPr>
              <w:jc w:val="center"/>
              <w:rPr>
                <w:rFonts w:cs="Arial"/>
                <w:sz w:val="18"/>
                <w:szCs w:val="18"/>
              </w:rPr>
            </w:pPr>
          </w:p>
        </w:tc>
        <w:tc>
          <w:tcPr>
            <w:tcW w:w="500" w:type="dxa"/>
            <w:vAlign w:val="center"/>
          </w:tcPr>
          <w:p w14:paraId="00B4EEDD" w14:textId="77777777" w:rsidR="006A4A6F" w:rsidRPr="00363983" w:rsidRDefault="006A4A6F" w:rsidP="00BC135C">
            <w:pPr>
              <w:jc w:val="center"/>
              <w:rPr>
                <w:rFonts w:cs="Arial"/>
                <w:sz w:val="18"/>
                <w:szCs w:val="18"/>
              </w:rPr>
            </w:pPr>
          </w:p>
        </w:tc>
        <w:tc>
          <w:tcPr>
            <w:tcW w:w="500" w:type="dxa"/>
            <w:vAlign w:val="center"/>
          </w:tcPr>
          <w:p w14:paraId="383C382D" w14:textId="77777777" w:rsidR="006A4A6F" w:rsidRPr="00363983" w:rsidRDefault="006A4A6F" w:rsidP="00BC135C">
            <w:pPr>
              <w:jc w:val="center"/>
              <w:rPr>
                <w:rFonts w:cs="Arial"/>
                <w:sz w:val="18"/>
                <w:szCs w:val="18"/>
              </w:rPr>
            </w:pPr>
            <w:r w:rsidRPr="00363983">
              <w:rPr>
                <w:rFonts w:cs="Arial"/>
                <w:sz w:val="18"/>
                <w:szCs w:val="18"/>
              </w:rPr>
              <w:t>20</w:t>
            </w:r>
          </w:p>
        </w:tc>
        <w:tc>
          <w:tcPr>
            <w:tcW w:w="500" w:type="dxa"/>
            <w:vAlign w:val="center"/>
          </w:tcPr>
          <w:p w14:paraId="7943F069"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3E6ADE30" w14:textId="77777777" w:rsidR="006A4A6F" w:rsidRPr="00363983" w:rsidRDefault="006A4A6F" w:rsidP="00BC135C">
            <w:pPr>
              <w:ind w:left="-113" w:right="-85"/>
              <w:jc w:val="center"/>
              <w:rPr>
                <w:rFonts w:cs="Arial"/>
                <w:sz w:val="18"/>
                <w:szCs w:val="18"/>
              </w:rPr>
            </w:pPr>
            <w:r w:rsidRPr="00363983">
              <w:rPr>
                <w:rFonts w:cs="Arial"/>
                <w:sz w:val="18"/>
                <w:szCs w:val="18"/>
              </w:rPr>
              <w:t>Fieldwork</w:t>
            </w:r>
          </w:p>
        </w:tc>
        <w:tc>
          <w:tcPr>
            <w:tcW w:w="1100" w:type="dxa"/>
            <w:vAlign w:val="center"/>
          </w:tcPr>
          <w:p w14:paraId="24DA9C73" w14:textId="77777777" w:rsidR="006A4A6F" w:rsidRPr="00363983" w:rsidRDefault="006A4A6F" w:rsidP="00BC135C">
            <w:pPr>
              <w:jc w:val="center"/>
              <w:rPr>
                <w:rFonts w:cs="Arial"/>
                <w:sz w:val="18"/>
                <w:szCs w:val="18"/>
              </w:rPr>
            </w:pPr>
            <w:r w:rsidRPr="00363983">
              <w:rPr>
                <w:rFonts w:cs="Arial"/>
                <w:sz w:val="18"/>
                <w:szCs w:val="18"/>
              </w:rPr>
              <w:t>Aug 2015</w:t>
            </w:r>
          </w:p>
        </w:tc>
        <w:tc>
          <w:tcPr>
            <w:tcW w:w="1000" w:type="dxa"/>
            <w:tcBorders>
              <w:bottom w:val="single" w:sz="4" w:space="0" w:color="auto"/>
            </w:tcBorders>
            <w:shd w:val="clear" w:color="auto" w:fill="00B050"/>
            <w:vAlign w:val="center"/>
          </w:tcPr>
          <w:p w14:paraId="71B0A66A" w14:textId="77777777" w:rsidR="006A4A6F" w:rsidRPr="00363983" w:rsidRDefault="006A4A6F" w:rsidP="00BC135C">
            <w:pPr>
              <w:jc w:val="center"/>
              <w:rPr>
                <w:rFonts w:cs="Arial"/>
                <w:sz w:val="18"/>
                <w:szCs w:val="18"/>
              </w:rPr>
            </w:pPr>
            <w:r w:rsidRPr="00363983">
              <w:rPr>
                <w:rFonts w:cs="Arial"/>
                <w:sz w:val="18"/>
                <w:szCs w:val="18"/>
              </w:rPr>
              <w:t>Jul 2015</w:t>
            </w:r>
          </w:p>
        </w:tc>
        <w:tc>
          <w:tcPr>
            <w:tcW w:w="900" w:type="dxa"/>
            <w:shd w:val="clear" w:color="auto" w:fill="auto"/>
            <w:vAlign w:val="center"/>
          </w:tcPr>
          <w:p w14:paraId="20ED2B05" w14:textId="77777777" w:rsidR="006A4A6F" w:rsidRPr="00363983" w:rsidRDefault="006A4A6F" w:rsidP="00BC135C">
            <w:pPr>
              <w:jc w:val="center"/>
              <w:rPr>
                <w:rFonts w:cs="Arial"/>
                <w:sz w:val="18"/>
                <w:szCs w:val="18"/>
              </w:rPr>
            </w:pPr>
            <w:r w:rsidRPr="00363983">
              <w:rPr>
                <w:rFonts w:cs="Arial"/>
                <w:sz w:val="18"/>
                <w:szCs w:val="18"/>
              </w:rPr>
              <w:t>07/08/15</w:t>
            </w:r>
          </w:p>
        </w:tc>
        <w:tc>
          <w:tcPr>
            <w:tcW w:w="1000" w:type="dxa"/>
            <w:shd w:val="clear" w:color="auto" w:fill="auto"/>
            <w:vAlign w:val="center"/>
          </w:tcPr>
          <w:p w14:paraId="459811B1" w14:textId="77777777" w:rsidR="006A4A6F" w:rsidRPr="00363983" w:rsidRDefault="006A4A6F" w:rsidP="00BC135C">
            <w:pPr>
              <w:jc w:val="center"/>
              <w:rPr>
                <w:rFonts w:cs="Arial"/>
                <w:sz w:val="18"/>
                <w:szCs w:val="18"/>
              </w:rPr>
            </w:pPr>
            <w:r w:rsidRPr="00363983">
              <w:rPr>
                <w:rFonts w:cs="Arial"/>
                <w:sz w:val="18"/>
                <w:szCs w:val="18"/>
              </w:rPr>
              <w:t>Nov 2015</w:t>
            </w:r>
          </w:p>
        </w:tc>
        <w:tc>
          <w:tcPr>
            <w:tcW w:w="1000" w:type="dxa"/>
            <w:tcBorders>
              <w:bottom w:val="single" w:sz="4" w:space="0" w:color="auto"/>
            </w:tcBorders>
            <w:shd w:val="clear" w:color="auto" w:fill="auto"/>
            <w:vAlign w:val="center"/>
          </w:tcPr>
          <w:p w14:paraId="75EB99F3" w14:textId="77777777" w:rsidR="006A4A6F" w:rsidRPr="00363983" w:rsidRDefault="006A4A6F" w:rsidP="00BC135C">
            <w:pPr>
              <w:jc w:val="center"/>
              <w:rPr>
                <w:rFonts w:cs="Arial"/>
                <w:i/>
                <w:sz w:val="18"/>
                <w:szCs w:val="18"/>
              </w:rPr>
            </w:pPr>
          </w:p>
        </w:tc>
        <w:tc>
          <w:tcPr>
            <w:tcW w:w="1000" w:type="dxa"/>
            <w:shd w:val="clear" w:color="auto" w:fill="auto"/>
            <w:vAlign w:val="center"/>
          </w:tcPr>
          <w:p w14:paraId="6A7DF9A2" w14:textId="77777777" w:rsidR="006A4A6F" w:rsidRPr="00363983" w:rsidRDefault="006A4A6F" w:rsidP="00BC135C">
            <w:pPr>
              <w:jc w:val="center"/>
              <w:rPr>
                <w:rFonts w:cs="Arial"/>
                <w:sz w:val="18"/>
                <w:szCs w:val="18"/>
              </w:rPr>
            </w:pPr>
          </w:p>
        </w:tc>
        <w:tc>
          <w:tcPr>
            <w:tcW w:w="800" w:type="dxa"/>
            <w:shd w:val="clear" w:color="auto" w:fill="auto"/>
            <w:vAlign w:val="center"/>
          </w:tcPr>
          <w:p w14:paraId="7DDEAD84" w14:textId="77777777" w:rsidR="006A4A6F" w:rsidRPr="00363983" w:rsidRDefault="006A4A6F" w:rsidP="00BC135C">
            <w:pPr>
              <w:jc w:val="center"/>
              <w:rPr>
                <w:rFonts w:cs="Arial"/>
                <w:sz w:val="18"/>
                <w:szCs w:val="18"/>
              </w:rPr>
            </w:pPr>
          </w:p>
        </w:tc>
        <w:tc>
          <w:tcPr>
            <w:tcW w:w="500" w:type="dxa"/>
            <w:shd w:val="clear" w:color="auto" w:fill="auto"/>
            <w:vAlign w:val="center"/>
          </w:tcPr>
          <w:p w14:paraId="62B38FD8" w14:textId="77777777" w:rsidR="006A4A6F" w:rsidRPr="00363983" w:rsidRDefault="006A4A6F" w:rsidP="00BC135C">
            <w:pPr>
              <w:jc w:val="center"/>
              <w:rPr>
                <w:rFonts w:cs="Arial"/>
                <w:sz w:val="18"/>
                <w:szCs w:val="18"/>
              </w:rPr>
            </w:pPr>
          </w:p>
        </w:tc>
        <w:tc>
          <w:tcPr>
            <w:tcW w:w="500" w:type="dxa"/>
            <w:shd w:val="clear" w:color="auto" w:fill="auto"/>
            <w:vAlign w:val="center"/>
          </w:tcPr>
          <w:p w14:paraId="1DA24B14" w14:textId="77777777" w:rsidR="006A4A6F" w:rsidRPr="00363983" w:rsidRDefault="006A4A6F" w:rsidP="00BC135C">
            <w:pPr>
              <w:jc w:val="center"/>
              <w:rPr>
                <w:rFonts w:cs="Arial"/>
                <w:sz w:val="18"/>
                <w:szCs w:val="18"/>
              </w:rPr>
            </w:pPr>
          </w:p>
        </w:tc>
        <w:tc>
          <w:tcPr>
            <w:tcW w:w="500" w:type="dxa"/>
            <w:shd w:val="clear" w:color="auto" w:fill="auto"/>
            <w:vAlign w:val="center"/>
          </w:tcPr>
          <w:p w14:paraId="76271089" w14:textId="77777777" w:rsidR="006A4A6F" w:rsidRPr="00363983" w:rsidRDefault="006A4A6F" w:rsidP="00BC135C">
            <w:pPr>
              <w:jc w:val="center"/>
              <w:rPr>
                <w:rFonts w:cs="Arial"/>
                <w:sz w:val="18"/>
                <w:szCs w:val="18"/>
              </w:rPr>
            </w:pPr>
          </w:p>
        </w:tc>
        <w:tc>
          <w:tcPr>
            <w:tcW w:w="500" w:type="dxa"/>
            <w:shd w:val="clear" w:color="auto" w:fill="auto"/>
            <w:vAlign w:val="center"/>
          </w:tcPr>
          <w:p w14:paraId="53B2428B" w14:textId="77777777" w:rsidR="006A4A6F" w:rsidRPr="00363983" w:rsidRDefault="006A4A6F" w:rsidP="00BC135C">
            <w:pPr>
              <w:jc w:val="center"/>
              <w:rPr>
                <w:rFonts w:cs="Arial"/>
                <w:sz w:val="18"/>
                <w:szCs w:val="18"/>
              </w:rPr>
            </w:pPr>
          </w:p>
        </w:tc>
      </w:tr>
      <w:tr w:rsidR="006A4A6F" w:rsidRPr="00363983" w14:paraId="43BCB371" w14:textId="77777777" w:rsidTr="00BC135C">
        <w:trPr>
          <w:trHeight w:val="454"/>
        </w:trPr>
        <w:tc>
          <w:tcPr>
            <w:tcW w:w="2325" w:type="dxa"/>
            <w:tcMar>
              <w:left w:w="85" w:type="dxa"/>
              <w:right w:w="85" w:type="dxa"/>
            </w:tcMar>
            <w:vAlign w:val="center"/>
          </w:tcPr>
          <w:p w14:paraId="04EE0786" w14:textId="77777777" w:rsidR="006A4A6F" w:rsidRPr="00363983" w:rsidRDefault="006A4A6F" w:rsidP="00BC135C">
            <w:pPr>
              <w:rPr>
                <w:rFonts w:cs="Arial"/>
                <w:sz w:val="18"/>
                <w:szCs w:val="18"/>
              </w:rPr>
            </w:pPr>
            <w:r w:rsidRPr="00363983">
              <w:rPr>
                <w:rFonts w:cs="Arial"/>
                <w:sz w:val="18"/>
                <w:szCs w:val="18"/>
              </w:rPr>
              <w:t xml:space="preserve">TP06 Deferred Members Project </w:t>
            </w:r>
          </w:p>
        </w:tc>
        <w:tc>
          <w:tcPr>
            <w:tcW w:w="432" w:type="dxa"/>
            <w:vAlign w:val="center"/>
          </w:tcPr>
          <w:p w14:paraId="3AA34B5D" w14:textId="77777777" w:rsidR="006A4A6F" w:rsidRPr="00363983" w:rsidRDefault="006A4A6F" w:rsidP="00BC135C">
            <w:pPr>
              <w:jc w:val="center"/>
              <w:rPr>
                <w:rFonts w:cs="Arial"/>
                <w:sz w:val="18"/>
                <w:szCs w:val="18"/>
              </w:rPr>
            </w:pPr>
            <w:r w:rsidRPr="00363983">
              <w:rPr>
                <w:rFonts w:cs="Arial"/>
                <w:sz w:val="18"/>
                <w:szCs w:val="18"/>
              </w:rPr>
              <w:t>HU</w:t>
            </w:r>
          </w:p>
        </w:tc>
        <w:tc>
          <w:tcPr>
            <w:tcW w:w="500" w:type="dxa"/>
            <w:vAlign w:val="center"/>
          </w:tcPr>
          <w:p w14:paraId="258F04A8" w14:textId="77777777" w:rsidR="006A4A6F" w:rsidRPr="00363983" w:rsidRDefault="006A4A6F" w:rsidP="00BC135C">
            <w:pPr>
              <w:jc w:val="center"/>
              <w:rPr>
                <w:rFonts w:cs="Arial"/>
                <w:sz w:val="18"/>
                <w:szCs w:val="18"/>
              </w:rPr>
            </w:pPr>
          </w:p>
        </w:tc>
        <w:tc>
          <w:tcPr>
            <w:tcW w:w="500" w:type="dxa"/>
            <w:vAlign w:val="center"/>
          </w:tcPr>
          <w:p w14:paraId="7AB25AA6" w14:textId="77777777" w:rsidR="006A4A6F" w:rsidRPr="00363983" w:rsidRDefault="006A4A6F" w:rsidP="00BC135C">
            <w:pPr>
              <w:jc w:val="center"/>
              <w:rPr>
                <w:rFonts w:cs="Arial"/>
                <w:sz w:val="18"/>
                <w:szCs w:val="18"/>
              </w:rPr>
            </w:pPr>
            <w:r w:rsidRPr="00363983">
              <w:rPr>
                <w:rFonts w:cs="Arial"/>
                <w:sz w:val="18"/>
                <w:szCs w:val="18"/>
              </w:rPr>
              <w:t>25</w:t>
            </w:r>
          </w:p>
        </w:tc>
        <w:tc>
          <w:tcPr>
            <w:tcW w:w="500" w:type="dxa"/>
            <w:vAlign w:val="center"/>
          </w:tcPr>
          <w:p w14:paraId="274C864C" w14:textId="77777777" w:rsidR="006A4A6F" w:rsidRPr="00363983" w:rsidRDefault="006A4A6F" w:rsidP="00BC135C">
            <w:pPr>
              <w:jc w:val="center"/>
              <w:rPr>
                <w:rFonts w:cs="Arial"/>
                <w:sz w:val="18"/>
                <w:szCs w:val="18"/>
              </w:rPr>
            </w:pPr>
          </w:p>
        </w:tc>
        <w:tc>
          <w:tcPr>
            <w:tcW w:w="500" w:type="dxa"/>
            <w:vAlign w:val="center"/>
          </w:tcPr>
          <w:p w14:paraId="3DC8CBFB"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5B4622C4" w14:textId="77777777" w:rsidR="006A4A6F" w:rsidRPr="00363983" w:rsidRDefault="006A4A6F" w:rsidP="00BC135C">
            <w:pPr>
              <w:ind w:left="-113" w:right="-85"/>
              <w:jc w:val="center"/>
              <w:rPr>
                <w:rFonts w:cs="Arial"/>
                <w:sz w:val="18"/>
                <w:szCs w:val="18"/>
              </w:rPr>
            </w:pPr>
            <w:r w:rsidRPr="00363983">
              <w:rPr>
                <w:rFonts w:cs="Arial"/>
                <w:sz w:val="18"/>
                <w:szCs w:val="18"/>
              </w:rPr>
              <w:t>Fieldwork</w:t>
            </w:r>
          </w:p>
        </w:tc>
        <w:tc>
          <w:tcPr>
            <w:tcW w:w="1100" w:type="dxa"/>
            <w:vAlign w:val="center"/>
          </w:tcPr>
          <w:p w14:paraId="2CB09717" w14:textId="77777777" w:rsidR="006A4A6F" w:rsidRPr="00363983" w:rsidRDefault="006A4A6F" w:rsidP="00BC135C">
            <w:pPr>
              <w:jc w:val="center"/>
              <w:rPr>
                <w:rFonts w:cs="Arial"/>
                <w:sz w:val="18"/>
                <w:szCs w:val="18"/>
              </w:rPr>
            </w:pPr>
            <w:r w:rsidRPr="00363983">
              <w:rPr>
                <w:rFonts w:cs="Arial"/>
                <w:sz w:val="18"/>
                <w:szCs w:val="18"/>
              </w:rPr>
              <w:t>Jun 2015</w:t>
            </w:r>
          </w:p>
        </w:tc>
        <w:tc>
          <w:tcPr>
            <w:tcW w:w="1000" w:type="dxa"/>
            <w:tcBorders>
              <w:bottom w:val="single" w:sz="4" w:space="0" w:color="auto"/>
            </w:tcBorders>
            <w:shd w:val="clear" w:color="auto" w:fill="00B050"/>
            <w:vAlign w:val="center"/>
          </w:tcPr>
          <w:p w14:paraId="0DA117B0" w14:textId="77777777" w:rsidR="006A4A6F" w:rsidRPr="00363983" w:rsidRDefault="006A4A6F" w:rsidP="00BC135C">
            <w:pPr>
              <w:jc w:val="center"/>
              <w:rPr>
                <w:rFonts w:cs="Arial"/>
                <w:sz w:val="18"/>
                <w:szCs w:val="18"/>
              </w:rPr>
            </w:pPr>
            <w:r w:rsidRPr="00363983">
              <w:rPr>
                <w:rFonts w:cs="Arial"/>
                <w:sz w:val="18"/>
                <w:szCs w:val="18"/>
              </w:rPr>
              <w:t>Jun 2015</w:t>
            </w:r>
          </w:p>
        </w:tc>
        <w:tc>
          <w:tcPr>
            <w:tcW w:w="900" w:type="dxa"/>
            <w:shd w:val="clear" w:color="auto" w:fill="auto"/>
            <w:vAlign w:val="center"/>
          </w:tcPr>
          <w:p w14:paraId="7816759A" w14:textId="77777777" w:rsidR="006A4A6F" w:rsidRPr="00363983" w:rsidRDefault="006A4A6F" w:rsidP="00BC135C">
            <w:pPr>
              <w:jc w:val="center"/>
              <w:rPr>
                <w:rFonts w:cs="Arial"/>
                <w:sz w:val="18"/>
                <w:szCs w:val="18"/>
              </w:rPr>
            </w:pPr>
            <w:r w:rsidRPr="00363983">
              <w:rPr>
                <w:rFonts w:cs="Arial"/>
                <w:sz w:val="18"/>
                <w:szCs w:val="18"/>
              </w:rPr>
              <w:t>13/07/15</w:t>
            </w:r>
          </w:p>
        </w:tc>
        <w:tc>
          <w:tcPr>
            <w:tcW w:w="1000" w:type="dxa"/>
            <w:shd w:val="clear" w:color="auto" w:fill="auto"/>
            <w:vAlign w:val="center"/>
          </w:tcPr>
          <w:p w14:paraId="10AA9DC5" w14:textId="77777777" w:rsidR="006A4A6F" w:rsidRPr="00363983" w:rsidRDefault="006A4A6F" w:rsidP="00BC135C">
            <w:pPr>
              <w:jc w:val="center"/>
              <w:rPr>
                <w:rFonts w:cs="Arial"/>
                <w:sz w:val="18"/>
                <w:szCs w:val="18"/>
              </w:rPr>
            </w:pPr>
            <w:r w:rsidRPr="00363983">
              <w:rPr>
                <w:rFonts w:cs="Arial"/>
                <w:sz w:val="18"/>
                <w:szCs w:val="18"/>
              </w:rPr>
              <w:t>Dec 2015</w:t>
            </w:r>
          </w:p>
        </w:tc>
        <w:tc>
          <w:tcPr>
            <w:tcW w:w="1000" w:type="dxa"/>
            <w:tcBorders>
              <w:bottom w:val="single" w:sz="4" w:space="0" w:color="auto"/>
            </w:tcBorders>
            <w:shd w:val="clear" w:color="auto" w:fill="auto"/>
            <w:vAlign w:val="center"/>
          </w:tcPr>
          <w:p w14:paraId="7C73359A" w14:textId="77777777" w:rsidR="006A4A6F" w:rsidRPr="00363983" w:rsidRDefault="006A4A6F" w:rsidP="00BC135C">
            <w:pPr>
              <w:jc w:val="center"/>
              <w:rPr>
                <w:rFonts w:cs="Arial"/>
                <w:i/>
                <w:sz w:val="18"/>
                <w:szCs w:val="18"/>
              </w:rPr>
            </w:pPr>
          </w:p>
        </w:tc>
        <w:tc>
          <w:tcPr>
            <w:tcW w:w="1000" w:type="dxa"/>
            <w:shd w:val="clear" w:color="auto" w:fill="auto"/>
            <w:vAlign w:val="center"/>
          </w:tcPr>
          <w:p w14:paraId="6ADC4722" w14:textId="77777777" w:rsidR="006A4A6F" w:rsidRPr="00363983" w:rsidRDefault="006A4A6F" w:rsidP="00BC135C">
            <w:pPr>
              <w:jc w:val="center"/>
              <w:rPr>
                <w:rFonts w:cs="Arial"/>
                <w:sz w:val="18"/>
                <w:szCs w:val="18"/>
              </w:rPr>
            </w:pPr>
          </w:p>
        </w:tc>
        <w:tc>
          <w:tcPr>
            <w:tcW w:w="800" w:type="dxa"/>
            <w:shd w:val="clear" w:color="auto" w:fill="auto"/>
            <w:vAlign w:val="center"/>
          </w:tcPr>
          <w:p w14:paraId="1FA1DCAA" w14:textId="77777777" w:rsidR="006A4A6F" w:rsidRPr="00363983" w:rsidRDefault="006A4A6F" w:rsidP="00BC135C">
            <w:pPr>
              <w:jc w:val="center"/>
              <w:rPr>
                <w:rFonts w:cs="Arial"/>
                <w:sz w:val="18"/>
                <w:szCs w:val="18"/>
              </w:rPr>
            </w:pPr>
          </w:p>
        </w:tc>
        <w:tc>
          <w:tcPr>
            <w:tcW w:w="500" w:type="dxa"/>
            <w:shd w:val="clear" w:color="auto" w:fill="auto"/>
            <w:vAlign w:val="center"/>
          </w:tcPr>
          <w:p w14:paraId="1F9B1C3C" w14:textId="77777777" w:rsidR="006A4A6F" w:rsidRPr="00363983" w:rsidRDefault="006A4A6F" w:rsidP="00BC135C">
            <w:pPr>
              <w:jc w:val="center"/>
              <w:rPr>
                <w:rFonts w:cs="Arial"/>
                <w:sz w:val="18"/>
                <w:szCs w:val="18"/>
              </w:rPr>
            </w:pPr>
          </w:p>
        </w:tc>
        <w:tc>
          <w:tcPr>
            <w:tcW w:w="500" w:type="dxa"/>
            <w:shd w:val="clear" w:color="auto" w:fill="auto"/>
            <w:vAlign w:val="center"/>
          </w:tcPr>
          <w:p w14:paraId="1C96DF4C" w14:textId="77777777" w:rsidR="006A4A6F" w:rsidRPr="00363983" w:rsidRDefault="006A4A6F" w:rsidP="00BC135C">
            <w:pPr>
              <w:jc w:val="center"/>
              <w:rPr>
                <w:rFonts w:cs="Arial"/>
                <w:sz w:val="18"/>
                <w:szCs w:val="18"/>
              </w:rPr>
            </w:pPr>
          </w:p>
        </w:tc>
        <w:tc>
          <w:tcPr>
            <w:tcW w:w="500" w:type="dxa"/>
            <w:shd w:val="clear" w:color="auto" w:fill="auto"/>
            <w:vAlign w:val="center"/>
          </w:tcPr>
          <w:p w14:paraId="6301349C" w14:textId="77777777" w:rsidR="006A4A6F" w:rsidRPr="00363983" w:rsidRDefault="006A4A6F" w:rsidP="00BC135C">
            <w:pPr>
              <w:jc w:val="center"/>
              <w:rPr>
                <w:rFonts w:cs="Arial"/>
                <w:sz w:val="18"/>
                <w:szCs w:val="18"/>
              </w:rPr>
            </w:pPr>
          </w:p>
        </w:tc>
        <w:tc>
          <w:tcPr>
            <w:tcW w:w="500" w:type="dxa"/>
            <w:shd w:val="clear" w:color="auto" w:fill="auto"/>
            <w:vAlign w:val="center"/>
          </w:tcPr>
          <w:p w14:paraId="404C21E2" w14:textId="77777777" w:rsidR="006A4A6F" w:rsidRPr="00363983" w:rsidRDefault="006A4A6F" w:rsidP="00BC135C">
            <w:pPr>
              <w:jc w:val="center"/>
              <w:rPr>
                <w:rFonts w:cs="Arial"/>
                <w:sz w:val="18"/>
                <w:szCs w:val="18"/>
              </w:rPr>
            </w:pPr>
          </w:p>
        </w:tc>
      </w:tr>
      <w:tr w:rsidR="006A4A6F" w:rsidRPr="00363983" w14:paraId="6E914ED9" w14:textId="77777777" w:rsidTr="00BC135C">
        <w:trPr>
          <w:trHeight w:val="454"/>
        </w:trPr>
        <w:tc>
          <w:tcPr>
            <w:tcW w:w="2325" w:type="dxa"/>
            <w:tcMar>
              <w:left w:w="85" w:type="dxa"/>
              <w:right w:w="85" w:type="dxa"/>
            </w:tcMar>
            <w:vAlign w:val="center"/>
          </w:tcPr>
          <w:p w14:paraId="393CD5CF" w14:textId="77777777" w:rsidR="006A4A6F" w:rsidRPr="00363983" w:rsidRDefault="006A4A6F" w:rsidP="00BC135C">
            <w:pPr>
              <w:rPr>
                <w:rFonts w:cs="Arial"/>
                <w:sz w:val="18"/>
                <w:szCs w:val="18"/>
              </w:rPr>
            </w:pPr>
            <w:r w:rsidRPr="00363983">
              <w:rPr>
                <w:rFonts w:cs="Arial"/>
                <w:sz w:val="18"/>
                <w:szCs w:val="18"/>
              </w:rPr>
              <w:t>TP07 Scheme Reform – Training and Procedures</w:t>
            </w:r>
          </w:p>
        </w:tc>
        <w:tc>
          <w:tcPr>
            <w:tcW w:w="432" w:type="dxa"/>
            <w:vAlign w:val="center"/>
          </w:tcPr>
          <w:p w14:paraId="6DE34548" w14:textId="77777777" w:rsidR="006A4A6F" w:rsidRPr="00363983" w:rsidRDefault="006A4A6F" w:rsidP="00BC135C">
            <w:pPr>
              <w:jc w:val="center"/>
              <w:rPr>
                <w:rFonts w:cs="Arial"/>
                <w:sz w:val="18"/>
                <w:szCs w:val="18"/>
              </w:rPr>
            </w:pPr>
            <w:r w:rsidRPr="00363983">
              <w:rPr>
                <w:rFonts w:cs="Arial"/>
                <w:sz w:val="18"/>
                <w:szCs w:val="18"/>
              </w:rPr>
              <w:t>HU</w:t>
            </w:r>
          </w:p>
        </w:tc>
        <w:tc>
          <w:tcPr>
            <w:tcW w:w="500" w:type="dxa"/>
            <w:vAlign w:val="center"/>
          </w:tcPr>
          <w:p w14:paraId="42E5C841" w14:textId="77777777" w:rsidR="006A4A6F" w:rsidRPr="00363983" w:rsidRDefault="006A4A6F" w:rsidP="00BC135C">
            <w:pPr>
              <w:jc w:val="center"/>
              <w:rPr>
                <w:rFonts w:cs="Arial"/>
                <w:sz w:val="18"/>
                <w:szCs w:val="18"/>
              </w:rPr>
            </w:pPr>
            <w:r w:rsidRPr="00363983">
              <w:rPr>
                <w:rFonts w:cs="Arial"/>
                <w:sz w:val="18"/>
                <w:szCs w:val="18"/>
              </w:rPr>
              <w:t>30</w:t>
            </w:r>
          </w:p>
        </w:tc>
        <w:tc>
          <w:tcPr>
            <w:tcW w:w="500" w:type="dxa"/>
            <w:vAlign w:val="center"/>
          </w:tcPr>
          <w:p w14:paraId="04402B13" w14:textId="77777777" w:rsidR="006A4A6F" w:rsidRPr="00363983" w:rsidRDefault="006A4A6F" w:rsidP="00BC135C">
            <w:pPr>
              <w:jc w:val="center"/>
              <w:rPr>
                <w:rFonts w:cs="Arial"/>
                <w:sz w:val="18"/>
                <w:szCs w:val="18"/>
              </w:rPr>
            </w:pPr>
          </w:p>
        </w:tc>
        <w:tc>
          <w:tcPr>
            <w:tcW w:w="500" w:type="dxa"/>
            <w:vAlign w:val="center"/>
          </w:tcPr>
          <w:p w14:paraId="2CC139FE" w14:textId="77777777" w:rsidR="006A4A6F" w:rsidRPr="00363983" w:rsidRDefault="006A4A6F" w:rsidP="00BC135C">
            <w:pPr>
              <w:jc w:val="center"/>
              <w:rPr>
                <w:rFonts w:cs="Arial"/>
                <w:sz w:val="18"/>
                <w:szCs w:val="18"/>
              </w:rPr>
            </w:pPr>
          </w:p>
        </w:tc>
        <w:tc>
          <w:tcPr>
            <w:tcW w:w="500" w:type="dxa"/>
            <w:vAlign w:val="center"/>
          </w:tcPr>
          <w:p w14:paraId="0BDA80B2"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5887E1B6" w14:textId="77777777" w:rsidR="006A4A6F" w:rsidRPr="00363983" w:rsidRDefault="006A4A6F" w:rsidP="00BC135C">
            <w:pPr>
              <w:ind w:left="-113" w:right="-85"/>
              <w:jc w:val="center"/>
              <w:rPr>
                <w:rFonts w:cs="Arial"/>
                <w:sz w:val="18"/>
                <w:szCs w:val="18"/>
              </w:rPr>
            </w:pPr>
            <w:r w:rsidRPr="00363983">
              <w:rPr>
                <w:rFonts w:cs="Arial"/>
                <w:sz w:val="18"/>
                <w:szCs w:val="18"/>
              </w:rPr>
              <w:t>Final Report</w:t>
            </w:r>
          </w:p>
        </w:tc>
        <w:tc>
          <w:tcPr>
            <w:tcW w:w="1100" w:type="dxa"/>
            <w:vAlign w:val="center"/>
          </w:tcPr>
          <w:p w14:paraId="6FEAF408" w14:textId="77777777" w:rsidR="006A4A6F" w:rsidRPr="00363983" w:rsidRDefault="006A4A6F" w:rsidP="00BC135C">
            <w:pPr>
              <w:jc w:val="center"/>
              <w:rPr>
                <w:rFonts w:cs="Arial"/>
                <w:sz w:val="18"/>
                <w:szCs w:val="18"/>
              </w:rPr>
            </w:pPr>
            <w:r w:rsidRPr="00363983">
              <w:rPr>
                <w:rFonts w:cs="Arial"/>
                <w:sz w:val="18"/>
                <w:szCs w:val="18"/>
              </w:rPr>
              <w:t>Feb 2015</w:t>
            </w:r>
          </w:p>
        </w:tc>
        <w:tc>
          <w:tcPr>
            <w:tcW w:w="1000" w:type="dxa"/>
            <w:tcBorders>
              <w:bottom w:val="single" w:sz="4" w:space="0" w:color="auto"/>
            </w:tcBorders>
            <w:shd w:val="clear" w:color="auto" w:fill="00B050"/>
            <w:vAlign w:val="center"/>
          </w:tcPr>
          <w:p w14:paraId="23A0CCD8" w14:textId="77777777" w:rsidR="006A4A6F" w:rsidRPr="00363983" w:rsidRDefault="006A4A6F" w:rsidP="00BC135C">
            <w:pPr>
              <w:jc w:val="center"/>
              <w:rPr>
                <w:rFonts w:cs="Arial"/>
                <w:color w:val="000000"/>
                <w:sz w:val="18"/>
                <w:szCs w:val="18"/>
              </w:rPr>
            </w:pPr>
            <w:r w:rsidRPr="00363983">
              <w:rPr>
                <w:rFonts w:cs="Arial"/>
                <w:color w:val="000000"/>
                <w:sz w:val="18"/>
                <w:szCs w:val="18"/>
              </w:rPr>
              <w:t>Jan 2015</w:t>
            </w:r>
          </w:p>
        </w:tc>
        <w:tc>
          <w:tcPr>
            <w:tcW w:w="900" w:type="dxa"/>
            <w:shd w:val="clear" w:color="auto" w:fill="auto"/>
            <w:vAlign w:val="center"/>
          </w:tcPr>
          <w:p w14:paraId="6ADF508F" w14:textId="77777777" w:rsidR="006A4A6F" w:rsidRPr="00363983" w:rsidRDefault="006A4A6F" w:rsidP="00BC135C">
            <w:pPr>
              <w:jc w:val="center"/>
              <w:rPr>
                <w:rFonts w:cs="Arial"/>
                <w:sz w:val="18"/>
                <w:szCs w:val="18"/>
              </w:rPr>
            </w:pPr>
            <w:r w:rsidRPr="00363983">
              <w:rPr>
                <w:rFonts w:cs="Arial"/>
                <w:sz w:val="18"/>
                <w:szCs w:val="18"/>
              </w:rPr>
              <w:t>04/03/15</w:t>
            </w:r>
          </w:p>
        </w:tc>
        <w:tc>
          <w:tcPr>
            <w:tcW w:w="1000" w:type="dxa"/>
            <w:shd w:val="clear" w:color="auto" w:fill="auto"/>
            <w:vAlign w:val="center"/>
          </w:tcPr>
          <w:p w14:paraId="142272D7" w14:textId="77777777" w:rsidR="006A4A6F" w:rsidRPr="00363983" w:rsidRDefault="006A4A6F" w:rsidP="00BC135C">
            <w:pPr>
              <w:jc w:val="center"/>
              <w:rPr>
                <w:rFonts w:cs="Arial"/>
                <w:sz w:val="18"/>
                <w:szCs w:val="18"/>
              </w:rPr>
            </w:pPr>
            <w:r w:rsidRPr="00363983">
              <w:rPr>
                <w:rFonts w:cs="Arial"/>
                <w:sz w:val="18"/>
                <w:szCs w:val="18"/>
              </w:rPr>
              <w:t>Apr 2015</w:t>
            </w:r>
          </w:p>
        </w:tc>
        <w:tc>
          <w:tcPr>
            <w:tcW w:w="1000" w:type="dxa"/>
            <w:tcBorders>
              <w:bottom w:val="single" w:sz="4" w:space="0" w:color="auto"/>
            </w:tcBorders>
            <w:shd w:val="clear" w:color="auto" w:fill="00B050"/>
            <w:vAlign w:val="center"/>
          </w:tcPr>
          <w:p w14:paraId="089C635F" w14:textId="77777777" w:rsidR="006A4A6F" w:rsidRPr="00363983" w:rsidRDefault="006A4A6F" w:rsidP="00BC135C">
            <w:pPr>
              <w:jc w:val="center"/>
              <w:rPr>
                <w:rFonts w:cs="Arial"/>
                <w:sz w:val="18"/>
                <w:szCs w:val="18"/>
              </w:rPr>
            </w:pPr>
            <w:r w:rsidRPr="00363983">
              <w:rPr>
                <w:rFonts w:cs="Arial"/>
                <w:sz w:val="18"/>
                <w:szCs w:val="18"/>
              </w:rPr>
              <w:t>Apr 2015</w:t>
            </w:r>
          </w:p>
        </w:tc>
        <w:tc>
          <w:tcPr>
            <w:tcW w:w="1000" w:type="dxa"/>
            <w:shd w:val="clear" w:color="auto" w:fill="auto"/>
            <w:vAlign w:val="center"/>
          </w:tcPr>
          <w:p w14:paraId="729CEF01" w14:textId="77777777" w:rsidR="006A4A6F" w:rsidRPr="00363983" w:rsidRDefault="006A4A6F" w:rsidP="00BC135C">
            <w:pPr>
              <w:jc w:val="center"/>
              <w:rPr>
                <w:rFonts w:cs="Arial"/>
                <w:sz w:val="18"/>
                <w:szCs w:val="18"/>
              </w:rPr>
            </w:pPr>
            <w:r w:rsidRPr="00363983">
              <w:rPr>
                <w:rFonts w:cs="Arial"/>
                <w:sz w:val="18"/>
                <w:szCs w:val="18"/>
              </w:rPr>
              <w:t>01/05/15</w:t>
            </w:r>
          </w:p>
        </w:tc>
        <w:tc>
          <w:tcPr>
            <w:tcW w:w="800" w:type="dxa"/>
            <w:shd w:val="clear" w:color="auto" w:fill="auto"/>
            <w:vAlign w:val="center"/>
          </w:tcPr>
          <w:p w14:paraId="0989DBBF" w14:textId="77777777" w:rsidR="006A4A6F" w:rsidRPr="00363983" w:rsidRDefault="006A4A6F" w:rsidP="00BC135C">
            <w:pPr>
              <w:jc w:val="center"/>
              <w:rPr>
                <w:rFonts w:cs="Arial"/>
                <w:sz w:val="18"/>
                <w:szCs w:val="18"/>
              </w:rPr>
            </w:pPr>
            <w:r w:rsidRPr="00363983">
              <w:rPr>
                <w:rFonts w:cs="Arial"/>
                <w:sz w:val="18"/>
                <w:szCs w:val="18"/>
              </w:rPr>
              <w:t>E</w:t>
            </w:r>
          </w:p>
        </w:tc>
        <w:tc>
          <w:tcPr>
            <w:tcW w:w="500" w:type="dxa"/>
            <w:shd w:val="clear" w:color="auto" w:fill="auto"/>
            <w:vAlign w:val="center"/>
          </w:tcPr>
          <w:p w14:paraId="08BFF4E6"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4722CC1C"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1CFD1CA0" w14:textId="77777777" w:rsidR="006A4A6F" w:rsidRPr="00363983" w:rsidRDefault="006A4A6F" w:rsidP="00BC135C">
            <w:pPr>
              <w:jc w:val="center"/>
              <w:rPr>
                <w:rFonts w:cs="Arial"/>
                <w:sz w:val="18"/>
                <w:szCs w:val="18"/>
              </w:rPr>
            </w:pPr>
            <w:r w:rsidRPr="00363983">
              <w:rPr>
                <w:rFonts w:cs="Arial"/>
                <w:sz w:val="18"/>
                <w:szCs w:val="18"/>
              </w:rPr>
              <w:t>1</w:t>
            </w:r>
          </w:p>
        </w:tc>
        <w:tc>
          <w:tcPr>
            <w:tcW w:w="500" w:type="dxa"/>
            <w:shd w:val="clear" w:color="auto" w:fill="auto"/>
            <w:vAlign w:val="center"/>
          </w:tcPr>
          <w:p w14:paraId="353FE06C" w14:textId="77777777" w:rsidR="006A4A6F" w:rsidRPr="00363983" w:rsidRDefault="006A4A6F" w:rsidP="00BC135C">
            <w:pPr>
              <w:jc w:val="center"/>
              <w:rPr>
                <w:rFonts w:cs="Arial"/>
                <w:sz w:val="18"/>
                <w:szCs w:val="18"/>
              </w:rPr>
            </w:pPr>
            <w:r w:rsidRPr="00363983">
              <w:rPr>
                <w:rFonts w:cs="Arial"/>
                <w:sz w:val="18"/>
                <w:szCs w:val="18"/>
              </w:rPr>
              <w:t>2</w:t>
            </w:r>
          </w:p>
        </w:tc>
      </w:tr>
      <w:tr w:rsidR="006A4A6F" w:rsidRPr="00363983" w14:paraId="3FED9DCA" w14:textId="77777777" w:rsidTr="00BC135C">
        <w:trPr>
          <w:trHeight w:val="454"/>
        </w:trPr>
        <w:tc>
          <w:tcPr>
            <w:tcW w:w="2325" w:type="dxa"/>
            <w:tcMar>
              <w:left w:w="85" w:type="dxa"/>
              <w:right w:w="85" w:type="dxa"/>
            </w:tcMar>
            <w:vAlign w:val="center"/>
          </w:tcPr>
          <w:p w14:paraId="578ABCD6" w14:textId="77777777" w:rsidR="006A4A6F" w:rsidRPr="00363983" w:rsidRDefault="006A4A6F" w:rsidP="00BC135C">
            <w:pPr>
              <w:rPr>
                <w:rFonts w:cs="Arial"/>
                <w:color w:val="000000"/>
                <w:sz w:val="18"/>
                <w:szCs w:val="18"/>
              </w:rPr>
            </w:pPr>
            <w:r w:rsidRPr="00363983">
              <w:rPr>
                <w:rFonts w:cs="Arial"/>
                <w:color w:val="000000"/>
                <w:sz w:val="18"/>
                <w:szCs w:val="18"/>
              </w:rPr>
              <w:t xml:space="preserve">TP08 Scheme Reform – Flexibilities </w:t>
            </w:r>
          </w:p>
        </w:tc>
        <w:tc>
          <w:tcPr>
            <w:tcW w:w="432" w:type="dxa"/>
            <w:vAlign w:val="center"/>
          </w:tcPr>
          <w:p w14:paraId="007B4E10" w14:textId="77777777" w:rsidR="006A4A6F" w:rsidRPr="00363983" w:rsidRDefault="006A4A6F" w:rsidP="00BC135C">
            <w:pPr>
              <w:jc w:val="center"/>
              <w:rPr>
                <w:rFonts w:cs="Arial"/>
                <w:color w:val="000000"/>
                <w:sz w:val="18"/>
                <w:szCs w:val="18"/>
              </w:rPr>
            </w:pPr>
            <w:r w:rsidRPr="00363983">
              <w:rPr>
                <w:rFonts w:cs="Arial"/>
                <w:color w:val="000000"/>
                <w:sz w:val="18"/>
                <w:szCs w:val="18"/>
              </w:rPr>
              <w:t>HU</w:t>
            </w:r>
          </w:p>
        </w:tc>
        <w:tc>
          <w:tcPr>
            <w:tcW w:w="500" w:type="dxa"/>
            <w:vAlign w:val="center"/>
          </w:tcPr>
          <w:p w14:paraId="156E7A02" w14:textId="77777777" w:rsidR="006A4A6F" w:rsidRPr="00363983" w:rsidRDefault="006A4A6F" w:rsidP="00BC135C">
            <w:pPr>
              <w:jc w:val="center"/>
              <w:rPr>
                <w:rFonts w:cs="Arial"/>
                <w:color w:val="000000"/>
                <w:sz w:val="18"/>
                <w:szCs w:val="18"/>
              </w:rPr>
            </w:pPr>
            <w:r w:rsidRPr="00363983">
              <w:rPr>
                <w:rFonts w:cs="Arial"/>
                <w:color w:val="000000"/>
                <w:sz w:val="18"/>
                <w:szCs w:val="18"/>
              </w:rPr>
              <w:t>25</w:t>
            </w:r>
          </w:p>
        </w:tc>
        <w:tc>
          <w:tcPr>
            <w:tcW w:w="500" w:type="dxa"/>
            <w:vAlign w:val="center"/>
          </w:tcPr>
          <w:p w14:paraId="4A4B4910" w14:textId="77777777" w:rsidR="006A4A6F" w:rsidRPr="00363983" w:rsidRDefault="006A4A6F" w:rsidP="00BC135C">
            <w:pPr>
              <w:jc w:val="center"/>
              <w:rPr>
                <w:rFonts w:cs="Arial"/>
                <w:color w:val="000000"/>
                <w:sz w:val="18"/>
                <w:szCs w:val="18"/>
              </w:rPr>
            </w:pPr>
          </w:p>
        </w:tc>
        <w:tc>
          <w:tcPr>
            <w:tcW w:w="500" w:type="dxa"/>
            <w:vAlign w:val="center"/>
          </w:tcPr>
          <w:p w14:paraId="453EC1D7" w14:textId="77777777" w:rsidR="006A4A6F" w:rsidRPr="00363983" w:rsidRDefault="006A4A6F" w:rsidP="00BC135C">
            <w:pPr>
              <w:jc w:val="center"/>
              <w:rPr>
                <w:rFonts w:cs="Arial"/>
                <w:color w:val="000000"/>
                <w:sz w:val="18"/>
                <w:szCs w:val="18"/>
              </w:rPr>
            </w:pPr>
          </w:p>
        </w:tc>
        <w:tc>
          <w:tcPr>
            <w:tcW w:w="500" w:type="dxa"/>
            <w:vAlign w:val="center"/>
          </w:tcPr>
          <w:p w14:paraId="139F413B" w14:textId="77777777" w:rsidR="006A4A6F" w:rsidRPr="00363983" w:rsidRDefault="006A4A6F" w:rsidP="00BC135C">
            <w:pPr>
              <w:jc w:val="center"/>
              <w:rPr>
                <w:rFonts w:cs="Arial"/>
                <w:color w:val="000000"/>
                <w:sz w:val="18"/>
                <w:szCs w:val="18"/>
              </w:rPr>
            </w:pPr>
          </w:p>
        </w:tc>
        <w:tc>
          <w:tcPr>
            <w:tcW w:w="1100" w:type="dxa"/>
            <w:tcMar>
              <w:left w:w="113" w:type="dxa"/>
              <w:right w:w="85" w:type="dxa"/>
            </w:tcMar>
            <w:vAlign w:val="center"/>
          </w:tcPr>
          <w:p w14:paraId="5F962C07" w14:textId="77777777" w:rsidR="006A4A6F" w:rsidRPr="00363983" w:rsidRDefault="006A4A6F" w:rsidP="00BC135C">
            <w:pPr>
              <w:ind w:left="-135" w:right="-97"/>
              <w:jc w:val="center"/>
              <w:rPr>
                <w:rFonts w:cs="Arial"/>
                <w:color w:val="000000"/>
                <w:sz w:val="18"/>
                <w:szCs w:val="18"/>
              </w:rPr>
            </w:pPr>
            <w:r w:rsidRPr="00363983">
              <w:rPr>
                <w:rFonts w:cs="Arial"/>
                <w:color w:val="000000"/>
                <w:sz w:val="18"/>
                <w:szCs w:val="18"/>
              </w:rPr>
              <w:t>Final Report</w:t>
            </w:r>
          </w:p>
        </w:tc>
        <w:tc>
          <w:tcPr>
            <w:tcW w:w="1100" w:type="dxa"/>
            <w:vAlign w:val="center"/>
          </w:tcPr>
          <w:p w14:paraId="1F240035" w14:textId="77777777" w:rsidR="006A4A6F" w:rsidRPr="00363983" w:rsidRDefault="006A4A6F" w:rsidP="00BC135C">
            <w:pPr>
              <w:jc w:val="center"/>
              <w:rPr>
                <w:rFonts w:cs="Arial"/>
                <w:sz w:val="18"/>
                <w:szCs w:val="18"/>
              </w:rPr>
            </w:pPr>
            <w:r w:rsidRPr="00363983">
              <w:rPr>
                <w:rFonts w:cs="Arial"/>
                <w:sz w:val="18"/>
                <w:szCs w:val="18"/>
              </w:rPr>
              <w:t xml:space="preserve"> Mar 2015</w:t>
            </w:r>
          </w:p>
        </w:tc>
        <w:tc>
          <w:tcPr>
            <w:tcW w:w="1000" w:type="dxa"/>
            <w:tcBorders>
              <w:bottom w:val="single" w:sz="4" w:space="0" w:color="auto"/>
            </w:tcBorders>
            <w:shd w:val="clear" w:color="auto" w:fill="00B050"/>
            <w:vAlign w:val="center"/>
          </w:tcPr>
          <w:p w14:paraId="4328A7CD" w14:textId="77777777" w:rsidR="006A4A6F" w:rsidRPr="00363983" w:rsidRDefault="006A4A6F" w:rsidP="00BC135C">
            <w:pPr>
              <w:jc w:val="center"/>
              <w:rPr>
                <w:rFonts w:cs="Arial"/>
                <w:sz w:val="18"/>
                <w:szCs w:val="18"/>
              </w:rPr>
            </w:pPr>
            <w:r w:rsidRPr="00363983">
              <w:rPr>
                <w:rFonts w:cs="Arial"/>
                <w:sz w:val="18"/>
                <w:szCs w:val="18"/>
              </w:rPr>
              <w:t>Jan 2015</w:t>
            </w:r>
          </w:p>
        </w:tc>
        <w:tc>
          <w:tcPr>
            <w:tcW w:w="900" w:type="dxa"/>
            <w:shd w:val="clear" w:color="auto" w:fill="auto"/>
            <w:vAlign w:val="center"/>
          </w:tcPr>
          <w:p w14:paraId="09BA464F" w14:textId="77777777" w:rsidR="006A4A6F" w:rsidRPr="00363983" w:rsidRDefault="006A4A6F" w:rsidP="00BC135C">
            <w:pPr>
              <w:jc w:val="center"/>
              <w:rPr>
                <w:rFonts w:cs="Arial"/>
                <w:sz w:val="18"/>
                <w:szCs w:val="18"/>
              </w:rPr>
            </w:pPr>
            <w:r w:rsidRPr="00363983">
              <w:rPr>
                <w:rFonts w:cs="Arial"/>
                <w:sz w:val="18"/>
                <w:szCs w:val="18"/>
              </w:rPr>
              <w:t>04/03/15</w:t>
            </w:r>
          </w:p>
        </w:tc>
        <w:tc>
          <w:tcPr>
            <w:tcW w:w="1000" w:type="dxa"/>
            <w:shd w:val="clear" w:color="auto" w:fill="auto"/>
            <w:vAlign w:val="center"/>
          </w:tcPr>
          <w:p w14:paraId="4A27E837" w14:textId="77777777" w:rsidR="006A4A6F" w:rsidRPr="00363983" w:rsidRDefault="006A4A6F" w:rsidP="00BC135C">
            <w:pPr>
              <w:rPr>
                <w:rFonts w:cs="Arial"/>
                <w:sz w:val="18"/>
                <w:szCs w:val="18"/>
              </w:rPr>
            </w:pPr>
            <w:r w:rsidRPr="00363983">
              <w:rPr>
                <w:rFonts w:cs="Arial"/>
                <w:sz w:val="18"/>
                <w:szCs w:val="18"/>
              </w:rPr>
              <w:t xml:space="preserve"> May 2015</w:t>
            </w:r>
          </w:p>
        </w:tc>
        <w:tc>
          <w:tcPr>
            <w:tcW w:w="1000" w:type="dxa"/>
            <w:tcBorders>
              <w:bottom w:val="single" w:sz="4" w:space="0" w:color="auto"/>
            </w:tcBorders>
            <w:shd w:val="clear" w:color="auto" w:fill="00B050"/>
            <w:vAlign w:val="center"/>
          </w:tcPr>
          <w:p w14:paraId="78046390" w14:textId="77777777" w:rsidR="006A4A6F" w:rsidRPr="00363983" w:rsidRDefault="006A4A6F" w:rsidP="00BC135C">
            <w:pPr>
              <w:jc w:val="center"/>
              <w:rPr>
                <w:rFonts w:cs="Arial"/>
                <w:sz w:val="18"/>
                <w:szCs w:val="18"/>
              </w:rPr>
            </w:pPr>
            <w:r w:rsidRPr="00363983">
              <w:rPr>
                <w:rFonts w:cs="Arial"/>
                <w:sz w:val="18"/>
                <w:szCs w:val="18"/>
              </w:rPr>
              <w:t>May 2015</w:t>
            </w:r>
          </w:p>
        </w:tc>
        <w:tc>
          <w:tcPr>
            <w:tcW w:w="1000" w:type="dxa"/>
            <w:shd w:val="clear" w:color="auto" w:fill="auto"/>
            <w:vAlign w:val="center"/>
          </w:tcPr>
          <w:p w14:paraId="5B6C867E" w14:textId="77777777" w:rsidR="006A4A6F" w:rsidRPr="00363983" w:rsidRDefault="006A4A6F" w:rsidP="00BC135C">
            <w:pPr>
              <w:jc w:val="center"/>
              <w:rPr>
                <w:rFonts w:cs="Arial"/>
                <w:sz w:val="18"/>
                <w:szCs w:val="18"/>
              </w:rPr>
            </w:pPr>
            <w:r w:rsidRPr="00363983">
              <w:rPr>
                <w:rFonts w:cs="Arial"/>
                <w:sz w:val="18"/>
                <w:szCs w:val="18"/>
              </w:rPr>
              <w:t>05/06/15</w:t>
            </w:r>
          </w:p>
        </w:tc>
        <w:tc>
          <w:tcPr>
            <w:tcW w:w="800" w:type="dxa"/>
            <w:tcBorders>
              <w:bottom w:val="single" w:sz="4" w:space="0" w:color="auto"/>
            </w:tcBorders>
            <w:shd w:val="clear" w:color="auto" w:fill="auto"/>
            <w:vAlign w:val="center"/>
          </w:tcPr>
          <w:p w14:paraId="6D70814A" w14:textId="77777777" w:rsidR="006A4A6F" w:rsidRPr="00363983" w:rsidRDefault="006A4A6F" w:rsidP="00BC135C">
            <w:pPr>
              <w:jc w:val="center"/>
              <w:rPr>
                <w:rFonts w:cs="Arial"/>
                <w:sz w:val="18"/>
                <w:szCs w:val="18"/>
              </w:rPr>
            </w:pPr>
            <w:r w:rsidRPr="00363983">
              <w:rPr>
                <w:rFonts w:cs="Arial"/>
                <w:sz w:val="18"/>
                <w:szCs w:val="18"/>
              </w:rPr>
              <w:t>IR</w:t>
            </w:r>
          </w:p>
        </w:tc>
        <w:tc>
          <w:tcPr>
            <w:tcW w:w="500" w:type="dxa"/>
            <w:shd w:val="clear" w:color="auto" w:fill="auto"/>
            <w:vAlign w:val="center"/>
          </w:tcPr>
          <w:p w14:paraId="101CD4D8"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3D1E1798"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467BF3BE" w14:textId="77777777" w:rsidR="006A4A6F" w:rsidRPr="00363983" w:rsidRDefault="006A4A6F" w:rsidP="00BC135C">
            <w:pPr>
              <w:jc w:val="center"/>
              <w:rPr>
                <w:rFonts w:cs="Arial"/>
                <w:sz w:val="18"/>
                <w:szCs w:val="18"/>
              </w:rPr>
            </w:pPr>
            <w:r w:rsidRPr="00363983">
              <w:rPr>
                <w:rFonts w:cs="Arial"/>
                <w:sz w:val="18"/>
                <w:szCs w:val="18"/>
              </w:rPr>
              <w:t>3</w:t>
            </w:r>
          </w:p>
        </w:tc>
        <w:tc>
          <w:tcPr>
            <w:tcW w:w="500" w:type="dxa"/>
            <w:shd w:val="clear" w:color="auto" w:fill="auto"/>
            <w:vAlign w:val="center"/>
          </w:tcPr>
          <w:p w14:paraId="1C428B7B" w14:textId="77777777" w:rsidR="006A4A6F" w:rsidRPr="00363983" w:rsidRDefault="006A4A6F" w:rsidP="00BC135C">
            <w:pPr>
              <w:jc w:val="center"/>
              <w:rPr>
                <w:rFonts w:cs="Arial"/>
                <w:sz w:val="18"/>
                <w:szCs w:val="18"/>
              </w:rPr>
            </w:pPr>
            <w:r w:rsidRPr="00363983">
              <w:rPr>
                <w:rFonts w:cs="Arial"/>
                <w:sz w:val="18"/>
                <w:szCs w:val="18"/>
              </w:rPr>
              <w:t>1</w:t>
            </w:r>
          </w:p>
        </w:tc>
      </w:tr>
      <w:tr w:rsidR="006A4A6F" w:rsidRPr="00363983" w14:paraId="774D2911" w14:textId="77777777" w:rsidTr="00BC135C">
        <w:trPr>
          <w:trHeight w:val="454"/>
        </w:trPr>
        <w:tc>
          <w:tcPr>
            <w:tcW w:w="2325" w:type="dxa"/>
            <w:tcMar>
              <w:left w:w="85" w:type="dxa"/>
              <w:right w:w="85" w:type="dxa"/>
            </w:tcMar>
            <w:vAlign w:val="center"/>
          </w:tcPr>
          <w:p w14:paraId="19CB1964" w14:textId="77777777" w:rsidR="006A4A6F" w:rsidRPr="00363983" w:rsidRDefault="006A4A6F" w:rsidP="00BC135C">
            <w:pPr>
              <w:jc w:val="both"/>
              <w:rPr>
                <w:rFonts w:cs="Arial"/>
                <w:sz w:val="18"/>
                <w:szCs w:val="18"/>
              </w:rPr>
            </w:pPr>
            <w:r w:rsidRPr="00363983">
              <w:rPr>
                <w:rFonts w:cs="Arial"/>
                <w:sz w:val="18"/>
                <w:szCs w:val="18"/>
              </w:rPr>
              <w:t xml:space="preserve">IT01 Hartlink Change Management </w:t>
            </w:r>
          </w:p>
        </w:tc>
        <w:tc>
          <w:tcPr>
            <w:tcW w:w="432" w:type="dxa"/>
            <w:vAlign w:val="center"/>
          </w:tcPr>
          <w:p w14:paraId="1F99BDFD" w14:textId="77777777" w:rsidR="006A4A6F" w:rsidRPr="00363983" w:rsidRDefault="006A4A6F" w:rsidP="00BC135C">
            <w:pPr>
              <w:jc w:val="center"/>
              <w:rPr>
                <w:rFonts w:cs="Arial"/>
                <w:sz w:val="18"/>
                <w:szCs w:val="18"/>
              </w:rPr>
            </w:pPr>
            <w:r w:rsidRPr="00363983">
              <w:rPr>
                <w:rFonts w:cs="Arial"/>
                <w:sz w:val="18"/>
                <w:szCs w:val="18"/>
              </w:rPr>
              <w:t>IT</w:t>
            </w:r>
          </w:p>
        </w:tc>
        <w:tc>
          <w:tcPr>
            <w:tcW w:w="500" w:type="dxa"/>
            <w:vAlign w:val="center"/>
          </w:tcPr>
          <w:p w14:paraId="681A5046" w14:textId="77777777" w:rsidR="006A4A6F" w:rsidRPr="00363983" w:rsidRDefault="006A4A6F" w:rsidP="00BC135C">
            <w:pPr>
              <w:jc w:val="center"/>
              <w:rPr>
                <w:rFonts w:cs="Arial"/>
                <w:sz w:val="18"/>
                <w:szCs w:val="18"/>
              </w:rPr>
            </w:pPr>
          </w:p>
        </w:tc>
        <w:tc>
          <w:tcPr>
            <w:tcW w:w="500" w:type="dxa"/>
            <w:vAlign w:val="center"/>
          </w:tcPr>
          <w:p w14:paraId="54868491" w14:textId="77777777" w:rsidR="006A4A6F" w:rsidRPr="00363983" w:rsidRDefault="006A4A6F" w:rsidP="00BC135C">
            <w:pPr>
              <w:jc w:val="center"/>
              <w:rPr>
                <w:rFonts w:cs="Arial"/>
                <w:sz w:val="18"/>
                <w:szCs w:val="18"/>
              </w:rPr>
            </w:pPr>
            <w:r w:rsidRPr="00363983">
              <w:rPr>
                <w:rFonts w:cs="Arial"/>
                <w:sz w:val="18"/>
                <w:szCs w:val="18"/>
              </w:rPr>
              <w:t>30</w:t>
            </w:r>
          </w:p>
        </w:tc>
        <w:tc>
          <w:tcPr>
            <w:tcW w:w="500" w:type="dxa"/>
            <w:vAlign w:val="center"/>
          </w:tcPr>
          <w:p w14:paraId="4798812C" w14:textId="77777777" w:rsidR="006A4A6F" w:rsidRPr="00363983" w:rsidRDefault="006A4A6F" w:rsidP="00BC135C">
            <w:pPr>
              <w:jc w:val="center"/>
              <w:rPr>
                <w:rFonts w:cs="Arial"/>
                <w:sz w:val="18"/>
                <w:szCs w:val="18"/>
              </w:rPr>
            </w:pPr>
          </w:p>
        </w:tc>
        <w:tc>
          <w:tcPr>
            <w:tcW w:w="500" w:type="dxa"/>
            <w:vAlign w:val="center"/>
          </w:tcPr>
          <w:p w14:paraId="40A04E4D"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60E8A73A" w14:textId="77777777" w:rsidR="006A4A6F" w:rsidRPr="00363983" w:rsidRDefault="006A4A6F" w:rsidP="00BC135C">
            <w:pPr>
              <w:ind w:left="-113" w:right="-85"/>
              <w:jc w:val="center"/>
              <w:rPr>
                <w:rFonts w:cs="Arial"/>
                <w:sz w:val="18"/>
                <w:szCs w:val="18"/>
              </w:rPr>
            </w:pPr>
            <w:r w:rsidRPr="00363983">
              <w:rPr>
                <w:rFonts w:cs="Arial"/>
                <w:sz w:val="18"/>
                <w:szCs w:val="18"/>
              </w:rPr>
              <w:t>Final Report</w:t>
            </w:r>
          </w:p>
        </w:tc>
        <w:tc>
          <w:tcPr>
            <w:tcW w:w="1100" w:type="dxa"/>
            <w:vAlign w:val="center"/>
          </w:tcPr>
          <w:p w14:paraId="5864524E" w14:textId="77777777" w:rsidR="006A4A6F" w:rsidRPr="00363983" w:rsidRDefault="006A4A6F" w:rsidP="00BC135C">
            <w:pPr>
              <w:jc w:val="center"/>
              <w:rPr>
                <w:rFonts w:cs="Arial"/>
                <w:color w:val="000000"/>
                <w:sz w:val="18"/>
                <w:szCs w:val="18"/>
              </w:rPr>
            </w:pPr>
            <w:r w:rsidRPr="00363983">
              <w:rPr>
                <w:rFonts w:cs="Arial"/>
                <w:color w:val="000000"/>
                <w:sz w:val="18"/>
                <w:szCs w:val="18"/>
              </w:rPr>
              <w:t>May 2015</w:t>
            </w:r>
          </w:p>
        </w:tc>
        <w:tc>
          <w:tcPr>
            <w:tcW w:w="1000" w:type="dxa"/>
            <w:tcBorders>
              <w:bottom w:val="single" w:sz="4" w:space="0" w:color="auto"/>
            </w:tcBorders>
            <w:shd w:val="clear" w:color="auto" w:fill="00B050"/>
            <w:vAlign w:val="center"/>
          </w:tcPr>
          <w:p w14:paraId="1BB66C4E" w14:textId="77777777" w:rsidR="006A4A6F" w:rsidRPr="00363983" w:rsidRDefault="006A4A6F" w:rsidP="00BC135C">
            <w:pPr>
              <w:jc w:val="center"/>
              <w:rPr>
                <w:rFonts w:cs="Arial"/>
                <w:sz w:val="18"/>
                <w:szCs w:val="18"/>
              </w:rPr>
            </w:pPr>
            <w:r w:rsidRPr="00363983">
              <w:rPr>
                <w:rFonts w:cs="Arial"/>
                <w:sz w:val="18"/>
                <w:szCs w:val="18"/>
              </w:rPr>
              <w:t>Mar 2015</w:t>
            </w:r>
          </w:p>
        </w:tc>
        <w:tc>
          <w:tcPr>
            <w:tcW w:w="900" w:type="dxa"/>
            <w:shd w:val="clear" w:color="auto" w:fill="auto"/>
            <w:vAlign w:val="center"/>
          </w:tcPr>
          <w:p w14:paraId="4065AA60" w14:textId="77777777" w:rsidR="006A4A6F" w:rsidRPr="00363983" w:rsidRDefault="006A4A6F" w:rsidP="00BC135C">
            <w:pPr>
              <w:jc w:val="center"/>
              <w:rPr>
                <w:rFonts w:cs="Arial"/>
                <w:sz w:val="18"/>
                <w:szCs w:val="18"/>
              </w:rPr>
            </w:pPr>
            <w:r w:rsidRPr="00363983">
              <w:rPr>
                <w:rFonts w:cs="Arial"/>
                <w:sz w:val="18"/>
                <w:szCs w:val="18"/>
              </w:rPr>
              <w:t>24/03/15</w:t>
            </w:r>
          </w:p>
        </w:tc>
        <w:tc>
          <w:tcPr>
            <w:tcW w:w="1000" w:type="dxa"/>
            <w:shd w:val="clear" w:color="auto" w:fill="auto"/>
            <w:vAlign w:val="center"/>
          </w:tcPr>
          <w:p w14:paraId="17460E01" w14:textId="77777777" w:rsidR="006A4A6F" w:rsidRPr="00363983" w:rsidRDefault="006A4A6F" w:rsidP="00BC135C">
            <w:pPr>
              <w:jc w:val="center"/>
              <w:rPr>
                <w:rFonts w:cs="Arial"/>
                <w:sz w:val="18"/>
                <w:szCs w:val="18"/>
              </w:rPr>
            </w:pPr>
            <w:r w:rsidRPr="00363983">
              <w:rPr>
                <w:rFonts w:cs="Arial"/>
                <w:sz w:val="18"/>
                <w:szCs w:val="18"/>
              </w:rPr>
              <w:t>Jun 2015</w:t>
            </w:r>
          </w:p>
        </w:tc>
        <w:tc>
          <w:tcPr>
            <w:tcW w:w="1000" w:type="dxa"/>
            <w:shd w:val="clear" w:color="auto" w:fill="00B050"/>
            <w:vAlign w:val="center"/>
          </w:tcPr>
          <w:p w14:paraId="7593E9C4" w14:textId="77777777" w:rsidR="006A4A6F" w:rsidRPr="00363983" w:rsidRDefault="006A4A6F" w:rsidP="00BC135C">
            <w:pPr>
              <w:jc w:val="center"/>
              <w:rPr>
                <w:rFonts w:cs="Arial"/>
                <w:sz w:val="18"/>
                <w:szCs w:val="18"/>
              </w:rPr>
            </w:pPr>
            <w:r w:rsidRPr="00363983">
              <w:rPr>
                <w:rFonts w:cs="Arial"/>
                <w:sz w:val="18"/>
                <w:szCs w:val="18"/>
              </w:rPr>
              <w:t>May 2015</w:t>
            </w:r>
          </w:p>
        </w:tc>
        <w:tc>
          <w:tcPr>
            <w:tcW w:w="1000" w:type="dxa"/>
            <w:shd w:val="clear" w:color="auto" w:fill="auto"/>
            <w:vAlign w:val="center"/>
          </w:tcPr>
          <w:p w14:paraId="467C0741" w14:textId="77777777" w:rsidR="006A4A6F" w:rsidRPr="00363983" w:rsidRDefault="006A4A6F" w:rsidP="00BC135C">
            <w:pPr>
              <w:jc w:val="center"/>
              <w:rPr>
                <w:rFonts w:cs="Arial"/>
                <w:sz w:val="18"/>
                <w:szCs w:val="18"/>
              </w:rPr>
            </w:pPr>
            <w:r w:rsidRPr="00363983">
              <w:rPr>
                <w:rFonts w:cs="Arial"/>
                <w:sz w:val="18"/>
                <w:szCs w:val="18"/>
              </w:rPr>
              <w:t>12/06/15</w:t>
            </w:r>
          </w:p>
        </w:tc>
        <w:tc>
          <w:tcPr>
            <w:tcW w:w="800" w:type="dxa"/>
            <w:shd w:val="clear" w:color="auto" w:fill="auto"/>
            <w:vAlign w:val="center"/>
          </w:tcPr>
          <w:p w14:paraId="1F2F169E" w14:textId="77777777" w:rsidR="006A4A6F" w:rsidRPr="00363983" w:rsidRDefault="006A4A6F" w:rsidP="00BC135C">
            <w:pPr>
              <w:jc w:val="center"/>
              <w:rPr>
                <w:rFonts w:cs="Arial"/>
                <w:sz w:val="18"/>
                <w:szCs w:val="18"/>
              </w:rPr>
            </w:pPr>
            <w:r w:rsidRPr="00363983">
              <w:rPr>
                <w:rFonts w:cs="Arial"/>
                <w:sz w:val="18"/>
                <w:szCs w:val="18"/>
              </w:rPr>
              <w:t>SIR</w:t>
            </w:r>
          </w:p>
        </w:tc>
        <w:tc>
          <w:tcPr>
            <w:tcW w:w="500" w:type="dxa"/>
            <w:shd w:val="clear" w:color="auto" w:fill="auto"/>
            <w:vAlign w:val="center"/>
          </w:tcPr>
          <w:p w14:paraId="6C83623E"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075CE33B" w14:textId="77777777" w:rsidR="006A4A6F" w:rsidRPr="00363983" w:rsidRDefault="006A4A6F" w:rsidP="00BC135C">
            <w:pPr>
              <w:jc w:val="center"/>
              <w:rPr>
                <w:rFonts w:cs="Arial"/>
                <w:sz w:val="18"/>
                <w:szCs w:val="18"/>
              </w:rPr>
            </w:pPr>
            <w:r w:rsidRPr="00363983">
              <w:rPr>
                <w:rFonts w:cs="Arial"/>
                <w:sz w:val="18"/>
                <w:szCs w:val="18"/>
              </w:rPr>
              <w:t>1</w:t>
            </w:r>
          </w:p>
        </w:tc>
        <w:tc>
          <w:tcPr>
            <w:tcW w:w="500" w:type="dxa"/>
            <w:shd w:val="clear" w:color="auto" w:fill="auto"/>
            <w:vAlign w:val="center"/>
          </w:tcPr>
          <w:p w14:paraId="118607E8" w14:textId="77777777" w:rsidR="006A4A6F" w:rsidRPr="00363983" w:rsidRDefault="006A4A6F" w:rsidP="00BC135C">
            <w:pPr>
              <w:jc w:val="center"/>
              <w:rPr>
                <w:rFonts w:cs="Arial"/>
                <w:sz w:val="18"/>
                <w:szCs w:val="18"/>
              </w:rPr>
            </w:pPr>
            <w:r w:rsidRPr="00363983">
              <w:rPr>
                <w:rFonts w:cs="Arial"/>
                <w:sz w:val="18"/>
                <w:szCs w:val="18"/>
              </w:rPr>
              <w:t>1</w:t>
            </w:r>
          </w:p>
        </w:tc>
        <w:tc>
          <w:tcPr>
            <w:tcW w:w="500" w:type="dxa"/>
            <w:shd w:val="clear" w:color="auto" w:fill="auto"/>
            <w:vAlign w:val="center"/>
          </w:tcPr>
          <w:p w14:paraId="5DEA0EF8" w14:textId="77777777" w:rsidR="006A4A6F" w:rsidRPr="00363983" w:rsidRDefault="006A4A6F" w:rsidP="00BC135C">
            <w:pPr>
              <w:jc w:val="center"/>
              <w:rPr>
                <w:rFonts w:cs="Arial"/>
                <w:sz w:val="18"/>
                <w:szCs w:val="18"/>
              </w:rPr>
            </w:pPr>
            <w:r w:rsidRPr="00363983">
              <w:rPr>
                <w:rFonts w:cs="Arial"/>
                <w:sz w:val="18"/>
                <w:szCs w:val="18"/>
              </w:rPr>
              <w:t>1</w:t>
            </w:r>
          </w:p>
        </w:tc>
      </w:tr>
      <w:tr w:rsidR="006A4A6F" w:rsidRPr="00363983" w14:paraId="106170FF" w14:textId="77777777" w:rsidTr="00BC135C">
        <w:trPr>
          <w:trHeight w:val="454"/>
        </w:trPr>
        <w:tc>
          <w:tcPr>
            <w:tcW w:w="2325" w:type="dxa"/>
            <w:tcMar>
              <w:left w:w="85" w:type="dxa"/>
              <w:right w:w="85" w:type="dxa"/>
            </w:tcMar>
            <w:vAlign w:val="center"/>
          </w:tcPr>
          <w:p w14:paraId="662D5D5F" w14:textId="77777777" w:rsidR="006A4A6F" w:rsidRPr="00363983" w:rsidRDefault="006A4A6F" w:rsidP="00BC135C">
            <w:pPr>
              <w:jc w:val="both"/>
              <w:rPr>
                <w:rFonts w:cs="Arial"/>
                <w:sz w:val="18"/>
                <w:szCs w:val="18"/>
              </w:rPr>
            </w:pPr>
            <w:r w:rsidRPr="00363983">
              <w:rPr>
                <w:rFonts w:cs="Arial"/>
                <w:sz w:val="18"/>
                <w:szCs w:val="18"/>
              </w:rPr>
              <w:t xml:space="preserve">IT02 RMH Environment </w:t>
            </w:r>
          </w:p>
        </w:tc>
        <w:tc>
          <w:tcPr>
            <w:tcW w:w="432" w:type="dxa"/>
            <w:vAlign w:val="center"/>
          </w:tcPr>
          <w:p w14:paraId="7563EA70" w14:textId="77777777" w:rsidR="006A4A6F" w:rsidRPr="00363983" w:rsidRDefault="006A4A6F" w:rsidP="00BC135C">
            <w:pPr>
              <w:jc w:val="center"/>
              <w:rPr>
                <w:rFonts w:cs="Arial"/>
                <w:sz w:val="18"/>
                <w:szCs w:val="18"/>
              </w:rPr>
            </w:pPr>
            <w:r w:rsidRPr="00363983">
              <w:rPr>
                <w:rFonts w:cs="Arial"/>
                <w:sz w:val="18"/>
                <w:szCs w:val="18"/>
              </w:rPr>
              <w:t>IT</w:t>
            </w:r>
          </w:p>
        </w:tc>
        <w:tc>
          <w:tcPr>
            <w:tcW w:w="500" w:type="dxa"/>
            <w:vAlign w:val="center"/>
          </w:tcPr>
          <w:p w14:paraId="1525BE3B" w14:textId="77777777" w:rsidR="006A4A6F" w:rsidRPr="00363983" w:rsidRDefault="006A4A6F" w:rsidP="00BC135C">
            <w:pPr>
              <w:jc w:val="center"/>
              <w:rPr>
                <w:rFonts w:cs="Arial"/>
                <w:sz w:val="18"/>
                <w:szCs w:val="18"/>
              </w:rPr>
            </w:pPr>
          </w:p>
        </w:tc>
        <w:tc>
          <w:tcPr>
            <w:tcW w:w="500" w:type="dxa"/>
            <w:vAlign w:val="center"/>
          </w:tcPr>
          <w:p w14:paraId="63FF945B" w14:textId="77777777" w:rsidR="006A4A6F" w:rsidRPr="00363983" w:rsidRDefault="006A4A6F" w:rsidP="00BC135C">
            <w:pPr>
              <w:jc w:val="center"/>
              <w:rPr>
                <w:rFonts w:cs="Arial"/>
                <w:sz w:val="18"/>
                <w:szCs w:val="18"/>
              </w:rPr>
            </w:pPr>
          </w:p>
        </w:tc>
        <w:tc>
          <w:tcPr>
            <w:tcW w:w="500" w:type="dxa"/>
            <w:vAlign w:val="center"/>
          </w:tcPr>
          <w:p w14:paraId="5EEB465E" w14:textId="77777777" w:rsidR="006A4A6F" w:rsidRPr="00363983" w:rsidRDefault="006A4A6F" w:rsidP="00BC135C">
            <w:pPr>
              <w:jc w:val="center"/>
              <w:rPr>
                <w:rFonts w:cs="Arial"/>
                <w:sz w:val="18"/>
                <w:szCs w:val="18"/>
              </w:rPr>
            </w:pPr>
            <w:r w:rsidRPr="00363983">
              <w:rPr>
                <w:rFonts w:cs="Arial"/>
                <w:sz w:val="18"/>
                <w:szCs w:val="18"/>
              </w:rPr>
              <w:t>40</w:t>
            </w:r>
          </w:p>
        </w:tc>
        <w:tc>
          <w:tcPr>
            <w:tcW w:w="500" w:type="dxa"/>
            <w:vAlign w:val="center"/>
          </w:tcPr>
          <w:p w14:paraId="02F75FCA"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6722817A" w14:textId="77777777" w:rsidR="006A4A6F" w:rsidRPr="00363983" w:rsidRDefault="006A4A6F" w:rsidP="00BC135C">
            <w:pPr>
              <w:ind w:left="-113" w:right="-85"/>
              <w:jc w:val="center"/>
              <w:rPr>
                <w:rFonts w:cs="Arial"/>
                <w:sz w:val="18"/>
                <w:szCs w:val="18"/>
              </w:rPr>
            </w:pPr>
            <w:r w:rsidRPr="00363983">
              <w:rPr>
                <w:rFonts w:cs="Arial"/>
                <w:sz w:val="18"/>
                <w:szCs w:val="18"/>
              </w:rPr>
              <w:t>Draft TOR</w:t>
            </w:r>
          </w:p>
        </w:tc>
        <w:tc>
          <w:tcPr>
            <w:tcW w:w="1100" w:type="dxa"/>
            <w:vAlign w:val="center"/>
          </w:tcPr>
          <w:p w14:paraId="31CE0EE6" w14:textId="77777777" w:rsidR="006A4A6F" w:rsidRPr="00363983" w:rsidRDefault="006A4A6F" w:rsidP="00BC135C">
            <w:pPr>
              <w:jc w:val="center"/>
              <w:rPr>
                <w:rFonts w:cs="Arial"/>
                <w:color w:val="000000"/>
                <w:sz w:val="18"/>
                <w:szCs w:val="18"/>
              </w:rPr>
            </w:pPr>
            <w:r w:rsidRPr="00363983">
              <w:rPr>
                <w:rFonts w:cs="Arial"/>
                <w:color w:val="000000"/>
                <w:sz w:val="18"/>
                <w:szCs w:val="18"/>
              </w:rPr>
              <w:t>Oct 2015</w:t>
            </w:r>
          </w:p>
        </w:tc>
        <w:tc>
          <w:tcPr>
            <w:tcW w:w="1000" w:type="dxa"/>
            <w:tcBorders>
              <w:bottom w:val="single" w:sz="4" w:space="0" w:color="auto"/>
            </w:tcBorders>
            <w:shd w:val="clear" w:color="auto" w:fill="auto"/>
            <w:vAlign w:val="center"/>
          </w:tcPr>
          <w:p w14:paraId="491E5569" w14:textId="77777777" w:rsidR="006A4A6F" w:rsidRPr="00363983" w:rsidRDefault="006A4A6F" w:rsidP="00BC135C">
            <w:pPr>
              <w:jc w:val="center"/>
              <w:rPr>
                <w:rFonts w:cs="Arial"/>
                <w:sz w:val="18"/>
                <w:szCs w:val="18"/>
              </w:rPr>
            </w:pPr>
          </w:p>
        </w:tc>
        <w:tc>
          <w:tcPr>
            <w:tcW w:w="900" w:type="dxa"/>
            <w:shd w:val="clear" w:color="auto" w:fill="auto"/>
            <w:vAlign w:val="center"/>
          </w:tcPr>
          <w:p w14:paraId="2BBF7E67" w14:textId="77777777" w:rsidR="006A4A6F" w:rsidRPr="00363983" w:rsidRDefault="006A4A6F" w:rsidP="00BC135C">
            <w:pPr>
              <w:jc w:val="center"/>
              <w:rPr>
                <w:rFonts w:cs="Arial"/>
                <w:sz w:val="18"/>
                <w:szCs w:val="18"/>
              </w:rPr>
            </w:pPr>
          </w:p>
        </w:tc>
        <w:tc>
          <w:tcPr>
            <w:tcW w:w="1000" w:type="dxa"/>
            <w:shd w:val="clear" w:color="auto" w:fill="auto"/>
            <w:vAlign w:val="center"/>
          </w:tcPr>
          <w:p w14:paraId="6C61066A" w14:textId="77777777" w:rsidR="006A4A6F" w:rsidRPr="00363983" w:rsidRDefault="006A4A6F" w:rsidP="00BC135C">
            <w:pPr>
              <w:jc w:val="center"/>
              <w:rPr>
                <w:rFonts w:cs="Arial"/>
                <w:sz w:val="18"/>
                <w:szCs w:val="18"/>
              </w:rPr>
            </w:pPr>
            <w:r w:rsidRPr="00363983">
              <w:rPr>
                <w:rFonts w:cs="Arial"/>
                <w:sz w:val="18"/>
                <w:szCs w:val="18"/>
              </w:rPr>
              <w:t>Dec 2015</w:t>
            </w:r>
          </w:p>
        </w:tc>
        <w:tc>
          <w:tcPr>
            <w:tcW w:w="1000" w:type="dxa"/>
            <w:tcBorders>
              <w:bottom w:val="single" w:sz="4" w:space="0" w:color="auto"/>
            </w:tcBorders>
            <w:shd w:val="clear" w:color="auto" w:fill="auto"/>
            <w:vAlign w:val="center"/>
          </w:tcPr>
          <w:p w14:paraId="613FF7E8" w14:textId="77777777" w:rsidR="006A4A6F" w:rsidRPr="00363983" w:rsidRDefault="006A4A6F" w:rsidP="00BC135C">
            <w:pPr>
              <w:jc w:val="center"/>
              <w:rPr>
                <w:rFonts w:cs="Arial"/>
                <w:sz w:val="18"/>
                <w:szCs w:val="18"/>
              </w:rPr>
            </w:pPr>
          </w:p>
        </w:tc>
        <w:tc>
          <w:tcPr>
            <w:tcW w:w="1000" w:type="dxa"/>
            <w:shd w:val="clear" w:color="auto" w:fill="auto"/>
            <w:vAlign w:val="center"/>
          </w:tcPr>
          <w:p w14:paraId="6E167298" w14:textId="77777777" w:rsidR="006A4A6F" w:rsidRPr="00363983" w:rsidRDefault="006A4A6F" w:rsidP="00BC135C">
            <w:pPr>
              <w:jc w:val="center"/>
              <w:rPr>
                <w:rFonts w:cs="Arial"/>
                <w:sz w:val="18"/>
                <w:szCs w:val="18"/>
              </w:rPr>
            </w:pPr>
          </w:p>
        </w:tc>
        <w:tc>
          <w:tcPr>
            <w:tcW w:w="800" w:type="dxa"/>
            <w:shd w:val="clear" w:color="auto" w:fill="auto"/>
            <w:vAlign w:val="center"/>
          </w:tcPr>
          <w:p w14:paraId="6E371FF6" w14:textId="77777777" w:rsidR="006A4A6F" w:rsidRPr="00363983" w:rsidRDefault="006A4A6F" w:rsidP="00BC135C">
            <w:pPr>
              <w:jc w:val="center"/>
              <w:rPr>
                <w:rFonts w:cs="Arial"/>
                <w:sz w:val="18"/>
                <w:szCs w:val="18"/>
              </w:rPr>
            </w:pPr>
          </w:p>
        </w:tc>
        <w:tc>
          <w:tcPr>
            <w:tcW w:w="500" w:type="dxa"/>
            <w:shd w:val="clear" w:color="auto" w:fill="auto"/>
            <w:vAlign w:val="center"/>
          </w:tcPr>
          <w:p w14:paraId="53D20C0A" w14:textId="77777777" w:rsidR="006A4A6F" w:rsidRPr="00363983" w:rsidRDefault="006A4A6F" w:rsidP="00BC135C">
            <w:pPr>
              <w:jc w:val="center"/>
              <w:rPr>
                <w:rFonts w:cs="Arial"/>
                <w:sz w:val="18"/>
                <w:szCs w:val="18"/>
              </w:rPr>
            </w:pPr>
          </w:p>
        </w:tc>
        <w:tc>
          <w:tcPr>
            <w:tcW w:w="500" w:type="dxa"/>
            <w:shd w:val="clear" w:color="auto" w:fill="auto"/>
            <w:vAlign w:val="center"/>
          </w:tcPr>
          <w:p w14:paraId="3C24B639" w14:textId="77777777" w:rsidR="006A4A6F" w:rsidRPr="00363983" w:rsidRDefault="006A4A6F" w:rsidP="00BC135C">
            <w:pPr>
              <w:jc w:val="center"/>
              <w:rPr>
                <w:rFonts w:cs="Arial"/>
                <w:sz w:val="18"/>
                <w:szCs w:val="18"/>
              </w:rPr>
            </w:pPr>
          </w:p>
        </w:tc>
        <w:tc>
          <w:tcPr>
            <w:tcW w:w="500" w:type="dxa"/>
            <w:shd w:val="clear" w:color="auto" w:fill="auto"/>
            <w:vAlign w:val="center"/>
          </w:tcPr>
          <w:p w14:paraId="676F7355" w14:textId="77777777" w:rsidR="006A4A6F" w:rsidRPr="00363983" w:rsidRDefault="006A4A6F" w:rsidP="00BC135C">
            <w:pPr>
              <w:jc w:val="center"/>
              <w:rPr>
                <w:rFonts w:cs="Arial"/>
                <w:sz w:val="18"/>
                <w:szCs w:val="18"/>
              </w:rPr>
            </w:pPr>
          </w:p>
        </w:tc>
        <w:tc>
          <w:tcPr>
            <w:tcW w:w="500" w:type="dxa"/>
            <w:shd w:val="clear" w:color="auto" w:fill="auto"/>
            <w:vAlign w:val="center"/>
          </w:tcPr>
          <w:p w14:paraId="39A880C9" w14:textId="77777777" w:rsidR="006A4A6F" w:rsidRPr="00363983" w:rsidRDefault="006A4A6F" w:rsidP="00BC135C">
            <w:pPr>
              <w:jc w:val="center"/>
              <w:rPr>
                <w:rFonts w:cs="Arial"/>
                <w:sz w:val="18"/>
                <w:szCs w:val="18"/>
              </w:rPr>
            </w:pPr>
          </w:p>
        </w:tc>
      </w:tr>
      <w:tr w:rsidR="006A4A6F" w:rsidRPr="00363983" w14:paraId="0AC2C665" w14:textId="77777777" w:rsidTr="00BC135C">
        <w:trPr>
          <w:trHeight w:val="454"/>
        </w:trPr>
        <w:tc>
          <w:tcPr>
            <w:tcW w:w="2325" w:type="dxa"/>
            <w:tcMar>
              <w:left w:w="85" w:type="dxa"/>
              <w:right w:w="85" w:type="dxa"/>
            </w:tcMar>
            <w:vAlign w:val="center"/>
          </w:tcPr>
          <w:p w14:paraId="05388F2D" w14:textId="77777777" w:rsidR="006A4A6F" w:rsidRPr="00363983" w:rsidRDefault="006A4A6F" w:rsidP="00BC135C">
            <w:pPr>
              <w:jc w:val="both"/>
              <w:rPr>
                <w:rFonts w:cs="Arial"/>
                <w:sz w:val="18"/>
                <w:szCs w:val="18"/>
              </w:rPr>
            </w:pPr>
            <w:r w:rsidRPr="00363983">
              <w:rPr>
                <w:rFonts w:cs="Arial"/>
                <w:sz w:val="18"/>
                <w:szCs w:val="18"/>
              </w:rPr>
              <w:t>TP09 Scheme Reform – Operational Effectiveness</w:t>
            </w:r>
          </w:p>
        </w:tc>
        <w:tc>
          <w:tcPr>
            <w:tcW w:w="432" w:type="dxa"/>
            <w:vAlign w:val="center"/>
          </w:tcPr>
          <w:p w14:paraId="65D96F16" w14:textId="77777777" w:rsidR="006A4A6F" w:rsidRPr="00363983" w:rsidRDefault="006A4A6F" w:rsidP="00BC135C">
            <w:pPr>
              <w:jc w:val="center"/>
              <w:rPr>
                <w:rFonts w:cs="Arial"/>
                <w:sz w:val="18"/>
                <w:szCs w:val="18"/>
              </w:rPr>
            </w:pPr>
            <w:r w:rsidRPr="00363983">
              <w:rPr>
                <w:rFonts w:cs="Arial"/>
                <w:sz w:val="18"/>
                <w:szCs w:val="18"/>
              </w:rPr>
              <w:t>HU</w:t>
            </w:r>
          </w:p>
        </w:tc>
        <w:tc>
          <w:tcPr>
            <w:tcW w:w="500" w:type="dxa"/>
            <w:vAlign w:val="center"/>
          </w:tcPr>
          <w:p w14:paraId="6187929B" w14:textId="77777777" w:rsidR="006A4A6F" w:rsidRPr="00363983" w:rsidRDefault="006A4A6F" w:rsidP="00BC135C">
            <w:pPr>
              <w:jc w:val="center"/>
              <w:rPr>
                <w:rFonts w:cs="Arial"/>
                <w:sz w:val="18"/>
                <w:szCs w:val="18"/>
              </w:rPr>
            </w:pPr>
          </w:p>
        </w:tc>
        <w:tc>
          <w:tcPr>
            <w:tcW w:w="500" w:type="dxa"/>
            <w:vAlign w:val="center"/>
          </w:tcPr>
          <w:p w14:paraId="29102890" w14:textId="77777777" w:rsidR="006A4A6F" w:rsidRPr="00363983" w:rsidRDefault="006A4A6F" w:rsidP="00BC135C">
            <w:pPr>
              <w:jc w:val="center"/>
              <w:rPr>
                <w:rFonts w:cs="Arial"/>
                <w:sz w:val="18"/>
                <w:szCs w:val="18"/>
              </w:rPr>
            </w:pPr>
          </w:p>
        </w:tc>
        <w:tc>
          <w:tcPr>
            <w:tcW w:w="500" w:type="dxa"/>
            <w:vAlign w:val="center"/>
          </w:tcPr>
          <w:p w14:paraId="6BF0F77F" w14:textId="77777777" w:rsidR="006A4A6F" w:rsidRPr="00363983" w:rsidRDefault="006A4A6F" w:rsidP="00BC135C">
            <w:pPr>
              <w:jc w:val="center"/>
              <w:rPr>
                <w:rFonts w:cs="Arial"/>
                <w:sz w:val="18"/>
                <w:szCs w:val="18"/>
              </w:rPr>
            </w:pPr>
          </w:p>
        </w:tc>
        <w:tc>
          <w:tcPr>
            <w:tcW w:w="500" w:type="dxa"/>
            <w:vAlign w:val="center"/>
          </w:tcPr>
          <w:p w14:paraId="1653C584" w14:textId="77777777" w:rsidR="006A4A6F" w:rsidRPr="00363983" w:rsidRDefault="006A4A6F" w:rsidP="00BC135C">
            <w:pPr>
              <w:jc w:val="center"/>
              <w:rPr>
                <w:rFonts w:cs="Arial"/>
                <w:sz w:val="18"/>
                <w:szCs w:val="18"/>
              </w:rPr>
            </w:pPr>
            <w:r w:rsidRPr="00363983">
              <w:rPr>
                <w:rFonts w:cs="Arial"/>
                <w:sz w:val="18"/>
                <w:szCs w:val="18"/>
              </w:rPr>
              <w:t>55</w:t>
            </w:r>
          </w:p>
        </w:tc>
        <w:tc>
          <w:tcPr>
            <w:tcW w:w="1100" w:type="dxa"/>
            <w:tcMar>
              <w:left w:w="113" w:type="dxa"/>
              <w:right w:w="85" w:type="dxa"/>
            </w:tcMar>
            <w:vAlign w:val="center"/>
          </w:tcPr>
          <w:p w14:paraId="26CD0E87" w14:textId="77777777" w:rsidR="006A4A6F" w:rsidRPr="00363983" w:rsidRDefault="006A4A6F" w:rsidP="00BC135C">
            <w:pPr>
              <w:ind w:left="-113" w:right="-85"/>
              <w:jc w:val="center"/>
              <w:rPr>
                <w:rFonts w:cs="Arial"/>
                <w:sz w:val="18"/>
                <w:szCs w:val="18"/>
              </w:rPr>
            </w:pPr>
            <w:r w:rsidRPr="00363983">
              <w:rPr>
                <w:rFonts w:cs="Arial"/>
                <w:sz w:val="18"/>
                <w:szCs w:val="18"/>
              </w:rPr>
              <w:t>Fieldwork</w:t>
            </w:r>
          </w:p>
        </w:tc>
        <w:tc>
          <w:tcPr>
            <w:tcW w:w="1100" w:type="dxa"/>
            <w:vAlign w:val="center"/>
          </w:tcPr>
          <w:p w14:paraId="23B32604" w14:textId="77777777" w:rsidR="006A4A6F" w:rsidRPr="00363983" w:rsidRDefault="006A4A6F" w:rsidP="00BC135C">
            <w:pPr>
              <w:jc w:val="center"/>
              <w:rPr>
                <w:rFonts w:cs="Arial"/>
                <w:color w:val="000000"/>
                <w:sz w:val="18"/>
                <w:szCs w:val="18"/>
              </w:rPr>
            </w:pPr>
            <w:r w:rsidRPr="00363983">
              <w:rPr>
                <w:rFonts w:cs="Arial"/>
                <w:color w:val="000000"/>
                <w:sz w:val="18"/>
                <w:szCs w:val="18"/>
              </w:rPr>
              <w:t>Sep 2015</w:t>
            </w:r>
          </w:p>
        </w:tc>
        <w:tc>
          <w:tcPr>
            <w:tcW w:w="1000" w:type="dxa"/>
            <w:tcBorders>
              <w:bottom w:val="single" w:sz="4" w:space="0" w:color="auto"/>
            </w:tcBorders>
            <w:shd w:val="clear" w:color="auto" w:fill="00B050"/>
            <w:vAlign w:val="center"/>
          </w:tcPr>
          <w:p w14:paraId="2AC61A2E" w14:textId="77777777" w:rsidR="006A4A6F" w:rsidRPr="00363983" w:rsidRDefault="006A4A6F" w:rsidP="00BC135C">
            <w:pPr>
              <w:jc w:val="center"/>
              <w:rPr>
                <w:rFonts w:cs="Arial"/>
                <w:sz w:val="18"/>
                <w:szCs w:val="18"/>
              </w:rPr>
            </w:pPr>
            <w:r w:rsidRPr="00363983">
              <w:rPr>
                <w:rFonts w:cs="Arial"/>
                <w:sz w:val="18"/>
                <w:szCs w:val="18"/>
              </w:rPr>
              <w:t>Sep 2015</w:t>
            </w:r>
          </w:p>
        </w:tc>
        <w:tc>
          <w:tcPr>
            <w:tcW w:w="900" w:type="dxa"/>
            <w:shd w:val="clear" w:color="auto" w:fill="auto"/>
            <w:vAlign w:val="center"/>
          </w:tcPr>
          <w:p w14:paraId="0CE72F6E" w14:textId="77777777" w:rsidR="006A4A6F" w:rsidRPr="00363983" w:rsidRDefault="006A4A6F" w:rsidP="00BC135C">
            <w:pPr>
              <w:jc w:val="center"/>
              <w:rPr>
                <w:rFonts w:cs="Arial"/>
                <w:sz w:val="18"/>
                <w:szCs w:val="18"/>
              </w:rPr>
            </w:pPr>
            <w:r w:rsidRPr="00363983">
              <w:rPr>
                <w:rFonts w:cs="Arial"/>
                <w:sz w:val="18"/>
                <w:szCs w:val="18"/>
              </w:rPr>
              <w:t>12/10/15</w:t>
            </w:r>
          </w:p>
        </w:tc>
        <w:tc>
          <w:tcPr>
            <w:tcW w:w="1000" w:type="dxa"/>
            <w:shd w:val="clear" w:color="auto" w:fill="auto"/>
            <w:vAlign w:val="center"/>
          </w:tcPr>
          <w:p w14:paraId="1C1344D6" w14:textId="77777777" w:rsidR="006A4A6F" w:rsidRPr="00363983" w:rsidRDefault="006A4A6F" w:rsidP="00BC135C">
            <w:pPr>
              <w:jc w:val="center"/>
              <w:rPr>
                <w:rFonts w:cs="Arial"/>
                <w:sz w:val="18"/>
                <w:szCs w:val="18"/>
              </w:rPr>
            </w:pPr>
            <w:r w:rsidRPr="00363983">
              <w:rPr>
                <w:rFonts w:cs="Arial"/>
                <w:sz w:val="18"/>
                <w:szCs w:val="18"/>
              </w:rPr>
              <w:t>Dec 2015</w:t>
            </w:r>
          </w:p>
        </w:tc>
        <w:tc>
          <w:tcPr>
            <w:tcW w:w="1000" w:type="dxa"/>
            <w:tcBorders>
              <w:bottom w:val="single" w:sz="4" w:space="0" w:color="auto"/>
            </w:tcBorders>
            <w:shd w:val="clear" w:color="auto" w:fill="auto"/>
            <w:vAlign w:val="center"/>
          </w:tcPr>
          <w:p w14:paraId="2A449039" w14:textId="77777777" w:rsidR="006A4A6F" w:rsidRPr="00363983" w:rsidRDefault="006A4A6F" w:rsidP="00BC135C">
            <w:pPr>
              <w:jc w:val="center"/>
              <w:rPr>
                <w:rFonts w:cs="Arial"/>
                <w:sz w:val="18"/>
                <w:szCs w:val="18"/>
              </w:rPr>
            </w:pPr>
          </w:p>
        </w:tc>
        <w:tc>
          <w:tcPr>
            <w:tcW w:w="1000" w:type="dxa"/>
            <w:shd w:val="clear" w:color="auto" w:fill="auto"/>
            <w:vAlign w:val="center"/>
          </w:tcPr>
          <w:p w14:paraId="235DA351" w14:textId="77777777" w:rsidR="006A4A6F" w:rsidRPr="00363983" w:rsidRDefault="006A4A6F" w:rsidP="00BC135C">
            <w:pPr>
              <w:jc w:val="center"/>
              <w:rPr>
                <w:rFonts w:cs="Arial"/>
                <w:sz w:val="18"/>
                <w:szCs w:val="18"/>
              </w:rPr>
            </w:pPr>
          </w:p>
        </w:tc>
        <w:tc>
          <w:tcPr>
            <w:tcW w:w="800" w:type="dxa"/>
            <w:shd w:val="clear" w:color="auto" w:fill="auto"/>
            <w:vAlign w:val="center"/>
          </w:tcPr>
          <w:p w14:paraId="5A4F0E46" w14:textId="77777777" w:rsidR="006A4A6F" w:rsidRPr="00363983" w:rsidRDefault="006A4A6F" w:rsidP="00BC135C">
            <w:pPr>
              <w:jc w:val="center"/>
              <w:rPr>
                <w:rFonts w:cs="Arial"/>
                <w:sz w:val="18"/>
                <w:szCs w:val="18"/>
              </w:rPr>
            </w:pPr>
          </w:p>
        </w:tc>
        <w:tc>
          <w:tcPr>
            <w:tcW w:w="500" w:type="dxa"/>
            <w:shd w:val="clear" w:color="auto" w:fill="auto"/>
            <w:vAlign w:val="center"/>
          </w:tcPr>
          <w:p w14:paraId="25E387F2" w14:textId="77777777" w:rsidR="006A4A6F" w:rsidRPr="00363983" w:rsidRDefault="006A4A6F" w:rsidP="00BC135C">
            <w:pPr>
              <w:jc w:val="center"/>
              <w:rPr>
                <w:rFonts w:cs="Arial"/>
                <w:sz w:val="18"/>
                <w:szCs w:val="18"/>
              </w:rPr>
            </w:pPr>
          </w:p>
        </w:tc>
        <w:tc>
          <w:tcPr>
            <w:tcW w:w="500" w:type="dxa"/>
            <w:shd w:val="clear" w:color="auto" w:fill="auto"/>
            <w:vAlign w:val="center"/>
          </w:tcPr>
          <w:p w14:paraId="24E313B3" w14:textId="77777777" w:rsidR="006A4A6F" w:rsidRPr="00363983" w:rsidRDefault="006A4A6F" w:rsidP="00BC135C">
            <w:pPr>
              <w:jc w:val="center"/>
              <w:rPr>
                <w:rFonts w:cs="Arial"/>
                <w:sz w:val="18"/>
                <w:szCs w:val="18"/>
              </w:rPr>
            </w:pPr>
          </w:p>
        </w:tc>
        <w:tc>
          <w:tcPr>
            <w:tcW w:w="500" w:type="dxa"/>
            <w:shd w:val="clear" w:color="auto" w:fill="auto"/>
            <w:vAlign w:val="center"/>
          </w:tcPr>
          <w:p w14:paraId="36778A20" w14:textId="77777777" w:rsidR="006A4A6F" w:rsidRPr="00363983" w:rsidRDefault="006A4A6F" w:rsidP="00BC135C">
            <w:pPr>
              <w:jc w:val="center"/>
              <w:rPr>
                <w:rFonts w:cs="Arial"/>
                <w:sz w:val="18"/>
                <w:szCs w:val="18"/>
              </w:rPr>
            </w:pPr>
          </w:p>
        </w:tc>
        <w:tc>
          <w:tcPr>
            <w:tcW w:w="500" w:type="dxa"/>
            <w:shd w:val="clear" w:color="auto" w:fill="auto"/>
            <w:vAlign w:val="center"/>
          </w:tcPr>
          <w:p w14:paraId="22FACE22" w14:textId="77777777" w:rsidR="006A4A6F" w:rsidRPr="00363983" w:rsidRDefault="006A4A6F" w:rsidP="00BC135C">
            <w:pPr>
              <w:jc w:val="center"/>
              <w:rPr>
                <w:rFonts w:cs="Arial"/>
                <w:sz w:val="18"/>
                <w:szCs w:val="18"/>
              </w:rPr>
            </w:pPr>
          </w:p>
        </w:tc>
      </w:tr>
      <w:tr w:rsidR="006A4A6F" w:rsidRPr="00363983" w14:paraId="3E4A8FA9" w14:textId="77777777" w:rsidTr="00BC135C">
        <w:trPr>
          <w:trHeight w:val="454"/>
        </w:trPr>
        <w:tc>
          <w:tcPr>
            <w:tcW w:w="2325" w:type="dxa"/>
            <w:tcMar>
              <w:left w:w="85" w:type="dxa"/>
              <w:right w:w="85" w:type="dxa"/>
            </w:tcMar>
            <w:vAlign w:val="center"/>
          </w:tcPr>
          <w:p w14:paraId="6D41D493" w14:textId="77777777" w:rsidR="006A4A6F" w:rsidRPr="00363983" w:rsidRDefault="006A4A6F" w:rsidP="00BC135C">
            <w:pPr>
              <w:jc w:val="both"/>
              <w:rPr>
                <w:rFonts w:cs="Arial"/>
                <w:sz w:val="18"/>
                <w:szCs w:val="18"/>
              </w:rPr>
            </w:pPr>
            <w:r w:rsidRPr="00363983">
              <w:rPr>
                <w:rFonts w:cs="Arial"/>
                <w:sz w:val="18"/>
                <w:szCs w:val="18"/>
              </w:rPr>
              <w:t xml:space="preserve">TP Internal Fraud – Investigation </w:t>
            </w:r>
          </w:p>
        </w:tc>
        <w:tc>
          <w:tcPr>
            <w:tcW w:w="432" w:type="dxa"/>
            <w:vAlign w:val="center"/>
          </w:tcPr>
          <w:p w14:paraId="1184FAF9" w14:textId="77777777" w:rsidR="006A4A6F" w:rsidRPr="00363983" w:rsidRDefault="006A4A6F" w:rsidP="00BC135C">
            <w:pPr>
              <w:jc w:val="center"/>
              <w:rPr>
                <w:rFonts w:cs="Arial"/>
                <w:sz w:val="18"/>
                <w:szCs w:val="18"/>
              </w:rPr>
            </w:pPr>
            <w:r w:rsidRPr="00363983">
              <w:rPr>
                <w:rFonts w:cs="Arial"/>
                <w:sz w:val="18"/>
                <w:szCs w:val="18"/>
              </w:rPr>
              <w:t>CD</w:t>
            </w:r>
          </w:p>
        </w:tc>
        <w:tc>
          <w:tcPr>
            <w:tcW w:w="500" w:type="dxa"/>
            <w:vAlign w:val="center"/>
          </w:tcPr>
          <w:p w14:paraId="359CE7C4" w14:textId="77777777" w:rsidR="006A4A6F" w:rsidRPr="00363983" w:rsidRDefault="006A4A6F" w:rsidP="00BC135C">
            <w:pPr>
              <w:jc w:val="center"/>
              <w:rPr>
                <w:rFonts w:cs="Arial"/>
                <w:sz w:val="18"/>
                <w:szCs w:val="18"/>
              </w:rPr>
            </w:pPr>
          </w:p>
        </w:tc>
        <w:tc>
          <w:tcPr>
            <w:tcW w:w="500" w:type="dxa"/>
            <w:vAlign w:val="center"/>
          </w:tcPr>
          <w:p w14:paraId="5F7424B7" w14:textId="77777777" w:rsidR="006A4A6F" w:rsidRPr="00363983" w:rsidRDefault="006A4A6F" w:rsidP="00BC135C">
            <w:pPr>
              <w:jc w:val="center"/>
              <w:rPr>
                <w:rFonts w:cs="Arial"/>
                <w:sz w:val="18"/>
                <w:szCs w:val="18"/>
              </w:rPr>
            </w:pPr>
          </w:p>
        </w:tc>
        <w:tc>
          <w:tcPr>
            <w:tcW w:w="500" w:type="dxa"/>
            <w:vAlign w:val="center"/>
          </w:tcPr>
          <w:p w14:paraId="05B16A82" w14:textId="77777777" w:rsidR="006A4A6F" w:rsidRPr="00363983" w:rsidRDefault="006A4A6F" w:rsidP="00BC135C">
            <w:pPr>
              <w:jc w:val="center"/>
              <w:rPr>
                <w:rFonts w:cs="Arial"/>
                <w:sz w:val="18"/>
                <w:szCs w:val="18"/>
              </w:rPr>
            </w:pPr>
          </w:p>
        </w:tc>
        <w:tc>
          <w:tcPr>
            <w:tcW w:w="500" w:type="dxa"/>
            <w:vAlign w:val="center"/>
          </w:tcPr>
          <w:p w14:paraId="024FB188"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465A59A4" w14:textId="77777777" w:rsidR="006A4A6F" w:rsidRPr="00363983" w:rsidRDefault="006A4A6F" w:rsidP="00BC135C">
            <w:pPr>
              <w:ind w:left="-113" w:right="-85"/>
              <w:jc w:val="center"/>
              <w:rPr>
                <w:rFonts w:cs="Arial"/>
                <w:sz w:val="18"/>
                <w:szCs w:val="18"/>
              </w:rPr>
            </w:pPr>
            <w:r w:rsidRPr="00363983">
              <w:rPr>
                <w:rFonts w:cs="Arial"/>
                <w:sz w:val="18"/>
                <w:szCs w:val="18"/>
              </w:rPr>
              <w:t>Complete</w:t>
            </w:r>
          </w:p>
        </w:tc>
        <w:tc>
          <w:tcPr>
            <w:tcW w:w="1100" w:type="dxa"/>
            <w:vAlign w:val="center"/>
          </w:tcPr>
          <w:p w14:paraId="132DBB01" w14:textId="77777777" w:rsidR="006A4A6F" w:rsidRPr="00363983" w:rsidRDefault="006A4A6F" w:rsidP="00BC135C">
            <w:pPr>
              <w:jc w:val="center"/>
              <w:rPr>
                <w:rFonts w:cs="Arial"/>
                <w:color w:val="000000"/>
                <w:sz w:val="18"/>
                <w:szCs w:val="18"/>
              </w:rPr>
            </w:pPr>
            <w:r w:rsidRPr="00363983">
              <w:rPr>
                <w:rFonts w:cs="Arial"/>
                <w:color w:val="000000"/>
                <w:sz w:val="18"/>
                <w:szCs w:val="18"/>
              </w:rPr>
              <w:t>N/A</w:t>
            </w:r>
          </w:p>
        </w:tc>
        <w:tc>
          <w:tcPr>
            <w:tcW w:w="1000" w:type="dxa"/>
            <w:tcBorders>
              <w:bottom w:val="single" w:sz="4" w:space="0" w:color="auto"/>
            </w:tcBorders>
            <w:shd w:val="clear" w:color="auto" w:fill="auto"/>
            <w:vAlign w:val="center"/>
          </w:tcPr>
          <w:p w14:paraId="5C6BD859" w14:textId="77777777" w:rsidR="006A4A6F" w:rsidRPr="00363983" w:rsidRDefault="006A4A6F" w:rsidP="00BC135C">
            <w:pPr>
              <w:jc w:val="center"/>
              <w:rPr>
                <w:rFonts w:cs="Arial"/>
                <w:sz w:val="18"/>
                <w:szCs w:val="18"/>
              </w:rPr>
            </w:pPr>
            <w:r w:rsidRPr="00363983">
              <w:rPr>
                <w:rFonts w:cs="Arial"/>
                <w:sz w:val="18"/>
                <w:szCs w:val="18"/>
              </w:rPr>
              <w:t>N/A</w:t>
            </w:r>
          </w:p>
        </w:tc>
        <w:tc>
          <w:tcPr>
            <w:tcW w:w="900" w:type="dxa"/>
            <w:shd w:val="clear" w:color="auto" w:fill="auto"/>
            <w:vAlign w:val="center"/>
          </w:tcPr>
          <w:p w14:paraId="3057B702" w14:textId="77777777" w:rsidR="006A4A6F" w:rsidRPr="00363983" w:rsidRDefault="006A4A6F" w:rsidP="00BC135C">
            <w:pPr>
              <w:jc w:val="center"/>
              <w:rPr>
                <w:rFonts w:cs="Arial"/>
                <w:sz w:val="18"/>
                <w:szCs w:val="18"/>
              </w:rPr>
            </w:pPr>
            <w:r w:rsidRPr="00363983">
              <w:rPr>
                <w:rFonts w:cs="Arial"/>
                <w:sz w:val="18"/>
                <w:szCs w:val="18"/>
              </w:rPr>
              <w:t>N/A</w:t>
            </w:r>
          </w:p>
        </w:tc>
        <w:tc>
          <w:tcPr>
            <w:tcW w:w="1000" w:type="dxa"/>
            <w:shd w:val="clear" w:color="auto" w:fill="auto"/>
            <w:vAlign w:val="center"/>
          </w:tcPr>
          <w:p w14:paraId="3014980D" w14:textId="77777777" w:rsidR="006A4A6F" w:rsidRPr="00363983" w:rsidRDefault="006A4A6F" w:rsidP="00BC135C">
            <w:pPr>
              <w:jc w:val="center"/>
              <w:rPr>
                <w:rFonts w:cs="Arial"/>
                <w:sz w:val="18"/>
                <w:szCs w:val="18"/>
              </w:rPr>
            </w:pPr>
            <w:r w:rsidRPr="00363983">
              <w:rPr>
                <w:rFonts w:cs="Arial"/>
                <w:sz w:val="18"/>
                <w:szCs w:val="18"/>
              </w:rPr>
              <w:t>N/A</w:t>
            </w:r>
          </w:p>
        </w:tc>
        <w:tc>
          <w:tcPr>
            <w:tcW w:w="1000" w:type="dxa"/>
            <w:tcBorders>
              <w:bottom w:val="single" w:sz="4" w:space="0" w:color="auto"/>
            </w:tcBorders>
            <w:shd w:val="clear" w:color="auto" w:fill="auto"/>
            <w:vAlign w:val="center"/>
          </w:tcPr>
          <w:p w14:paraId="2119F9C6" w14:textId="77777777" w:rsidR="006A4A6F" w:rsidRPr="00363983" w:rsidRDefault="006A4A6F" w:rsidP="00BC135C">
            <w:pPr>
              <w:jc w:val="center"/>
              <w:rPr>
                <w:rFonts w:cs="Arial"/>
                <w:sz w:val="18"/>
                <w:szCs w:val="18"/>
              </w:rPr>
            </w:pPr>
            <w:r w:rsidRPr="00363983">
              <w:rPr>
                <w:rFonts w:cs="Arial"/>
                <w:sz w:val="18"/>
                <w:szCs w:val="18"/>
              </w:rPr>
              <w:t>N/A</w:t>
            </w:r>
          </w:p>
        </w:tc>
        <w:tc>
          <w:tcPr>
            <w:tcW w:w="1000" w:type="dxa"/>
            <w:shd w:val="clear" w:color="auto" w:fill="auto"/>
            <w:vAlign w:val="center"/>
          </w:tcPr>
          <w:p w14:paraId="7C8FEC9B" w14:textId="77777777" w:rsidR="006A4A6F" w:rsidRPr="00363983" w:rsidRDefault="006A4A6F" w:rsidP="00BC135C">
            <w:pPr>
              <w:jc w:val="center"/>
              <w:rPr>
                <w:rFonts w:cs="Arial"/>
                <w:sz w:val="18"/>
                <w:szCs w:val="18"/>
              </w:rPr>
            </w:pPr>
            <w:r w:rsidRPr="00363983">
              <w:rPr>
                <w:rFonts w:cs="Arial"/>
                <w:sz w:val="18"/>
                <w:szCs w:val="18"/>
              </w:rPr>
              <w:t>27/08/15</w:t>
            </w:r>
          </w:p>
        </w:tc>
        <w:tc>
          <w:tcPr>
            <w:tcW w:w="800" w:type="dxa"/>
            <w:shd w:val="clear" w:color="auto" w:fill="auto"/>
            <w:vAlign w:val="center"/>
          </w:tcPr>
          <w:p w14:paraId="3874E1AE" w14:textId="77777777" w:rsidR="006A4A6F" w:rsidRPr="00363983" w:rsidRDefault="006A4A6F" w:rsidP="00BC135C">
            <w:pPr>
              <w:jc w:val="center"/>
              <w:rPr>
                <w:rFonts w:cs="Arial"/>
                <w:sz w:val="18"/>
                <w:szCs w:val="18"/>
              </w:rPr>
            </w:pPr>
            <w:r w:rsidRPr="00363983">
              <w:rPr>
                <w:rFonts w:cs="Arial"/>
                <w:sz w:val="18"/>
                <w:szCs w:val="18"/>
              </w:rPr>
              <w:t>N/A</w:t>
            </w:r>
          </w:p>
        </w:tc>
        <w:tc>
          <w:tcPr>
            <w:tcW w:w="500" w:type="dxa"/>
            <w:shd w:val="clear" w:color="auto" w:fill="auto"/>
            <w:vAlign w:val="center"/>
          </w:tcPr>
          <w:p w14:paraId="7702B549"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3DF1B2FF" w14:textId="77777777" w:rsidR="006A4A6F" w:rsidRPr="00363983" w:rsidRDefault="006A4A6F" w:rsidP="00BC135C">
            <w:pPr>
              <w:jc w:val="center"/>
              <w:rPr>
                <w:rFonts w:cs="Arial"/>
                <w:sz w:val="18"/>
                <w:szCs w:val="18"/>
              </w:rPr>
            </w:pPr>
            <w:r w:rsidRPr="00363983">
              <w:rPr>
                <w:rFonts w:cs="Arial"/>
                <w:sz w:val="18"/>
                <w:szCs w:val="18"/>
              </w:rPr>
              <w:t>5</w:t>
            </w:r>
          </w:p>
        </w:tc>
        <w:tc>
          <w:tcPr>
            <w:tcW w:w="500" w:type="dxa"/>
            <w:shd w:val="clear" w:color="auto" w:fill="auto"/>
            <w:vAlign w:val="center"/>
          </w:tcPr>
          <w:p w14:paraId="7C6CB5AD" w14:textId="77777777" w:rsidR="006A4A6F" w:rsidRPr="00363983" w:rsidRDefault="006A4A6F" w:rsidP="00BC135C">
            <w:pPr>
              <w:jc w:val="center"/>
              <w:rPr>
                <w:rFonts w:cs="Arial"/>
                <w:sz w:val="18"/>
                <w:szCs w:val="18"/>
              </w:rPr>
            </w:pPr>
            <w:r w:rsidRPr="00363983">
              <w:rPr>
                <w:rFonts w:cs="Arial"/>
                <w:sz w:val="18"/>
                <w:szCs w:val="18"/>
              </w:rPr>
              <w:t>5</w:t>
            </w:r>
          </w:p>
        </w:tc>
        <w:tc>
          <w:tcPr>
            <w:tcW w:w="500" w:type="dxa"/>
            <w:shd w:val="clear" w:color="auto" w:fill="auto"/>
            <w:vAlign w:val="center"/>
          </w:tcPr>
          <w:p w14:paraId="7182B444" w14:textId="77777777" w:rsidR="006A4A6F" w:rsidRPr="00363983" w:rsidRDefault="006A4A6F" w:rsidP="00BC135C">
            <w:pPr>
              <w:jc w:val="center"/>
              <w:rPr>
                <w:rFonts w:cs="Arial"/>
                <w:sz w:val="18"/>
                <w:szCs w:val="18"/>
              </w:rPr>
            </w:pPr>
            <w:r w:rsidRPr="00363983">
              <w:rPr>
                <w:rFonts w:cs="Arial"/>
                <w:sz w:val="18"/>
                <w:szCs w:val="18"/>
              </w:rPr>
              <w:t>-</w:t>
            </w:r>
          </w:p>
        </w:tc>
      </w:tr>
      <w:tr w:rsidR="006A4A6F" w:rsidRPr="00363983" w14:paraId="688ED81A" w14:textId="77777777" w:rsidTr="00BC135C">
        <w:trPr>
          <w:trHeight w:val="454"/>
        </w:trPr>
        <w:tc>
          <w:tcPr>
            <w:tcW w:w="2325" w:type="dxa"/>
            <w:tcMar>
              <w:left w:w="85" w:type="dxa"/>
              <w:right w:w="85" w:type="dxa"/>
            </w:tcMar>
            <w:vAlign w:val="center"/>
          </w:tcPr>
          <w:p w14:paraId="4D762315" w14:textId="77777777" w:rsidR="006A4A6F" w:rsidRPr="00363983" w:rsidRDefault="006A4A6F" w:rsidP="00BC135C">
            <w:pPr>
              <w:jc w:val="both"/>
              <w:rPr>
                <w:rFonts w:cs="Arial"/>
                <w:sz w:val="18"/>
                <w:szCs w:val="18"/>
              </w:rPr>
            </w:pPr>
            <w:r w:rsidRPr="00363983">
              <w:rPr>
                <w:rFonts w:cs="Arial"/>
                <w:sz w:val="18"/>
                <w:szCs w:val="18"/>
              </w:rPr>
              <w:t>Annual Assurance Statement</w:t>
            </w:r>
          </w:p>
        </w:tc>
        <w:tc>
          <w:tcPr>
            <w:tcW w:w="432" w:type="dxa"/>
            <w:vAlign w:val="center"/>
          </w:tcPr>
          <w:p w14:paraId="482CAA8E" w14:textId="77777777" w:rsidR="006A4A6F" w:rsidRPr="00363983" w:rsidRDefault="006A4A6F" w:rsidP="00BC135C">
            <w:pPr>
              <w:jc w:val="center"/>
              <w:rPr>
                <w:rFonts w:cs="Arial"/>
                <w:sz w:val="18"/>
                <w:szCs w:val="18"/>
              </w:rPr>
            </w:pPr>
            <w:r w:rsidRPr="00363983">
              <w:rPr>
                <w:rFonts w:cs="Arial"/>
                <w:sz w:val="18"/>
                <w:szCs w:val="18"/>
              </w:rPr>
              <w:t>CD</w:t>
            </w:r>
          </w:p>
        </w:tc>
        <w:tc>
          <w:tcPr>
            <w:tcW w:w="500" w:type="dxa"/>
            <w:vAlign w:val="center"/>
          </w:tcPr>
          <w:p w14:paraId="7497DFD3" w14:textId="77777777" w:rsidR="006A4A6F" w:rsidRPr="00363983" w:rsidRDefault="006A4A6F" w:rsidP="00BC135C">
            <w:pPr>
              <w:jc w:val="center"/>
              <w:rPr>
                <w:rFonts w:cs="Arial"/>
                <w:sz w:val="18"/>
                <w:szCs w:val="18"/>
              </w:rPr>
            </w:pPr>
          </w:p>
        </w:tc>
        <w:tc>
          <w:tcPr>
            <w:tcW w:w="500" w:type="dxa"/>
            <w:vAlign w:val="center"/>
          </w:tcPr>
          <w:p w14:paraId="0172A47B" w14:textId="77777777" w:rsidR="006A4A6F" w:rsidRPr="00363983" w:rsidRDefault="006A4A6F" w:rsidP="00BC135C">
            <w:pPr>
              <w:jc w:val="center"/>
              <w:rPr>
                <w:rFonts w:cs="Arial"/>
                <w:sz w:val="18"/>
                <w:szCs w:val="18"/>
              </w:rPr>
            </w:pPr>
            <w:r w:rsidRPr="00363983">
              <w:rPr>
                <w:rFonts w:cs="Arial"/>
                <w:sz w:val="18"/>
                <w:szCs w:val="18"/>
              </w:rPr>
              <w:t>5</w:t>
            </w:r>
          </w:p>
        </w:tc>
        <w:tc>
          <w:tcPr>
            <w:tcW w:w="500" w:type="dxa"/>
            <w:vAlign w:val="center"/>
          </w:tcPr>
          <w:p w14:paraId="261CBBB5" w14:textId="77777777" w:rsidR="006A4A6F" w:rsidRPr="00363983" w:rsidRDefault="006A4A6F" w:rsidP="00BC135C">
            <w:pPr>
              <w:jc w:val="center"/>
              <w:rPr>
                <w:rFonts w:cs="Arial"/>
                <w:sz w:val="18"/>
                <w:szCs w:val="18"/>
              </w:rPr>
            </w:pPr>
          </w:p>
        </w:tc>
        <w:tc>
          <w:tcPr>
            <w:tcW w:w="500" w:type="dxa"/>
            <w:vAlign w:val="center"/>
          </w:tcPr>
          <w:p w14:paraId="3759CB00" w14:textId="77777777" w:rsidR="006A4A6F" w:rsidRPr="00363983" w:rsidRDefault="006A4A6F" w:rsidP="00BC135C">
            <w:pPr>
              <w:jc w:val="center"/>
              <w:rPr>
                <w:rFonts w:cs="Arial"/>
                <w:sz w:val="18"/>
                <w:szCs w:val="18"/>
              </w:rPr>
            </w:pPr>
          </w:p>
        </w:tc>
        <w:tc>
          <w:tcPr>
            <w:tcW w:w="1100" w:type="dxa"/>
            <w:tcMar>
              <w:left w:w="113" w:type="dxa"/>
              <w:right w:w="85" w:type="dxa"/>
            </w:tcMar>
            <w:vAlign w:val="center"/>
          </w:tcPr>
          <w:p w14:paraId="0ACD7F7B" w14:textId="77777777" w:rsidR="006A4A6F" w:rsidRPr="00363983" w:rsidRDefault="006A4A6F" w:rsidP="00BC135C">
            <w:pPr>
              <w:ind w:left="-113" w:right="-85"/>
              <w:jc w:val="center"/>
              <w:rPr>
                <w:rFonts w:cs="Arial"/>
                <w:sz w:val="18"/>
                <w:szCs w:val="18"/>
              </w:rPr>
            </w:pPr>
            <w:r w:rsidRPr="00363983">
              <w:rPr>
                <w:rFonts w:cs="Arial"/>
                <w:sz w:val="18"/>
                <w:szCs w:val="18"/>
              </w:rPr>
              <w:t>Complete</w:t>
            </w:r>
          </w:p>
        </w:tc>
        <w:tc>
          <w:tcPr>
            <w:tcW w:w="1100" w:type="dxa"/>
            <w:vAlign w:val="center"/>
          </w:tcPr>
          <w:p w14:paraId="08A03D98" w14:textId="77777777" w:rsidR="006A4A6F" w:rsidRPr="00363983" w:rsidRDefault="006A4A6F" w:rsidP="00BC135C">
            <w:pPr>
              <w:jc w:val="center"/>
              <w:rPr>
                <w:rFonts w:cs="Arial"/>
                <w:color w:val="000000"/>
                <w:sz w:val="18"/>
                <w:szCs w:val="18"/>
              </w:rPr>
            </w:pPr>
            <w:r w:rsidRPr="00363983">
              <w:rPr>
                <w:rFonts w:cs="Arial"/>
                <w:color w:val="000000"/>
                <w:sz w:val="18"/>
                <w:szCs w:val="18"/>
              </w:rPr>
              <w:t>N/A</w:t>
            </w:r>
          </w:p>
        </w:tc>
        <w:tc>
          <w:tcPr>
            <w:tcW w:w="1000" w:type="dxa"/>
            <w:tcBorders>
              <w:bottom w:val="single" w:sz="4" w:space="0" w:color="auto"/>
            </w:tcBorders>
            <w:shd w:val="clear" w:color="auto" w:fill="auto"/>
            <w:vAlign w:val="center"/>
          </w:tcPr>
          <w:p w14:paraId="0667B4A2" w14:textId="77777777" w:rsidR="006A4A6F" w:rsidRPr="00363983" w:rsidRDefault="006A4A6F" w:rsidP="00BC135C">
            <w:pPr>
              <w:jc w:val="center"/>
              <w:rPr>
                <w:rFonts w:cs="Arial"/>
                <w:sz w:val="18"/>
                <w:szCs w:val="18"/>
              </w:rPr>
            </w:pPr>
            <w:r w:rsidRPr="00363983">
              <w:rPr>
                <w:rFonts w:cs="Arial"/>
                <w:sz w:val="18"/>
                <w:szCs w:val="18"/>
              </w:rPr>
              <w:t>N/A</w:t>
            </w:r>
          </w:p>
        </w:tc>
        <w:tc>
          <w:tcPr>
            <w:tcW w:w="900" w:type="dxa"/>
            <w:shd w:val="clear" w:color="auto" w:fill="auto"/>
            <w:vAlign w:val="center"/>
          </w:tcPr>
          <w:p w14:paraId="5389581B" w14:textId="77777777" w:rsidR="006A4A6F" w:rsidRPr="00363983" w:rsidRDefault="006A4A6F" w:rsidP="00BC135C">
            <w:pPr>
              <w:jc w:val="center"/>
              <w:rPr>
                <w:rFonts w:cs="Arial"/>
                <w:sz w:val="18"/>
                <w:szCs w:val="18"/>
              </w:rPr>
            </w:pPr>
            <w:r w:rsidRPr="00363983">
              <w:rPr>
                <w:rFonts w:cs="Arial"/>
                <w:sz w:val="18"/>
                <w:szCs w:val="18"/>
              </w:rPr>
              <w:t>N/A</w:t>
            </w:r>
          </w:p>
        </w:tc>
        <w:tc>
          <w:tcPr>
            <w:tcW w:w="1000" w:type="dxa"/>
            <w:shd w:val="clear" w:color="auto" w:fill="auto"/>
            <w:vAlign w:val="center"/>
          </w:tcPr>
          <w:p w14:paraId="5705F8EC" w14:textId="77777777" w:rsidR="006A4A6F" w:rsidRPr="00363983" w:rsidRDefault="006A4A6F" w:rsidP="00BC135C">
            <w:pPr>
              <w:jc w:val="center"/>
              <w:rPr>
                <w:rFonts w:cs="Arial"/>
                <w:sz w:val="18"/>
                <w:szCs w:val="18"/>
              </w:rPr>
            </w:pPr>
            <w:r w:rsidRPr="00363983">
              <w:rPr>
                <w:rFonts w:cs="Arial"/>
                <w:sz w:val="18"/>
                <w:szCs w:val="18"/>
              </w:rPr>
              <w:t>Apr 2015</w:t>
            </w:r>
          </w:p>
        </w:tc>
        <w:tc>
          <w:tcPr>
            <w:tcW w:w="1000" w:type="dxa"/>
            <w:shd w:val="clear" w:color="auto" w:fill="00B050"/>
            <w:vAlign w:val="center"/>
          </w:tcPr>
          <w:p w14:paraId="1B2B4BE8" w14:textId="77777777" w:rsidR="006A4A6F" w:rsidRPr="00363983" w:rsidRDefault="006A4A6F" w:rsidP="00BC135C">
            <w:pPr>
              <w:jc w:val="center"/>
              <w:rPr>
                <w:rFonts w:cs="Arial"/>
                <w:sz w:val="18"/>
                <w:szCs w:val="18"/>
              </w:rPr>
            </w:pPr>
            <w:r w:rsidRPr="00363983">
              <w:rPr>
                <w:rFonts w:cs="Arial"/>
                <w:sz w:val="18"/>
                <w:szCs w:val="18"/>
              </w:rPr>
              <w:t>Apr 2015</w:t>
            </w:r>
          </w:p>
        </w:tc>
        <w:tc>
          <w:tcPr>
            <w:tcW w:w="1000" w:type="dxa"/>
            <w:shd w:val="clear" w:color="auto" w:fill="auto"/>
            <w:vAlign w:val="center"/>
          </w:tcPr>
          <w:p w14:paraId="670BB269" w14:textId="77777777" w:rsidR="006A4A6F" w:rsidRPr="00363983" w:rsidRDefault="006A4A6F" w:rsidP="00BC135C">
            <w:pPr>
              <w:jc w:val="center"/>
              <w:rPr>
                <w:rFonts w:cs="Arial"/>
                <w:sz w:val="18"/>
                <w:szCs w:val="18"/>
              </w:rPr>
            </w:pPr>
            <w:r w:rsidRPr="00363983">
              <w:rPr>
                <w:rFonts w:cs="Arial"/>
                <w:sz w:val="18"/>
                <w:szCs w:val="18"/>
              </w:rPr>
              <w:t>N/A</w:t>
            </w:r>
          </w:p>
        </w:tc>
        <w:tc>
          <w:tcPr>
            <w:tcW w:w="800" w:type="dxa"/>
            <w:shd w:val="clear" w:color="auto" w:fill="auto"/>
            <w:vAlign w:val="center"/>
          </w:tcPr>
          <w:p w14:paraId="46C849A6" w14:textId="77777777" w:rsidR="006A4A6F" w:rsidRPr="00363983" w:rsidRDefault="006A4A6F" w:rsidP="00BC135C">
            <w:pPr>
              <w:jc w:val="center"/>
              <w:rPr>
                <w:rFonts w:cs="Arial"/>
                <w:sz w:val="18"/>
                <w:szCs w:val="18"/>
              </w:rPr>
            </w:pPr>
            <w:r w:rsidRPr="00363983">
              <w:rPr>
                <w:rFonts w:cs="Arial"/>
                <w:sz w:val="18"/>
                <w:szCs w:val="18"/>
              </w:rPr>
              <w:t>N/A</w:t>
            </w:r>
          </w:p>
        </w:tc>
        <w:tc>
          <w:tcPr>
            <w:tcW w:w="500" w:type="dxa"/>
            <w:shd w:val="clear" w:color="auto" w:fill="auto"/>
            <w:vAlign w:val="center"/>
          </w:tcPr>
          <w:p w14:paraId="0CBE478A"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7ACB31A0"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603BC5AD" w14:textId="77777777" w:rsidR="006A4A6F" w:rsidRPr="00363983" w:rsidRDefault="006A4A6F" w:rsidP="00BC135C">
            <w:pPr>
              <w:jc w:val="center"/>
              <w:rPr>
                <w:rFonts w:cs="Arial"/>
                <w:sz w:val="18"/>
                <w:szCs w:val="18"/>
              </w:rPr>
            </w:pPr>
            <w:r w:rsidRPr="00363983">
              <w:rPr>
                <w:rFonts w:cs="Arial"/>
                <w:sz w:val="18"/>
                <w:szCs w:val="18"/>
              </w:rPr>
              <w:t>-</w:t>
            </w:r>
          </w:p>
        </w:tc>
        <w:tc>
          <w:tcPr>
            <w:tcW w:w="500" w:type="dxa"/>
            <w:shd w:val="clear" w:color="auto" w:fill="auto"/>
            <w:vAlign w:val="center"/>
          </w:tcPr>
          <w:p w14:paraId="701B761B" w14:textId="77777777" w:rsidR="006A4A6F" w:rsidRPr="00363983" w:rsidRDefault="006A4A6F" w:rsidP="00BC135C">
            <w:pPr>
              <w:jc w:val="center"/>
              <w:rPr>
                <w:rFonts w:cs="Arial"/>
                <w:sz w:val="18"/>
                <w:szCs w:val="18"/>
              </w:rPr>
            </w:pPr>
            <w:r w:rsidRPr="00363983">
              <w:rPr>
                <w:rFonts w:cs="Arial"/>
                <w:sz w:val="18"/>
                <w:szCs w:val="18"/>
              </w:rPr>
              <w:t>-</w:t>
            </w:r>
          </w:p>
        </w:tc>
      </w:tr>
      <w:tr w:rsidR="006A4A6F" w:rsidRPr="00363983" w14:paraId="34F1B254" w14:textId="77777777" w:rsidTr="00BC135C">
        <w:tc>
          <w:tcPr>
            <w:tcW w:w="2325" w:type="dxa"/>
            <w:shd w:val="clear" w:color="auto" w:fill="004E73"/>
            <w:tcMar>
              <w:left w:w="85" w:type="dxa"/>
              <w:right w:w="85" w:type="dxa"/>
            </w:tcMar>
            <w:vAlign w:val="center"/>
          </w:tcPr>
          <w:p w14:paraId="4B0545AC" w14:textId="77777777" w:rsidR="006A4A6F" w:rsidRPr="00363983" w:rsidRDefault="006A4A6F" w:rsidP="00BC135C">
            <w:pPr>
              <w:spacing w:after="120"/>
              <w:jc w:val="both"/>
              <w:rPr>
                <w:rFonts w:cs="Arial"/>
                <w:b/>
              </w:rPr>
            </w:pPr>
            <w:r w:rsidRPr="00363983">
              <w:rPr>
                <w:rFonts w:cs="Arial"/>
                <w:b/>
                <w:sz w:val="22"/>
                <w:szCs w:val="22"/>
              </w:rPr>
              <w:t xml:space="preserve">Total </w:t>
            </w:r>
          </w:p>
        </w:tc>
        <w:tc>
          <w:tcPr>
            <w:tcW w:w="432" w:type="dxa"/>
            <w:shd w:val="clear" w:color="auto" w:fill="004E73"/>
            <w:vAlign w:val="center"/>
          </w:tcPr>
          <w:p w14:paraId="244EA45D" w14:textId="77777777" w:rsidR="006A4A6F" w:rsidRPr="00363983" w:rsidRDefault="006A4A6F" w:rsidP="00BC135C">
            <w:pPr>
              <w:spacing w:after="120"/>
              <w:jc w:val="center"/>
              <w:rPr>
                <w:rFonts w:cs="Arial"/>
                <w:b/>
              </w:rPr>
            </w:pPr>
          </w:p>
        </w:tc>
        <w:tc>
          <w:tcPr>
            <w:tcW w:w="500" w:type="dxa"/>
            <w:shd w:val="clear" w:color="auto" w:fill="004E73"/>
            <w:vAlign w:val="center"/>
          </w:tcPr>
          <w:p w14:paraId="78044532" w14:textId="77777777" w:rsidR="006A4A6F" w:rsidRPr="00363983" w:rsidRDefault="006A4A6F" w:rsidP="00BC135C">
            <w:pPr>
              <w:spacing w:after="120"/>
              <w:jc w:val="center"/>
              <w:rPr>
                <w:rFonts w:cs="Arial"/>
                <w:b/>
              </w:rPr>
            </w:pPr>
            <w:r w:rsidRPr="00363983">
              <w:rPr>
                <w:rFonts w:cs="Arial"/>
                <w:b/>
              </w:rPr>
              <w:t>85</w:t>
            </w:r>
          </w:p>
        </w:tc>
        <w:tc>
          <w:tcPr>
            <w:tcW w:w="500" w:type="dxa"/>
            <w:shd w:val="clear" w:color="auto" w:fill="004E73"/>
            <w:vAlign w:val="center"/>
          </w:tcPr>
          <w:p w14:paraId="56DF7EF5" w14:textId="77777777" w:rsidR="006A4A6F" w:rsidRPr="00363983" w:rsidRDefault="006A4A6F" w:rsidP="00BC135C">
            <w:pPr>
              <w:spacing w:after="120"/>
              <w:jc w:val="center"/>
              <w:rPr>
                <w:rFonts w:cs="Arial"/>
                <w:b/>
              </w:rPr>
            </w:pPr>
            <w:r w:rsidRPr="00363983">
              <w:rPr>
                <w:rFonts w:cs="Arial"/>
                <w:b/>
              </w:rPr>
              <w:t>60</w:t>
            </w:r>
          </w:p>
        </w:tc>
        <w:tc>
          <w:tcPr>
            <w:tcW w:w="500" w:type="dxa"/>
            <w:shd w:val="clear" w:color="auto" w:fill="004E73"/>
            <w:vAlign w:val="center"/>
          </w:tcPr>
          <w:p w14:paraId="57165724" w14:textId="77777777" w:rsidR="006A4A6F" w:rsidRPr="00363983" w:rsidRDefault="006A4A6F" w:rsidP="00BC135C">
            <w:pPr>
              <w:spacing w:after="120"/>
              <w:jc w:val="center"/>
              <w:rPr>
                <w:rFonts w:cs="Arial"/>
                <w:b/>
                <w:highlight w:val="yellow"/>
              </w:rPr>
            </w:pPr>
            <w:r w:rsidRPr="00363983">
              <w:rPr>
                <w:rFonts w:cs="Arial"/>
                <w:b/>
                <w:sz w:val="22"/>
                <w:szCs w:val="22"/>
              </w:rPr>
              <w:t>60</w:t>
            </w:r>
          </w:p>
        </w:tc>
        <w:tc>
          <w:tcPr>
            <w:tcW w:w="500" w:type="dxa"/>
            <w:shd w:val="clear" w:color="auto" w:fill="004E73"/>
            <w:vAlign w:val="center"/>
          </w:tcPr>
          <w:p w14:paraId="0F19EDA0" w14:textId="77777777" w:rsidR="006A4A6F" w:rsidRPr="00363983" w:rsidRDefault="006A4A6F" w:rsidP="00BC135C">
            <w:pPr>
              <w:spacing w:after="120"/>
              <w:jc w:val="center"/>
              <w:rPr>
                <w:rFonts w:cs="Arial"/>
                <w:b/>
              </w:rPr>
            </w:pPr>
            <w:r w:rsidRPr="00363983">
              <w:rPr>
                <w:rFonts w:cs="Arial"/>
                <w:b/>
                <w:sz w:val="22"/>
                <w:szCs w:val="22"/>
              </w:rPr>
              <w:t>80</w:t>
            </w:r>
          </w:p>
        </w:tc>
        <w:tc>
          <w:tcPr>
            <w:tcW w:w="1100" w:type="dxa"/>
            <w:shd w:val="clear" w:color="auto" w:fill="004E73"/>
            <w:tcMar>
              <w:left w:w="113" w:type="dxa"/>
              <w:right w:w="85" w:type="dxa"/>
            </w:tcMar>
            <w:vAlign w:val="center"/>
          </w:tcPr>
          <w:p w14:paraId="70BDDC07" w14:textId="77777777" w:rsidR="006A4A6F" w:rsidRPr="00363983" w:rsidRDefault="006A4A6F" w:rsidP="00BC135C">
            <w:pPr>
              <w:spacing w:after="120"/>
              <w:jc w:val="center"/>
              <w:rPr>
                <w:rFonts w:cs="Arial"/>
                <w:b/>
              </w:rPr>
            </w:pPr>
          </w:p>
        </w:tc>
        <w:tc>
          <w:tcPr>
            <w:tcW w:w="1100" w:type="dxa"/>
            <w:shd w:val="clear" w:color="auto" w:fill="004E73"/>
          </w:tcPr>
          <w:p w14:paraId="3EAEEEA1" w14:textId="77777777" w:rsidR="006A4A6F" w:rsidRPr="00363983" w:rsidRDefault="006A4A6F" w:rsidP="00BC135C">
            <w:pPr>
              <w:spacing w:after="120"/>
              <w:jc w:val="center"/>
              <w:rPr>
                <w:rFonts w:cs="Arial"/>
                <w:b/>
              </w:rPr>
            </w:pPr>
          </w:p>
        </w:tc>
        <w:tc>
          <w:tcPr>
            <w:tcW w:w="1000" w:type="dxa"/>
            <w:shd w:val="clear" w:color="auto" w:fill="004E73"/>
          </w:tcPr>
          <w:p w14:paraId="58057A84" w14:textId="77777777" w:rsidR="006A4A6F" w:rsidRPr="00363983" w:rsidRDefault="006A4A6F" w:rsidP="00BC135C">
            <w:pPr>
              <w:spacing w:after="120"/>
              <w:jc w:val="center"/>
              <w:rPr>
                <w:rFonts w:cs="Arial"/>
                <w:b/>
              </w:rPr>
            </w:pPr>
          </w:p>
        </w:tc>
        <w:tc>
          <w:tcPr>
            <w:tcW w:w="900" w:type="dxa"/>
            <w:shd w:val="clear" w:color="auto" w:fill="004E73"/>
          </w:tcPr>
          <w:p w14:paraId="653A0699" w14:textId="77777777" w:rsidR="006A4A6F" w:rsidRPr="00363983" w:rsidRDefault="006A4A6F" w:rsidP="00BC135C">
            <w:pPr>
              <w:spacing w:after="120"/>
              <w:jc w:val="center"/>
              <w:rPr>
                <w:rFonts w:cs="Arial"/>
                <w:b/>
              </w:rPr>
            </w:pPr>
          </w:p>
        </w:tc>
        <w:tc>
          <w:tcPr>
            <w:tcW w:w="1000" w:type="dxa"/>
            <w:shd w:val="clear" w:color="auto" w:fill="004E73"/>
          </w:tcPr>
          <w:p w14:paraId="7E1C03F4" w14:textId="77777777" w:rsidR="006A4A6F" w:rsidRPr="00363983" w:rsidRDefault="006A4A6F" w:rsidP="00BC135C">
            <w:pPr>
              <w:spacing w:after="120"/>
              <w:jc w:val="center"/>
              <w:rPr>
                <w:rFonts w:cs="Arial"/>
                <w:b/>
              </w:rPr>
            </w:pPr>
          </w:p>
        </w:tc>
        <w:tc>
          <w:tcPr>
            <w:tcW w:w="1000" w:type="dxa"/>
            <w:shd w:val="clear" w:color="auto" w:fill="004E73"/>
          </w:tcPr>
          <w:p w14:paraId="13D0A8D2" w14:textId="77777777" w:rsidR="006A4A6F" w:rsidRPr="00363983" w:rsidRDefault="006A4A6F" w:rsidP="00BC135C">
            <w:pPr>
              <w:spacing w:after="120"/>
              <w:jc w:val="center"/>
              <w:rPr>
                <w:rFonts w:cs="Arial"/>
                <w:b/>
              </w:rPr>
            </w:pPr>
          </w:p>
        </w:tc>
        <w:tc>
          <w:tcPr>
            <w:tcW w:w="1000" w:type="dxa"/>
            <w:shd w:val="clear" w:color="auto" w:fill="004E73"/>
          </w:tcPr>
          <w:p w14:paraId="46E93976" w14:textId="77777777" w:rsidR="006A4A6F" w:rsidRPr="00363983" w:rsidRDefault="006A4A6F" w:rsidP="00BC135C">
            <w:pPr>
              <w:spacing w:after="120"/>
              <w:jc w:val="center"/>
              <w:rPr>
                <w:rFonts w:cs="Arial"/>
                <w:b/>
              </w:rPr>
            </w:pPr>
          </w:p>
        </w:tc>
        <w:tc>
          <w:tcPr>
            <w:tcW w:w="800" w:type="dxa"/>
            <w:shd w:val="clear" w:color="auto" w:fill="004E73"/>
          </w:tcPr>
          <w:p w14:paraId="7C4E2E0B" w14:textId="77777777" w:rsidR="006A4A6F" w:rsidRPr="00363983" w:rsidRDefault="006A4A6F" w:rsidP="00BC135C">
            <w:pPr>
              <w:spacing w:after="120"/>
              <w:jc w:val="center"/>
              <w:rPr>
                <w:rFonts w:cs="Arial"/>
                <w:b/>
              </w:rPr>
            </w:pPr>
          </w:p>
        </w:tc>
        <w:tc>
          <w:tcPr>
            <w:tcW w:w="500" w:type="dxa"/>
            <w:shd w:val="clear" w:color="auto" w:fill="004E73"/>
          </w:tcPr>
          <w:p w14:paraId="5E495574" w14:textId="77777777" w:rsidR="006A4A6F" w:rsidRPr="00363983" w:rsidRDefault="006A4A6F" w:rsidP="00BC135C">
            <w:pPr>
              <w:spacing w:after="120"/>
              <w:jc w:val="center"/>
              <w:rPr>
                <w:rFonts w:cs="Arial"/>
                <w:b/>
              </w:rPr>
            </w:pPr>
          </w:p>
        </w:tc>
        <w:tc>
          <w:tcPr>
            <w:tcW w:w="500" w:type="dxa"/>
            <w:shd w:val="clear" w:color="auto" w:fill="004E73"/>
          </w:tcPr>
          <w:p w14:paraId="3E602DEA" w14:textId="77777777" w:rsidR="006A4A6F" w:rsidRPr="00363983" w:rsidRDefault="006A4A6F" w:rsidP="00BC135C">
            <w:pPr>
              <w:spacing w:after="120"/>
              <w:jc w:val="center"/>
              <w:rPr>
                <w:rFonts w:cs="Arial"/>
                <w:b/>
              </w:rPr>
            </w:pPr>
          </w:p>
        </w:tc>
        <w:tc>
          <w:tcPr>
            <w:tcW w:w="500" w:type="dxa"/>
            <w:shd w:val="clear" w:color="auto" w:fill="004E73"/>
          </w:tcPr>
          <w:p w14:paraId="0ACE3DA2" w14:textId="77777777" w:rsidR="006A4A6F" w:rsidRPr="00363983" w:rsidRDefault="006A4A6F" w:rsidP="00BC135C">
            <w:pPr>
              <w:spacing w:after="120"/>
              <w:jc w:val="center"/>
              <w:rPr>
                <w:rFonts w:cs="Arial"/>
                <w:b/>
              </w:rPr>
            </w:pPr>
          </w:p>
        </w:tc>
        <w:tc>
          <w:tcPr>
            <w:tcW w:w="500" w:type="dxa"/>
            <w:shd w:val="clear" w:color="auto" w:fill="004E73"/>
          </w:tcPr>
          <w:p w14:paraId="251F183D" w14:textId="77777777" w:rsidR="006A4A6F" w:rsidRPr="00363983" w:rsidRDefault="006A4A6F" w:rsidP="00BC135C">
            <w:pPr>
              <w:spacing w:after="120"/>
              <w:jc w:val="center"/>
              <w:rPr>
                <w:rFonts w:cs="Arial"/>
                <w:b/>
              </w:rPr>
            </w:pPr>
          </w:p>
        </w:tc>
      </w:tr>
    </w:tbl>
    <w:p w14:paraId="37531602" w14:textId="77777777" w:rsidR="006A4A6F" w:rsidRPr="00363983" w:rsidRDefault="006A4A6F" w:rsidP="006A4A6F">
      <w:pPr>
        <w:rPr>
          <w:rFonts w:cs="Arial"/>
        </w:rPr>
      </w:pPr>
    </w:p>
    <w:sectPr w:rsidR="006A4A6F" w:rsidRPr="00363983" w:rsidSect="00E376C4">
      <w:headerReference w:type="default" r:id="rId16"/>
      <w:pgSz w:w="16838" w:h="11906" w:orient="landscape"/>
      <w:pgMar w:top="179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506AE" w14:textId="77777777" w:rsidR="00A5747E" w:rsidRDefault="00A5747E">
      <w:r>
        <w:separator/>
      </w:r>
    </w:p>
  </w:endnote>
  <w:endnote w:type="continuationSeparator" w:id="0">
    <w:p w14:paraId="47D63E55" w14:textId="77777777" w:rsidR="00A5747E" w:rsidRDefault="00A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35240"/>
      <w:docPartObj>
        <w:docPartGallery w:val="Page Numbers (Bottom of Page)"/>
        <w:docPartUnique/>
      </w:docPartObj>
    </w:sdtPr>
    <w:sdtEndPr>
      <w:rPr>
        <w:noProof/>
      </w:rPr>
    </w:sdtEndPr>
    <w:sdtContent>
      <w:p w14:paraId="5F9F456B" w14:textId="77777777" w:rsidR="00A5747E" w:rsidRDefault="00C14A68">
        <w:pPr>
          <w:pStyle w:val="Footer"/>
          <w:jc w:val="center"/>
        </w:pPr>
        <w:r>
          <w:fldChar w:fldCharType="begin"/>
        </w:r>
        <w:r>
          <w:instrText xml:space="preserve"> PAGE   \* MERGEFORMAT </w:instrText>
        </w:r>
        <w:r>
          <w:fldChar w:fldCharType="separate"/>
        </w:r>
        <w:r w:rsidR="002533B5">
          <w:rPr>
            <w:noProof/>
          </w:rPr>
          <w:t>5</w:t>
        </w:r>
        <w:r>
          <w:rPr>
            <w:noProof/>
          </w:rPr>
          <w:fldChar w:fldCharType="end"/>
        </w:r>
      </w:p>
    </w:sdtContent>
  </w:sdt>
  <w:p w14:paraId="7C371427" w14:textId="77777777" w:rsidR="00A5747E" w:rsidRDefault="00A5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2E3C" w14:textId="77777777" w:rsidR="00A5747E" w:rsidRDefault="00A5747E">
      <w:r>
        <w:separator/>
      </w:r>
    </w:p>
  </w:footnote>
  <w:footnote w:type="continuationSeparator" w:id="0">
    <w:p w14:paraId="151AAB9F" w14:textId="77777777" w:rsidR="00A5747E" w:rsidRDefault="00A5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E78A" w14:textId="77777777" w:rsidR="00A5747E" w:rsidRDefault="00A5747E">
    <w:pPr>
      <w:pStyle w:val="Header"/>
    </w:pPr>
    <w:r>
      <w:t xml:space="preserve">TPSPB Meeting </w:t>
    </w:r>
    <w:r w:rsidR="00C93BA2">
      <w:t>2 December</w:t>
    </w:r>
    <w:r>
      <w:t xml:space="preserve"> 2015 : Agenda Item </w:t>
    </w:r>
    <w:r w:rsidR="00C93BA2">
      <w:t>5</w:t>
    </w:r>
  </w:p>
  <w:p w14:paraId="412350CE" w14:textId="77777777" w:rsidR="00A5747E" w:rsidRDefault="00A57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CD7BA" w14:textId="0A89CFFF" w:rsidR="00A5747E" w:rsidRDefault="00A5747E">
    <w:pPr>
      <w:pStyle w:val="Header"/>
    </w:pPr>
    <w:r>
      <w:t xml:space="preserve">TPSPB Board Meeting </w:t>
    </w:r>
    <w:r w:rsidR="006C7483">
      <w:t>2 December</w:t>
    </w:r>
    <w:r>
      <w:t xml:space="preserve"> 2015 : Agenda item </w:t>
    </w:r>
    <w:r w:rsidR="006C7483">
      <w:t>5</w:t>
    </w:r>
  </w:p>
  <w:p w14:paraId="6B2CD262" w14:textId="77777777" w:rsidR="00A5747E" w:rsidRDefault="00A57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309"/>
    <w:multiLevelType w:val="hybridMultilevel"/>
    <w:tmpl w:val="F01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1018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705C5"/>
    <w:multiLevelType w:val="hybridMultilevel"/>
    <w:tmpl w:val="75F813FA"/>
    <w:lvl w:ilvl="0" w:tplc="A5E48AA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054CA9"/>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3280E"/>
    <w:multiLevelType w:val="hybridMultilevel"/>
    <w:tmpl w:val="78EA3384"/>
    <w:lvl w:ilvl="0" w:tplc="861C8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235A5D74"/>
    <w:multiLevelType w:val="hybridMultilevel"/>
    <w:tmpl w:val="CA4669C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3A330272"/>
    <w:multiLevelType w:val="hybridMultilevel"/>
    <w:tmpl w:val="DB76DE7A"/>
    <w:lvl w:ilvl="0" w:tplc="92EE57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AE042F"/>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CC00B7"/>
    <w:multiLevelType w:val="hybridMultilevel"/>
    <w:tmpl w:val="4210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8EB2ADD"/>
    <w:multiLevelType w:val="hybridMultilevel"/>
    <w:tmpl w:val="2E4A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C4026"/>
    <w:multiLevelType w:val="hybridMultilevel"/>
    <w:tmpl w:val="6046E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8525B4"/>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71379A"/>
    <w:multiLevelType w:val="hybridMultilevel"/>
    <w:tmpl w:val="79C60A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B73C2D"/>
    <w:multiLevelType w:val="hybridMultilevel"/>
    <w:tmpl w:val="8CE6E6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71E53C4F"/>
    <w:multiLevelType w:val="hybridMultilevel"/>
    <w:tmpl w:val="C5725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2115127"/>
    <w:multiLevelType w:val="hybridMultilevel"/>
    <w:tmpl w:val="0452097E"/>
    <w:lvl w:ilvl="0" w:tplc="8C6CA462">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B35D65"/>
    <w:multiLevelType w:val="hybridMultilevel"/>
    <w:tmpl w:val="FD507B52"/>
    <w:lvl w:ilvl="0" w:tplc="6D76AAA8">
      <w:start w:val="1"/>
      <w:numFmt w:val="decimal"/>
      <w:lvlText w:val="%1."/>
      <w:lvlJc w:val="left"/>
      <w:pPr>
        <w:ind w:left="720" w:hanging="360"/>
      </w:pPr>
      <w:rPr>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4C47ED"/>
    <w:multiLevelType w:val="hybridMultilevel"/>
    <w:tmpl w:val="5524A6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4073CA"/>
    <w:multiLevelType w:val="hybridMultilevel"/>
    <w:tmpl w:val="D2F6C1FA"/>
    <w:lvl w:ilvl="0" w:tplc="27C4128C">
      <w:start w:val="1"/>
      <w:numFmt w:val="bullet"/>
      <w:lvlText w:val="•"/>
      <w:lvlJc w:val="left"/>
      <w:pPr>
        <w:tabs>
          <w:tab w:val="num" w:pos="720"/>
        </w:tabs>
        <w:ind w:left="720" w:hanging="360"/>
      </w:pPr>
      <w:rPr>
        <w:rFonts w:ascii="Arial" w:hAnsi="Arial" w:hint="default"/>
      </w:rPr>
    </w:lvl>
    <w:lvl w:ilvl="1" w:tplc="CCC2AA5E" w:tentative="1">
      <w:start w:val="1"/>
      <w:numFmt w:val="bullet"/>
      <w:lvlText w:val="•"/>
      <w:lvlJc w:val="left"/>
      <w:pPr>
        <w:tabs>
          <w:tab w:val="num" w:pos="1440"/>
        </w:tabs>
        <w:ind w:left="1440" w:hanging="360"/>
      </w:pPr>
      <w:rPr>
        <w:rFonts w:ascii="Arial" w:hAnsi="Arial" w:hint="default"/>
      </w:rPr>
    </w:lvl>
    <w:lvl w:ilvl="2" w:tplc="62AE01CC" w:tentative="1">
      <w:start w:val="1"/>
      <w:numFmt w:val="bullet"/>
      <w:lvlText w:val="•"/>
      <w:lvlJc w:val="left"/>
      <w:pPr>
        <w:tabs>
          <w:tab w:val="num" w:pos="2160"/>
        </w:tabs>
        <w:ind w:left="2160" w:hanging="360"/>
      </w:pPr>
      <w:rPr>
        <w:rFonts w:ascii="Arial" w:hAnsi="Arial" w:hint="default"/>
      </w:rPr>
    </w:lvl>
    <w:lvl w:ilvl="3" w:tplc="5C7EE67C" w:tentative="1">
      <w:start w:val="1"/>
      <w:numFmt w:val="bullet"/>
      <w:lvlText w:val="•"/>
      <w:lvlJc w:val="left"/>
      <w:pPr>
        <w:tabs>
          <w:tab w:val="num" w:pos="2880"/>
        </w:tabs>
        <w:ind w:left="2880" w:hanging="360"/>
      </w:pPr>
      <w:rPr>
        <w:rFonts w:ascii="Arial" w:hAnsi="Arial" w:hint="default"/>
      </w:rPr>
    </w:lvl>
    <w:lvl w:ilvl="4" w:tplc="D5F0CE8C" w:tentative="1">
      <w:start w:val="1"/>
      <w:numFmt w:val="bullet"/>
      <w:lvlText w:val="•"/>
      <w:lvlJc w:val="left"/>
      <w:pPr>
        <w:tabs>
          <w:tab w:val="num" w:pos="3600"/>
        </w:tabs>
        <w:ind w:left="3600" w:hanging="360"/>
      </w:pPr>
      <w:rPr>
        <w:rFonts w:ascii="Arial" w:hAnsi="Arial" w:hint="default"/>
      </w:rPr>
    </w:lvl>
    <w:lvl w:ilvl="5" w:tplc="694AB266" w:tentative="1">
      <w:start w:val="1"/>
      <w:numFmt w:val="bullet"/>
      <w:lvlText w:val="•"/>
      <w:lvlJc w:val="left"/>
      <w:pPr>
        <w:tabs>
          <w:tab w:val="num" w:pos="4320"/>
        </w:tabs>
        <w:ind w:left="4320" w:hanging="360"/>
      </w:pPr>
      <w:rPr>
        <w:rFonts w:ascii="Arial" w:hAnsi="Arial" w:hint="default"/>
      </w:rPr>
    </w:lvl>
    <w:lvl w:ilvl="6" w:tplc="78B07094" w:tentative="1">
      <w:start w:val="1"/>
      <w:numFmt w:val="bullet"/>
      <w:lvlText w:val="•"/>
      <w:lvlJc w:val="left"/>
      <w:pPr>
        <w:tabs>
          <w:tab w:val="num" w:pos="5040"/>
        </w:tabs>
        <w:ind w:left="5040" w:hanging="360"/>
      </w:pPr>
      <w:rPr>
        <w:rFonts w:ascii="Arial" w:hAnsi="Arial" w:hint="default"/>
      </w:rPr>
    </w:lvl>
    <w:lvl w:ilvl="7" w:tplc="38F80CAA" w:tentative="1">
      <w:start w:val="1"/>
      <w:numFmt w:val="bullet"/>
      <w:lvlText w:val="•"/>
      <w:lvlJc w:val="left"/>
      <w:pPr>
        <w:tabs>
          <w:tab w:val="num" w:pos="5760"/>
        </w:tabs>
        <w:ind w:left="5760" w:hanging="360"/>
      </w:pPr>
      <w:rPr>
        <w:rFonts w:ascii="Arial" w:hAnsi="Arial" w:hint="default"/>
      </w:rPr>
    </w:lvl>
    <w:lvl w:ilvl="8" w:tplc="42669022" w:tentative="1">
      <w:start w:val="1"/>
      <w:numFmt w:val="bullet"/>
      <w:lvlText w:val="•"/>
      <w:lvlJc w:val="left"/>
      <w:pPr>
        <w:tabs>
          <w:tab w:val="num" w:pos="6480"/>
        </w:tabs>
        <w:ind w:left="6480" w:hanging="360"/>
      </w:pPr>
      <w:rPr>
        <w:rFonts w:ascii="Arial" w:hAnsi="Arial" w:hint="default"/>
      </w:rPr>
    </w:lvl>
  </w:abstractNum>
  <w:abstractNum w:abstractNumId="25">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7"/>
  </w:num>
  <w:num w:numId="3">
    <w:abstractNumId w:val="25"/>
  </w:num>
  <w:num w:numId="4">
    <w:abstractNumId w:val="5"/>
  </w:num>
  <w:num w:numId="5">
    <w:abstractNumId w:val="13"/>
  </w:num>
  <w:num w:numId="6">
    <w:abstractNumId w:val="18"/>
  </w:num>
  <w:num w:numId="7">
    <w:abstractNumId w:val="14"/>
  </w:num>
  <w:num w:numId="8">
    <w:abstractNumId w:val="2"/>
  </w:num>
  <w:num w:numId="9">
    <w:abstractNumId w:val="10"/>
  </w:num>
  <w:num w:numId="10">
    <w:abstractNumId w:val="23"/>
  </w:num>
  <w:num w:numId="11">
    <w:abstractNumId w:val="24"/>
  </w:num>
  <w:num w:numId="12">
    <w:abstractNumId w:val="20"/>
  </w:num>
  <w:num w:numId="13">
    <w:abstractNumId w:val="15"/>
  </w:num>
  <w:num w:numId="14">
    <w:abstractNumId w:val="21"/>
  </w:num>
  <w:num w:numId="15">
    <w:abstractNumId w:val="0"/>
  </w:num>
  <w:num w:numId="16">
    <w:abstractNumId w:val="1"/>
  </w:num>
  <w:num w:numId="17">
    <w:abstractNumId w:val="9"/>
  </w:num>
  <w:num w:numId="18">
    <w:abstractNumId w:val="16"/>
  </w:num>
  <w:num w:numId="19">
    <w:abstractNumId w:val="3"/>
  </w:num>
  <w:num w:numId="20">
    <w:abstractNumId w:val="12"/>
  </w:num>
  <w:num w:numId="21">
    <w:abstractNumId w:val="17"/>
  </w:num>
  <w:num w:numId="22">
    <w:abstractNumId w:val="6"/>
  </w:num>
  <w:num w:numId="23">
    <w:abstractNumId w:val="22"/>
  </w:num>
  <w:num w:numId="24">
    <w:abstractNumId w:val="4"/>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pEmq/6HIeq/Ki6SEV1Y3F/98oQ=" w:salt="VGVq0USv+XeaZi17UbhIG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06"/>
    <w:rsid w:val="00000089"/>
    <w:rsid w:val="00011F78"/>
    <w:rsid w:val="00015EC6"/>
    <w:rsid w:val="00022DB6"/>
    <w:rsid w:val="000247E1"/>
    <w:rsid w:val="000308E1"/>
    <w:rsid w:val="00034168"/>
    <w:rsid w:val="000402FC"/>
    <w:rsid w:val="00041864"/>
    <w:rsid w:val="0004776A"/>
    <w:rsid w:val="0005390B"/>
    <w:rsid w:val="00057F28"/>
    <w:rsid w:val="00060377"/>
    <w:rsid w:val="000833EF"/>
    <w:rsid w:val="00083D20"/>
    <w:rsid w:val="000A0C1B"/>
    <w:rsid w:val="000A3070"/>
    <w:rsid w:val="000A3CCB"/>
    <w:rsid w:val="000A7B4B"/>
    <w:rsid w:val="000A7DC3"/>
    <w:rsid w:val="000B1468"/>
    <w:rsid w:val="000C4018"/>
    <w:rsid w:val="000D62D8"/>
    <w:rsid w:val="000F302B"/>
    <w:rsid w:val="000F4E59"/>
    <w:rsid w:val="00116F59"/>
    <w:rsid w:val="00117BDE"/>
    <w:rsid w:val="00123ACB"/>
    <w:rsid w:val="001362FD"/>
    <w:rsid w:val="001366BB"/>
    <w:rsid w:val="001372F2"/>
    <w:rsid w:val="00143B05"/>
    <w:rsid w:val="00153F85"/>
    <w:rsid w:val="00174BCF"/>
    <w:rsid w:val="00176043"/>
    <w:rsid w:val="00180A06"/>
    <w:rsid w:val="00182783"/>
    <w:rsid w:val="00187F8F"/>
    <w:rsid w:val="00195F8E"/>
    <w:rsid w:val="001A54FA"/>
    <w:rsid w:val="001B05C8"/>
    <w:rsid w:val="001B0DDF"/>
    <w:rsid w:val="001B6DF9"/>
    <w:rsid w:val="001C1651"/>
    <w:rsid w:val="001C699E"/>
    <w:rsid w:val="001D2E21"/>
    <w:rsid w:val="001D55BC"/>
    <w:rsid w:val="001D5890"/>
    <w:rsid w:val="001D7FB3"/>
    <w:rsid w:val="001E774E"/>
    <w:rsid w:val="002009C2"/>
    <w:rsid w:val="00202C41"/>
    <w:rsid w:val="00205FB9"/>
    <w:rsid w:val="00211C37"/>
    <w:rsid w:val="00212D24"/>
    <w:rsid w:val="00217581"/>
    <w:rsid w:val="00223723"/>
    <w:rsid w:val="00226366"/>
    <w:rsid w:val="002335B0"/>
    <w:rsid w:val="002337EC"/>
    <w:rsid w:val="002338A1"/>
    <w:rsid w:val="0024290E"/>
    <w:rsid w:val="00242D2E"/>
    <w:rsid w:val="0024599B"/>
    <w:rsid w:val="00252D14"/>
    <w:rsid w:val="00252E33"/>
    <w:rsid w:val="002533B5"/>
    <w:rsid w:val="00261949"/>
    <w:rsid w:val="00266064"/>
    <w:rsid w:val="00267EE0"/>
    <w:rsid w:val="002749B8"/>
    <w:rsid w:val="0027611C"/>
    <w:rsid w:val="00283203"/>
    <w:rsid w:val="002840D0"/>
    <w:rsid w:val="00295EFC"/>
    <w:rsid w:val="002A66BE"/>
    <w:rsid w:val="002B2F43"/>
    <w:rsid w:val="002B651E"/>
    <w:rsid w:val="002D2A7A"/>
    <w:rsid w:val="002D6D75"/>
    <w:rsid w:val="002E28FA"/>
    <w:rsid w:val="002F06F7"/>
    <w:rsid w:val="002F48FA"/>
    <w:rsid w:val="002F6007"/>
    <w:rsid w:val="00306F7F"/>
    <w:rsid w:val="00310708"/>
    <w:rsid w:val="00311C8A"/>
    <w:rsid w:val="00312BD3"/>
    <w:rsid w:val="00322AAE"/>
    <w:rsid w:val="00336872"/>
    <w:rsid w:val="00342B5C"/>
    <w:rsid w:val="003467A7"/>
    <w:rsid w:val="00347A3B"/>
    <w:rsid w:val="003503BE"/>
    <w:rsid w:val="00356245"/>
    <w:rsid w:val="00363983"/>
    <w:rsid w:val="00367EEB"/>
    <w:rsid w:val="00370895"/>
    <w:rsid w:val="00374620"/>
    <w:rsid w:val="00375273"/>
    <w:rsid w:val="00392AE9"/>
    <w:rsid w:val="003A2F92"/>
    <w:rsid w:val="003B3240"/>
    <w:rsid w:val="003B78F9"/>
    <w:rsid w:val="003C4F9C"/>
    <w:rsid w:val="003D74A2"/>
    <w:rsid w:val="003D7A13"/>
    <w:rsid w:val="003E064F"/>
    <w:rsid w:val="003E1B86"/>
    <w:rsid w:val="003F1643"/>
    <w:rsid w:val="003F3C61"/>
    <w:rsid w:val="003F771B"/>
    <w:rsid w:val="00402829"/>
    <w:rsid w:val="004302F0"/>
    <w:rsid w:val="00430DC5"/>
    <w:rsid w:val="00433910"/>
    <w:rsid w:val="0045014A"/>
    <w:rsid w:val="00450D89"/>
    <w:rsid w:val="004533A7"/>
    <w:rsid w:val="0045765A"/>
    <w:rsid w:val="00460505"/>
    <w:rsid w:val="00463122"/>
    <w:rsid w:val="00471773"/>
    <w:rsid w:val="00471ABD"/>
    <w:rsid w:val="0048038D"/>
    <w:rsid w:val="00480E77"/>
    <w:rsid w:val="00481F37"/>
    <w:rsid w:val="00484C39"/>
    <w:rsid w:val="004955D9"/>
    <w:rsid w:val="004B17C9"/>
    <w:rsid w:val="004C4A2B"/>
    <w:rsid w:val="004E633C"/>
    <w:rsid w:val="004F3191"/>
    <w:rsid w:val="00511CA5"/>
    <w:rsid w:val="005128FA"/>
    <w:rsid w:val="005150CE"/>
    <w:rsid w:val="00522588"/>
    <w:rsid w:val="005248A4"/>
    <w:rsid w:val="00530814"/>
    <w:rsid w:val="00533406"/>
    <w:rsid w:val="00537911"/>
    <w:rsid w:val="005435BD"/>
    <w:rsid w:val="00545301"/>
    <w:rsid w:val="00546012"/>
    <w:rsid w:val="005500C1"/>
    <w:rsid w:val="00553534"/>
    <w:rsid w:val="00565333"/>
    <w:rsid w:val="005661A4"/>
    <w:rsid w:val="00571387"/>
    <w:rsid w:val="00574197"/>
    <w:rsid w:val="00580DCC"/>
    <w:rsid w:val="00591B39"/>
    <w:rsid w:val="00592809"/>
    <w:rsid w:val="00593F22"/>
    <w:rsid w:val="005B1967"/>
    <w:rsid w:val="005B1CC3"/>
    <w:rsid w:val="005B5A07"/>
    <w:rsid w:val="005C1372"/>
    <w:rsid w:val="005C2AB4"/>
    <w:rsid w:val="005E4B0F"/>
    <w:rsid w:val="005F7B8B"/>
    <w:rsid w:val="00604D9F"/>
    <w:rsid w:val="00605974"/>
    <w:rsid w:val="00606BB2"/>
    <w:rsid w:val="00607A4B"/>
    <w:rsid w:val="00610B44"/>
    <w:rsid w:val="00615241"/>
    <w:rsid w:val="00617765"/>
    <w:rsid w:val="00622379"/>
    <w:rsid w:val="0062704E"/>
    <w:rsid w:val="00632A7A"/>
    <w:rsid w:val="00634682"/>
    <w:rsid w:val="0063507E"/>
    <w:rsid w:val="006351F8"/>
    <w:rsid w:val="006363E9"/>
    <w:rsid w:val="006545A6"/>
    <w:rsid w:val="00667DFE"/>
    <w:rsid w:val="00677C1A"/>
    <w:rsid w:val="006858D6"/>
    <w:rsid w:val="006869D6"/>
    <w:rsid w:val="00687908"/>
    <w:rsid w:val="006910A2"/>
    <w:rsid w:val="00695F57"/>
    <w:rsid w:val="006A0189"/>
    <w:rsid w:val="006A1127"/>
    <w:rsid w:val="006A2F72"/>
    <w:rsid w:val="006A31F2"/>
    <w:rsid w:val="006A3278"/>
    <w:rsid w:val="006A4A6F"/>
    <w:rsid w:val="006C7483"/>
    <w:rsid w:val="006D0C35"/>
    <w:rsid w:val="006D3EBD"/>
    <w:rsid w:val="006E6F0B"/>
    <w:rsid w:val="006E6FB4"/>
    <w:rsid w:val="006F4284"/>
    <w:rsid w:val="007104E4"/>
    <w:rsid w:val="00711F15"/>
    <w:rsid w:val="00720DAA"/>
    <w:rsid w:val="007442BB"/>
    <w:rsid w:val="007463C5"/>
    <w:rsid w:val="00746846"/>
    <w:rsid w:val="007509C7"/>
    <w:rsid w:val="007510C3"/>
    <w:rsid w:val="007516D1"/>
    <w:rsid w:val="00761BFA"/>
    <w:rsid w:val="0076458E"/>
    <w:rsid w:val="00767063"/>
    <w:rsid w:val="00772C48"/>
    <w:rsid w:val="00773FF3"/>
    <w:rsid w:val="0078040E"/>
    <w:rsid w:val="00793F0F"/>
    <w:rsid w:val="007940AE"/>
    <w:rsid w:val="007A10F9"/>
    <w:rsid w:val="007A4C02"/>
    <w:rsid w:val="007B476F"/>
    <w:rsid w:val="007B49CD"/>
    <w:rsid w:val="007B593B"/>
    <w:rsid w:val="007B5A46"/>
    <w:rsid w:val="007C1BC2"/>
    <w:rsid w:val="007C7F73"/>
    <w:rsid w:val="007D0DBA"/>
    <w:rsid w:val="007D4D58"/>
    <w:rsid w:val="007D4DB0"/>
    <w:rsid w:val="007D6230"/>
    <w:rsid w:val="007E3DC2"/>
    <w:rsid w:val="007F073B"/>
    <w:rsid w:val="00805C72"/>
    <w:rsid w:val="00805CEA"/>
    <w:rsid w:val="00806F15"/>
    <w:rsid w:val="00821A7C"/>
    <w:rsid w:val="008275EF"/>
    <w:rsid w:val="00831225"/>
    <w:rsid w:val="008321E7"/>
    <w:rsid w:val="008428AB"/>
    <w:rsid w:val="00844135"/>
    <w:rsid w:val="00863664"/>
    <w:rsid w:val="0086662B"/>
    <w:rsid w:val="0088151C"/>
    <w:rsid w:val="008817AB"/>
    <w:rsid w:val="008843A4"/>
    <w:rsid w:val="008B1C49"/>
    <w:rsid w:val="008B67CC"/>
    <w:rsid w:val="008B746D"/>
    <w:rsid w:val="008C2748"/>
    <w:rsid w:val="008D1228"/>
    <w:rsid w:val="008D340F"/>
    <w:rsid w:val="008E07A8"/>
    <w:rsid w:val="008E3BDA"/>
    <w:rsid w:val="008E5853"/>
    <w:rsid w:val="008F14F7"/>
    <w:rsid w:val="008F452F"/>
    <w:rsid w:val="00902A95"/>
    <w:rsid w:val="00905ADC"/>
    <w:rsid w:val="00906C33"/>
    <w:rsid w:val="009173AF"/>
    <w:rsid w:val="00932946"/>
    <w:rsid w:val="009424FA"/>
    <w:rsid w:val="009426CB"/>
    <w:rsid w:val="009427B5"/>
    <w:rsid w:val="0095214C"/>
    <w:rsid w:val="009559DC"/>
    <w:rsid w:val="00963073"/>
    <w:rsid w:val="0097315A"/>
    <w:rsid w:val="009762A4"/>
    <w:rsid w:val="00984EAD"/>
    <w:rsid w:val="009961F8"/>
    <w:rsid w:val="009A2B05"/>
    <w:rsid w:val="009A3F0A"/>
    <w:rsid w:val="009A64D1"/>
    <w:rsid w:val="009B2692"/>
    <w:rsid w:val="009B287D"/>
    <w:rsid w:val="009B3EFE"/>
    <w:rsid w:val="009B493A"/>
    <w:rsid w:val="009B4FCC"/>
    <w:rsid w:val="009B7E66"/>
    <w:rsid w:val="009D3D73"/>
    <w:rsid w:val="009D4542"/>
    <w:rsid w:val="009D5DF9"/>
    <w:rsid w:val="009E525D"/>
    <w:rsid w:val="009E73AD"/>
    <w:rsid w:val="009E748A"/>
    <w:rsid w:val="009F5357"/>
    <w:rsid w:val="009F74DD"/>
    <w:rsid w:val="009F7653"/>
    <w:rsid w:val="00A00569"/>
    <w:rsid w:val="00A0392C"/>
    <w:rsid w:val="00A120CA"/>
    <w:rsid w:val="00A12D3A"/>
    <w:rsid w:val="00A135C6"/>
    <w:rsid w:val="00A21E85"/>
    <w:rsid w:val="00A25800"/>
    <w:rsid w:val="00A26D11"/>
    <w:rsid w:val="00A2712A"/>
    <w:rsid w:val="00A3306B"/>
    <w:rsid w:val="00A36044"/>
    <w:rsid w:val="00A366A9"/>
    <w:rsid w:val="00A43ED1"/>
    <w:rsid w:val="00A46912"/>
    <w:rsid w:val="00A564E4"/>
    <w:rsid w:val="00A5747E"/>
    <w:rsid w:val="00A64099"/>
    <w:rsid w:val="00A96425"/>
    <w:rsid w:val="00A979F1"/>
    <w:rsid w:val="00AB3B3C"/>
    <w:rsid w:val="00AB4A1C"/>
    <w:rsid w:val="00AB6016"/>
    <w:rsid w:val="00AC2A37"/>
    <w:rsid w:val="00AD0E50"/>
    <w:rsid w:val="00AD632D"/>
    <w:rsid w:val="00AD7A0B"/>
    <w:rsid w:val="00AF0554"/>
    <w:rsid w:val="00AF1C07"/>
    <w:rsid w:val="00AF3507"/>
    <w:rsid w:val="00AF737F"/>
    <w:rsid w:val="00B006DF"/>
    <w:rsid w:val="00B05496"/>
    <w:rsid w:val="00B05ECD"/>
    <w:rsid w:val="00B06172"/>
    <w:rsid w:val="00B16A24"/>
    <w:rsid w:val="00B16A8C"/>
    <w:rsid w:val="00B240CF"/>
    <w:rsid w:val="00B275C1"/>
    <w:rsid w:val="00B608DF"/>
    <w:rsid w:val="00B62931"/>
    <w:rsid w:val="00B6522B"/>
    <w:rsid w:val="00B65709"/>
    <w:rsid w:val="00B65BD8"/>
    <w:rsid w:val="00B67DF2"/>
    <w:rsid w:val="00B8232C"/>
    <w:rsid w:val="00B84723"/>
    <w:rsid w:val="00B85BF7"/>
    <w:rsid w:val="00B939CC"/>
    <w:rsid w:val="00BA1580"/>
    <w:rsid w:val="00BA52B9"/>
    <w:rsid w:val="00BC135C"/>
    <w:rsid w:val="00BC547B"/>
    <w:rsid w:val="00BC7D86"/>
    <w:rsid w:val="00BD4B6C"/>
    <w:rsid w:val="00BF06D2"/>
    <w:rsid w:val="00BF55F6"/>
    <w:rsid w:val="00C14A68"/>
    <w:rsid w:val="00C37933"/>
    <w:rsid w:val="00C408C7"/>
    <w:rsid w:val="00C463F2"/>
    <w:rsid w:val="00C47EEA"/>
    <w:rsid w:val="00C519D0"/>
    <w:rsid w:val="00C52C74"/>
    <w:rsid w:val="00C5630B"/>
    <w:rsid w:val="00C70ACB"/>
    <w:rsid w:val="00C74109"/>
    <w:rsid w:val="00C74AC6"/>
    <w:rsid w:val="00C75969"/>
    <w:rsid w:val="00C82EB1"/>
    <w:rsid w:val="00C8363C"/>
    <w:rsid w:val="00C91809"/>
    <w:rsid w:val="00C93BA2"/>
    <w:rsid w:val="00CA4FEC"/>
    <w:rsid w:val="00CB62A2"/>
    <w:rsid w:val="00CD7921"/>
    <w:rsid w:val="00CE084B"/>
    <w:rsid w:val="00CE4249"/>
    <w:rsid w:val="00CF626D"/>
    <w:rsid w:val="00D02D57"/>
    <w:rsid w:val="00D100D7"/>
    <w:rsid w:val="00D118D6"/>
    <w:rsid w:val="00D20266"/>
    <w:rsid w:val="00D20C29"/>
    <w:rsid w:val="00D31A61"/>
    <w:rsid w:val="00D33842"/>
    <w:rsid w:val="00D47915"/>
    <w:rsid w:val="00D525DC"/>
    <w:rsid w:val="00D57D6E"/>
    <w:rsid w:val="00D61F5A"/>
    <w:rsid w:val="00D656C2"/>
    <w:rsid w:val="00D74FAA"/>
    <w:rsid w:val="00D76097"/>
    <w:rsid w:val="00D901A6"/>
    <w:rsid w:val="00D90C00"/>
    <w:rsid w:val="00D914BD"/>
    <w:rsid w:val="00D97D60"/>
    <w:rsid w:val="00D97FCD"/>
    <w:rsid w:val="00DA6823"/>
    <w:rsid w:val="00DB1DC4"/>
    <w:rsid w:val="00DB4C12"/>
    <w:rsid w:val="00DB6E90"/>
    <w:rsid w:val="00DB7A9E"/>
    <w:rsid w:val="00DC6BD2"/>
    <w:rsid w:val="00DD1A10"/>
    <w:rsid w:val="00DD5F52"/>
    <w:rsid w:val="00DD742A"/>
    <w:rsid w:val="00DF1F9D"/>
    <w:rsid w:val="00E0081E"/>
    <w:rsid w:val="00E02094"/>
    <w:rsid w:val="00E05A7C"/>
    <w:rsid w:val="00E07439"/>
    <w:rsid w:val="00E10F4C"/>
    <w:rsid w:val="00E115AB"/>
    <w:rsid w:val="00E1714C"/>
    <w:rsid w:val="00E23885"/>
    <w:rsid w:val="00E2419F"/>
    <w:rsid w:val="00E2665A"/>
    <w:rsid w:val="00E3226F"/>
    <w:rsid w:val="00E366D6"/>
    <w:rsid w:val="00E376C4"/>
    <w:rsid w:val="00E46593"/>
    <w:rsid w:val="00E4793A"/>
    <w:rsid w:val="00E57F0D"/>
    <w:rsid w:val="00E63D8B"/>
    <w:rsid w:val="00E74849"/>
    <w:rsid w:val="00E749AF"/>
    <w:rsid w:val="00E81F4B"/>
    <w:rsid w:val="00E8261A"/>
    <w:rsid w:val="00E904C3"/>
    <w:rsid w:val="00E920C0"/>
    <w:rsid w:val="00E97659"/>
    <w:rsid w:val="00EA11BE"/>
    <w:rsid w:val="00EA5F6D"/>
    <w:rsid w:val="00EB5FBB"/>
    <w:rsid w:val="00EB7ACE"/>
    <w:rsid w:val="00EC644A"/>
    <w:rsid w:val="00EC6A3F"/>
    <w:rsid w:val="00ED6A94"/>
    <w:rsid w:val="00EE4F35"/>
    <w:rsid w:val="00EE7286"/>
    <w:rsid w:val="00EF5A60"/>
    <w:rsid w:val="00EF5C60"/>
    <w:rsid w:val="00F118C4"/>
    <w:rsid w:val="00F11DAF"/>
    <w:rsid w:val="00F22F63"/>
    <w:rsid w:val="00F30554"/>
    <w:rsid w:val="00F348D2"/>
    <w:rsid w:val="00F40672"/>
    <w:rsid w:val="00F4325D"/>
    <w:rsid w:val="00F4485F"/>
    <w:rsid w:val="00F44B6A"/>
    <w:rsid w:val="00F521C7"/>
    <w:rsid w:val="00F569A2"/>
    <w:rsid w:val="00F60108"/>
    <w:rsid w:val="00F60BF8"/>
    <w:rsid w:val="00F64863"/>
    <w:rsid w:val="00F846C2"/>
    <w:rsid w:val="00F902F2"/>
    <w:rsid w:val="00F960C1"/>
    <w:rsid w:val="00FA0331"/>
    <w:rsid w:val="00FA4C3D"/>
    <w:rsid w:val="00FA6DD0"/>
    <w:rsid w:val="00FB0768"/>
    <w:rsid w:val="00FB7CE1"/>
    <w:rsid w:val="00FC0359"/>
    <w:rsid w:val="00FC049C"/>
    <w:rsid w:val="00FC1C0E"/>
    <w:rsid w:val="00FC5ED8"/>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CommentReference">
    <w:name w:val="annotation reference"/>
    <w:basedOn w:val="DefaultParagraphFont"/>
    <w:rsid w:val="003F771B"/>
    <w:rPr>
      <w:sz w:val="16"/>
      <w:szCs w:val="16"/>
    </w:rPr>
  </w:style>
  <w:style w:type="paragraph" w:styleId="CommentText">
    <w:name w:val="annotation text"/>
    <w:basedOn w:val="Normal"/>
    <w:link w:val="CommentTextChar"/>
    <w:rsid w:val="003F771B"/>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3F771B"/>
  </w:style>
  <w:style w:type="paragraph" w:styleId="BalloonText">
    <w:name w:val="Balloon Text"/>
    <w:basedOn w:val="Normal"/>
    <w:link w:val="BalloonTextChar"/>
    <w:rsid w:val="003F771B"/>
    <w:rPr>
      <w:rFonts w:ascii="Tahoma" w:hAnsi="Tahoma" w:cs="Tahoma"/>
      <w:sz w:val="16"/>
      <w:szCs w:val="16"/>
    </w:rPr>
  </w:style>
  <w:style w:type="character" w:customStyle="1" w:styleId="BalloonTextChar">
    <w:name w:val="Balloon Text Char"/>
    <w:basedOn w:val="DefaultParagraphFont"/>
    <w:link w:val="BalloonText"/>
    <w:rsid w:val="003F771B"/>
    <w:rPr>
      <w:rFonts w:ascii="Tahoma" w:hAnsi="Tahoma" w:cs="Tahoma"/>
      <w:sz w:val="16"/>
      <w:szCs w:val="16"/>
      <w:lang w:eastAsia="en-US"/>
    </w:rPr>
  </w:style>
  <w:style w:type="table" w:styleId="TableGrid">
    <w:name w:val="Table Grid"/>
    <w:basedOn w:val="TableNormal"/>
    <w:rsid w:val="00D9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8E07A8"/>
    <w:pPr>
      <w:widowControl/>
      <w:overflowPunct/>
      <w:autoSpaceDE/>
      <w:autoSpaceDN/>
      <w:adjustRightInd/>
      <w:textAlignment w:val="auto"/>
    </w:pPr>
    <w:rPr>
      <w:b/>
      <w:color w:val="FFFFFF"/>
      <w:szCs w:val="24"/>
      <w:lang w:eastAsia="en-GB"/>
    </w:rPr>
  </w:style>
  <w:style w:type="paragraph" w:styleId="CommentSubject">
    <w:name w:val="annotation subject"/>
    <w:basedOn w:val="CommentText"/>
    <w:next w:val="CommentText"/>
    <w:link w:val="CommentSubjectChar"/>
    <w:rsid w:val="00984EAD"/>
    <w:pPr>
      <w:widowControl w:val="0"/>
      <w:overflowPunct w:val="0"/>
      <w:autoSpaceDE w:val="0"/>
      <w:autoSpaceDN w:val="0"/>
      <w:adjustRightInd w:val="0"/>
      <w:textAlignment w:val="baseline"/>
    </w:pPr>
    <w:rPr>
      <w:rFonts w:ascii="Arial" w:hAnsi="Arial"/>
      <w:b/>
      <w:bCs/>
      <w:lang w:eastAsia="en-US"/>
    </w:rPr>
  </w:style>
  <w:style w:type="character" w:customStyle="1" w:styleId="CommentSubjectChar">
    <w:name w:val="Comment Subject Char"/>
    <w:basedOn w:val="CommentTextChar"/>
    <w:link w:val="CommentSubject"/>
    <w:rsid w:val="00984EAD"/>
    <w:rPr>
      <w:rFonts w:ascii="Arial" w:hAnsi="Arial"/>
      <w:b/>
      <w:bCs/>
      <w:lang w:eastAsia="en-US"/>
    </w:rPr>
  </w:style>
  <w:style w:type="character" w:customStyle="1" w:styleId="Heading2Char">
    <w:name w:val="Heading 2 Char"/>
    <w:aliases w:val="Numbered - 2 Char"/>
    <w:basedOn w:val="DefaultParagraphFont"/>
    <w:link w:val="Heading2"/>
    <w:uiPriority w:val="9"/>
    <w:rsid w:val="00C5630B"/>
    <w:rPr>
      <w:rFonts w:ascii="Arial" w:hAnsi="Arial"/>
      <w:b/>
      <w:kern w:val="28"/>
      <w:sz w:val="24"/>
      <w:lang w:eastAsia="en-US"/>
    </w:rPr>
  </w:style>
  <w:style w:type="character" w:customStyle="1" w:styleId="HeaderChar">
    <w:name w:val="Header Char"/>
    <w:basedOn w:val="DefaultParagraphFont"/>
    <w:link w:val="Header"/>
    <w:uiPriority w:val="99"/>
    <w:rsid w:val="00B62931"/>
    <w:rPr>
      <w:rFonts w:ascii="Arial" w:hAnsi="Arial"/>
      <w:sz w:val="24"/>
      <w:lang w:eastAsia="en-US"/>
    </w:rPr>
  </w:style>
  <w:style w:type="character" w:customStyle="1" w:styleId="FooterChar">
    <w:name w:val="Footer Char"/>
    <w:basedOn w:val="DefaultParagraphFont"/>
    <w:link w:val="Footer"/>
    <w:uiPriority w:val="99"/>
    <w:rsid w:val="00E376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1174">
      <w:bodyDiv w:val="1"/>
      <w:marLeft w:val="0"/>
      <w:marRight w:val="0"/>
      <w:marTop w:val="0"/>
      <w:marBottom w:val="0"/>
      <w:divBdr>
        <w:top w:val="none" w:sz="0" w:space="0" w:color="auto"/>
        <w:left w:val="none" w:sz="0" w:space="0" w:color="auto"/>
        <w:bottom w:val="none" w:sz="0" w:space="0" w:color="auto"/>
        <w:right w:val="none" w:sz="0" w:space="0" w:color="auto"/>
      </w:divBdr>
    </w:div>
    <w:div w:id="20227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HKPH4XM4QHZ4-9-14774</_dlc_DocId>
    <_dlc_DocIdUrl xmlns="b8cb3cbd-ce5c-4a72-9da4-9013f91c5903">
      <Url>http://workplaces/sites/ttg/d/_layouts/DocIdRedir.aspx?ID=HKPH4XM4QHZ4-9-14774</Url>
      <Description>HKPH4XM4QHZ4-9-14774</Description>
    </_dlc_DocIdUrl>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670af5cf3e15662bf324795d771b715a">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9fa0d0003ae5271f7b85253d39227722"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20AD-6A30-474B-A38D-9DD98722032F}">
  <ds:schemaRefs>
    <ds:schemaRef ds:uri="http://schemas.microsoft.com/sharepoint/events"/>
  </ds:schemaRefs>
</ds:datastoreItem>
</file>

<file path=customXml/itemProps2.xml><?xml version="1.0" encoding="utf-8"?>
<ds:datastoreItem xmlns:ds="http://schemas.openxmlformats.org/officeDocument/2006/customXml" ds:itemID="{323EFAE5-661B-4E04-A512-C73AC9E9CE24}">
  <ds:schemaRefs>
    <ds:schemaRef ds:uri="http://schemas.microsoft.com/sharepoint/v3/contenttype/forms"/>
  </ds:schemaRefs>
</ds:datastoreItem>
</file>

<file path=customXml/itemProps3.xml><?xml version="1.0" encoding="utf-8"?>
<ds:datastoreItem xmlns:ds="http://schemas.openxmlformats.org/officeDocument/2006/customXml" ds:itemID="{4A59D045-B0F2-4F2E-B883-F8A801916E75}">
  <ds:schemaRefs>
    <ds:schemaRef ds:uri="01d2705b-266c-471f-bbad-ca9cc3733704"/>
    <ds:schemaRef ds:uri="http://schemas.microsoft.com/sharepoint/v3"/>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b8cb3cbd-ce5c-4a72-9da4-9013f91c590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9258687-9CB4-44C9-9ACD-FC79EB696553}">
  <ds:schemaRefs>
    <ds:schemaRef ds:uri="Microsoft.SharePoint.Taxonomy.ContentTypeSync"/>
  </ds:schemaRefs>
</ds:datastoreItem>
</file>

<file path=customXml/itemProps5.xml><?xml version="1.0" encoding="utf-8"?>
<ds:datastoreItem xmlns:ds="http://schemas.openxmlformats.org/officeDocument/2006/customXml" ds:itemID="{A72BA192-5243-423D-8767-2306E81A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1A2279-20F2-49DD-8C21-7EACC76D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1676B853</Template>
  <TotalTime>0</TotalTime>
  <Pages>8</Pages>
  <Words>3019</Words>
  <Characters>15746</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Final finance, risk and audit paper for 3 June 15</vt:lpstr>
    </vt:vector>
  </TitlesOfParts>
  <Company>Employment Benefits</Company>
  <LinksUpToDate>false</LinksUpToDate>
  <CharactersWithSpaces>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finance, risk and audit paper for 3 June 15</dc:title>
  <dc:creator>WILLIAMS, Sue (CIOG)</dc:creator>
  <cp:lastModifiedBy>CAMMACK, Karen</cp:lastModifiedBy>
  <cp:revision>2</cp:revision>
  <dcterms:created xsi:type="dcterms:W3CDTF">2015-12-16T14:20:00Z</dcterms:created>
  <dcterms:modified xsi:type="dcterms:W3CDTF">2015-12-16T14:20:00Z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34ce5bc0-fde3-48a8-9b03-b2c0764155e3</vt:lpwstr>
  </property>
</Properties>
</file>