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DC86" w14:textId="77777777" w:rsidR="00533406" w:rsidRPr="00EB7ACE" w:rsidRDefault="00533406" w:rsidP="00AF1C07">
      <w:pPr>
        <w:pStyle w:val="DeptBullets"/>
        <w:numPr>
          <w:ilvl w:val="0"/>
          <w:numId w:val="0"/>
        </w:numPr>
        <w:rPr>
          <w:rFonts w:asciiTheme="minorHAnsi" w:hAnsiTheme="minorHAnsi"/>
          <w:b/>
          <w:sz w:val="22"/>
          <w:szCs w:val="22"/>
        </w:rPr>
      </w:pPr>
      <w:proofErr w:type="gramStart"/>
      <w:r w:rsidRPr="00EB7ACE">
        <w:rPr>
          <w:rFonts w:asciiTheme="minorHAnsi" w:hAnsiTheme="minorHAnsi"/>
          <w:b/>
          <w:sz w:val="22"/>
          <w:szCs w:val="22"/>
        </w:rPr>
        <w:t>T</w:t>
      </w:r>
      <w:r w:rsidR="00D901A6" w:rsidRPr="00EB7ACE">
        <w:rPr>
          <w:rFonts w:asciiTheme="minorHAnsi" w:hAnsiTheme="minorHAnsi"/>
          <w:b/>
          <w:sz w:val="22"/>
          <w:szCs w:val="22"/>
        </w:rPr>
        <w:t xml:space="preserve">eachers’ Pension Scheme </w:t>
      </w:r>
      <w:r w:rsidRPr="00EB7ACE">
        <w:rPr>
          <w:rFonts w:asciiTheme="minorHAnsi" w:hAnsiTheme="minorHAnsi"/>
          <w:b/>
          <w:sz w:val="22"/>
          <w:szCs w:val="22"/>
        </w:rPr>
        <w:t>Pension Board</w:t>
      </w:r>
      <w:r w:rsidR="00695F57">
        <w:rPr>
          <w:rFonts w:asciiTheme="minorHAnsi" w:hAnsiTheme="minorHAnsi"/>
          <w:b/>
          <w:sz w:val="22"/>
          <w:szCs w:val="22"/>
        </w:rPr>
        <w:t xml:space="preserve"> </w:t>
      </w:r>
      <w:r w:rsidR="00B62931">
        <w:rPr>
          <w:rFonts w:asciiTheme="minorHAnsi" w:hAnsiTheme="minorHAnsi"/>
          <w:b/>
          <w:sz w:val="22"/>
          <w:szCs w:val="22"/>
        </w:rPr>
        <w:t>Finance, Risk and Audit Report.</w:t>
      </w:r>
      <w:proofErr w:type="gramEnd"/>
    </w:p>
    <w:p w14:paraId="0DEBFC64" w14:textId="77777777" w:rsidR="002F6007" w:rsidRDefault="00533406" w:rsidP="002F6007">
      <w:pPr>
        <w:rPr>
          <w:rFonts w:ascii="Calibri" w:hAnsi="Calibri" w:cs="Calibri"/>
          <w:b/>
          <w:sz w:val="22"/>
          <w:szCs w:val="22"/>
          <w:u w:val="single"/>
        </w:rPr>
      </w:pPr>
      <w:r w:rsidRPr="00EB7ACE">
        <w:rPr>
          <w:rFonts w:asciiTheme="minorHAnsi" w:hAnsiTheme="minorHAnsi"/>
          <w:sz w:val="22"/>
          <w:szCs w:val="22"/>
        </w:rPr>
        <w:t xml:space="preserve">The purpose of this document is to advise the </w:t>
      </w:r>
      <w:r w:rsidR="00F11DAF" w:rsidRPr="00EB7ACE">
        <w:rPr>
          <w:rFonts w:asciiTheme="minorHAnsi" w:hAnsiTheme="minorHAnsi"/>
          <w:sz w:val="22"/>
          <w:szCs w:val="22"/>
        </w:rPr>
        <w:t>B</w:t>
      </w:r>
      <w:r w:rsidRPr="00EB7ACE">
        <w:rPr>
          <w:rFonts w:asciiTheme="minorHAnsi" w:hAnsiTheme="minorHAnsi"/>
          <w:sz w:val="22"/>
          <w:szCs w:val="22"/>
        </w:rPr>
        <w:t xml:space="preserve">oard of recent key events relating to the </w:t>
      </w:r>
      <w:r w:rsidR="002F6007">
        <w:rPr>
          <w:rFonts w:asciiTheme="minorHAnsi" w:hAnsiTheme="minorHAnsi"/>
          <w:sz w:val="22"/>
          <w:szCs w:val="22"/>
        </w:rPr>
        <w:t xml:space="preserve">financial management, risk and auditing of the </w:t>
      </w:r>
      <w:r w:rsidRPr="00EB7ACE">
        <w:rPr>
          <w:rFonts w:asciiTheme="minorHAnsi" w:hAnsiTheme="minorHAnsi"/>
          <w:sz w:val="22"/>
          <w:szCs w:val="22"/>
        </w:rPr>
        <w:t>scheme.</w:t>
      </w:r>
      <w:r w:rsidR="002F6007" w:rsidRPr="002F6007">
        <w:rPr>
          <w:rFonts w:ascii="Calibri" w:hAnsi="Calibri" w:cs="Calibri"/>
          <w:b/>
          <w:sz w:val="22"/>
          <w:szCs w:val="22"/>
          <w:u w:val="single"/>
        </w:rPr>
        <w:t xml:space="preserve"> </w:t>
      </w:r>
    </w:p>
    <w:p w14:paraId="313E379C" w14:textId="77777777" w:rsidR="002F6007" w:rsidRDefault="002F6007" w:rsidP="002F6007">
      <w:pPr>
        <w:rPr>
          <w:rFonts w:ascii="Calibri" w:hAnsi="Calibri" w:cs="Calibri"/>
          <w:b/>
          <w:sz w:val="22"/>
          <w:szCs w:val="22"/>
          <w:u w:val="single"/>
        </w:rPr>
      </w:pPr>
    </w:p>
    <w:p w14:paraId="3AE826C0" w14:textId="77777777" w:rsidR="002F6007" w:rsidRDefault="00EE7286" w:rsidP="002F6007">
      <w:pPr>
        <w:jc w:val="center"/>
        <w:rPr>
          <w:rFonts w:ascii="Calibri" w:hAnsi="Calibri" w:cs="Calibri"/>
          <w:b/>
          <w:sz w:val="28"/>
          <w:szCs w:val="28"/>
        </w:rPr>
      </w:pPr>
      <w:r>
        <w:rPr>
          <w:rFonts w:ascii="Calibri" w:hAnsi="Calibri" w:cs="Calibri"/>
          <w:b/>
          <w:sz w:val="28"/>
          <w:szCs w:val="28"/>
        </w:rPr>
        <w:t>Finance</w:t>
      </w:r>
      <w:r w:rsidR="00000089">
        <w:rPr>
          <w:rFonts w:ascii="Calibri" w:hAnsi="Calibri" w:cs="Calibri"/>
          <w:b/>
          <w:sz w:val="28"/>
          <w:szCs w:val="28"/>
        </w:rPr>
        <w:t xml:space="preserve"> </w:t>
      </w:r>
    </w:p>
    <w:p w14:paraId="77236DBC" w14:textId="77777777" w:rsidR="002F6007" w:rsidRPr="002F6007" w:rsidRDefault="002F6007" w:rsidP="002F6007">
      <w:pPr>
        <w:jc w:val="center"/>
        <w:rPr>
          <w:rFonts w:ascii="Calibri" w:hAnsi="Calibri" w:cs="Calibri"/>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50EFEC4D" w14:textId="77777777" w:rsidTr="00DC6BD2">
        <w:tc>
          <w:tcPr>
            <w:tcW w:w="7230" w:type="dxa"/>
          </w:tcPr>
          <w:p w14:paraId="2535CB45" w14:textId="77777777" w:rsidR="00DC6BD2" w:rsidRPr="00EB7ACE" w:rsidRDefault="00DC6BD2" w:rsidP="00311C8A">
            <w:pPr>
              <w:rPr>
                <w:rFonts w:asciiTheme="minorHAnsi" w:hAnsiTheme="minorHAnsi" w:cs="Arial"/>
                <w:b/>
                <w:color w:val="000000"/>
                <w:sz w:val="22"/>
                <w:szCs w:val="22"/>
                <w:lang w:eastAsia="en-GB"/>
              </w:rPr>
            </w:pPr>
          </w:p>
          <w:p w14:paraId="1BC3E737"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Cash Income and Expenditure</w:t>
            </w:r>
          </w:p>
          <w:p w14:paraId="4589F7F4"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58FA36B6" w14:textId="77777777" w:rsidR="00DC6BD2" w:rsidRPr="00EB7ACE" w:rsidRDefault="00DC6BD2" w:rsidP="00311C8A">
            <w:pPr>
              <w:rPr>
                <w:rFonts w:asciiTheme="minorHAnsi" w:hAnsiTheme="minorHAnsi" w:cs="Calibri"/>
                <w:color w:val="00B050"/>
                <w:sz w:val="22"/>
                <w:szCs w:val="22"/>
              </w:rPr>
            </w:pPr>
          </w:p>
          <w:p w14:paraId="1211D39D" w14:textId="77777777" w:rsidR="00DC6BD2" w:rsidRPr="00EB7ACE" w:rsidRDefault="00DC6BD2" w:rsidP="00DC6BD2">
            <w:pPr>
              <w:rPr>
                <w:rFonts w:asciiTheme="minorHAnsi" w:hAnsiTheme="minorHAnsi" w:cs="Calibri"/>
                <w:color w:val="00B050"/>
                <w:sz w:val="22"/>
                <w:szCs w:val="22"/>
              </w:rPr>
            </w:pPr>
          </w:p>
        </w:tc>
      </w:tr>
    </w:tbl>
    <w:p w14:paraId="1F491DA4" w14:textId="77777777" w:rsidR="00984EAD" w:rsidRPr="00984EAD" w:rsidRDefault="00984EAD" w:rsidP="00984EAD">
      <w:pPr>
        <w:pStyle w:val="ListParagraph"/>
        <w:widowControl/>
        <w:overflowPunct/>
        <w:autoSpaceDE/>
        <w:autoSpaceDN/>
        <w:adjustRightInd/>
        <w:spacing w:line="276" w:lineRule="auto"/>
        <w:textAlignment w:val="auto"/>
        <w:rPr>
          <w:rFonts w:cs="Arial"/>
          <w:sz w:val="20"/>
        </w:rPr>
      </w:pPr>
    </w:p>
    <w:p w14:paraId="5302E3FC" w14:textId="13C00509" w:rsidR="006E6FB4" w:rsidRPr="00F50E92" w:rsidRDefault="006E6FB4" w:rsidP="00F50E92">
      <w:pPr>
        <w:pStyle w:val="ListParagraph"/>
        <w:widowControl/>
        <w:numPr>
          <w:ilvl w:val="0"/>
          <w:numId w:val="14"/>
        </w:numPr>
        <w:overflowPunct/>
        <w:autoSpaceDE/>
        <w:autoSpaceDN/>
        <w:adjustRightInd/>
        <w:spacing w:line="276" w:lineRule="auto"/>
        <w:textAlignment w:val="auto"/>
        <w:rPr>
          <w:rFonts w:asciiTheme="minorHAnsi" w:hAnsiTheme="minorHAnsi" w:cs="Arial"/>
          <w:sz w:val="22"/>
          <w:szCs w:val="22"/>
        </w:rPr>
      </w:pPr>
      <w:r w:rsidRPr="00F50E92">
        <w:rPr>
          <w:rFonts w:asciiTheme="minorHAnsi" w:hAnsiTheme="minorHAnsi"/>
          <w:color w:val="000000" w:themeColor="text1"/>
          <w:sz w:val="22"/>
          <w:szCs w:val="22"/>
        </w:rPr>
        <w:t xml:space="preserve">At the end of the 2014-15 financial </w:t>
      </w:r>
      <w:proofErr w:type="gramStart"/>
      <w:r w:rsidRPr="00F50E92">
        <w:rPr>
          <w:rFonts w:asciiTheme="minorHAnsi" w:hAnsiTheme="minorHAnsi"/>
          <w:color w:val="000000" w:themeColor="text1"/>
          <w:sz w:val="22"/>
          <w:szCs w:val="22"/>
        </w:rPr>
        <w:t>year</w:t>
      </w:r>
      <w:proofErr w:type="gramEnd"/>
      <w:r w:rsidRPr="00F50E92">
        <w:rPr>
          <w:rFonts w:asciiTheme="minorHAnsi" w:hAnsiTheme="minorHAnsi"/>
          <w:color w:val="000000" w:themeColor="text1"/>
          <w:sz w:val="22"/>
          <w:szCs w:val="22"/>
        </w:rPr>
        <w:t>, the scheme reported an</w:t>
      </w:r>
      <w:r w:rsidR="009B287D" w:rsidRPr="00F50E92">
        <w:rPr>
          <w:rFonts w:asciiTheme="minorHAnsi" w:hAnsiTheme="minorHAnsi"/>
          <w:color w:val="000000" w:themeColor="text1"/>
          <w:sz w:val="22"/>
          <w:szCs w:val="22"/>
        </w:rPr>
        <w:t xml:space="preserve"> income variance of 0.02% (£1.1million on £5.8billion</w:t>
      </w:r>
      <w:r w:rsidR="00F4325D" w:rsidRPr="00F50E92">
        <w:rPr>
          <w:rFonts w:asciiTheme="minorHAnsi" w:hAnsiTheme="minorHAnsi"/>
          <w:color w:val="000000" w:themeColor="text1"/>
          <w:sz w:val="22"/>
          <w:szCs w:val="22"/>
        </w:rPr>
        <w:t>)</w:t>
      </w:r>
      <w:r w:rsidRPr="00F50E92">
        <w:rPr>
          <w:rFonts w:asciiTheme="minorHAnsi" w:hAnsiTheme="minorHAnsi"/>
          <w:color w:val="000000" w:themeColor="text1"/>
          <w:sz w:val="22"/>
          <w:szCs w:val="22"/>
        </w:rPr>
        <w:t xml:space="preserve">; </w:t>
      </w:r>
      <w:r w:rsidRPr="00F50E92">
        <w:rPr>
          <w:rFonts w:asciiTheme="minorHAnsi" w:hAnsiTheme="minorHAnsi" w:cs="Arial"/>
          <w:sz w:val="22"/>
          <w:szCs w:val="22"/>
        </w:rPr>
        <w:t>the year-end expenditure variance was 0.2% or £22million under the forecast.</w:t>
      </w:r>
      <w:r w:rsidR="00117BDE" w:rsidRPr="00F50E92">
        <w:rPr>
          <w:rFonts w:asciiTheme="minorHAnsi" w:hAnsiTheme="minorHAnsi" w:cs="Arial"/>
          <w:sz w:val="22"/>
          <w:szCs w:val="22"/>
        </w:rPr>
        <w:t xml:space="preserve">  </w:t>
      </w:r>
      <w:r w:rsidR="00117BDE" w:rsidRPr="00F50E92">
        <w:rPr>
          <w:rFonts w:asciiTheme="minorHAnsi" w:hAnsiTheme="minorHAnsi" w:cs="Arial"/>
          <w:sz w:val="22"/>
          <w:szCs w:val="22"/>
          <w:highlight w:val="black"/>
        </w:rPr>
        <w:t>This is an excellent result, and falls well within the agreed Outcome 13 tolerance of +/-1%.</w:t>
      </w:r>
    </w:p>
    <w:p w14:paraId="30F1185C" w14:textId="77777777" w:rsidR="00117BDE" w:rsidRDefault="00117BDE" w:rsidP="00117BDE">
      <w:pPr>
        <w:pStyle w:val="DeptBullets"/>
        <w:numPr>
          <w:ilvl w:val="0"/>
          <w:numId w:val="0"/>
        </w:numPr>
        <w:spacing w:after="0"/>
        <w:ind w:left="357"/>
        <w:rPr>
          <w:rFonts w:asciiTheme="minorHAnsi" w:hAnsiTheme="minorHAnsi"/>
          <w:color w:val="000000" w:themeColor="text1"/>
          <w:sz w:val="22"/>
          <w:szCs w:val="22"/>
        </w:rPr>
      </w:pPr>
    </w:p>
    <w:p w14:paraId="2C4044C9" w14:textId="77777777" w:rsidR="00F4325D" w:rsidRPr="00117BDE" w:rsidRDefault="00117BDE" w:rsidP="00117BDE">
      <w:pPr>
        <w:pStyle w:val="DeptBullets"/>
        <w:numPr>
          <w:ilvl w:val="0"/>
          <w:numId w:val="14"/>
        </w:numPr>
        <w:rPr>
          <w:rFonts w:asciiTheme="minorHAnsi" w:hAnsiTheme="minorHAnsi"/>
          <w:color w:val="FF0000"/>
          <w:sz w:val="22"/>
          <w:szCs w:val="22"/>
        </w:rPr>
      </w:pPr>
      <w:r>
        <w:rPr>
          <w:rFonts w:asciiTheme="minorHAnsi" w:hAnsiTheme="minorHAnsi"/>
          <w:color w:val="000000" w:themeColor="text1"/>
          <w:sz w:val="22"/>
          <w:szCs w:val="22"/>
        </w:rPr>
        <w:t>The monthly income variance for A</w:t>
      </w:r>
      <w:bookmarkStart w:id="0" w:name="_GoBack"/>
      <w:bookmarkEnd w:id="0"/>
      <w:r>
        <w:rPr>
          <w:rFonts w:asciiTheme="minorHAnsi" w:hAnsiTheme="minorHAnsi"/>
          <w:color w:val="000000" w:themeColor="text1"/>
          <w:sz w:val="22"/>
          <w:szCs w:val="22"/>
        </w:rPr>
        <w:t>pril 20</w:t>
      </w:r>
      <w:r w:rsidR="00F4325D">
        <w:rPr>
          <w:rFonts w:asciiTheme="minorHAnsi" w:hAnsiTheme="minorHAnsi"/>
          <w:color w:val="000000" w:themeColor="text1"/>
          <w:sz w:val="22"/>
          <w:szCs w:val="22"/>
        </w:rPr>
        <w:t>15-16</w:t>
      </w:r>
      <w:r>
        <w:rPr>
          <w:rFonts w:asciiTheme="minorHAnsi" w:hAnsiTheme="minorHAnsi"/>
          <w:color w:val="000000" w:themeColor="text1"/>
          <w:sz w:val="22"/>
          <w:szCs w:val="22"/>
        </w:rPr>
        <w:t xml:space="preserve"> is</w:t>
      </w:r>
      <w:r w:rsidR="009B287D" w:rsidRPr="00E749AF">
        <w:rPr>
          <w:rFonts w:asciiTheme="minorHAnsi" w:hAnsiTheme="minorHAnsi"/>
          <w:color w:val="000000" w:themeColor="text1"/>
          <w:sz w:val="22"/>
          <w:szCs w:val="22"/>
        </w:rPr>
        <w:t xml:space="preserve"> 1.8%</w:t>
      </w:r>
      <w:r w:rsidR="002F6007" w:rsidRPr="00E749AF">
        <w:rPr>
          <w:rFonts w:asciiTheme="minorHAnsi" w:hAnsiTheme="minorHAnsi"/>
          <w:color w:val="000000" w:themeColor="text1"/>
          <w:sz w:val="22"/>
          <w:szCs w:val="22"/>
        </w:rPr>
        <w:t xml:space="preserve">. </w:t>
      </w:r>
      <w:r w:rsidR="009B287D" w:rsidRPr="00E749AF">
        <w:rPr>
          <w:rFonts w:asciiTheme="minorHAnsi" w:hAnsiTheme="minorHAnsi"/>
          <w:color w:val="000000" w:themeColor="text1"/>
          <w:sz w:val="22"/>
          <w:szCs w:val="22"/>
        </w:rPr>
        <w:t>This represent</w:t>
      </w:r>
      <w:r>
        <w:rPr>
          <w:rFonts w:asciiTheme="minorHAnsi" w:hAnsiTheme="minorHAnsi"/>
          <w:color w:val="000000" w:themeColor="text1"/>
          <w:sz w:val="22"/>
          <w:szCs w:val="22"/>
        </w:rPr>
        <w:t>s</w:t>
      </w:r>
      <w:r w:rsidR="009B287D" w:rsidRPr="00E749AF">
        <w:rPr>
          <w:rFonts w:asciiTheme="minorHAnsi" w:hAnsiTheme="minorHAnsi"/>
          <w:color w:val="000000" w:themeColor="text1"/>
          <w:sz w:val="22"/>
          <w:szCs w:val="22"/>
        </w:rPr>
        <w:t xml:space="preserve"> £8.4million less</w:t>
      </w:r>
      <w:r w:rsidR="00F4325D">
        <w:rPr>
          <w:rFonts w:asciiTheme="minorHAnsi" w:hAnsiTheme="minorHAnsi"/>
          <w:color w:val="000000" w:themeColor="text1"/>
          <w:sz w:val="22"/>
          <w:szCs w:val="22"/>
        </w:rPr>
        <w:t xml:space="preserve"> income</w:t>
      </w:r>
      <w:r w:rsidR="009B287D" w:rsidRPr="00E749AF">
        <w:rPr>
          <w:rFonts w:asciiTheme="minorHAnsi" w:hAnsiTheme="minorHAnsi"/>
          <w:color w:val="000000" w:themeColor="text1"/>
          <w:sz w:val="22"/>
          <w:szCs w:val="22"/>
        </w:rPr>
        <w:t xml:space="preserve"> than the </w:t>
      </w:r>
      <w:r w:rsidR="00F4325D">
        <w:rPr>
          <w:rFonts w:asciiTheme="minorHAnsi" w:hAnsiTheme="minorHAnsi"/>
          <w:color w:val="000000" w:themeColor="text1"/>
          <w:sz w:val="22"/>
          <w:szCs w:val="22"/>
        </w:rPr>
        <w:t>forecast</w:t>
      </w:r>
      <w:r w:rsidR="009B287D" w:rsidRPr="00E749AF">
        <w:rPr>
          <w:rFonts w:asciiTheme="minorHAnsi" w:hAnsiTheme="minorHAnsi"/>
          <w:color w:val="000000" w:themeColor="text1"/>
          <w:sz w:val="22"/>
          <w:szCs w:val="22"/>
        </w:rPr>
        <w:t xml:space="preserve"> £478million. Such a variance is not unusual in the first month of a new financial year</w:t>
      </w:r>
      <w:r w:rsidR="00F4325D">
        <w:rPr>
          <w:rFonts w:asciiTheme="minorHAnsi" w:hAnsiTheme="minorHAnsi"/>
          <w:color w:val="000000" w:themeColor="text1"/>
          <w:sz w:val="22"/>
          <w:szCs w:val="22"/>
        </w:rPr>
        <w:t xml:space="preserve"> - </w:t>
      </w:r>
      <w:r w:rsidR="009B287D" w:rsidRPr="00E749AF">
        <w:rPr>
          <w:rFonts w:asciiTheme="minorHAnsi" w:hAnsiTheme="minorHAnsi"/>
          <w:color w:val="000000" w:themeColor="text1"/>
          <w:sz w:val="22"/>
          <w:szCs w:val="22"/>
        </w:rPr>
        <w:t>for comparison</w:t>
      </w:r>
      <w:r w:rsidR="00F4325D">
        <w:rPr>
          <w:rFonts w:asciiTheme="minorHAnsi" w:hAnsiTheme="minorHAnsi"/>
          <w:color w:val="000000" w:themeColor="text1"/>
          <w:sz w:val="22"/>
          <w:szCs w:val="22"/>
        </w:rPr>
        <w:t>, the</w:t>
      </w:r>
      <w:r w:rsidR="009B287D" w:rsidRPr="00E749AF">
        <w:rPr>
          <w:rFonts w:asciiTheme="minorHAnsi" w:hAnsiTheme="minorHAnsi"/>
          <w:color w:val="000000" w:themeColor="text1"/>
          <w:sz w:val="22"/>
          <w:szCs w:val="22"/>
        </w:rPr>
        <w:t xml:space="preserve"> April 2014 variance </w:t>
      </w:r>
      <w:r w:rsidR="00F4325D">
        <w:rPr>
          <w:rFonts w:asciiTheme="minorHAnsi" w:hAnsiTheme="minorHAnsi"/>
          <w:color w:val="000000" w:themeColor="text1"/>
          <w:sz w:val="22"/>
          <w:szCs w:val="22"/>
        </w:rPr>
        <w:t>was</w:t>
      </w:r>
      <w:r w:rsidR="009B287D" w:rsidRPr="00E749AF">
        <w:rPr>
          <w:rFonts w:asciiTheme="minorHAnsi" w:hAnsiTheme="minorHAnsi"/>
          <w:color w:val="000000" w:themeColor="text1"/>
          <w:sz w:val="22"/>
          <w:szCs w:val="22"/>
        </w:rPr>
        <w:t xml:space="preserve"> 6%. </w:t>
      </w:r>
    </w:p>
    <w:p w14:paraId="389B91CF" w14:textId="77777777" w:rsidR="002F6007" w:rsidRPr="00E115AB" w:rsidRDefault="002F6007" w:rsidP="00117BDE">
      <w:pPr>
        <w:pStyle w:val="DeptBullets"/>
        <w:numPr>
          <w:ilvl w:val="0"/>
          <w:numId w:val="14"/>
        </w:numPr>
        <w:rPr>
          <w:rFonts w:asciiTheme="minorHAnsi" w:hAnsiTheme="minorHAnsi"/>
          <w:color w:val="FF0000"/>
          <w:sz w:val="22"/>
          <w:szCs w:val="22"/>
        </w:rPr>
      </w:pPr>
      <w:r w:rsidRPr="00E749AF">
        <w:rPr>
          <w:rFonts w:asciiTheme="minorHAnsi" w:hAnsiTheme="minorHAnsi"/>
          <w:color w:val="000000" w:themeColor="text1"/>
          <w:sz w:val="22"/>
          <w:szCs w:val="22"/>
        </w:rPr>
        <w:t xml:space="preserve">Expenditure </w:t>
      </w:r>
      <w:r w:rsidR="009B287D" w:rsidRPr="00E749AF">
        <w:rPr>
          <w:rFonts w:asciiTheme="minorHAnsi" w:hAnsiTheme="minorHAnsi"/>
          <w:color w:val="000000" w:themeColor="text1"/>
          <w:sz w:val="22"/>
          <w:szCs w:val="22"/>
        </w:rPr>
        <w:t xml:space="preserve">for April was 0.8% </w:t>
      </w:r>
      <w:r w:rsidR="00F4325D">
        <w:rPr>
          <w:rFonts w:asciiTheme="minorHAnsi" w:hAnsiTheme="minorHAnsi"/>
          <w:color w:val="000000" w:themeColor="text1"/>
          <w:sz w:val="22"/>
          <w:szCs w:val="22"/>
        </w:rPr>
        <w:t>(</w:t>
      </w:r>
      <w:r w:rsidR="009B287D" w:rsidRPr="00E749AF">
        <w:rPr>
          <w:rFonts w:asciiTheme="minorHAnsi" w:hAnsiTheme="minorHAnsi"/>
          <w:color w:val="000000" w:themeColor="text1"/>
          <w:sz w:val="22"/>
          <w:szCs w:val="22"/>
        </w:rPr>
        <w:t>£6.4million</w:t>
      </w:r>
      <w:r w:rsidR="00F4325D">
        <w:rPr>
          <w:rFonts w:asciiTheme="minorHAnsi" w:hAnsiTheme="minorHAnsi"/>
          <w:color w:val="000000" w:themeColor="text1"/>
          <w:sz w:val="22"/>
          <w:szCs w:val="22"/>
        </w:rPr>
        <w:t>)</w:t>
      </w:r>
      <w:r w:rsidR="009B287D" w:rsidRPr="00E749AF">
        <w:rPr>
          <w:rFonts w:asciiTheme="minorHAnsi" w:hAnsiTheme="minorHAnsi"/>
          <w:color w:val="000000" w:themeColor="text1"/>
          <w:sz w:val="22"/>
          <w:szCs w:val="22"/>
        </w:rPr>
        <w:t xml:space="preserve"> less than</w:t>
      </w:r>
      <w:r w:rsidR="009B287D">
        <w:rPr>
          <w:rFonts w:asciiTheme="minorHAnsi" w:hAnsiTheme="minorHAnsi"/>
          <w:sz w:val="22"/>
          <w:szCs w:val="22"/>
        </w:rPr>
        <w:t xml:space="preserve"> </w:t>
      </w:r>
      <w:r w:rsidR="00F4325D">
        <w:rPr>
          <w:rFonts w:asciiTheme="minorHAnsi" w:hAnsiTheme="minorHAnsi"/>
          <w:sz w:val="22"/>
          <w:szCs w:val="22"/>
        </w:rPr>
        <w:t>forecast</w:t>
      </w:r>
      <w:r w:rsidR="00117BDE">
        <w:rPr>
          <w:rFonts w:asciiTheme="minorHAnsi" w:hAnsiTheme="minorHAnsi"/>
          <w:sz w:val="22"/>
          <w:szCs w:val="22"/>
        </w:rPr>
        <w:t>, th</w:t>
      </w:r>
      <w:r w:rsidR="009B287D">
        <w:rPr>
          <w:rFonts w:asciiTheme="minorHAnsi" w:hAnsiTheme="minorHAnsi"/>
          <w:sz w:val="22"/>
          <w:szCs w:val="22"/>
        </w:rPr>
        <w:t xml:space="preserve">e main drivers </w:t>
      </w:r>
      <w:r w:rsidR="00117BDE">
        <w:rPr>
          <w:rFonts w:asciiTheme="minorHAnsi" w:hAnsiTheme="minorHAnsi"/>
          <w:sz w:val="22"/>
          <w:szCs w:val="22"/>
        </w:rPr>
        <w:t xml:space="preserve">being reduced </w:t>
      </w:r>
      <w:r w:rsidR="009B287D">
        <w:rPr>
          <w:rFonts w:asciiTheme="minorHAnsi" w:hAnsiTheme="minorHAnsi"/>
          <w:sz w:val="22"/>
          <w:szCs w:val="22"/>
        </w:rPr>
        <w:t xml:space="preserve">Age Pensions and Transfers Out </w:t>
      </w:r>
      <w:r w:rsidR="00117BDE">
        <w:rPr>
          <w:rFonts w:asciiTheme="minorHAnsi" w:hAnsiTheme="minorHAnsi"/>
          <w:sz w:val="22"/>
          <w:szCs w:val="22"/>
        </w:rPr>
        <w:t xml:space="preserve">costs, </w:t>
      </w:r>
      <w:r w:rsidR="009B287D">
        <w:rPr>
          <w:rFonts w:asciiTheme="minorHAnsi" w:hAnsiTheme="minorHAnsi"/>
          <w:sz w:val="22"/>
          <w:szCs w:val="22"/>
        </w:rPr>
        <w:t>which were both £3million less than expected</w:t>
      </w:r>
      <w:r w:rsidR="00117BDE">
        <w:rPr>
          <w:rFonts w:asciiTheme="minorHAnsi" w:hAnsiTheme="minorHAnsi"/>
          <w:sz w:val="22"/>
          <w:szCs w:val="22"/>
        </w:rPr>
        <w:t xml:space="preserve">.  </w:t>
      </w:r>
      <w:r w:rsidR="00242D2E">
        <w:rPr>
          <w:rFonts w:asciiTheme="minorHAnsi" w:hAnsiTheme="minorHAnsi"/>
          <w:color w:val="000000" w:themeColor="text1"/>
          <w:sz w:val="22"/>
          <w:szCs w:val="22"/>
        </w:rPr>
        <w:t>We will continue to monitor and report t</w:t>
      </w:r>
      <w:r w:rsidR="00FB7CE1" w:rsidRPr="00E749AF">
        <w:rPr>
          <w:rFonts w:asciiTheme="minorHAnsi" w:hAnsiTheme="minorHAnsi"/>
          <w:color w:val="000000" w:themeColor="text1"/>
          <w:sz w:val="22"/>
          <w:szCs w:val="22"/>
        </w:rPr>
        <w:t xml:space="preserve">he </w:t>
      </w:r>
      <w:r w:rsidR="00242D2E">
        <w:rPr>
          <w:rFonts w:asciiTheme="minorHAnsi" w:hAnsiTheme="minorHAnsi"/>
          <w:color w:val="000000" w:themeColor="text1"/>
          <w:sz w:val="22"/>
          <w:szCs w:val="22"/>
        </w:rPr>
        <w:t xml:space="preserve">forecast </w:t>
      </w:r>
      <w:r w:rsidR="00FB7CE1" w:rsidRPr="00E749AF">
        <w:rPr>
          <w:rFonts w:asciiTheme="minorHAnsi" w:hAnsiTheme="minorHAnsi"/>
          <w:color w:val="000000" w:themeColor="text1"/>
          <w:sz w:val="22"/>
          <w:szCs w:val="22"/>
        </w:rPr>
        <w:t xml:space="preserve">net cash requirement </w:t>
      </w:r>
      <w:r w:rsidR="00F902F2" w:rsidRPr="00E749AF">
        <w:rPr>
          <w:rFonts w:asciiTheme="minorHAnsi" w:hAnsiTheme="minorHAnsi"/>
          <w:color w:val="000000" w:themeColor="text1"/>
          <w:sz w:val="22"/>
          <w:szCs w:val="22"/>
        </w:rPr>
        <w:t>position</w:t>
      </w:r>
      <w:r w:rsidR="00242D2E">
        <w:rPr>
          <w:rFonts w:asciiTheme="minorHAnsi" w:hAnsiTheme="minorHAnsi"/>
          <w:color w:val="000000" w:themeColor="text1"/>
          <w:sz w:val="22"/>
          <w:szCs w:val="22"/>
        </w:rPr>
        <w:t xml:space="preserve"> which,</w:t>
      </w:r>
      <w:r w:rsidR="00F902F2" w:rsidRPr="00E749AF">
        <w:rPr>
          <w:rFonts w:asciiTheme="minorHAnsi" w:hAnsiTheme="minorHAnsi"/>
          <w:color w:val="000000" w:themeColor="text1"/>
          <w:sz w:val="22"/>
          <w:szCs w:val="22"/>
        </w:rPr>
        <w:t xml:space="preserve"> </w:t>
      </w:r>
      <w:r w:rsidR="00E749AF" w:rsidRPr="00E749AF">
        <w:rPr>
          <w:rFonts w:asciiTheme="minorHAnsi" w:hAnsiTheme="minorHAnsi"/>
          <w:color w:val="000000" w:themeColor="text1"/>
          <w:sz w:val="22"/>
          <w:szCs w:val="22"/>
        </w:rPr>
        <w:t>at this very early stage</w:t>
      </w:r>
      <w:r w:rsidR="00242D2E">
        <w:rPr>
          <w:rFonts w:asciiTheme="minorHAnsi" w:hAnsiTheme="minorHAnsi"/>
          <w:color w:val="000000" w:themeColor="text1"/>
          <w:sz w:val="22"/>
          <w:szCs w:val="22"/>
        </w:rPr>
        <w:t xml:space="preserve"> of the year, </w:t>
      </w:r>
      <w:r w:rsidR="00E749AF" w:rsidRPr="00E749AF">
        <w:rPr>
          <w:rFonts w:asciiTheme="minorHAnsi" w:hAnsiTheme="minorHAnsi"/>
          <w:color w:val="000000" w:themeColor="text1"/>
          <w:sz w:val="22"/>
          <w:szCs w:val="22"/>
        </w:rPr>
        <w:t xml:space="preserve">currently </w:t>
      </w:r>
      <w:r w:rsidR="00242D2E">
        <w:rPr>
          <w:rFonts w:asciiTheme="minorHAnsi" w:hAnsiTheme="minorHAnsi"/>
          <w:color w:val="000000" w:themeColor="text1"/>
          <w:sz w:val="22"/>
          <w:szCs w:val="22"/>
        </w:rPr>
        <w:t xml:space="preserve">suggests a cash </w:t>
      </w:r>
      <w:r w:rsidR="00E749AF" w:rsidRPr="00E749AF">
        <w:rPr>
          <w:rFonts w:asciiTheme="minorHAnsi" w:hAnsiTheme="minorHAnsi"/>
          <w:color w:val="000000" w:themeColor="text1"/>
          <w:sz w:val="22"/>
          <w:szCs w:val="22"/>
        </w:rPr>
        <w:t>surplus</w:t>
      </w:r>
      <w:r w:rsidR="00BF06D2">
        <w:rPr>
          <w:rFonts w:asciiTheme="minorHAnsi" w:hAnsiTheme="minorHAnsi"/>
          <w:color w:val="000000" w:themeColor="text1"/>
          <w:sz w:val="22"/>
          <w:szCs w:val="22"/>
        </w:rPr>
        <w:t xml:space="preserve"> </w:t>
      </w:r>
      <w:r w:rsidR="00E749AF" w:rsidRPr="00E749AF">
        <w:rPr>
          <w:rFonts w:asciiTheme="minorHAnsi" w:hAnsiTheme="minorHAnsi"/>
          <w:color w:val="000000" w:themeColor="text1"/>
          <w:sz w:val="22"/>
          <w:szCs w:val="22"/>
        </w:rPr>
        <w:t>of £83million</w:t>
      </w:r>
      <w:r w:rsidR="00BF06D2">
        <w:rPr>
          <w:rFonts w:asciiTheme="minorHAnsi" w:hAnsiTheme="minorHAnsi"/>
          <w:color w:val="000000" w:themeColor="text1"/>
          <w:sz w:val="22"/>
          <w:szCs w:val="22"/>
        </w:rPr>
        <w:t xml:space="preserve"> </w:t>
      </w:r>
      <w:r w:rsidR="00242D2E">
        <w:rPr>
          <w:rFonts w:asciiTheme="minorHAnsi" w:hAnsiTheme="minorHAnsi"/>
          <w:color w:val="000000" w:themeColor="text1"/>
          <w:sz w:val="22"/>
          <w:szCs w:val="22"/>
        </w:rPr>
        <w:t>at year end</w:t>
      </w:r>
      <w:r w:rsidR="00F902F2" w:rsidRPr="00E749AF">
        <w:rPr>
          <w:rFonts w:asciiTheme="minorHAnsi" w:hAnsiTheme="minorHAnsi"/>
          <w:color w:val="000000" w:themeColor="text1"/>
          <w:sz w:val="22"/>
          <w:szCs w:val="22"/>
        </w:rPr>
        <w:t>.</w:t>
      </w:r>
    </w:p>
    <w:tbl>
      <w:tblPr>
        <w:tblStyle w:val="TableGrid"/>
        <w:tblW w:w="0" w:type="auto"/>
        <w:tblInd w:w="108" w:type="dxa"/>
        <w:tblLook w:val="04A0" w:firstRow="1" w:lastRow="0" w:firstColumn="1" w:lastColumn="0" w:noHBand="0" w:noVBand="1"/>
      </w:tblPr>
      <w:tblGrid>
        <w:gridCol w:w="7230"/>
        <w:gridCol w:w="1134"/>
      </w:tblGrid>
      <w:tr w:rsidR="00DC6BD2" w:rsidRPr="00EB7ACE" w14:paraId="2BC91BDD" w14:textId="77777777" w:rsidTr="00DC6BD2">
        <w:tc>
          <w:tcPr>
            <w:tcW w:w="7230" w:type="dxa"/>
          </w:tcPr>
          <w:p w14:paraId="43359448" w14:textId="77777777" w:rsidR="00DC6BD2" w:rsidRPr="00EB7ACE" w:rsidRDefault="00DC6BD2" w:rsidP="00311C8A">
            <w:pPr>
              <w:rPr>
                <w:rFonts w:asciiTheme="minorHAnsi" w:hAnsiTheme="minorHAnsi" w:cs="Arial"/>
                <w:b/>
                <w:color w:val="000000"/>
                <w:sz w:val="22"/>
                <w:szCs w:val="22"/>
                <w:lang w:eastAsia="en-GB"/>
              </w:rPr>
            </w:pPr>
          </w:p>
          <w:p w14:paraId="79865F13" w14:textId="77777777" w:rsidR="00DC6BD2" w:rsidRPr="00EB7ACE" w:rsidRDefault="00E749AF"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TPS</w:t>
            </w:r>
            <w:r w:rsidR="002F6007" w:rsidRPr="002F6007">
              <w:rPr>
                <w:rFonts w:asciiTheme="minorHAnsi" w:hAnsiTheme="minorHAnsi" w:cs="Arial"/>
                <w:b/>
                <w:color w:val="000000"/>
                <w:sz w:val="22"/>
                <w:szCs w:val="22"/>
                <w:lang w:eastAsia="en-GB"/>
              </w:rPr>
              <w:t xml:space="preserve"> Forecasting Exercises </w:t>
            </w:r>
          </w:p>
          <w:p w14:paraId="32FA62B3"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4AA93E2D" w14:textId="77777777" w:rsidR="00DC6BD2" w:rsidRPr="00EB7ACE" w:rsidRDefault="00DC6BD2" w:rsidP="00311C8A">
            <w:pPr>
              <w:rPr>
                <w:rFonts w:asciiTheme="minorHAnsi" w:hAnsiTheme="minorHAnsi" w:cs="Calibri"/>
                <w:sz w:val="22"/>
                <w:szCs w:val="22"/>
              </w:rPr>
            </w:pPr>
          </w:p>
          <w:p w14:paraId="59C31352" w14:textId="77777777" w:rsidR="00DC6BD2" w:rsidRPr="00EB7ACE" w:rsidRDefault="00DC6BD2" w:rsidP="00DC6BD2">
            <w:pPr>
              <w:rPr>
                <w:rFonts w:asciiTheme="minorHAnsi" w:hAnsiTheme="minorHAnsi" w:cs="Calibri"/>
                <w:sz w:val="22"/>
                <w:szCs w:val="22"/>
              </w:rPr>
            </w:pPr>
          </w:p>
        </w:tc>
      </w:tr>
    </w:tbl>
    <w:p w14:paraId="5D3EB66A" w14:textId="77777777" w:rsidR="00CE4249" w:rsidRPr="00EB7ACE" w:rsidRDefault="00CE4249" w:rsidP="00AF1C07">
      <w:pPr>
        <w:pStyle w:val="DeptBullets"/>
        <w:numPr>
          <w:ilvl w:val="0"/>
          <w:numId w:val="0"/>
        </w:numPr>
        <w:rPr>
          <w:rFonts w:asciiTheme="minorHAnsi" w:hAnsiTheme="minorHAnsi"/>
          <w:b/>
          <w:sz w:val="22"/>
          <w:szCs w:val="22"/>
        </w:rPr>
      </w:pPr>
    </w:p>
    <w:p w14:paraId="49E8E523" w14:textId="77777777" w:rsidR="00CE4249" w:rsidRDefault="00D31A61" w:rsidP="00117BDE">
      <w:pPr>
        <w:pStyle w:val="DeptBullets"/>
        <w:numPr>
          <w:ilvl w:val="0"/>
          <w:numId w:val="14"/>
        </w:numPr>
        <w:rPr>
          <w:rFonts w:asciiTheme="minorHAnsi" w:hAnsiTheme="minorHAnsi"/>
          <w:sz w:val="22"/>
          <w:szCs w:val="22"/>
        </w:rPr>
      </w:pPr>
      <w:r>
        <w:rPr>
          <w:rFonts w:asciiTheme="minorHAnsi" w:hAnsiTheme="minorHAnsi"/>
          <w:sz w:val="22"/>
          <w:szCs w:val="22"/>
        </w:rPr>
        <w:t>T</w:t>
      </w:r>
      <w:r w:rsidR="00BF55F6">
        <w:rPr>
          <w:rFonts w:asciiTheme="minorHAnsi" w:hAnsiTheme="minorHAnsi"/>
          <w:sz w:val="22"/>
          <w:szCs w:val="22"/>
        </w:rPr>
        <w:t>he Winter OBR forecast</w:t>
      </w:r>
      <w:r>
        <w:rPr>
          <w:rFonts w:asciiTheme="minorHAnsi" w:hAnsiTheme="minorHAnsi"/>
          <w:sz w:val="22"/>
          <w:szCs w:val="22"/>
        </w:rPr>
        <w:t>s</w:t>
      </w:r>
      <w:r w:rsidR="00BF55F6">
        <w:rPr>
          <w:rFonts w:asciiTheme="minorHAnsi" w:hAnsiTheme="minorHAnsi"/>
          <w:sz w:val="22"/>
          <w:szCs w:val="22"/>
        </w:rPr>
        <w:t xml:space="preserve"> </w:t>
      </w:r>
      <w:r>
        <w:rPr>
          <w:rFonts w:asciiTheme="minorHAnsi" w:hAnsiTheme="minorHAnsi"/>
          <w:sz w:val="22"/>
          <w:szCs w:val="22"/>
        </w:rPr>
        <w:t xml:space="preserve">income and expenditure </w:t>
      </w:r>
      <w:r w:rsidR="00BF55F6">
        <w:rPr>
          <w:rFonts w:asciiTheme="minorHAnsi" w:hAnsiTheme="minorHAnsi"/>
          <w:sz w:val="22"/>
          <w:szCs w:val="22"/>
        </w:rPr>
        <w:t xml:space="preserve">for the next 6 years whilst the Supplementary covers the </w:t>
      </w:r>
      <w:r>
        <w:rPr>
          <w:rFonts w:asciiTheme="minorHAnsi" w:hAnsiTheme="minorHAnsi"/>
          <w:sz w:val="22"/>
          <w:szCs w:val="22"/>
        </w:rPr>
        <w:t xml:space="preserve">last 3 months </w:t>
      </w:r>
      <w:r w:rsidR="00BF55F6">
        <w:rPr>
          <w:rFonts w:asciiTheme="minorHAnsi" w:hAnsiTheme="minorHAnsi"/>
          <w:sz w:val="22"/>
          <w:szCs w:val="22"/>
        </w:rPr>
        <w:t>of the current financial year</w:t>
      </w:r>
      <w:r>
        <w:rPr>
          <w:rFonts w:asciiTheme="minorHAnsi" w:hAnsiTheme="minorHAnsi"/>
          <w:sz w:val="22"/>
          <w:szCs w:val="22"/>
        </w:rPr>
        <w:t>, which is critical to ensuring that the scheme does</w:t>
      </w:r>
      <w:r w:rsidR="00117BDE">
        <w:rPr>
          <w:rFonts w:asciiTheme="minorHAnsi" w:hAnsiTheme="minorHAnsi"/>
          <w:sz w:val="22"/>
          <w:szCs w:val="22"/>
        </w:rPr>
        <w:t xml:space="preserve"> not</w:t>
      </w:r>
      <w:r>
        <w:rPr>
          <w:rFonts w:asciiTheme="minorHAnsi" w:hAnsiTheme="minorHAnsi"/>
          <w:sz w:val="22"/>
          <w:szCs w:val="22"/>
        </w:rPr>
        <w:t xml:space="preserve"> exceed its expenditure limits, as voted by Parliament</w:t>
      </w:r>
      <w:r w:rsidR="002F6007" w:rsidRPr="002F6007">
        <w:rPr>
          <w:rFonts w:asciiTheme="minorHAnsi" w:hAnsiTheme="minorHAnsi"/>
          <w:sz w:val="22"/>
          <w:szCs w:val="22"/>
        </w:rPr>
        <w:t>.</w:t>
      </w:r>
      <w:r w:rsidR="00311C8A">
        <w:rPr>
          <w:rFonts w:asciiTheme="minorHAnsi" w:hAnsiTheme="minorHAnsi"/>
          <w:sz w:val="22"/>
          <w:szCs w:val="22"/>
        </w:rPr>
        <w:t xml:space="preserve"> Such was t</w:t>
      </w:r>
      <w:r w:rsidR="00C91809">
        <w:rPr>
          <w:rFonts w:asciiTheme="minorHAnsi" w:hAnsiTheme="minorHAnsi"/>
          <w:sz w:val="22"/>
          <w:szCs w:val="22"/>
        </w:rPr>
        <w:t>he assurance given</w:t>
      </w:r>
      <w:r w:rsidR="00311C8A">
        <w:rPr>
          <w:rFonts w:asciiTheme="minorHAnsi" w:hAnsiTheme="minorHAnsi"/>
          <w:sz w:val="22"/>
          <w:szCs w:val="22"/>
        </w:rPr>
        <w:t xml:space="preserve"> </w:t>
      </w:r>
      <w:r w:rsidR="00C91809">
        <w:rPr>
          <w:rFonts w:asciiTheme="minorHAnsi" w:hAnsiTheme="minorHAnsi"/>
          <w:sz w:val="22"/>
          <w:szCs w:val="22"/>
        </w:rPr>
        <w:t>to the OBR by the original submissions</w:t>
      </w:r>
      <w:r w:rsidR="00BF06D2">
        <w:rPr>
          <w:rFonts w:asciiTheme="minorHAnsi" w:hAnsiTheme="minorHAnsi"/>
          <w:sz w:val="22"/>
          <w:szCs w:val="22"/>
        </w:rPr>
        <w:t>,</w:t>
      </w:r>
      <w:r w:rsidR="00C91809">
        <w:rPr>
          <w:rFonts w:asciiTheme="minorHAnsi" w:hAnsiTheme="minorHAnsi"/>
          <w:sz w:val="22"/>
          <w:szCs w:val="22"/>
        </w:rPr>
        <w:t xml:space="preserve"> and subsequent responses to </w:t>
      </w:r>
      <w:r w:rsidR="00FB7CE1">
        <w:rPr>
          <w:rFonts w:asciiTheme="minorHAnsi" w:hAnsiTheme="minorHAnsi"/>
          <w:sz w:val="22"/>
          <w:szCs w:val="22"/>
        </w:rPr>
        <w:t xml:space="preserve">the few </w:t>
      </w:r>
      <w:r w:rsidR="00C91809">
        <w:rPr>
          <w:rFonts w:asciiTheme="minorHAnsi" w:hAnsiTheme="minorHAnsi"/>
          <w:sz w:val="22"/>
          <w:szCs w:val="22"/>
        </w:rPr>
        <w:t xml:space="preserve">queries </w:t>
      </w:r>
      <w:proofErr w:type="gramStart"/>
      <w:r w:rsidR="00FB7CE1">
        <w:rPr>
          <w:rFonts w:asciiTheme="minorHAnsi" w:hAnsiTheme="minorHAnsi"/>
          <w:sz w:val="22"/>
          <w:szCs w:val="22"/>
        </w:rPr>
        <w:t>raised</w:t>
      </w:r>
      <w:r w:rsidR="00BF06D2">
        <w:rPr>
          <w:rFonts w:asciiTheme="minorHAnsi" w:hAnsiTheme="minorHAnsi"/>
          <w:sz w:val="22"/>
          <w:szCs w:val="22"/>
        </w:rPr>
        <w:t>,</w:t>
      </w:r>
      <w:proofErr w:type="gramEnd"/>
      <w:r w:rsidR="00FB7CE1">
        <w:rPr>
          <w:rFonts w:asciiTheme="minorHAnsi" w:hAnsiTheme="minorHAnsi"/>
          <w:sz w:val="22"/>
          <w:szCs w:val="22"/>
        </w:rPr>
        <w:t xml:space="preserve"> </w:t>
      </w:r>
      <w:r w:rsidR="00C91809">
        <w:rPr>
          <w:rFonts w:asciiTheme="minorHAnsi" w:hAnsiTheme="minorHAnsi"/>
          <w:sz w:val="22"/>
          <w:szCs w:val="22"/>
        </w:rPr>
        <w:t xml:space="preserve">they recently confirmed there was no </w:t>
      </w:r>
      <w:r w:rsidR="00BF06D2">
        <w:rPr>
          <w:rFonts w:asciiTheme="minorHAnsi" w:hAnsiTheme="minorHAnsi"/>
          <w:sz w:val="22"/>
          <w:szCs w:val="22"/>
        </w:rPr>
        <w:t>requirement</w:t>
      </w:r>
      <w:r w:rsidR="00C91809">
        <w:rPr>
          <w:rFonts w:asciiTheme="minorHAnsi" w:hAnsiTheme="minorHAnsi"/>
          <w:sz w:val="22"/>
          <w:szCs w:val="22"/>
        </w:rPr>
        <w:t xml:space="preserve"> to attend any form of challenge meeting. This is </w:t>
      </w:r>
      <w:r>
        <w:rPr>
          <w:rFonts w:asciiTheme="minorHAnsi" w:hAnsiTheme="minorHAnsi"/>
          <w:sz w:val="22"/>
          <w:szCs w:val="22"/>
        </w:rPr>
        <w:t>a positive message</w:t>
      </w:r>
      <w:r w:rsidR="00C91809">
        <w:rPr>
          <w:rFonts w:asciiTheme="minorHAnsi" w:hAnsiTheme="minorHAnsi"/>
          <w:sz w:val="22"/>
          <w:szCs w:val="22"/>
        </w:rPr>
        <w:t xml:space="preserve"> and highlights the </w:t>
      </w:r>
      <w:r>
        <w:rPr>
          <w:rFonts w:asciiTheme="minorHAnsi" w:hAnsiTheme="minorHAnsi"/>
          <w:sz w:val="22"/>
          <w:szCs w:val="22"/>
        </w:rPr>
        <w:t xml:space="preserve">high </w:t>
      </w:r>
      <w:r w:rsidR="00C91809">
        <w:rPr>
          <w:rFonts w:asciiTheme="minorHAnsi" w:hAnsiTheme="minorHAnsi"/>
          <w:sz w:val="22"/>
          <w:szCs w:val="22"/>
        </w:rPr>
        <w:t xml:space="preserve">standard of the </w:t>
      </w:r>
      <w:r>
        <w:rPr>
          <w:rFonts w:asciiTheme="minorHAnsi" w:hAnsiTheme="minorHAnsi"/>
          <w:sz w:val="22"/>
          <w:szCs w:val="22"/>
        </w:rPr>
        <w:t>forecasting process.</w:t>
      </w:r>
      <w:r w:rsidR="00C91809">
        <w:rPr>
          <w:rFonts w:asciiTheme="minorHAnsi" w:hAnsiTheme="minorHAnsi"/>
          <w:sz w:val="22"/>
          <w:szCs w:val="22"/>
        </w:rPr>
        <w:t xml:space="preserve"> All Scheme forecasting models have been updated with the latest estimate figu</w:t>
      </w:r>
      <w:r w:rsidR="009961F8">
        <w:rPr>
          <w:rFonts w:asciiTheme="minorHAnsi" w:hAnsiTheme="minorHAnsi"/>
          <w:sz w:val="22"/>
          <w:szCs w:val="22"/>
        </w:rPr>
        <w:t>res and further ‘keep in touch’</w:t>
      </w:r>
      <w:r w:rsidR="00C91809">
        <w:rPr>
          <w:rFonts w:asciiTheme="minorHAnsi" w:hAnsiTheme="minorHAnsi"/>
          <w:sz w:val="22"/>
          <w:szCs w:val="22"/>
        </w:rPr>
        <w:t xml:space="preserve"> m</w:t>
      </w:r>
      <w:r w:rsidR="00E749AF">
        <w:rPr>
          <w:rFonts w:asciiTheme="minorHAnsi" w:hAnsiTheme="minorHAnsi"/>
          <w:sz w:val="22"/>
          <w:szCs w:val="22"/>
        </w:rPr>
        <w:t>eetings are planned during May</w:t>
      </w:r>
      <w:r w:rsidR="00C91809">
        <w:rPr>
          <w:rFonts w:asciiTheme="minorHAnsi" w:hAnsiTheme="minorHAnsi"/>
          <w:sz w:val="22"/>
          <w:szCs w:val="22"/>
        </w:rPr>
        <w:t xml:space="preserve"> between </w:t>
      </w:r>
      <w:r w:rsidR="00984EAD">
        <w:rPr>
          <w:rFonts w:asciiTheme="minorHAnsi" w:hAnsiTheme="minorHAnsi"/>
          <w:sz w:val="22"/>
          <w:szCs w:val="22"/>
        </w:rPr>
        <w:t xml:space="preserve">Capita TPS </w:t>
      </w:r>
      <w:r w:rsidR="00C91809">
        <w:rPr>
          <w:rFonts w:asciiTheme="minorHAnsi" w:hAnsiTheme="minorHAnsi"/>
          <w:sz w:val="22"/>
          <w:szCs w:val="22"/>
        </w:rPr>
        <w:t>Finance</w:t>
      </w:r>
      <w:r w:rsidR="00984EAD">
        <w:rPr>
          <w:rFonts w:asciiTheme="minorHAnsi" w:hAnsiTheme="minorHAnsi"/>
          <w:sz w:val="22"/>
          <w:szCs w:val="22"/>
        </w:rPr>
        <w:t xml:space="preserve"> and</w:t>
      </w:r>
      <w:r w:rsidR="00C91809">
        <w:rPr>
          <w:rFonts w:asciiTheme="minorHAnsi" w:hAnsiTheme="minorHAnsi"/>
          <w:sz w:val="22"/>
          <w:szCs w:val="22"/>
        </w:rPr>
        <w:t xml:space="preserve"> the Department</w:t>
      </w:r>
      <w:r w:rsidR="00984EAD">
        <w:rPr>
          <w:rFonts w:asciiTheme="minorHAnsi" w:hAnsiTheme="minorHAnsi"/>
          <w:sz w:val="22"/>
          <w:szCs w:val="22"/>
        </w:rPr>
        <w:t>’s</w:t>
      </w:r>
      <w:r w:rsidR="00BF06D2">
        <w:rPr>
          <w:rFonts w:asciiTheme="minorHAnsi" w:hAnsiTheme="minorHAnsi"/>
          <w:sz w:val="22"/>
          <w:szCs w:val="22"/>
        </w:rPr>
        <w:t xml:space="preserve"> </w:t>
      </w:r>
      <w:r>
        <w:rPr>
          <w:rFonts w:asciiTheme="minorHAnsi" w:hAnsiTheme="minorHAnsi"/>
          <w:sz w:val="22"/>
          <w:szCs w:val="22"/>
        </w:rPr>
        <w:t>Teachers’ Pension</w:t>
      </w:r>
      <w:r w:rsidR="00984EAD">
        <w:rPr>
          <w:rFonts w:asciiTheme="minorHAnsi" w:hAnsiTheme="minorHAnsi"/>
          <w:sz w:val="22"/>
          <w:szCs w:val="22"/>
        </w:rPr>
        <w:t>s</w:t>
      </w:r>
      <w:r>
        <w:rPr>
          <w:rFonts w:asciiTheme="minorHAnsi" w:hAnsiTheme="minorHAnsi"/>
          <w:sz w:val="22"/>
          <w:szCs w:val="22"/>
        </w:rPr>
        <w:t xml:space="preserve"> </w:t>
      </w:r>
      <w:r w:rsidR="00C91809">
        <w:rPr>
          <w:rFonts w:asciiTheme="minorHAnsi" w:hAnsiTheme="minorHAnsi"/>
          <w:sz w:val="22"/>
          <w:szCs w:val="22"/>
        </w:rPr>
        <w:t xml:space="preserve">and Corporate Finance </w:t>
      </w:r>
      <w:r w:rsidR="00984EAD">
        <w:rPr>
          <w:rFonts w:asciiTheme="minorHAnsi" w:hAnsiTheme="minorHAnsi"/>
          <w:sz w:val="22"/>
          <w:szCs w:val="22"/>
        </w:rPr>
        <w:t>teams</w:t>
      </w:r>
      <w:r w:rsidR="00C91809">
        <w:rPr>
          <w:rFonts w:asciiTheme="minorHAnsi" w:hAnsiTheme="minorHAnsi"/>
          <w:sz w:val="22"/>
          <w:szCs w:val="22"/>
        </w:rPr>
        <w:t xml:space="preserve">. </w:t>
      </w:r>
    </w:p>
    <w:p w14:paraId="06AB4763" w14:textId="77777777" w:rsidR="00242D2E" w:rsidRDefault="00117BDE" w:rsidP="00117BDE">
      <w:pPr>
        <w:pStyle w:val="DeptBullets"/>
        <w:numPr>
          <w:ilvl w:val="0"/>
          <w:numId w:val="14"/>
        </w:numPr>
        <w:rPr>
          <w:rFonts w:asciiTheme="minorHAnsi" w:hAnsiTheme="minorHAnsi"/>
          <w:sz w:val="22"/>
          <w:szCs w:val="22"/>
        </w:rPr>
      </w:pPr>
      <w:r>
        <w:rPr>
          <w:rFonts w:asciiTheme="minorHAnsi" w:hAnsiTheme="minorHAnsi"/>
          <w:sz w:val="22"/>
          <w:szCs w:val="22"/>
        </w:rPr>
        <w:t>In response to the Chancellor’s recently announced interim budget, PS schemes have been commissioned by the Office for Budget Responsibility (</w:t>
      </w:r>
      <w:r w:rsidR="00242D2E">
        <w:rPr>
          <w:rFonts w:asciiTheme="minorHAnsi" w:hAnsiTheme="minorHAnsi"/>
          <w:sz w:val="22"/>
          <w:szCs w:val="22"/>
        </w:rPr>
        <w:t>OBR</w:t>
      </w:r>
      <w:r>
        <w:rPr>
          <w:rFonts w:asciiTheme="minorHAnsi" w:hAnsiTheme="minorHAnsi"/>
          <w:sz w:val="22"/>
          <w:szCs w:val="22"/>
        </w:rPr>
        <w:t>)</w:t>
      </w:r>
      <w:r w:rsidR="00242D2E">
        <w:rPr>
          <w:rFonts w:asciiTheme="minorHAnsi" w:hAnsiTheme="minorHAnsi"/>
          <w:sz w:val="22"/>
          <w:szCs w:val="22"/>
        </w:rPr>
        <w:t xml:space="preserve"> to </w:t>
      </w:r>
      <w:r w:rsidR="00984EAD">
        <w:rPr>
          <w:rFonts w:asciiTheme="minorHAnsi" w:hAnsiTheme="minorHAnsi"/>
          <w:sz w:val="22"/>
          <w:szCs w:val="22"/>
        </w:rPr>
        <w:t xml:space="preserve">participate in a </w:t>
      </w:r>
      <w:r w:rsidR="00242D2E">
        <w:rPr>
          <w:rFonts w:asciiTheme="minorHAnsi" w:hAnsiTheme="minorHAnsi"/>
          <w:sz w:val="22"/>
          <w:szCs w:val="22"/>
        </w:rPr>
        <w:t>‘light touch’</w:t>
      </w:r>
      <w:r w:rsidR="00984EAD">
        <w:rPr>
          <w:rFonts w:asciiTheme="minorHAnsi" w:hAnsiTheme="minorHAnsi"/>
          <w:sz w:val="22"/>
          <w:szCs w:val="22"/>
        </w:rPr>
        <w:t xml:space="preserve"> forecasting</w:t>
      </w:r>
      <w:r w:rsidR="00242D2E">
        <w:rPr>
          <w:rFonts w:asciiTheme="minorHAnsi" w:hAnsiTheme="minorHAnsi"/>
          <w:sz w:val="22"/>
          <w:szCs w:val="22"/>
        </w:rPr>
        <w:t xml:space="preserve"> exercise</w:t>
      </w:r>
      <w:r w:rsidR="00984EAD">
        <w:rPr>
          <w:rFonts w:asciiTheme="minorHAnsi" w:hAnsiTheme="minorHAnsi"/>
          <w:sz w:val="22"/>
          <w:szCs w:val="22"/>
        </w:rPr>
        <w:t xml:space="preserve">, </w:t>
      </w:r>
      <w:r w:rsidR="00242D2E">
        <w:rPr>
          <w:rFonts w:asciiTheme="minorHAnsi" w:hAnsiTheme="minorHAnsi"/>
          <w:sz w:val="22"/>
          <w:szCs w:val="22"/>
        </w:rPr>
        <w:t>provid</w:t>
      </w:r>
      <w:r w:rsidR="00984EAD">
        <w:rPr>
          <w:rFonts w:asciiTheme="minorHAnsi" w:hAnsiTheme="minorHAnsi"/>
          <w:sz w:val="22"/>
          <w:szCs w:val="22"/>
        </w:rPr>
        <w:t xml:space="preserve">ing </w:t>
      </w:r>
      <w:r w:rsidR="00242D2E">
        <w:rPr>
          <w:rFonts w:asciiTheme="minorHAnsi" w:hAnsiTheme="minorHAnsi"/>
          <w:sz w:val="22"/>
          <w:szCs w:val="22"/>
        </w:rPr>
        <w:t>the opportunity to flag any material changes in income and expenditure since the January exercise</w:t>
      </w:r>
      <w:r w:rsidR="00984EAD">
        <w:rPr>
          <w:rFonts w:asciiTheme="minorHAnsi" w:hAnsiTheme="minorHAnsi"/>
          <w:sz w:val="22"/>
          <w:szCs w:val="22"/>
        </w:rPr>
        <w:t>.  T</w:t>
      </w:r>
      <w:r w:rsidR="00571387">
        <w:rPr>
          <w:rFonts w:asciiTheme="minorHAnsi" w:hAnsiTheme="minorHAnsi"/>
          <w:sz w:val="22"/>
          <w:szCs w:val="22"/>
        </w:rPr>
        <w:t>here is to be no change to previously agreed methodology</w:t>
      </w:r>
      <w:r w:rsidR="00242D2E">
        <w:rPr>
          <w:rFonts w:asciiTheme="minorHAnsi" w:hAnsiTheme="minorHAnsi"/>
          <w:sz w:val="22"/>
          <w:szCs w:val="22"/>
        </w:rPr>
        <w:t xml:space="preserve">.  </w:t>
      </w:r>
      <w:r w:rsidR="00984EAD">
        <w:rPr>
          <w:rFonts w:asciiTheme="minorHAnsi" w:hAnsiTheme="minorHAnsi"/>
          <w:sz w:val="22"/>
          <w:szCs w:val="22"/>
        </w:rPr>
        <w:t>We have agreed with OBR that, a</w:t>
      </w:r>
      <w:r w:rsidR="00242D2E">
        <w:rPr>
          <w:rFonts w:asciiTheme="minorHAnsi" w:hAnsiTheme="minorHAnsi"/>
          <w:sz w:val="22"/>
          <w:szCs w:val="22"/>
        </w:rPr>
        <w:t xml:space="preserve">s the TPS has experienced </w:t>
      </w:r>
      <w:r w:rsidR="00984EAD">
        <w:rPr>
          <w:rFonts w:asciiTheme="minorHAnsi" w:hAnsiTheme="minorHAnsi"/>
          <w:sz w:val="22"/>
          <w:szCs w:val="22"/>
        </w:rPr>
        <w:t>immaterial variances, we will not have to provide substantive evidence for the exercise.</w:t>
      </w:r>
      <w:r w:rsidR="00571387">
        <w:rPr>
          <w:rFonts w:asciiTheme="minorHAnsi" w:hAnsiTheme="minorHAnsi"/>
          <w:sz w:val="22"/>
          <w:szCs w:val="22"/>
        </w:rPr>
        <w:t xml:space="preserve"> </w:t>
      </w:r>
    </w:p>
    <w:p w14:paraId="73DE4201" w14:textId="77777777" w:rsidR="00C5630B" w:rsidRPr="00EB7ACE" w:rsidRDefault="00C5630B" w:rsidP="00C5630B">
      <w:pPr>
        <w:pStyle w:val="DeptBullets"/>
        <w:numPr>
          <w:ilvl w:val="0"/>
          <w:numId w:val="0"/>
        </w:numPr>
        <w:ind w:left="720"/>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6BBCD2A2" w14:textId="77777777" w:rsidTr="000247E1">
        <w:tc>
          <w:tcPr>
            <w:tcW w:w="7230" w:type="dxa"/>
          </w:tcPr>
          <w:p w14:paraId="3097248A" w14:textId="77777777" w:rsidR="00DC6BD2" w:rsidRPr="00EB7ACE" w:rsidRDefault="00DC6BD2" w:rsidP="00311C8A">
            <w:pPr>
              <w:rPr>
                <w:rFonts w:asciiTheme="minorHAnsi" w:hAnsiTheme="minorHAnsi" w:cs="Arial"/>
                <w:b/>
                <w:color w:val="000000"/>
                <w:sz w:val="22"/>
                <w:szCs w:val="22"/>
                <w:lang w:eastAsia="en-GB"/>
              </w:rPr>
            </w:pPr>
          </w:p>
          <w:p w14:paraId="3161857F" w14:textId="77777777" w:rsidR="00DC6BD2" w:rsidRDefault="002F6007" w:rsidP="002F6007">
            <w:pPr>
              <w:rPr>
                <w:rFonts w:asciiTheme="minorHAnsi" w:hAnsiTheme="minorHAnsi" w:cs="Arial"/>
                <w:b/>
                <w:sz w:val="22"/>
                <w:szCs w:val="22"/>
              </w:rPr>
            </w:pPr>
            <w:r w:rsidRPr="002F6007">
              <w:rPr>
                <w:rFonts w:asciiTheme="minorHAnsi" w:hAnsiTheme="minorHAnsi" w:cs="Arial"/>
                <w:b/>
                <w:sz w:val="22"/>
                <w:szCs w:val="22"/>
              </w:rPr>
              <w:t>Resource Accounts (net expenditure out-turn) Position</w:t>
            </w:r>
          </w:p>
          <w:p w14:paraId="054B17EE" w14:textId="77777777" w:rsidR="002F6007" w:rsidRPr="00EB7ACE" w:rsidRDefault="002F6007" w:rsidP="002F6007">
            <w:pPr>
              <w:rPr>
                <w:rFonts w:asciiTheme="minorHAnsi" w:hAnsiTheme="minorHAnsi" w:cs="Arial"/>
                <w:b/>
                <w:sz w:val="22"/>
                <w:szCs w:val="22"/>
              </w:rPr>
            </w:pPr>
          </w:p>
        </w:tc>
        <w:tc>
          <w:tcPr>
            <w:tcW w:w="1134" w:type="dxa"/>
            <w:shd w:val="clear" w:color="auto" w:fill="00B050"/>
          </w:tcPr>
          <w:p w14:paraId="2CE1C12E" w14:textId="77777777" w:rsidR="00DC6BD2" w:rsidRPr="00EB7ACE" w:rsidRDefault="00DC6BD2" w:rsidP="00311C8A">
            <w:pPr>
              <w:rPr>
                <w:rFonts w:asciiTheme="minorHAnsi" w:hAnsiTheme="minorHAnsi" w:cs="Calibri"/>
                <w:sz w:val="22"/>
                <w:szCs w:val="22"/>
              </w:rPr>
            </w:pPr>
          </w:p>
        </w:tc>
      </w:tr>
    </w:tbl>
    <w:p w14:paraId="45E97149" w14:textId="77777777" w:rsidR="00D901A6" w:rsidRPr="00EB7ACE" w:rsidRDefault="00D901A6" w:rsidP="00D901A6">
      <w:pPr>
        <w:pStyle w:val="DeptBullets"/>
        <w:numPr>
          <w:ilvl w:val="0"/>
          <w:numId w:val="0"/>
        </w:numPr>
        <w:ind w:left="720"/>
        <w:rPr>
          <w:rFonts w:asciiTheme="minorHAnsi" w:hAnsiTheme="minorHAnsi"/>
          <w:sz w:val="22"/>
          <w:szCs w:val="22"/>
        </w:rPr>
      </w:pPr>
    </w:p>
    <w:p w14:paraId="27ABCEAB" w14:textId="77777777" w:rsidR="00571387" w:rsidRPr="006E6FB4" w:rsidRDefault="00322AAE" w:rsidP="00117BDE">
      <w:pPr>
        <w:pStyle w:val="DeptBullets"/>
        <w:numPr>
          <w:ilvl w:val="0"/>
          <w:numId w:val="14"/>
        </w:numPr>
        <w:rPr>
          <w:rFonts w:asciiTheme="minorHAnsi" w:hAnsiTheme="minorHAnsi"/>
          <w:color w:val="FF0000"/>
          <w:sz w:val="22"/>
          <w:szCs w:val="22"/>
        </w:rPr>
      </w:pPr>
      <w:r>
        <w:rPr>
          <w:rFonts w:asciiTheme="minorHAnsi" w:hAnsiTheme="minorHAnsi"/>
          <w:sz w:val="22"/>
          <w:szCs w:val="22"/>
        </w:rPr>
        <w:t>The main estimate forecasts net expenditure of £13.09</w:t>
      </w:r>
      <w:r w:rsidR="00A26D11">
        <w:rPr>
          <w:rFonts w:asciiTheme="minorHAnsi" w:hAnsiTheme="minorHAnsi"/>
          <w:sz w:val="22"/>
          <w:szCs w:val="22"/>
        </w:rPr>
        <w:t>2billion for the financial year 2015-16</w:t>
      </w:r>
      <w:r>
        <w:rPr>
          <w:rFonts w:asciiTheme="minorHAnsi" w:hAnsiTheme="minorHAnsi"/>
          <w:sz w:val="22"/>
          <w:szCs w:val="22"/>
        </w:rPr>
        <w:t>.</w:t>
      </w:r>
      <w:r w:rsidR="00A26D11">
        <w:rPr>
          <w:rFonts w:asciiTheme="minorHAnsi" w:hAnsiTheme="minorHAnsi"/>
          <w:sz w:val="22"/>
          <w:szCs w:val="22"/>
        </w:rPr>
        <w:t xml:space="preserve"> The current position following the April results predicts a variance of £51million</w:t>
      </w:r>
      <w:r w:rsidR="00571387">
        <w:rPr>
          <w:rFonts w:asciiTheme="minorHAnsi" w:hAnsiTheme="minorHAnsi"/>
          <w:sz w:val="22"/>
          <w:szCs w:val="22"/>
        </w:rPr>
        <w:t xml:space="preserve"> expenditure</w:t>
      </w:r>
      <w:r w:rsidR="00A26D11">
        <w:rPr>
          <w:rFonts w:asciiTheme="minorHAnsi" w:hAnsiTheme="minorHAnsi"/>
          <w:sz w:val="22"/>
          <w:szCs w:val="22"/>
        </w:rPr>
        <w:t xml:space="preserve"> over</w:t>
      </w:r>
      <w:r w:rsidR="00571387">
        <w:rPr>
          <w:rFonts w:asciiTheme="minorHAnsi" w:hAnsiTheme="minorHAnsi"/>
          <w:sz w:val="22"/>
          <w:szCs w:val="22"/>
        </w:rPr>
        <w:t xml:space="preserve"> that</w:t>
      </w:r>
      <w:r w:rsidR="00A26D11">
        <w:rPr>
          <w:rFonts w:asciiTheme="minorHAnsi" w:hAnsiTheme="minorHAnsi"/>
          <w:sz w:val="22"/>
          <w:szCs w:val="22"/>
        </w:rPr>
        <w:t xml:space="preserve"> forecast. However at this very early stage of </w:t>
      </w:r>
      <w:r w:rsidR="00571387">
        <w:rPr>
          <w:rFonts w:asciiTheme="minorHAnsi" w:hAnsiTheme="minorHAnsi"/>
          <w:sz w:val="22"/>
          <w:szCs w:val="22"/>
        </w:rPr>
        <w:t xml:space="preserve">the financial year, </w:t>
      </w:r>
      <w:r w:rsidR="00A26D11">
        <w:rPr>
          <w:rFonts w:asciiTheme="minorHAnsi" w:hAnsiTheme="minorHAnsi"/>
          <w:sz w:val="22"/>
          <w:szCs w:val="22"/>
        </w:rPr>
        <w:t xml:space="preserve">this position </w:t>
      </w:r>
      <w:r w:rsidR="00984EAD">
        <w:rPr>
          <w:rFonts w:asciiTheme="minorHAnsi" w:hAnsiTheme="minorHAnsi"/>
          <w:sz w:val="22"/>
          <w:szCs w:val="22"/>
        </w:rPr>
        <w:t>does</w:t>
      </w:r>
      <w:r w:rsidR="00A26D11">
        <w:rPr>
          <w:rFonts w:asciiTheme="minorHAnsi" w:hAnsiTheme="minorHAnsi"/>
          <w:sz w:val="22"/>
          <w:szCs w:val="22"/>
        </w:rPr>
        <w:t xml:space="preserve"> not give cause for concern. </w:t>
      </w:r>
      <w:r>
        <w:rPr>
          <w:rFonts w:asciiTheme="minorHAnsi" w:hAnsiTheme="minorHAnsi"/>
          <w:sz w:val="22"/>
          <w:szCs w:val="22"/>
        </w:rPr>
        <w:t xml:space="preserve"> </w:t>
      </w:r>
    </w:p>
    <w:p w14:paraId="05244519" w14:textId="77777777" w:rsidR="00F22F63" w:rsidRPr="00FB0768" w:rsidRDefault="00A26D11" w:rsidP="00117BDE">
      <w:pPr>
        <w:pStyle w:val="DeptBullets"/>
        <w:numPr>
          <w:ilvl w:val="0"/>
          <w:numId w:val="14"/>
        </w:numPr>
        <w:rPr>
          <w:rFonts w:asciiTheme="minorHAnsi" w:hAnsiTheme="minorHAnsi"/>
          <w:color w:val="FF0000"/>
          <w:sz w:val="22"/>
          <w:szCs w:val="22"/>
        </w:rPr>
      </w:pPr>
      <w:r>
        <w:rPr>
          <w:rFonts w:asciiTheme="minorHAnsi" w:hAnsiTheme="minorHAnsi"/>
          <w:sz w:val="22"/>
          <w:szCs w:val="22"/>
        </w:rPr>
        <w:t>The first draft of the TPS resource accounts was produced</w:t>
      </w:r>
      <w:r w:rsidR="00571387">
        <w:rPr>
          <w:rFonts w:asciiTheme="minorHAnsi" w:hAnsiTheme="minorHAnsi"/>
          <w:sz w:val="22"/>
          <w:szCs w:val="22"/>
        </w:rPr>
        <w:t xml:space="preserve"> in line with</w:t>
      </w:r>
      <w:r>
        <w:rPr>
          <w:rFonts w:asciiTheme="minorHAnsi" w:hAnsiTheme="minorHAnsi"/>
          <w:sz w:val="22"/>
          <w:szCs w:val="22"/>
        </w:rPr>
        <w:t xml:space="preserve"> the agreed timetable for 1 May. The </w:t>
      </w:r>
      <w:r w:rsidR="00773FF3">
        <w:rPr>
          <w:rFonts w:asciiTheme="minorHAnsi" w:hAnsiTheme="minorHAnsi"/>
          <w:sz w:val="22"/>
          <w:szCs w:val="22"/>
        </w:rPr>
        <w:t>National Audit Office (</w:t>
      </w:r>
      <w:r>
        <w:rPr>
          <w:rFonts w:asciiTheme="minorHAnsi" w:hAnsiTheme="minorHAnsi"/>
          <w:sz w:val="22"/>
          <w:szCs w:val="22"/>
        </w:rPr>
        <w:t>NAO</w:t>
      </w:r>
      <w:r w:rsidR="00773FF3">
        <w:rPr>
          <w:rFonts w:asciiTheme="minorHAnsi" w:hAnsiTheme="minorHAnsi"/>
          <w:sz w:val="22"/>
          <w:szCs w:val="22"/>
        </w:rPr>
        <w:t>)</w:t>
      </w:r>
      <w:r>
        <w:rPr>
          <w:rFonts w:asciiTheme="minorHAnsi" w:hAnsiTheme="minorHAnsi"/>
          <w:sz w:val="22"/>
          <w:szCs w:val="22"/>
        </w:rPr>
        <w:t xml:space="preserve"> audit </w:t>
      </w:r>
      <w:r w:rsidR="00571387">
        <w:rPr>
          <w:rFonts w:asciiTheme="minorHAnsi" w:hAnsiTheme="minorHAnsi"/>
          <w:sz w:val="22"/>
          <w:szCs w:val="22"/>
        </w:rPr>
        <w:t xml:space="preserve">(undertaken by Deloittes) </w:t>
      </w:r>
      <w:r>
        <w:rPr>
          <w:rFonts w:asciiTheme="minorHAnsi" w:hAnsiTheme="minorHAnsi"/>
          <w:sz w:val="22"/>
          <w:szCs w:val="22"/>
        </w:rPr>
        <w:t xml:space="preserve">will review the proposed accounts submission prior to delivery to the Audit Risk Committee (ARC) for formal approval. </w:t>
      </w:r>
      <w:r w:rsidR="00571387">
        <w:rPr>
          <w:rFonts w:asciiTheme="minorHAnsi" w:hAnsiTheme="minorHAnsi"/>
          <w:sz w:val="22"/>
          <w:szCs w:val="22"/>
        </w:rPr>
        <w:t xml:space="preserve">At the end of </w:t>
      </w:r>
      <w:r>
        <w:rPr>
          <w:rFonts w:asciiTheme="minorHAnsi" w:hAnsiTheme="minorHAnsi"/>
          <w:sz w:val="22"/>
          <w:szCs w:val="22"/>
        </w:rPr>
        <w:t>financial year 2014-15</w:t>
      </w:r>
      <w:r w:rsidR="00571387">
        <w:rPr>
          <w:rFonts w:asciiTheme="minorHAnsi" w:hAnsiTheme="minorHAnsi"/>
          <w:sz w:val="22"/>
          <w:szCs w:val="22"/>
        </w:rPr>
        <w:t>, the scheme</w:t>
      </w:r>
      <w:r>
        <w:rPr>
          <w:rFonts w:asciiTheme="minorHAnsi" w:hAnsiTheme="minorHAnsi"/>
          <w:sz w:val="22"/>
          <w:szCs w:val="22"/>
        </w:rPr>
        <w:t xml:space="preserve"> reported a </w:t>
      </w:r>
      <w:r w:rsidR="000247E1">
        <w:rPr>
          <w:rFonts w:asciiTheme="minorHAnsi" w:hAnsiTheme="minorHAnsi"/>
          <w:sz w:val="22"/>
          <w:szCs w:val="22"/>
        </w:rPr>
        <w:t xml:space="preserve">positive </w:t>
      </w:r>
      <w:r>
        <w:rPr>
          <w:rFonts w:asciiTheme="minorHAnsi" w:hAnsiTheme="minorHAnsi"/>
          <w:sz w:val="22"/>
          <w:szCs w:val="22"/>
        </w:rPr>
        <w:t xml:space="preserve">net </w:t>
      </w:r>
      <w:r w:rsidR="00571387">
        <w:rPr>
          <w:rFonts w:asciiTheme="minorHAnsi" w:hAnsiTheme="minorHAnsi"/>
          <w:sz w:val="22"/>
          <w:szCs w:val="22"/>
        </w:rPr>
        <w:t xml:space="preserve">resource </w:t>
      </w:r>
      <w:r>
        <w:rPr>
          <w:rFonts w:asciiTheme="minorHAnsi" w:hAnsiTheme="minorHAnsi"/>
          <w:sz w:val="22"/>
          <w:szCs w:val="22"/>
        </w:rPr>
        <w:t>position of £38million with £27million</w:t>
      </w:r>
      <w:r w:rsidR="000247E1">
        <w:rPr>
          <w:rFonts w:asciiTheme="minorHAnsi" w:hAnsiTheme="minorHAnsi"/>
          <w:sz w:val="22"/>
          <w:szCs w:val="22"/>
        </w:rPr>
        <w:t xml:space="preserve"> </w:t>
      </w:r>
      <w:r>
        <w:rPr>
          <w:rFonts w:asciiTheme="minorHAnsi" w:hAnsiTheme="minorHAnsi"/>
          <w:sz w:val="22"/>
          <w:szCs w:val="22"/>
        </w:rPr>
        <w:t xml:space="preserve">more income received and £11m less expenditure than expected. However the final outturn position is dependent </w:t>
      </w:r>
      <w:r w:rsidR="00BF06D2">
        <w:rPr>
          <w:rFonts w:asciiTheme="minorHAnsi" w:hAnsiTheme="minorHAnsi"/>
          <w:sz w:val="22"/>
          <w:szCs w:val="22"/>
        </w:rPr>
        <w:t>up</w:t>
      </w:r>
      <w:r>
        <w:rPr>
          <w:rFonts w:asciiTheme="minorHAnsi" w:hAnsiTheme="minorHAnsi"/>
          <w:sz w:val="22"/>
          <w:szCs w:val="22"/>
        </w:rPr>
        <w:t xml:space="preserve">on the scheme actuary’s calculation of the movements on the pension liability that will be received in June. </w:t>
      </w:r>
    </w:p>
    <w:tbl>
      <w:tblPr>
        <w:tblStyle w:val="TableGrid"/>
        <w:tblW w:w="0" w:type="auto"/>
        <w:tblInd w:w="108" w:type="dxa"/>
        <w:tblLook w:val="04A0" w:firstRow="1" w:lastRow="0" w:firstColumn="1" w:lastColumn="0" w:noHBand="0" w:noVBand="1"/>
      </w:tblPr>
      <w:tblGrid>
        <w:gridCol w:w="7230"/>
        <w:gridCol w:w="1134"/>
      </w:tblGrid>
      <w:tr w:rsidR="00DC6BD2" w:rsidRPr="00EB7ACE" w14:paraId="17FABE51" w14:textId="77777777" w:rsidTr="00BA52B9">
        <w:tc>
          <w:tcPr>
            <w:tcW w:w="7230" w:type="dxa"/>
          </w:tcPr>
          <w:p w14:paraId="5B7B94CA" w14:textId="77777777" w:rsidR="00DC6BD2" w:rsidRPr="00EB7ACE" w:rsidRDefault="00DC6BD2" w:rsidP="00311C8A">
            <w:pPr>
              <w:rPr>
                <w:rFonts w:asciiTheme="minorHAnsi" w:hAnsiTheme="minorHAnsi" w:cs="Arial"/>
                <w:b/>
                <w:color w:val="000000"/>
                <w:sz w:val="22"/>
                <w:szCs w:val="22"/>
                <w:lang w:eastAsia="en-GB"/>
              </w:rPr>
            </w:pPr>
          </w:p>
          <w:p w14:paraId="2F07F8E1"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Contributions</w:t>
            </w:r>
          </w:p>
          <w:p w14:paraId="5FE38E01"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37CB9408" w14:textId="77777777" w:rsidR="00DC6BD2" w:rsidRPr="00EB7ACE" w:rsidRDefault="00DC6BD2" w:rsidP="00311C8A">
            <w:pPr>
              <w:rPr>
                <w:rFonts w:asciiTheme="minorHAnsi" w:hAnsiTheme="minorHAnsi" w:cs="Calibri"/>
                <w:sz w:val="22"/>
                <w:szCs w:val="22"/>
              </w:rPr>
            </w:pPr>
            <w:r w:rsidRPr="00EB7ACE">
              <w:rPr>
                <w:rFonts w:asciiTheme="minorHAnsi" w:hAnsiTheme="minorHAnsi" w:cs="Calibri"/>
                <w:sz w:val="22"/>
                <w:szCs w:val="22"/>
              </w:rPr>
              <w:t xml:space="preserve">            </w:t>
            </w:r>
          </w:p>
        </w:tc>
      </w:tr>
    </w:tbl>
    <w:p w14:paraId="0963E0E0" w14:textId="77777777" w:rsidR="00DC6BD2" w:rsidRPr="00EB7ACE" w:rsidRDefault="00DC6BD2" w:rsidP="00DC6BD2">
      <w:pPr>
        <w:pStyle w:val="DeptBullets"/>
        <w:numPr>
          <w:ilvl w:val="0"/>
          <w:numId w:val="0"/>
        </w:numPr>
        <w:ind w:left="720"/>
        <w:rPr>
          <w:rFonts w:asciiTheme="minorHAnsi" w:hAnsiTheme="minorHAnsi"/>
          <w:sz w:val="22"/>
          <w:szCs w:val="22"/>
        </w:rPr>
      </w:pPr>
    </w:p>
    <w:p w14:paraId="57B6B4BC" w14:textId="77777777" w:rsidR="00806F15" w:rsidRDefault="002F6007" w:rsidP="00117BDE">
      <w:pPr>
        <w:pStyle w:val="DeptBullets"/>
        <w:numPr>
          <w:ilvl w:val="0"/>
          <w:numId w:val="14"/>
        </w:numPr>
        <w:rPr>
          <w:rFonts w:asciiTheme="minorHAnsi" w:hAnsiTheme="minorHAnsi"/>
          <w:sz w:val="22"/>
          <w:szCs w:val="22"/>
        </w:rPr>
      </w:pPr>
      <w:r w:rsidRPr="00632A7A">
        <w:rPr>
          <w:rFonts w:asciiTheme="minorHAnsi" w:hAnsiTheme="minorHAnsi"/>
          <w:b/>
          <w:sz w:val="22"/>
          <w:szCs w:val="22"/>
        </w:rPr>
        <w:t>Unallocated Contributions</w:t>
      </w:r>
      <w:r w:rsidRPr="002F6007">
        <w:rPr>
          <w:rFonts w:asciiTheme="minorHAnsi" w:hAnsiTheme="minorHAnsi"/>
          <w:sz w:val="22"/>
          <w:szCs w:val="22"/>
        </w:rPr>
        <w:t xml:space="preserve"> – </w:t>
      </w:r>
      <w:r w:rsidR="00806F15">
        <w:rPr>
          <w:rFonts w:asciiTheme="minorHAnsi" w:hAnsiTheme="minorHAnsi"/>
          <w:sz w:val="22"/>
          <w:szCs w:val="22"/>
        </w:rPr>
        <w:t>Contributions paid to the scheme are paid by default to a suspense account, and allocated to the appropriate account once a ‘paying in’ slip has been received from the corresponding employer.  Late receipt of this supporting data can lead to delays in allocating contributions.  There is a structured approach to pursuing this outstanding data.</w:t>
      </w:r>
    </w:p>
    <w:p w14:paraId="17407574" w14:textId="77777777" w:rsidR="007509C7" w:rsidRDefault="00BA52B9" w:rsidP="00117BDE">
      <w:pPr>
        <w:pStyle w:val="DeptBullets"/>
        <w:numPr>
          <w:ilvl w:val="1"/>
          <w:numId w:val="14"/>
        </w:numPr>
        <w:rPr>
          <w:rFonts w:asciiTheme="minorHAnsi" w:hAnsiTheme="minorHAnsi"/>
          <w:sz w:val="22"/>
          <w:szCs w:val="22"/>
        </w:rPr>
      </w:pPr>
      <w:r>
        <w:rPr>
          <w:rFonts w:asciiTheme="minorHAnsi" w:hAnsiTheme="minorHAnsi"/>
          <w:sz w:val="22"/>
          <w:szCs w:val="22"/>
        </w:rPr>
        <w:t xml:space="preserve">The current </w:t>
      </w:r>
      <w:r w:rsidR="00632A7A">
        <w:rPr>
          <w:rFonts w:asciiTheme="minorHAnsi" w:hAnsiTheme="minorHAnsi"/>
          <w:sz w:val="22"/>
          <w:szCs w:val="22"/>
        </w:rPr>
        <w:t xml:space="preserve">balance </w:t>
      </w:r>
      <w:r w:rsidR="0045014A">
        <w:rPr>
          <w:rFonts w:asciiTheme="minorHAnsi" w:hAnsiTheme="minorHAnsi"/>
          <w:sz w:val="22"/>
          <w:szCs w:val="22"/>
        </w:rPr>
        <w:t xml:space="preserve">of monies requiring allocation to an employer record </w:t>
      </w:r>
      <w:r w:rsidR="00632A7A">
        <w:rPr>
          <w:rFonts w:asciiTheme="minorHAnsi" w:hAnsiTheme="minorHAnsi"/>
          <w:sz w:val="22"/>
          <w:szCs w:val="22"/>
        </w:rPr>
        <w:t>is</w:t>
      </w:r>
      <w:r w:rsidR="00306F7F">
        <w:rPr>
          <w:rFonts w:asciiTheme="minorHAnsi" w:hAnsiTheme="minorHAnsi"/>
          <w:sz w:val="22"/>
          <w:szCs w:val="22"/>
        </w:rPr>
        <w:t xml:space="preserve"> £111</w:t>
      </w:r>
      <w:r w:rsidR="00375273">
        <w:rPr>
          <w:rFonts w:asciiTheme="minorHAnsi" w:hAnsiTheme="minorHAnsi"/>
          <w:sz w:val="22"/>
          <w:szCs w:val="22"/>
        </w:rPr>
        <w:t>m</w:t>
      </w:r>
      <w:r w:rsidR="00806F15">
        <w:rPr>
          <w:rFonts w:asciiTheme="minorHAnsi" w:hAnsiTheme="minorHAnsi"/>
          <w:sz w:val="22"/>
          <w:szCs w:val="22"/>
        </w:rPr>
        <w:t>, which has reduced</w:t>
      </w:r>
      <w:r w:rsidR="00306F7F">
        <w:rPr>
          <w:rFonts w:asciiTheme="minorHAnsi" w:hAnsiTheme="minorHAnsi"/>
          <w:sz w:val="22"/>
          <w:szCs w:val="22"/>
        </w:rPr>
        <w:t xml:space="preserve"> by £22</w:t>
      </w:r>
      <w:r w:rsidR="00375273">
        <w:rPr>
          <w:rFonts w:asciiTheme="minorHAnsi" w:hAnsiTheme="minorHAnsi"/>
          <w:sz w:val="22"/>
          <w:szCs w:val="22"/>
        </w:rPr>
        <w:t xml:space="preserve">m from the end of the last quarter. </w:t>
      </w:r>
    </w:p>
    <w:p w14:paraId="1EE69EDC" w14:textId="77777777" w:rsidR="002F6007" w:rsidRPr="002F6007" w:rsidRDefault="0045014A" w:rsidP="00117BDE">
      <w:pPr>
        <w:pStyle w:val="DeptBullets"/>
        <w:numPr>
          <w:ilvl w:val="1"/>
          <w:numId w:val="14"/>
        </w:numPr>
        <w:rPr>
          <w:rFonts w:asciiTheme="minorHAnsi" w:hAnsiTheme="minorHAnsi"/>
          <w:sz w:val="22"/>
          <w:szCs w:val="22"/>
        </w:rPr>
      </w:pPr>
      <w:r>
        <w:rPr>
          <w:rFonts w:asciiTheme="minorHAnsi" w:hAnsiTheme="minorHAnsi"/>
          <w:sz w:val="22"/>
          <w:szCs w:val="22"/>
        </w:rPr>
        <w:t>The first contributions dashboard mea</w:t>
      </w:r>
      <w:r w:rsidR="00AB3B3C">
        <w:rPr>
          <w:rFonts w:asciiTheme="minorHAnsi" w:hAnsiTheme="minorHAnsi"/>
          <w:sz w:val="22"/>
          <w:szCs w:val="22"/>
        </w:rPr>
        <w:t xml:space="preserve">sure </w:t>
      </w:r>
      <w:r w:rsidR="00522588">
        <w:rPr>
          <w:rFonts w:asciiTheme="minorHAnsi" w:hAnsiTheme="minorHAnsi"/>
          <w:sz w:val="22"/>
          <w:szCs w:val="22"/>
        </w:rPr>
        <w:t>is designed to illustrate if the actual amount of employee contributions received across the 8 tiers equals that expected</w:t>
      </w:r>
      <w:r w:rsidR="00BF06D2">
        <w:rPr>
          <w:rFonts w:asciiTheme="minorHAnsi" w:hAnsiTheme="minorHAnsi"/>
          <w:sz w:val="22"/>
          <w:szCs w:val="22"/>
        </w:rPr>
        <w:t>,</w:t>
      </w:r>
      <w:r w:rsidR="00522588">
        <w:rPr>
          <w:rFonts w:asciiTheme="minorHAnsi" w:hAnsiTheme="minorHAnsi"/>
          <w:sz w:val="22"/>
          <w:szCs w:val="22"/>
        </w:rPr>
        <w:t xml:space="preserve"> when based upon the actual employer contributions received. The result is a difference overall from that expected equating to </w:t>
      </w:r>
      <w:r w:rsidR="00306F7F">
        <w:rPr>
          <w:rFonts w:asciiTheme="minorHAnsi" w:hAnsiTheme="minorHAnsi"/>
          <w:sz w:val="22"/>
          <w:szCs w:val="22"/>
        </w:rPr>
        <w:t>0.56</w:t>
      </w:r>
      <w:r>
        <w:rPr>
          <w:rFonts w:asciiTheme="minorHAnsi" w:hAnsiTheme="minorHAnsi"/>
          <w:sz w:val="22"/>
          <w:szCs w:val="22"/>
        </w:rPr>
        <w:t xml:space="preserve">%. </w:t>
      </w:r>
      <w:r w:rsidR="00AB3B3C">
        <w:rPr>
          <w:rFonts w:asciiTheme="minorHAnsi" w:hAnsiTheme="minorHAnsi"/>
          <w:sz w:val="22"/>
          <w:szCs w:val="22"/>
        </w:rPr>
        <w:t>This gives significant assurance that employers are accurately remitting</w:t>
      </w:r>
      <w:r w:rsidR="00C463F2">
        <w:rPr>
          <w:rFonts w:asciiTheme="minorHAnsi" w:hAnsiTheme="minorHAnsi"/>
          <w:sz w:val="22"/>
          <w:szCs w:val="22"/>
        </w:rPr>
        <w:t xml:space="preserve"> their</w:t>
      </w:r>
      <w:r w:rsidR="00AB3B3C">
        <w:rPr>
          <w:rFonts w:asciiTheme="minorHAnsi" w:hAnsiTheme="minorHAnsi"/>
          <w:sz w:val="22"/>
          <w:szCs w:val="22"/>
        </w:rPr>
        <w:t xml:space="preserve"> tiered contributions.</w:t>
      </w:r>
    </w:p>
    <w:p w14:paraId="10692ED9" w14:textId="77777777" w:rsidR="00BA52B9" w:rsidRDefault="002F6007" w:rsidP="00117BDE">
      <w:pPr>
        <w:pStyle w:val="DeptBullets"/>
        <w:numPr>
          <w:ilvl w:val="0"/>
          <w:numId w:val="14"/>
        </w:numPr>
        <w:rPr>
          <w:rFonts w:asciiTheme="minorHAnsi" w:hAnsiTheme="minorHAnsi"/>
          <w:sz w:val="22"/>
          <w:szCs w:val="22"/>
        </w:rPr>
      </w:pPr>
      <w:r w:rsidRPr="00720DAA">
        <w:rPr>
          <w:rFonts w:asciiTheme="minorHAnsi" w:hAnsiTheme="minorHAnsi"/>
          <w:b/>
          <w:sz w:val="22"/>
          <w:szCs w:val="22"/>
        </w:rPr>
        <w:t>End of Year Certificate (EOYC)</w:t>
      </w:r>
      <w:r w:rsidRPr="002F6007">
        <w:rPr>
          <w:rFonts w:asciiTheme="minorHAnsi" w:hAnsiTheme="minorHAnsi"/>
          <w:sz w:val="22"/>
          <w:szCs w:val="22"/>
        </w:rPr>
        <w:t xml:space="preserve"> –</w:t>
      </w:r>
      <w:r>
        <w:rPr>
          <w:rFonts w:asciiTheme="minorHAnsi" w:hAnsiTheme="minorHAnsi"/>
          <w:sz w:val="22"/>
          <w:szCs w:val="22"/>
        </w:rPr>
        <w:t xml:space="preserve"> </w:t>
      </w:r>
      <w:r w:rsidR="00306F7F">
        <w:rPr>
          <w:rFonts w:asciiTheme="minorHAnsi" w:hAnsiTheme="minorHAnsi"/>
          <w:sz w:val="22"/>
          <w:szCs w:val="22"/>
        </w:rPr>
        <w:t>There are currently 8</w:t>
      </w:r>
      <w:r w:rsidR="00D97FCD">
        <w:rPr>
          <w:rFonts w:asciiTheme="minorHAnsi" w:hAnsiTheme="minorHAnsi"/>
          <w:sz w:val="22"/>
          <w:szCs w:val="22"/>
        </w:rPr>
        <w:t xml:space="preserve"> returns outstanding in respect </w:t>
      </w:r>
      <w:r w:rsidR="00306F7F">
        <w:rPr>
          <w:rFonts w:asciiTheme="minorHAnsi" w:hAnsiTheme="minorHAnsi"/>
          <w:sz w:val="22"/>
          <w:szCs w:val="22"/>
        </w:rPr>
        <w:t>of t</w:t>
      </w:r>
      <w:r w:rsidR="00BA52B9">
        <w:rPr>
          <w:rFonts w:asciiTheme="minorHAnsi" w:hAnsiTheme="minorHAnsi"/>
          <w:sz w:val="22"/>
          <w:szCs w:val="22"/>
        </w:rPr>
        <w:t>he 2013-14 exercise</w:t>
      </w:r>
      <w:r w:rsidR="00805CEA">
        <w:rPr>
          <w:rFonts w:asciiTheme="minorHAnsi" w:hAnsiTheme="minorHAnsi"/>
          <w:sz w:val="22"/>
          <w:szCs w:val="22"/>
        </w:rPr>
        <w:t xml:space="preserve"> representing 0.1% of the population</w:t>
      </w:r>
      <w:r w:rsidR="00306F7F">
        <w:rPr>
          <w:rFonts w:asciiTheme="minorHAnsi" w:hAnsiTheme="minorHAnsi"/>
          <w:sz w:val="22"/>
          <w:szCs w:val="22"/>
        </w:rPr>
        <w:t>. This has been reduced from 85 at the end of January and compares favourably to the same point la</w:t>
      </w:r>
      <w:r w:rsidR="00060377">
        <w:rPr>
          <w:rFonts w:asciiTheme="minorHAnsi" w:hAnsiTheme="minorHAnsi"/>
          <w:sz w:val="22"/>
          <w:szCs w:val="22"/>
        </w:rPr>
        <w:t>st year when 89 remained to submit</w:t>
      </w:r>
      <w:r w:rsidR="00306F7F">
        <w:rPr>
          <w:rFonts w:asciiTheme="minorHAnsi" w:hAnsiTheme="minorHAnsi"/>
          <w:sz w:val="22"/>
          <w:szCs w:val="22"/>
        </w:rPr>
        <w:t xml:space="preserve">. </w:t>
      </w:r>
      <w:r w:rsidR="00D914BD">
        <w:rPr>
          <w:rFonts w:asciiTheme="minorHAnsi" w:hAnsiTheme="minorHAnsi"/>
          <w:sz w:val="22"/>
          <w:szCs w:val="22"/>
        </w:rPr>
        <w:t xml:space="preserve">In terms of the quality of returns TP have seen a drop in the number of </w:t>
      </w:r>
      <w:r w:rsidR="00C463F2">
        <w:rPr>
          <w:rFonts w:asciiTheme="minorHAnsi" w:hAnsiTheme="minorHAnsi"/>
          <w:sz w:val="22"/>
          <w:szCs w:val="22"/>
        </w:rPr>
        <w:t xml:space="preserve">returns requiring further action due to external queries </w:t>
      </w:r>
      <w:r w:rsidR="00D914BD">
        <w:rPr>
          <w:rFonts w:asciiTheme="minorHAnsi" w:hAnsiTheme="minorHAnsi"/>
          <w:sz w:val="22"/>
          <w:szCs w:val="22"/>
        </w:rPr>
        <w:t xml:space="preserve">from 17% </w:t>
      </w:r>
      <w:r w:rsidR="00C463F2">
        <w:rPr>
          <w:rFonts w:asciiTheme="minorHAnsi" w:hAnsiTheme="minorHAnsi"/>
          <w:sz w:val="22"/>
          <w:szCs w:val="22"/>
        </w:rPr>
        <w:t xml:space="preserve">last year </w:t>
      </w:r>
      <w:r w:rsidR="00D914BD">
        <w:rPr>
          <w:rFonts w:asciiTheme="minorHAnsi" w:hAnsiTheme="minorHAnsi"/>
          <w:sz w:val="22"/>
          <w:szCs w:val="22"/>
        </w:rPr>
        <w:t>to 7%</w:t>
      </w:r>
      <w:r w:rsidR="00C463F2">
        <w:rPr>
          <w:rFonts w:asciiTheme="minorHAnsi" w:hAnsiTheme="minorHAnsi"/>
          <w:sz w:val="22"/>
          <w:szCs w:val="22"/>
        </w:rPr>
        <w:t xml:space="preserve"> this</w:t>
      </w:r>
      <w:r w:rsidR="00D914BD">
        <w:rPr>
          <w:rFonts w:asciiTheme="minorHAnsi" w:hAnsiTheme="minorHAnsi"/>
          <w:sz w:val="22"/>
          <w:szCs w:val="22"/>
        </w:rPr>
        <w:t xml:space="preserve">. Likewise the volume of returns </w:t>
      </w:r>
      <w:r w:rsidR="00A12D3A">
        <w:rPr>
          <w:rFonts w:asciiTheme="minorHAnsi" w:hAnsiTheme="minorHAnsi"/>
          <w:sz w:val="22"/>
          <w:szCs w:val="22"/>
        </w:rPr>
        <w:t>that could be closed with no further action</w:t>
      </w:r>
      <w:r w:rsidR="00D914BD">
        <w:rPr>
          <w:rFonts w:asciiTheme="minorHAnsi" w:hAnsiTheme="minorHAnsi"/>
          <w:sz w:val="22"/>
          <w:szCs w:val="22"/>
        </w:rPr>
        <w:t xml:space="preserve"> has inc</w:t>
      </w:r>
      <w:r w:rsidR="00C463F2">
        <w:rPr>
          <w:rFonts w:asciiTheme="minorHAnsi" w:hAnsiTheme="minorHAnsi"/>
          <w:sz w:val="22"/>
          <w:szCs w:val="22"/>
        </w:rPr>
        <w:t>reased from 78% to 91%</w:t>
      </w:r>
      <w:r w:rsidR="00BA52B9">
        <w:rPr>
          <w:rFonts w:asciiTheme="minorHAnsi" w:hAnsiTheme="minorHAnsi"/>
          <w:sz w:val="22"/>
          <w:szCs w:val="22"/>
        </w:rPr>
        <w:t xml:space="preserve">. The </w:t>
      </w:r>
      <w:r w:rsidR="007509C7">
        <w:rPr>
          <w:rFonts w:asciiTheme="minorHAnsi" w:hAnsiTheme="minorHAnsi"/>
          <w:sz w:val="22"/>
          <w:szCs w:val="22"/>
        </w:rPr>
        <w:t>controls in place</w:t>
      </w:r>
      <w:r w:rsidR="00BA52B9">
        <w:rPr>
          <w:rFonts w:asciiTheme="minorHAnsi" w:hAnsiTheme="minorHAnsi"/>
          <w:sz w:val="22"/>
          <w:szCs w:val="22"/>
        </w:rPr>
        <w:t xml:space="preserve"> will provide </w:t>
      </w:r>
      <w:r w:rsidR="000F302B">
        <w:rPr>
          <w:rFonts w:asciiTheme="minorHAnsi" w:hAnsiTheme="minorHAnsi"/>
          <w:sz w:val="22"/>
          <w:szCs w:val="22"/>
        </w:rPr>
        <w:t>the requisite</w:t>
      </w:r>
      <w:r w:rsidR="00BA52B9">
        <w:rPr>
          <w:rFonts w:asciiTheme="minorHAnsi" w:hAnsiTheme="minorHAnsi"/>
          <w:sz w:val="22"/>
          <w:szCs w:val="22"/>
        </w:rPr>
        <w:t xml:space="preserve"> assurance to the NAO that the exercise is being administered robustly</w:t>
      </w:r>
      <w:r w:rsidR="003E064F">
        <w:rPr>
          <w:rFonts w:asciiTheme="minorHAnsi" w:hAnsiTheme="minorHAnsi"/>
          <w:sz w:val="22"/>
          <w:szCs w:val="22"/>
        </w:rPr>
        <w:t>,</w:t>
      </w:r>
      <w:r w:rsidR="00375273">
        <w:rPr>
          <w:rFonts w:asciiTheme="minorHAnsi" w:hAnsiTheme="minorHAnsi"/>
          <w:sz w:val="22"/>
          <w:szCs w:val="22"/>
        </w:rPr>
        <w:t xml:space="preserve"> </w:t>
      </w:r>
      <w:r w:rsidR="007509C7">
        <w:rPr>
          <w:rFonts w:asciiTheme="minorHAnsi" w:hAnsiTheme="minorHAnsi"/>
          <w:sz w:val="22"/>
          <w:szCs w:val="22"/>
        </w:rPr>
        <w:t xml:space="preserve">which </w:t>
      </w:r>
      <w:r w:rsidR="00375273">
        <w:rPr>
          <w:rFonts w:asciiTheme="minorHAnsi" w:hAnsiTheme="minorHAnsi"/>
          <w:sz w:val="22"/>
          <w:szCs w:val="22"/>
        </w:rPr>
        <w:t xml:space="preserve">is </w:t>
      </w:r>
      <w:r w:rsidR="00A43ED1">
        <w:rPr>
          <w:rFonts w:asciiTheme="minorHAnsi" w:hAnsiTheme="minorHAnsi"/>
          <w:sz w:val="22"/>
          <w:szCs w:val="22"/>
        </w:rPr>
        <w:t xml:space="preserve">reflected </w:t>
      </w:r>
      <w:r w:rsidR="007509C7">
        <w:rPr>
          <w:rFonts w:asciiTheme="minorHAnsi" w:hAnsiTheme="minorHAnsi"/>
          <w:sz w:val="22"/>
          <w:szCs w:val="22"/>
        </w:rPr>
        <w:t>in the</w:t>
      </w:r>
      <w:r w:rsidR="00A43ED1">
        <w:rPr>
          <w:rFonts w:asciiTheme="minorHAnsi" w:hAnsiTheme="minorHAnsi"/>
          <w:sz w:val="22"/>
          <w:szCs w:val="22"/>
        </w:rPr>
        <w:t xml:space="preserve"> </w:t>
      </w:r>
      <w:r w:rsidR="00375273">
        <w:rPr>
          <w:rFonts w:asciiTheme="minorHAnsi" w:hAnsiTheme="minorHAnsi"/>
          <w:sz w:val="22"/>
          <w:szCs w:val="22"/>
        </w:rPr>
        <w:t>green</w:t>
      </w:r>
      <w:r w:rsidR="007509C7">
        <w:rPr>
          <w:rFonts w:asciiTheme="minorHAnsi" w:hAnsiTheme="minorHAnsi"/>
          <w:sz w:val="22"/>
          <w:szCs w:val="22"/>
        </w:rPr>
        <w:t xml:space="preserve"> status of the dashboard</w:t>
      </w:r>
      <w:r w:rsidR="00BA52B9">
        <w:rPr>
          <w:rFonts w:asciiTheme="minorHAnsi" w:hAnsiTheme="minorHAnsi"/>
          <w:sz w:val="22"/>
          <w:szCs w:val="22"/>
        </w:rPr>
        <w:t>.</w:t>
      </w:r>
      <w:r w:rsidR="00805CEA">
        <w:rPr>
          <w:rFonts w:asciiTheme="minorHAnsi" w:hAnsiTheme="minorHAnsi"/>
          <w:sz w:val="22"/>
          <w:szCs w:val="22"/>
        </w:rPr>
        <w:t xml:space="preserve"> The dea</w:t>
      </w:r>
      <w:r w:rsidR="00C463F2">
        <w:rPr>
          <w:rFonts w:asciiTheme="minorHAnsi" w:hAnsiTheme="minorHAnsi"/>
          <w:sz w:val="22"/>
          <w:szCs w:val="22"/>
        </w:rPr>
        <w:t xml:space="preserve">dline for the unaudited </w:t>
      </w:r>
      <w:r w:rsidR="00805CEA">
        <w:rPr>
          <w:rFonts w:asciiTheme="minorHAnsi" w:hAnsiTheme="minorHAnsi"/>
          <w:sz w:val="22"/>
          <w:szCs w:val="22"/>
        </w:rPr>
        <w:t xml:space="preserve">returns </w:t>
      </w:r>
      <w:r w:rsidR="00C463F2">
        <w:rPr>
          <w:rFonts w:asciiTheme="minorHAnsi" w:hAnsiTheme="minorHAnsi"/>
          <w:sz w:val="22"/>
          <w:szCs w:val="22"/>
        </w:rPr>
        <w:t xml:space="preserve">in respect of the 2014-15 financial </w:t>
      </w:r>
      <w:proofErr w:type="gramStart"/>
      <w:r w:rsidR="00C463F2">
        <w:rPr>
          <w:rFonts w:asciiTheme="minorHAnsi" w:hAnsiTheme="minorHAnsi"/>
          <w:sz w:val="22"/>
          <w:szCs w:val="22"/>
        </w:rPr>
        <w:t>year</w:t>
      </w:r>
      <w:proofErr w:type="gramEnd"/>
      <w:r w:rsidR="00C463F2">
        <w:rPr>
          <w:rFonts w:asciiTheme="minorHAnsi" w:hAnsiTheme="minorHAnsi"/>
          <w:sz w:val="22"/>
          <w:szCs w:val="22"/>
        </w:rPr>
        <w:t xml:space="preserve"> </w:t>
      </w:r>
      <w:r w:rsidR="00805CEA">
        <w:rPr>
          <w:rFonts w:asciiTheme="minorHAnsi" w:hAnsiTheme="minorHAnsi"/>
          <w:sz w:val="22"/>
          <w:szCs w:val="22"/>
        </w:rPr>
        <w:t>is the 31</w:t>
      </w:r>
      <w:r w:rsidR="00805CEA" w:rsidRPr="00805CEA">
        <w:rPr>
          <w:rFonts w:asciiTheme="minorHAnsi" w:hAnsiTheme="minorHAnsi"/>
          <w:sz w:val="22"/>
          <w:szCs w:val="22"/>
          <w:vertAlign w:val="superscript"/>
        </w:rPr>
        <w:t>st</w:t>
      </w:r>
      <w:r w:rsidR="00805CEA">
        <w:rPr>
          <w:rFonts w:asciiTheme="minorHAnsi" w:hAnsiTheme="minorHAnsi"/>
          <w:sz w:val="22"/>
          <w:szCs w:val="22"/>
        </w:rPr>
        <w:t xml:space="preserve"> May 2015.</w:t>
      </w:r>
    </w:p>
    <w:p w14:paraId="2E36F4E7" w14:textId="77777777" w:rsidR="00C463F2" w:rsidRPr="00BA52B9" w:rsidRDefault="00C463F2" w:rsidP="00C463F2">
      <w:pPr>
        <w:pStyle w:val="DeptBullets"/>
        <w:numPr>
          <w:ilvl w:val="0"/>
          <w:numId w:val="0"/>
        </w:numPr>
        <w:ind w:left="720"/>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691197E8" w14:textId="77777777" w:rsidTr="00176043">
        <w:tc>
          <w:tcPr>
            <w:tcW w:w="7230" w:type="dxa"/>
          </w:tcPr>
          <w:p w14:paraId="0D5E12FE" w14:textId="77777777" w:rsidR="00DC6BD2" w:rsidRPr="00EB7ACE" w:rsidRDefault="00DC6BD2" w:rsidP="00311C8A">
            <w:pPr>
              <w:rPr>
                <w:rFonts w:asciiTheme="minorHAnsi" w:hAnsiTheme="minorHAnsi" w:cs="Arial"/>
                <w:b/>
                <w:color w:val="000000"/>
                <w:sz w:val="22"/>
                <w:szCs w:val="22"/>
                <w:lang w:eastAsia="en-GB"/>
              </w:rPr>
            </w:pPr>
          </w:p>
          <w:p w14:paraId="6D0B6247"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Debt</w:t>
            </w:r>
          </w:p>
          <w:p w14:paraId="68C62CFC" w14:textId="77777777" w:rsidR="00DC6BD2" w:rsidRPr="00EB7ACE" w:rsidRDefault="00DC6BD2" w:rsidP="00311C8A">
            <w:pPr>
              <w:rPr>
                <w:rFonts w:asciiTheme="minorHAnsi" w:hAnsiTheme="minorHAnsi" w:cs="Arial"/>
                <w:b/>
                <w:sz w:val="22"/>
                <w:szCs w:val="22"/>
              </w:rPr>
            </w:pPr>
          </w:p>
        </w:tc>
        <w:tc>
          <w:tcPr>
            <w:tcW w:w="1134" w:type="dxa"/>
            <w:shd w:val="clear" w:color="auto" w:fill="FFC000"/>
          </w:tcPr>
          <w:p w14:paraId="15B8AEAB" w14:textId="77777777" w:rsidR="00DC6BD2" w:rsidRPr="00EB7ACE" w:rsidRDefault="00DC6BD2" w:rsidP="00311C8A">
            <w:pPr>
              <w:rPr>
                <w:rFonts w:asciiTheme="minorHAnsi" w:hAnsiTheme="minorHAnsi" w:cs="Calibri"/>
                <w:sz w:val="22"/>
                <w:szCs w:val="22"/>
              </w:rPr>
            </w:pPr>
            <w:r w:rsidRPr="002F6007">
              <w:rPr>
                <w:rFonts w:asciiTheme="minorHAnsi" w:hAnsiTheme="minorHAnsi" w:cs="Calibri"/>
                <w:color w:val="00B050"/>
                <w:sz w:val="22"/>
                <w:szCs w:val="22"/>
              </w:rPr>
              <w:t xml:space="preserve">                        </w:t>
            </w:r>
          </w:p>
        </w:tc>
      </w:tr>
    </w:tbl>
    <w:p w14:paraId="62FD8B8D" w14:textId="77777777" w:rsidR="00DC6BD2" w:rsidRPr="00EB7ACE" w:rsidRDefault="00DC6BD2" w:rsidP="00DC6BD2">
      <w:pPr>
        <w:pStyle w:val="DeptBullets"/>
        <w:numPr>
          <w:ilvl w:val="0"/>
          <w:numId w:val="0"/>
        </w:numPr>
        <w:ind w:left="720"/>
        <w:rPr>
          <w:rFonts w:asciiTheme="minorHAnsi" w:hAnsiTheme="minorHAnsi"/>
          <w:sz w:val="22"/>
          <w:szCs w:val="22"/>
        </w:rPr>
      </w:pPr>
    </w:p>
    <w:p w14:paraId="33DF8C1F" w14:textId="77777777" w:rsidR="00E920C0" w:rsidRDefault="002F6007" w:rsidP="00117BDE">
      <w:pPr>
        <w:pStyle w:val="DeptBullets"/>
        <w:numPr>
          <w:ilvl w:val="0"/>
          <w:numId w:val="14"/>
        </w:numPr>
        <w:rPr>
          <w:rFonts w:asciiTheme="minorHAnsi" w:hAnsiTheme="minorHAnsi"/>
          <w:sz w:val="22"/>
          <w:szCs w:val="22"/>
        </w:rPr>
      </w:pPr>
      <w:r w:rsidRPr="00617765">
        <w:rPr>
          <w:rFonts w:asciiTheme="minorHAnsi" w:hAnsiTheme="minorHAnsi"/>
          <w:b/>
          <w:sz w:val="22"/>
          <w:szCs w:val="22"/>
        </w:rPr>
        <w:t>Member Overpayments</w:t>
      </w:r>
      <w:r w:rsidRPr="002F6007">
        <w:rPr>
          <w:rFonts w:asciiTheme="minorHAnsi" w:hAnsiTheme="minorHAnsi"/>
          <w:sz w:val="22"/>
          <w:szCs w:val="22"/>
        </w:rPr>
        <w:t xml:space="preserve"> –</w:t>
      </w:r>
      <w:r>
        <w:rPr>
          <w:rFonts w:asciiTheme="minorHAnsi" w:hAnsiTheme="minorHAnsi"/>
          <w:sz w:val="22"/>
          <w:szCs w:val="22"/>
        </w:rPr>
        <w:t xml:space="preserve"> </w:t>
      </w:r>
      <w:r w:rsidR="00984EAD">
        <w:rPr>
          <w:rFonts w:asciiTheme="minorHAnsi" w:hAnsiTheme="minorHAnsi"/>
          <w:sz w:val="22"/>
          <w:szCs w:val="22"/>
        </w:rPr>
        <w:t xml:space="preserve">Most </w:t>
      </w:r>
      <w:r w:rsidR="007509C7">
        <w:rPr>
          <w:rFonts w:asciiTheme="minorHAnsi" w:hAnsiTheme="minorHAnsi"/>
          <w:sz w:val="22"/>
          <w:szCs w:val="22"/>
        </w:rPr>
        <w:t>scheme</w:t>
      </w:r>
      <w:r w:rsidR="0045014A">
        <w:rPr>
          <w:rFonts w:asciiTheme="minorHAnsi" w:hAnsiTheme="minorHAnsi"/>
          <w:sz w:val="22"/>
          <w:szCs w:val="22"/>
        </w:rPr>
        <w:t xml:space="preserve"> debt arise</w:t>
      </w:r>
      <w:r w:rsidR="007509C7">
        <w:rPr>
          <w:rFonts w:asciiTheme="minorHAnsi" w:hAnsiTheme="minorHAnsi"/>
          <w:sz w:val="22"/>
          <w:szCs w:val="22"/>
        </w:rPr>
        <w:t>s</w:t>
      </w:r>
      <w:r w:rsidR="0045014A">
        <w:rPr>
          <w:rFonts w:asciiTheme="minorHAnsi" w:hAnsiTheme="minorHAnsi"/>
          <w:sz w:val="22"/>
          <w:szCs w:val="22"/>
        </w:rPr>
        <w:t xml:space="preserve"> as a res</w:t>
      </w:r>
      <w:r w:rsidR="00A43ED1">
        <w:rPr>
          <w:rFonts w:asciiTheme="minorHAnsi" w:hAnsiTheme="minorHAnsi"/>
          <w:sz w:val="22"/>
          <w:szCs w:val="22"/>
        </w:rPr>
        <w:t>ult of death, re-employment, re-</w:t>
      </w:r>
      <w:r w:rsidR="0045014A">
        <w:rPr>
          <w:rFonts w:asciiTheme="minorHAnsi" w:hAnsiTheme="minorHAnsi"/>
          <w:sz w:val="22"/>
          <w:szCs w:val="22"/>
        </w:rPr>
        <w:t xml:space="preserve">marriage and lump sum overpayments. </w:t>
      </w:r>
      <w:r w:rsidR="00F118C4">
        <w:rPr>
          <w:rFonts w:asciiTheme="minorHAnsi" w:hAnsiTheme="minorHAnsi"/>
          <w:sz w:val="22"/>
          <w:szCs w:val="22"/>
        </w:rPr>
        <w:t>Outstanding d</w:t>
      </w:r>
      <w:r w:rsidRPr="002F6007">
        <w:rPr>
          <w:rFonts w:asciiTheme="minorHAnsi" w:hAnsiTheme="minorHAnsi"/>
          <w:sz w:val="22"/>
          <w:szCs w:val="22"/>
        </w:rPr>
        <w:t xml:space="preserve">ebt has </w:t>
      </w:r>
      <w:r w:rsidR="00622379">
        <w:rPr>
          <w:rFonts w:asciiTheme="minorHAnsi" w:hAnsiTheme="minorHAnsi"/>
          <w:sz w:val="22"/>
          <w:szCs w:val="22"/>
        </w:rPr>
        <w:t xml:space="preserve">remained fairly static over the quarter </w:t>
      </w:r>
      <w:r w:rsidR="00E920C0">
        <w:rPr>
          <w:rFonts w:asciiTheme="minorHAnsi" w:hAnsiTheme="minorHAnsi"/>
          <w:sz w:val="22"/>
          <w:szCs w:val="22"/>
        </w:rPr>
        <w:t xml:space="preserve">at around </w:t>
      </w:r>
      <w:r w:rsidR="00622379">
        <w:rPr>
          <w:rFonts w:asciiTheme="minorHAnsi" w:hAnsiTheme="minorHAnsi"/>
          <w:sz w:val="22"/>
          <w:szCs w:val="22"/>
        </w:rPr>
        <w:t>£8.4million</w:t>
      </w:r>
      <w:r w:rsidRPr="002F6007">
        <w:rPr>
          <w:rFonts w:asciiTheme="minorHAnsi" w:hAnsiTheme="minorHAnsi"/>
          <w:sz w:val="22"/>
          <w:szCs w:val="22"/>
        </w:rPr>
        <w:t xml:space="preserve">. </w:t>
      </w:r>
      <w:r w:rsidR="00E920C0">
        <w:rPr>
          <w:rFonts w:asciiTheme="minorHAnsi" w:hAnsiTheme="minorHAnsi"/>
          <w:sz w:val="22"/>
          <w:szCs w:val="22"/>
        </w:rPr>
        <w:t xml:space="preserve">However this includes a significant increase in identified re-marriage overpayment debt (an additional £500k) which has been identified as part of a targeted </w:t>
      </w:r>
      <w:r w:rsidR="007B476F">
        <w:rPr>
          <w:rFonts w:asciiTheme="minorHAnsi" w:hAnsiTheme="minorHAnsi"/>
          <w:sz w:val="22"/>
          <w:szCs w:val="22"/>
        </w:rPr>
        <w:t xml:space="preserve">declaration </w:t>
      </w:r>
      <w:r w:rsidR="00E920C0">
        <w:rPr>
          <w:rFonts w:asciiTheme="minorHAnsi" w:hAnsiTheme="minorHAnsi"/>
          <w:sz w:val="22"/>
          <w:szCs w:val="22"/>
        </w:rPr>
        <w:t>exercise.</w:t>
      </w:r>
    </w:p>
    <w:p w14:paraId="220F4A52" w14:textId="77777777" w:rsidR="002F6007" w:rsidRPr="002F6007" w:rsidRDefault="00622379" w:rsidP="00117BDE">
      <w:pPr>
        <w:pStyle w:val="DeptBullets"/>
        <w:numPr>
          <w:ilvl w:val="0"/>
          <w:numId w:val="14"/>
        </w:numPr>
        <w:rPr>
          <w:rFonts w:asciiTheme="minorHAnsi" w:hAnsiTheme="minorHAnsi"/>
          <w:sz w:val="22"/>
          <w:szCs w:val="22"/>
        </w:rPr>
      </w:pPr>
      <w:r>
        <w:rPr>
          <w:rFonts w:asciiTheme="minorHAnsi" w:hAnsiTheme="minorHAnsi"/>
          <w:sz w:val="22"/>
          <w:szCs w:val="22"/>
        </w:rPr>
        <w:t>61</w:t>
      </w:r>
      <w:r w:rsidR="00593F22">
        <w:rPr>
          <w:rFonts w:asciiTheme="minorHAnsi" w:hAnsiTheme="minorHAnsi"/>
          <w:sz w:val="22"/>
          <w:szCs w:val="22"/>
        </w:rPr>
        <w:t>%</w:t>
      </w:r>
      <w:r w:rsidR="00E920C0">
        <w:rPr>
          <w:rFonts w:asciiTheme="minorHAnsi" w:hAnsiTheme="minorHAnsi"/>
          <w:sz w:val="22"/>
          <w:szCs w:val="22"/>
        </w:rPr>
        <w:t xml:space="preserve"> (</w:t>
      </w:r>
      <w:r>
        <w:rPr>
          <w:rFonts w:asciiTheme="minorHAnsi" w:hAnsiTheme="minorHAnsi"/>
          <w:sz w:val="22"/>
          <w:szCs w:val="22"/>
        </w:rPr>
        <w:t>over £5</w:t>
      </w:r>
      <w:r w:rsidR="00A43ED1">
        <w:rPr>
          <w:rFonts w:asciiTheme="minorHAnsi" w:hAnsiTheme="minorHAnsi"/>
          <w:sz w:val="22"/>
          <w:szCs w:val="22"/>
        </w:rPr>
        <w:t>m</w:t>
      </w:r>
      <w:r w:rsidR="00593F22">
        <w:rPr>
          <w:rFonts w:asciiTheme="minorHAnsi" w:hAnsiTheme="minorHAnsi"/>
          <w:sz w:val="22"/>
          <w:szCs w:val="22"/>
        </w:rPr>
        <w:t>illion</w:t>
      </w:r>
      <w:r w:rsidR="00E920C0">
        <w:rPr>
          <w:rFonts w:asciiTheme="minorHAnsi" w:hAnsiTheme="minorHAnsi"/>
          <w:sz w:val="22"/>
          <w:szCs w:val="22"/>
        </w:rPr>
        <w:t xml:space="preserve">) of overpayment debt </w:t>
      </w:r>
      <w:r w:rsidR="00A43ED1">
        <w:rPr>
          <w:rFonts w:asciiTheme="minorHAnsi" w:hAnsiTheme="minorHAnsi"/>
          <w:sz w:val="22"/>
          <w:szCs w:val="22"/>
        </w:rPr>
        <w:t xml:space="preserve">is </w:t>
      </w:r>
      <w:r w:rsidR="00E920C0">
        <w:rPr>
          <w:rFonts w:asciiTheme="minorHAnsi" w:hAnsiTheme="minorHAnsi"/>
          <w:sz w:val="22"/>
          <w:szCs w:val="22"/>
        </w:rPr>
        <w:t xml:space="preserve">currently </w:t>
      </w:r>
      <w:r w:rsidR="00A43ED1">
        <w:rPr>
          <w:rFonts w:asciiTheme="minorHAnsi" w:hAnsiTheme="minorHAnsi"/>
          <w:sz w:val="22"/>
          <w:szCs w:val="22"/>
        </w:rPr>
        <w:t>in re</w:t>
      </w:r>
      <w:r>
        <w:rPr>
          <w:rFonts w:asciiTheme="minorHAnsi" w:hAnsiTheme="minorHAnsi"/>
          <w:sz w:val="22"/>
          <w:szCs w:val="22"/>
        </w:rPr>
        <w:t>covery</w:t>
      </w:r>
      <w:r w:rsidR="00A43ED1">
        <w:rPr>
          <w:rFonts w:asciiTheme="minorHAnsi" w:hAnsiTheme="minorHAnsi"/>
          <w:sz w:val="22"/>
          <w:szCs w:val="22"/>
        </w:rPr>
        <w:t xml:space="preserve">. </w:t>
      </w:r>
      <w:r w:rsidR="00202C41">
        <w:rPr>
          <w:rFonts w:asciiTheme="minorHAnsi" w:hAnsiTheme="minorHAnsi"/>
          <w:sz w:val="22"/>
          <w:szCs w:val="22"/>
        </w:rPr>
        <w:t xml:space="preserve">Over the last quarter </w:t>
      </w:r>
      <w:r>
        <w:rPr>
          <w:rFonts w:asciiTheme="minorHAnsi" w:hAnsiTheme="minorHAnsi"/>
          <w:sz w:val="22"/>
          <w:szCs w:val="22"/>
        </w:rPr>
        <w:t>over 2,000</w:t>
      </w:r>
      <w:r w:rsidR="00202C41">
        <w:rPr>
          <w:rFonts w:asciiTheme="minorHAnsi" w:hAnsiTheme="minorHAnsi"/>
          <w:sz w:val="22"/>
          <w:szCs w:val="22"/>
        </w:rPr>
        <w:t xml:space="preserve"> invoices hav</w:t>
      </w:r>
      <w:r w:rsidR="00593F22">
        <w:rPr>
          <w:rFonts w:asciiTheme="minorHAnsi" w:hAnsiTheme="minorHAnsi"/>
          <w:sz w:val="22"/>
          <w:szCs w:val="22"/>
        </w:rPr>
        <w:t xml:space="preserve">e </w:t>
      </w:r>
      <w:r>
        <w:rPr>
          <w:rFonts w:asciiTheme="minorHAnsi" w:hAnsiTheme="minorHAnsi"/>
          <w:sz w:val="22"/>
          <w:szCs w:val="22"/>
        </w:rPr>
        <w:t>been raised to a value of £3.54</w:t>
      </w:r>
      <w:r w:rsidR="002F6007" w:rsidRPr="002F6007">
        <w:rPr>
          <w:rFonts w:asciiTheme="minorHAnsi" w:hAnsiTheme="minorHAnsi"/>
          <w:sz w:val="22"/>
          <w:szCs w:val="22"/>
        </w:rPr>
        <w:t>m</w:t>
      </w:r>
      <w:r w:rsidR="00593F22">
        <w:rPr>
          <w:rFonts w:asciiTheme="minorHAnsi" w:hAnsiTheme="minorHAnsi"/>
          <w:sz w:val="22"/>
          <w:szCs w:val="22"/>
        </w:rPr>
        <w:t>illion</w:t>
      </w:r>
      <w:r w:rsidR="002F6007" w:rsidRPr="002F6007">
        <w:rPr>
          <w:rFonts w:asciiTheme="minorHAnsi" w:hAnsiTheme="minorHAnsi"/>
          <w:sz w:val="22"/>
          <w:szCs w:val="22"/>
        </w:rPr>
        <w:t xml:space="preserve"> re</w:t>
      </w:r>
      <w:r w:rsidR="005435BD">
        <w:rPr>
          <w:rFonts w:asciiTheme="minorHAnsi" w:hAnsiTheme="minorHAnsi"/>
          <w:sz w:val="22"/>
          <w:szCs w:val="22"/>
        </w:rPr>
        <w:t>presenting an average value</w:t>
      </w:r>
      <w:r>
        <w:rPr>
          <w:rFonts w:asciiTheme="minorHAnsi" w:hAnsiTheme="minorHAnsi"/>
          <w:sz w:val="22"/>
          <w:szCs w:val="22"/>
        </w:rPr>
        <w:t xml:space="preserve"> of £1,518</w:t>
      </w:r>
      <w:r w:rsidR="002F6007" w:rsidRPr="002F6007">
        <w:rPr>
          <w:rFonts w:asciiTheme="minorHAnsi" w:hAnsiTheme="minorHAnsi"/>
          <w:sz w:val="22"/>
          <w:szCs w:val="22"/>
        </w:rPr>
        <w:t xml:space="preserve">. </w:t>
      </w:r>
      <w:r w:rsidR="00593F22">
        <w:rPr>
          <w:rFonts w:asciiTheme="minorHAnsi" w:hAnsiTheme="minorHAnsi"/>
          <w:sz w:val="22"/>
          <w:szCs w:val="22"/>
        </w:rPr>
        <w:t>81</w:t>
      </w:r>
      <w:r w:rsidR="003E064F">
        <w:rPr>
          <w:rFonts w:asciiTheme="minorHAnsi" w:hAnsiTheme="minorHAnsi"/>
          <w:sz w:val="22"/>
          <w:szCs w:val="22"/>
        </w:rPr>
        <w:t xml:space="preserve">% of these invoices </w:t>
      </w:r>
      <w:r w:rsidR="002F6007" w:rsidRPr="002F6007">
        <w:rPr>
          <w:rFonts w:asciiTheme="minorHAnsi" w:hAnsiTheme="minorHAnsi"/>
          <w:sz w:val="22"/>
          <w:szCs w:val="22"/>
        </w:rPr>
        <w:t>were in respect of death</w:t>
      </w:r>
      <w:r w:rsidR="007509C7">
        <w:rPr>
          <w:rFonts w:asciiTheme="minorHAnsi" w:hAnsiTheme="minorHAnsi"/>
          <w:sz w:val="22"/>
          <w:szCs w:val="22"/>
        </w:rPr>
        <w:t xml:space="preserve"> overpayments</w:t>
      </w:r>
      <w:r w:rsidR="007E3DC2">
        <w:rPr>
          <w:rFonts w:asciiTheme="minorHAnsi" w:hAnsiTheme="minorHAnsi"/>
          <w:sz w:val="22"/>
          <w:szCs w:val="22"/>
        </w:rPr>
        <w:t xml:space="preserve">, </w:t>
      </w:r>
      <w:r w:rsidR="007B476F">
        <w:rPr>
          <w:rFonts w:asciiTheme="minorHAnsi" w:hAnsiTheme="minorHAnsi"/>
          <w:sz w:val="22"/>
          <w:szCs w:val="22"/>
        </w:rPr>
        <w:t>resulting from</w:t>
      </w:r>
      <w:r w:rsidR="007509C7">
        <w:rPr>
          <w:rFonts w:asciiTheme="minorHAnsi" w:hAnsiTheme="minorHAnsi"/>
          <w:sz w:val="22"/>
          <w:szCs w:val="22"/>
        </w:rPr>
        <w:t xml:space="preserve"> the scheme not being informed of the member’s death in sufficient time to prevent pension payments being made</w:t>
      </w:r>
      <w:r w:rsidR="002F6007" w:rsidRPr="002F6007">
        <w:rPr>
          <w:rFonts w:asciiTheme="minorHAnsi" w:hAnsiTheme="minorHAnsi"/>
          <w:sz w:val="22"/>
          <w:szCs w:val="22"/>
        </w:rPr>
        <w:t xml:space="preserve">. </w:t>
      </w:r>
    </w:p>
    <w:p w14:paraId="3FA2E316" w14:textId="77777777" w:rsidR="007B476F" w:rsidRDefault="002F6007" w:rsidP="00117BDE">
      <w:pPr>
        <w:pStyle w:val="DeptBullets"/>
        <w:numPr>
          <w:ilvl w:val="0"/>
          <w:numId w:val="14"/>
        </w:numPr>
        <w:rPr>
          <w:rFonts w:asciiTheme="minorHAnsi" w:hAnsiTheme="minorHAnsi"/>
          <w:sz w:val="22"/>
          <w:szCs w:val="22"/>
        </w:rPr>
      </w:pPr>
      <w:r w:rsidRPr="00617765">
        <w:rPr>
          <w:rFonts w:asciiTheme="minorHAnsi" w:hAnsiTheme="minorHAnsi"/>
          <w:b/>
          <w:sz w:val="22"/>
          <w:szCs w:val="22"/>
        </w:rPr>
        <w:t>Arrears of Contributions</w:t>
      </w:r>
      <w:r w:rsidR="00FA4C3D">
        <w:rPr>
          <w:rFonts w:asciiTheme="minorHAnsi" w:hAnsiTheme="minorHAnsi"/>
          <w:sz w:val="22"/>
          <w:szCs w:val="22"/>
        </w:rPr>
        <w:t xml:space="preserve"> – T</w:t>
      </w:r>
      <w:r w:rsidRPr="002F6007">
        <w:rPr>
          <w:rFonts w:asciiTheme="minorHAnsi" w:hAnsiTheme="minorHAnsi"/>
          <w:sz w:val="22"/>
          <w:szCs w:val="22"/>
        </w:rPr>
        <w:t xml:space="preserve">he outstanding balance </w:t>
      </w:r>
      <w:r w:rsidR="0045014A">
        <w:rPr>
          <w:rFonts w:asciiTheme="minorHAnsi" w:hAnsiTheme="minorHAnsi"/>
          <w:sz w:val="22"/>
          <w:szCs w:val="22"/>
        </w:rPr>
        <w:t>of member and employer arrears due to the scheme (where members have been omitted in error</w:t>
      </w:r>
      <w:r w:rsidR="003E064F">
        <w:rPr>
          <w:rFonts w:asciiTheme="minorHAnsi" w:hAnsiTheme="minorHAnsi"/>
          <w:sz w:val="22"/>
          <w:szCs w:val="22"/>
        </w:rPr>
        <w:t xml:space="preserve"> by employers</w:t>
      </w:r>
      <w:r w:rsidR="0045014A">
        <w:rPr>
          <w:rFonts w:asciiTheme="minorHAnsi" w:hAnsiTheme="minorHAnsi"/>
          <w:sz w:val="22"/>
          <w:szCs w:val="22"/>
        </w:rPr>
        <w:t xml:space="preserve">) </w:t>
      </w:r>
      <w:r w:rsidR="007509C7">
        <w:rPr>
          <w:rFonts w:asciiTheme="minorHAnsi" w:hAnsiTheme="minorHAnsi"/>
          <w:sz w:val="22"/>
          <w:szCs w:val="22"/>
        </w:rPr>
        <w:t>is</w:t>
      </w:r>
      <w:r w:rsidR="00793F0F">
        <w:rPr>
          <w:rFonts w:asciiTheme="minorHAnsi" w:hAnsiTheme="minorHAnsi"/>
          <w:sz w:val="22"/>
          <w:szCs w:val="22"/>
        </w:rPr>
        <w:t xml:space="preserve"> £2.19</w:t>
      </w:r>
      <w:r w:rsidR="00FB0768">
        <w:rPr>
          <w:rFonts w:asciiTheme="minorHAnsi" w:hAnsiTheme="minorHAnsi"/>
          <w:sz w:val="22"/>
          <w:szCs w:val="22"/>
        </w:rPr>
        <w:t xml:space="preserve"> </w:t>
      </w:r>
      <w:r w:rsidR="003E064F">
        <w:rPr>
          <w:rFonts w:asciiTheme="minorHAnsi" w:hAnsiTheme="minorHAnsi"/>
          <w:sz w:val="22"/>
          <w:szCs w:val="22"/>
        </w:rPr>
        <w:t>m</w:t>
      </w:r>
      <w:r w:rsidR="00FB0768">
        <w:rPr>
          <w:rFonts w:asciiTheme="minorHAnsi" w:hAnsiTheme="minorHAnsi"/>
          <w:sz w:val="22"/>
          <w:szCs w:val="22"/>
        </w:rPr>
        <w:t>illion</w:t>
      </w:r>
      <w:r w:rsidRPr="002F6007">
        <w:rPr>
          <w:rFonts w:asciiTheme="minorHAnsi" w:hAnsiTheme="minorHAnsi"/>
          <w:sz w:val="22"/>
          <w:szCs w:val="22"/>
        </w:rPr>
        <w:t xml:space="preserve">. </w:t>
      </w:r>
      <w:r w:rsidR="00793F0F">
        <w:rPr>
          <w:rFonts w:asciiTheme="minorHAnsi" w:hAnsiTheme="minorHAnsi"/>
          <w:sz w:val="22"/>
          <w:szCs w:val="22"/>
        </w:rPr>
        <w:t>A reduction of £1.6</w:t>
      </w:r>
      <w:r w:rsidR="00FB0768">
        <w:rPr>
          <w:rFonts w:asciiTheme="minorHAnsi" w:hAnsiTheme="minorHAnsi"/>
          <w:sz w:val="22"/>
          <w:szCs w:val="22"/>
        </w:rPr>
        <w:t>6 million has bee</w:t>
      </w:r>
      <w:r w:rsidR="00793F0F">
        <w:rPr>
          <w:rFonts w:asciiTheme="minorHAnsi" w:hAnsiTheme="minorHAnsi"/>
          <w:sz w:val="22"/>
          <w:szCs w:val="22"/>
        </w:rPr>
        <w:t>n achieved since 1 April 2014</w:t>
      </w:r>
      <w:r w:rsidR="007B476F">
        <w:rPr>
          <w:rFonts w:asciiTheme="minorHAnsi" w:hAnsiTheme="minorHAnsi"/>
          <w:sz w:val="22"/>
          <w:szCs w:val="22"/>
        </w:rPr>
        <w:t xml:space="preserve"> as the result of a</w:t>
      </w:r>
      <w:r w:rsidR="00A135C6">
        <w:rPr>
          <w:rFonts w:asciiTheme="minorHAnsi" w:hAnsiTheme="minorHAnsi"/>
          <w:sz w:val="22"/>
          <w:szCs w:val="22"/>
        </w:rPr>
        <w:t xml:space="preserve"> project</w:t>
      </w:r>
      <w:r w:rsidR="007E3DC2">
        <w:rPr>
          <w:rFonts w:asciiTheme="minorHAnsi" w:hAnsiTheme="minorHAnsi"/>
          <w:sz w:val="22"/>
          <w:szCs w:val="22"/>
        </w:rPr>
        <w:t xml:space="preserve"> </w:t>
      </w:r>
      <w:r w:rsidR="007B476F">
        <w:rPr>
          <w:rFonts w:asciiTheme="minorHAnsi" w:hAnsiTheme="minorHAnsi"/>
          <w:sz w:val="22"/>
          <w:szCs w:val="22"/>
        </w:rPr>
        <w:t xml:space="preserve">initiated in February 2014 </w:t>
      </w:r>
      <w:r w:rsidR="007E3DC2">
        <w:rPr>
          <w:rFonts w:asciiTheme="minorHAnsi" w:hAnsiTheme="minorHAnsi"/>
          <w:sz w:val="22"/>
          <w:szCs w:val="22"/>
        </w:rPr>
        <w:t xml:space="preserve">targeting resource to specifically address </w:t>
      </w:r>
      <w:r w:rsidR="00984EAD">
        <w:rPr>
          <w:rFonts w:asciiTheme="minorHAnsi" w:hAnsiTheme="minorHAnsi"/>
          <w:sz w:val="22"/>
          <w:szCs w:val="22"/>
        </w:rPr>
        <w:t xml:space="preserve">outstanding </w:t>
      </w:r>
      <w:r w:rsidR="007E3DC2">
        <w:rPr>
          <w:rFonts w:asciiTheme="minorHAnsi" w:hAnsiTheme="minorHAnsi"/>
          <w:sz w:val="22"/>
          <w:szCs w:val="22"/>
        </w:rPr>
        <w:t>arrears</w:t>
      </w:r>
      <w:r w:rsidR="00A135C6">
        <w:rPr>
          <w:rFonts w:asciiTheme="minorHAnsi" w:hAnsiTheme="minorHAnsi"/>
          <w:sz w:val="22"/>
          <w:szCs w:val="22"/>
        </w:rPr>
        <w:t xml:space="preserve">. </w:t>
      </w:r>
    </w:p>
    <w:p w14:paraId="66EE9EC7" w14:textId="77777777" w:rsidR="00DC6BD2" w:rsidRDefault="003E064F" w:rsidP="00117BDE">
      <w:pPr>
        <w:pStyle w:val="DeptBullets"/>
        <w:numPr>
          <w:ilvl w:val="0"/>
          <w:numId w:val="14"/>
        </w:numPr>
        <w:rPr>
          <w:rFonts w:asciiTheme="minorHAnsi" w:hAnsiTheme="minorHAnsi"/>
          <w:sz w:val="22"/>
          <w:szCs w:val="22"/>
        </w:rPr>
      </w:pPr>
      <w:r>
        <w:rPr>
          <w:rFonts w:asciiTheme="minorHAnsi" w:hAnsiTheme="minorHAnsi"/>
          <w:sz w:val="22"/>
          <w:szCs w:val="22"/>
        </w:rPr>
        <w:t xml:space="preserve">The overall rating of amber on scheme debt </w:t>
      </w:r>
      <w:r w:rsidR="00FB0768">
        <w:rPr>
          <w:rFonts w:asciiTheme="minorHAnsi" w:hAnsiTheme="minorHAnsi"/>
          <w:sz w:val="22"/>
          <w:szCs w:val="22"/>
        </w:rPr>
        <w:t xml:space="preserve">prudently </w:t>
      </w:r>
      <w:r>
        <w:rPr>
          <w:rFonts w:asciiTheme="minorHAnsi" w:hAnsiTheme="minorHAnsi"/>
          <w:sz w:val="22"/>
          <w:szCs w:val="22"/>
        </w:rPr>
        <w:t xml:space="preserve">reflects the </w:t>
      </w:r>
      <w:r w:rsidR="007E3DC2">
        <w:rPr>
          <w:rFonts w:asciiTheme="minorHAnsi" w:hAnsiTheme="minorHAnsi"/>
          <w:sz w:val="22"/>
          <w:szCs w:val="22"/>
        </w:rPr>
        <w:t xml:space="preserve">inherent </w:t>
      </w:r>
      <w:r>
        <w:rPr>
          <w:rFonts w:asciiTheme="minorHAnsi" w:hAnsiTheme="minorHAnsi"/>
          <w:sz w:val="22"/>
          <w:szCs w:val="22"/>
        </w:rPr>
        <w:t xml:space="preserve">challenges </w:t>
      </w:r>
      <w:r w:rsidR="00FB0768">
        <w:rPr>
          <w:rFonts w:asciiTheme="minorHAnsi" w:hAnsiTheme="minorHAnsi"/>
          <w:sz w:val="22"/>
          <w:szCs w:val="22"/>
        </w:rPr>
        <w:t>in</w:t>
      </w:r>
      <w:r w:rsidR="007E3DC2">
        <w:rPr>
          <w:rFonts w:asciiTheme="minorHAnsi" w:hAnsiTheme="minorHAnsi"/>
          <w:sz w:val="22"/>
          <w:szCs w:val="22"/>
        </w:rPr>
        <w:t xml:space="preserve"> reducing </w:t>
      </w:r>
      <w:r>
        <w:rPr>
          <w:rFonts w:asciiTheme="minorHAnsi" w:hAnsiTheme="minorHAnsi"/>
          <w:sz w:val="22"/>
          <w:szCs w:val="22"/>
        </w:rPr>
        <w:t xml:space="preserve">the debt position </w:t>
      </w:r>
      <w:r w:rsidR="007E3DC2">
        <w:rPr>
          <w:rFonts w:asciiTheme="minorHAnsi" w:hAnsiTheme="minorHAnsi"/>
          <w:sz w:val="22"/>
          <w:szCs w:val="22"/>
        </w:rPr>
        <w:t>and the potential impact of ongoing and future exercises, such as the remarriage declaration and deferred member projects.</w:t>
      </w:r>
    </w:p>
    <w:tbl>
      <w:tblPr>
        <w:tblStyle w:val="TableGrid"/>
        <w:tblW w:w="0" w:type="auto"/>
        <w:tblInd w:w="108" w:type="dxa"/>
        <w:tblLook w:val="04A0" w:firstRow="1" w:lastRow="0" w:firstColumn="1" w:lastColumn="0" w:noHBand="0" w:noVBand="1"/>
      </w:tblPr>
      <w:tblGrid>
        <w:gridCol w:w="7230"/>
        <w:gridCol w:w="1134"/>
      </w:tblGrid>
      <w:tr w:rsidR="00DC6BD2" w:rsidRPr="00EB7ACE" w14:paraId="53B4CB0E" w14:textId="77777777" w:rsidTr="00F22F63">
        <w:tc>
          <w:tcPr>
            <w:tcW w:w="7230" w:type="dxa"/>
          </w:tcPr>
          <w:p w14:paraId="6B4E25B0" w14:textId="77777777" w:rsidR="00DC6BD2" w:rsidRPr="00EB7ACE" w:rsidRDefault="00DC6BD2" w:rsidP="00311C8A">
            <w:pPr>
              <w:rPr>
                <w:rFonts w:asciiTheme="minorHAnsi" w:hAnsiTheme="minorHAnsi" w:cs="Arial"/>
                <w:b/>
                <w:color w:val="000000"/>
                <w:sz w:val="22"/>
                <w:szCs w:val="22"/>
                <w:lang w:eastAsia="en-GB"/>
              </w:rPr>
            </w:pPr>
          </w:p>
          <w:p w14:paraId="3008B245" w14:textId="77777777" w:rsidR="00DC6BD2" w:rsidRPr="00C5630B" w:rsidRDefault="00580DCC" w:rsidP="009961F8">
            <w:pPr>
              <w:rPr>
                <w:rFonts w:asciiTheme="minorHAnsi" w:hAnsiTheme="minorHAnsi" w:cs="Arial"/>
                <w:b/>
                <w:sz w:val="22"/>
                <w:szCs w:val="22"/>
              </w:rPr>
            </w:pPr>
            <w:r w:rsidRPr="00C5630B">
              <w:rPr>
                <w:rFonts w:asciiTheme="minorHAnsi" w:hAnsiTheme="minorHAnsi" w:cs="Arial"/>
                <w:b/>
                <w:sz w:val="22"/>
                <w:szCs w:val="22"/>
                <w:lang w:eastAsia="en-GB"/>
              </w:rPr>
              <w:t>Contractor &amp; DfE Costs</w:t>
            </w:r>
            <w:r w:rsidR="00AD7A0B" w:rsidRPr="00C5630B">
              <w:rPr>
                <w:rFonts w:asciiTheme="minorHAnsi" w:hAnsiTheme="minorHAnsi" w:cs="Arial"/>
                <w:b/>
                <w:sz w:val="22"/>
                <w:szCs w:val="22"/>
                <w:lang w:eastAsia="en-GB"/>
              </w:rPr>
              <w:t xml:space="preserve"> </w:t>
            </w:r>
          </w:p>
        </w:tc>
        <w:tc>
          <w:tcPr>
            <w:tcW w:w="1134" w:type="dxa"/>
            <w:shd w:val="clear" w:color="auto" w:fill="00B050"/>
          </w:tcPr>
          <w:p w14:paraId="58ABD91B" w14:textId="77777777" w:rsidR="00DC6BD2" w:rsidRPr="00EB7ACE" w:rsidRDefault="00F22F63" w:rsidP="00311C8A">
            <w:pPr>
              <w:rPr>
                <w:rFonts w:asciiTheme="minorHAnsi" w:hAnsiTheme="minorHAnsi" w:cs="Calibri"/>
                <w:sz w:val="22"/>
                <w:szCs w:val="22"/>
              </w:rPr>
            </w:pPr>
            <w:r w:rsidRPr="00EB7ACE">
              <w:rPr>
                <w:rFonts w:asciiTheme="minorHAnsi" w:hAnsiTheme="minorHAnsi" w:cs="Calibri"/>
                <w:sz w:val="22"/>
                <w:szCs w:val="22"/>
              </w:rPr>
              <w:t xml:space="preserve"> </w:t>
            </w:r>
          </w:p>
        </w:tc>
      </w:tr>
    </w:tbl>
    <w:p w14:paraId="59DEC7A7" w14:textId="77777777" w:rsidR="002F6007" w:rsidRDefault="002F6007" w:rsidP="002F6007">
      <w:pPr>
        <w:rPr>
          <w:rFonts w:ascii="Calibri" w:hAnsi="Calibri" w:cs="Calibri"/>
          <w:b/>
          <w:color w:val="000000"/>
          <w:sz w:val="22"/>
          <w:szCs w:val="22"/>
          <w:u w:val="single"/>
          <w:lang w:eastAsia="en-GB"/>
        </w:rPr>
      </w:pPr>
    </w:p>
    <w:tbl>
      <w:tblPr>
        <w:tblStyle w:val="TableGrid"/>
        <w:tblW w:w="8364" w:type="dxa"/>
        <w:tblInd w:w="108" w:type="dxa"/>
        <w:tblLayout w:type="fixed"/>
        <w:tblLook w:val="04A0" w:firstRow="1" w:lastRow="0" w:firstColumn="1" w:lastColumn="0" w:noHBand="0" w:noVBand="1"/>
      </w:tblPr>
      <w:tblGrid>
        <w:gridCol w:w="851"/>
        <w:gridCol w:w="1417"/>
        <w:gridCol w:w="1418"/>
        <w:gridCol w:w="1417"/>
        <w:gridCol w:w="3261"/>
      </w:tblGrid>
      <w:tr w:rsidR="00592809" w14:paraId="655ECC8C" w14:textId="77777777" w:rsidTr="009F74DD">
        <w:tc>
          <w:tcPr>
            <w:tcW w:w="851" w:type="dxa"/>
          </w:tcPr>
          <w:p w14:paraId="1BA12D40" w14:textId="77777777" w:rsidR="00592809" w:rsidRDefault="00592809" w:rsidP="009F74DD"/>
        </w:tc>
        <w:tc>
          <w:tcPr>
            <w:tcW w:w="1417" w:type="dxa"/>
            <w:tcBorders>
              <w:bottom w:val="single" w:sz="4" w:space="0" w:color="auto"/>
            </w:tcBorders>
            <w:vAlign w:val="bottom"/>
          </w:tcPr>
          <w:p w14:paraId="1151B809" w14:textId="77777777" w:rsidR="00592809" w:rsidRPr="007A46B0" w:rsidRDefault="00592809" w:rsidP="009F74DD">
            <w:pPr>
              <w:jc w:val="center"/>
              <w:rPr>
                <w:rFonts w:ascii="Calibri" w:hAnsi="Calibri" w:cs="Calibri"/>
                <w:color w:val="000000"/>
                <w:sz w:val="22"/>
                <w:szCs w:val="22"/>
                <w:lang w:eastAsia="en-GB"/>
              </w:rPr>
            </w:pPr>
            <w:r w:rsidRPr="007A46B0">
              <w:rPr>
                <w:rFonts w:ascii="Calibri" w:hAnsi="Calibri" w:cs="Calibri"/>
                <w:color w:val="000000"/>
                <w:sz w:val="22"/>
                <w:szCs w:val="22"/>
                <w:lang w:eastAsia="en-GB"/>
              </w:rPr>
              <w:t>YTD Profile</w:t>
            </w:r>
          </w:p>
        </w:tc>
        <w:tc>
          <w:tcPr>
            <w:tcW w:w="1418" w:type="dxa"/>
            <w:tcBorders>
              <w:bottom w:val="single" w:sz="4" w:space="0" w:color="auto"/>
            </w:tcBorders>
            <w:vAlign w:val="bottom"/>
          </w:tcPr>
          <w:p w14:paraId="070DE533" w14:textId="77777777" w:rsidR="00592809" w:rsidRPr="007A46B0" w:rsidRDefault="00592809" w:rsidP="009F74DD">
            <w:pPr>
              <w:jc w:val="center"/>
              <w:rPr>
                <w:rFonts w:ascii="Calibri" w:hAnsi="Calibri" w:cs="Calibri"/>
                <w:color w:val="000000"/>
                <w:sz w:val="22"/>
                <w:szCs w:val="22"/>
                <w:lang w:eastAsia="en-GB"/>
              </w:rPr>
            </w:pPr>
            <w:r w:rsidRPr="007A46B0">
              <w:rPr>
                <w:rFonts w:ascii="Calibri" w:hAnsi="Calibri" w:cs="Calibri"/>
                <w:color w:val="000000"/>
                <w:sz w:val="22"/>
                <w:szCs w:val="22"/>
                <w:lang w:eastAsia="en-GB"/>
              </w:rPr>
              <w:t xml:space="preserve">YTD </w:t>
            </w:r>
            <w:r>
              <w:rPr>
                <w:rFonts w:ascii="Calibri" w:hAnsi="Calibri" w:cs="Calibri"/>
                <w:color w:val="000000"/>
                <w:sz w:val="22"/>
                <w:szCs w:val="22"/>
                <w:lang w:eastAsia="en-GB"/>
              </w:rPr>
              <w:t>actual</w:t>
            </w:r>
          </w:p>
        </w:tc>
        <w:tc>
          <w:tcPr>
            <w:tcW w:w="1417" w:type="dxa"/>
            <w:tcBorders>
              <w:bottom w:val="single" w:sz="4" w:space="0" w:color="auto"/>
            </w:tcBorders>
          </w:tcPr>
          <w:p w14:paraId="3B1E8449" w14:textId="77777777" w:rsidR="00592809" w:rsidRDefault="00592809" w:rsidP="009F74DD">
            <w:r>
              <w:rPr>
                <w:rFonts w:ascii="Calibri" w:hAnsi="Calibri" w:cs="Calibri"/>
                <w:color w:val="000000"/>
                <w:sz w:val="22"/>
                <w:szCs w:val="22"/>
                <w:lang w:eastAsia="en-GB"/>
              </w:rPr>
              <w:t>Variance</w:t>
            </w:r>
          </w:p>
        </w:tc>
        <w:tc>
          <w:tcPr>
            <w:tcW w:w="3261" w:type="dxa"/>
          </w:tcPr>
          <w:p w14:paraId="1CC5A52F" w14:textId="77777777" w:rsidR="00592809" w:rsidRPr="00580DCC" w:rsidRDefault="00592809" w:rsidP="009F74DD">
            <w:pPr>
              <w:rPr>
                <w:rFonts w:asciiTheme="minorHAnsi" w:hAnsiTheme="minorHAnsi"/>
                <w:sz w:val="22"/>
                <w:szCs w:val="22"/>
              </w:rPr>
            </w:pPr>
            <w:r w:rsidRPr="00580DCC">
              <w:rPr>
                <w:rFonts w:asciiTheme="minorHAnsi" w:hAnsiTheme="minorHAnsi"/>
                <w:sz w:val="22"/>
                <w:szCs w:val="22"/>
              </w:rPr>
              <w:t>Narrative</w:t>
            </w:r>
          </w:p>
        </w:tc>
      </w:tr>
      <w:tr w:rsidR="00592809" w14:paraId="34F10CB0" w14:textId="77777777" w:rsidTr="009F74DD">
        <w:tc>
          <w:tcPr>
            <w:tcW w:w="851" w:type="dxa"/>
          </w:tcPr>
          <w:p w14:paraId="00D9F3D9" w14:textId="77777777" w:rsidR="00592809" w:rsidRPr="007A46B0" w:rsidRDefault="00592809" w:rsidP="009F74DD">
            <w:pPr>
              <w:rPr>
                <w:rFonts w:ascii="Calibri" w:hAnsi="Calibri" w:cs="Calibri"/>
                <w:color w:val="000000"/>
                <w:sz w:val="22"/>
                <w:szCs w:val="22"/>
                <w:lang w:eastAsia="en-GB"/>
              </w:rPr>
            </w:pPr>
            <w:r>
              <w:rPr>
                <w:rFonts w:ascii="Calibri" w:hAnsi="Calibri" w:cs="Calibri"/>
                <w:color w:val="000000"/>
                <w:sz w:val="22"/>
                <w:szCs w:val="22"/>
                <w:lang w:eastAsia="en-GB"/>
              </w:rPr>
              <w:t>Capita</w:t>
            </w:r>
            <w:r w:rsidRPr="007A46B0">
              <w:rPr>
                <w:rFonts w:ascii="Calibri" w:hAnsi="Calibri" w:cs="Calibri"/>
                <w:color w:val="000000"/>
                <w:sz w:val="22"/>
                <w:szCs w:val="22"/>
                <w:lang w:eastAsia="en-GB"/>
              </w:rPr>
              <w:t xml:space="preserve"> </w:t>
            </w:r>
          </w:p>
        </w:tc>
        <w:tc>
          <w:tcPr>
            <w:tcW w:w="1417" w:type="dxa"/>
            <w:tcBorders>
              <w:bottom w:val="single" w:sz="4" w:space="0" w:color="auto"/>
            </w:tcBorders>
            <w:shd w:val="clear" w:color="auto" w:fill="FFFFFF" w:themeFill="background1"/>
          </w:tcPr>
          <w:p w14:paraId="446C8F44"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4</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5</w:t>
            </w:r>
          </w:p>
          <w:p w14:paraId="13C10FD4" w14:textId="77777777" w:rsidR="00471ABD" w:rsidRDefault="00471ABD" w:rsidP="009F74DD">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£13,612,937</w:t>
            </w:r>
          </w:p>
          <w:p w14:paraId="7088FB13" w14:textId="77777777" w:rsidR="00471ABD" w:rsidRDefault="00471ABD" w:rsidP="009F74DD">
            <w:pPr>
              <w:jc w:val="right"/>
              <w:rPr>
                <w:rFonts w:ascii="Calibri" w:hAnsi="Calibri" w:cs="Calibri"/>
                <w:color w:val="000000"/>
                <w:sz w:val="22"/>
                <w:szCs w:val="22"/>
                <w:lang w:eastAsia="en-GB"/>
              </w:rPr>
            </w:pPr>
          </w:p>
          <w:p w14:paraId="5214F78B" w14:textId="77777777" w:rsidR="00471ABD" w:rsidRDefault="00471ABD" w:rsidP="00471ABD">
            <w:pPr>
              <w:rPr>
                <w:rFonts w:ascii="Calibri" w:hAnsi="Calibri" w:cs="Calibri"/>
                <w:b/>
                <w:color w:val="000000"/>
                <w:sz w:val="22"/>
                <w:szCs w:val="22"/>
                <w:u w:val="single"/>
                <w:lang w:eastAsia="en-GB"/>
              </w:rPr>
            </w:pPr>
          </w:p>
          <w:p w14:paraId="09698211" w14:textId="77777777" w:rsidR="00471ABD" w:rsidRDefault="00471ABD" w:rsidP="00471ABD">
            <w:pPr>
              <w:rPr>
                <w:rFonts w:ascii="Calibri" w:hAnsi="Calibri" w:cs="Calibri"/>
                <w:b/>
                <w:color w:val="000000"/>
                <w:sz w:val="22"/>
                <w:szCs w:val="22"/>
                <w:u w:val="single"/>
                <w:lang w:eastAsia="en-GB"/>
              </w:rPr>
            </w:pPr>
          </w:p>
          <w:p w14:paraId="2FAF6F3D" w14:textId="77777777" w:rsidR="00471ABD" w:rsidRDefault="00471ABD" w:rsidP="00471ABD">
            <w:pPr>
              <w:rPr>
                <w:rFonts w:ascii="Calibri" w:hAnsi="Calibri" w:cs="Calibri"/>
                <w:b/>
                <w:color w:val="000000"/>
                <w:sz w:val="22"/>
                <w:szCs w:val="22"/>
                <w:u w:val="single"/>
                <w:lang w:eastAsia="en-GB"/>
              </w:rPr>
            </w:pPr>
          </w:p>
          <w:p w14:paraId="784B3F50" w14:textId="77777777" w:rsidR="00471ABD" w:rsidRDefault="00471ABD" w:rsidP="00471ABD">
            <w:pPr>
              <w:rPr>
                <w:rFonts w:ascii="Calibri" w:hAnsi="Calibri" w:cs="Calibri"/>
                <w:b/>
                <w:color w:val="000000"/>
                <w:sz w:val="22"/>
                <w:szCs w:val="22"/>
                <w:u w:val="single"/>
                <w:lang w:eastAsia="en-GB"/>
              </w:rPr>
            </w:pPr>
          </w:p>
          <w:p w14:paraId="79C8DD31" w14:textId="77777777" w:rsidR="00471ABD" w:rsidRDefault="00471ABD" w:rsidP="00471ABD">
            <w:pPr>
              <w:rPr>
                <w:rFonts w:ascii="Calibri" w:hAnsi="Calibri" w:cs="Calibri"/>
                <w:b/>
                <w:color w:val="000000"/>
                <w:sz w:val="22"/>
                <w:szCs w:val="22"/>
                <w:u w:val="single"/>
                <w:lang w:eastAsia="en-GB"/>
              </w:rPr>
            </w:pPr>
          </w:p>
          <w:p w14:paraId="29DA87AE" w14:textId="77777777" w:rsidR="00471ABD" w:rsidRDefault="00471ABD" w:rsidP="00471ABD">
            <w:pPr>
              <w:rPr>
                <w:rFonts w:ascii="Calibri" w:hAnsi="Calibri" w:cs="Calibri"/>
                <w:b/>
                <w:color w:val="000000"/>
                <w:sz w:val="22"/>
                <w:szCs w:val="22"/>
                <w:u w:val="single"/>
                <w:lang w:eastAsia="en-GB"/>
              </w:rPr>
            </w:pPr>
          </w:p>
          <w:p w14:paraId="3F93E0D3" w14:textId="77777777" w:rsidR="00471ABD" w:rsidRDefault="00471ABD" w:rsidP="00471ABD">
            <w:pPr>
              <w:rPr>
                <w:rFonts w:ascii="Calibri" w:hAnsi="Calibri" w:cs="Calibri"/>
                <w:b/>
                <w:color w:val="000000"/>
                <w:sz w:val="22"/>
                <w:szCs w:val="22"/>
                <w:u w:val="single"/>
                <w:lang w:eastAsia="en-GB"/>
              </w:rPr>
            </w:pPr>
          </w:p>
          <w:p w14:paraId="2724C47D" w14:textId="77777777" w:rsidR="00471ABD" w:rsidRDefault="00471ABD" w:rsidP="00471ABD">
            <w:pPr>
              <w:rPr>
                <w:rFonts w:ascii="Calibri" w:hAnsi="Calibri" w:cs="Calibri"/>
                <w:b/>
                <w:color w:val="000000"/>
                <w:sz w:val="22"/>
                <w:szCs w:val="22"/>
                <w:u w:val="single"/>
                <w:lang w:eastAsia="en-GB"/>
              </w:rPr>
            </w:pPr>
          </w:p>
          <w:p w14:paraId="4892ADFA" w14:textId="77777777" w:rsidR="00471ABD" w:rsidRDefault="00471ABD" w:rsidP="00471ABD">
            <w:pPr>
              <w:rPr>
                <w:rFonts w:ascii="Calibri" w:hAnsi="Calibri" w:cs="Calibri"/>
                <w:b/>
                <w:color w:val="000000"/>
                <w:sz w:val="22"/>
                <w:szCs w:val="22"/>
                <w:u w:val="single"/>
                <w:lang w:eastAsia="en-GB"/>
              </w:rPr>
            </w:pPr>
          </w:p>
          <w:p w14:paraId="3E291CFF" w14:textId="77777777" w:rsidR="00471ABD" w:rsidRDefault="00471ABD" w:rsidP="00471ABD">
            <w:pPr>
              <w:rPr>
                <w:rFonts w:ascii="Calibri" w:hAnsi="Calibri" w:cs="Calibri"/>
                <w:b/>
                <w:color w:val="000000"/>
                <w:sz w:val="22"/>
                <w:szCs w:val="22"/>
                <w:u w:val="single"/>
                <w:lang w:eastAsia="en-GB"/>
              </w:rPr>
            </w:pPr>
          </w:p>
          <w:p w14:paraId="4A4A3FEC" w14:textId="77777777" w:rsidR="00471ABD" w:rsidRDefault="00471ABD" w:rsidP="00471ABD">
            <w:pPr>
              <w:rPr>
                <w:rFonts w:ascii="Calibri" w:hAnsi="Calibri" w:cs="Calibri"/>
                <w:b/>
                <w:color w:val="000000"/>
                <w:sz w:val="22"/>
                <w:szCs w:val="22"/>
                <w:u w:val="single"/>
                <w:lang w:eastAsia="en-GB"/>
              </w:rPr>
            </w:pPr>
          </w:p>
          <w:p w14:paraId="1D83200C" w14:textId="77777777" w:rsidR="00471ABD" w:rsidRDefault="00471ABD" w:rsidP="00471ABD">
            <w:pPr>
              <w:rPr>
                <w:rFonts w:ascii="Calibri" w:hAnsi="Calibri" w:cs="Calibri"/>
                <w:b/>
                <w:color w:val="000000"/>
                <w:sz w:val="22"/>
                <w:szCs w:val="22"/>
                <w:u w:val="single"/>
                <w:lang w:eastAsia="en-GB"/>
              </w:rPr>
            </w:pPr>
          </w:p>
          <w:p w14:paraId="4A7121A2" w14:textId="77777777" w:rsidR="00471ABD" w:rsidRDefault="00471ABD" w:rsidP="00471ABD">
            <w:pPr>
              <w:rPr>
                <w:rFonts w:ascii="Calibri" w:hAnsi="Calibri" w:cs="Calibri"/>
                <w:b/>
                <w:color w:val="000000"/>
                <w:sz w:val="22"/>
                <w:szCs w:val="22"/>
                <w:u w:val="single"/>
                <w:lang w:eastAsia="en-GB"/>
              </w:rPr>
            </w:pPr>
          </w:p>
          <w:p w14:paraId="7124234F" w14:textId="77777777" w:rsidR="00471ABD" w:rsidRDefault="00471ABD" w:rsidP="00471ABD">
            <w:pPr>
              <w:rPr>
                <w:rFonts w:ascii="Calibri" w:hAnsi="Calibri" w:cs="Calibri"/>
                <w:b/>
                <w:color w:val="000000"/>
                <w:sz w:val="22"/>
                <w:szCs w:val="22"/>
                <w:u w:val="single"/>
                <w:lang w:eastAsia="en-GB"/>
              </w:rPr>
            </w:pPr>
          </w:p>
          <w:p w14:paraId="126B7747" w14:textId="77777777" w:rsidR="00471ABD" w:rsidRDefault="00471ABD" w:rsidP="00471ABD">
            <w:pPr>
              <w:rPr>
                <w:rFonts w:ascii="Calibri" w:hAnsi="Calibri" w:cs="Calibri"/>
                <w:b/>
                <w:color w:val="000000"/>
                <w:sz w:val="22"/>
                <w:szCs w:val="22"/>
                <w:u w:val="single"/>
                <w:lang w:eastAsia="en-GB"/>
              </w:rPr>
            </w:pPr>
          </w:p>
          <w:p w14:paraId="3FCB8FB9" w14:textId="77777777" w:rsidR="00471ABD" w:rsidRDefault="00471ABD" w:rsidP="00471ABD">
            <w:pPr>
              <w:rPr>
                <w:rFonts w:ascii="Calibri" w:hAnsi="Calibri" w:cs="Calibri"/>
                <w:b/>
                <w:color w:val="000000"/>
                <w:sz w:val="22"/>
                <w:szCs w:val="22"/>
                <w:u w:val="single"/>
                <w:lang w:eastAsia="en-GB"/>
              </w:rPr>
            </w:pPr>
          </w:p>
          <w:p w14:paraId="7F557722" w14:textId="77777777" w:rsidR="00471ABD" w:rsidRDefault="00471ABD" w:rsidP="00471ABD">
            <w:pPr>
              <w:rPr>
                <w:rFonts w:ascii="Calibri" w:hAnsi="Calibri" w:cs="Calibri"/>
                <w:b/>
                <w:color w:val="000000"/>
                <w:sz w:val="22"/>
                <w:szCs w:val="22"/>
                <w:u w:val="single"/>
                <w:lang w:eastAsia="en-GB"/>
              </w:rPr>
            </w:pPr>
          </w:p>
          <w:p w14:paraId="0CC845C5" w14:textId="77777777" w:rsidR="00471ABD" w:rsidRDefault="00471ABD" w:rsidP="00471ABD">
            <w:pPr>
              <w:rPr>
                <w:rFonts w:ascii="Calibri" w:hAnsi="Calibri" w:cs="Calibri"/>
                <w:b/>
                <w:color w:val="000000"/>
                <w:sz w:val="22"/>
                <w:szCs w:val="22"/>
                <w:u w:val="single"/>
                <w:lang w:eastAsia="en-GB"/>
              </w:rPr>
            </w:pPr>
          </w:p>
          <w:p w14:paraId="7A295820" w14:textId="77777777" w:rsidR="00471ABD" w:rsidRDefault="00471ABD" w:rsidP="00471ABD">
            <w:pPr>
              <w:rPr>
                <w:rFonts w:ascii="Calibri" w:hAnsi="Calibri" w:cs="Calibri"/>
                <w:b/>
                <w:color w:val="000000"/>
                <w:sz w:val="22"/>
                <w:szCs w:val="22"/>
                <w:u w:val="single"/>
                <w:lang w:eastAsia="en-GB"/>
              </w:rPr>
            </w:pPr>
          </w:p>
          <w:p w14:paraId="1F26C15B"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5</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6</w:t>
            </w:r>
          </w:p>
          <w:p w14:paraId="2CD491F5" w14:textId="77777777" w:rsidR="00592809" w:rsidRDefault="00F846C2" w:rsidP="009F74DD">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£1,500,641</w:t>
            </w:r>
          </w:p>
          <w:p w14:paraId="71F02BEF" w14:textId="77777777" w:rsidR="00471ABD" w:rsidRDefault="00471ABD" w:rsidP="009F74DD">
            <w:pPr>
              <w:jc w:val="right"/>
              <w:rPr>
                <w:rFonts w:ascii="Calibri" w:hAnsi="Calibri" w:cs="Calibri"/>
                <w:color w:val="000000"/>
                <w:sz w:val="22"/>
                <w:szCs w:val="22"/>
                <w:lang w:eastAsia="en-GB"/>
              </w:rPr>
            </w:pPr>
          </w:p>
          <w:p w14:paraId="25D2580D" w14:textId="77777777" w:rsidR="00471ABD" w:rsidRPr="007A46B0" w:rsidRDefault="00471ABD" w:rsidP="009F74DD">
            <w:pPr>
              <w:jc w:val="right"/>
              <w:rPr>
                <w:rFonts w:ascii="Calibri" w:hAnsi="Calibri" w:cs="Calibri"/>
                <w:color w:val="000000"/>
                <w:sz w:val="22"/>
                <w:szCs w:val="22"/>
                <w:lang w:eastAsia="en-GB"/>
              </w:rPr>
            </w:pPr>
          </w:p>
        </w:tc>
        <w:tc>
          <w:tcPr>
            <w:tcW w:w="1418" w:type="dxa"/>
            <w:tcBorders>
              <w:bottom w:val="single" w:sz="4" w:space="0" w:color="auto"/>
            </w:tcBorders>
            <w:shd w:val="clear" w:color="auto" w:fill="FFFFFF" w:themeFill="background1"/>
          </w:tcPr>
          <w:p w14:paraId="1188B7AD" w14:textId="77777777" w:rsidR="00471ABD" w:rsidRDefault="00471ABD" w:rsidP="00471ABD">
            <w:pPr>
              <w:jc w:val="right"/>
              <w:rPr>
                <w:rFonts w:ascii="Calibri" w:hAnsi="Calibri" w:cs="Calibri"/>
                <w:color w:val="000000"/>
                <w:sz w:val="22"/>
                <w:szCs w:val="22"/>
                <w:lang w:eastAsia="en-GB"/>
              </w:rPr>
            </w:pPr>
          </w:p>
          <w:p w14:paraId="44FB303A" w14:textId="77777777" w:rsidR="00471ABD" w:rsidRDefault="00471ABD" w:rsidP="00471ABD">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£13,452,635</w:t>
            </w:r>
          </w:p>
          <w:p w14:paraId="73760CBD" w14:textId="77777777" w:rsidR="00471ABD" w:rsidRDefault="00471ABD" w:rsidP="00471ABD">
            <w:pPr>
              <w:jc w:val="right"/>
              <w:rPr>
                <w:rFonts w:ascii="Calibri" w:hAnsi="Calibri" w:cs="Calibri"/>
                <w:color w:val="000000"/>
                <w:sz w:val="22"/>
                <w:szCs w:val="22"/>
                <w:lang w:eastAsia="en-GB"/>
              </w:rPr>
            </w:pPr>
          </w:p>
          <w:p w14:paraId="12D3AF8A" w14:textId="77777777" w:rsidR="00471ABD" w:rsidRDefault="00471ABD" w:rsidP="00471ABD">
            <w:pPr>
              <w:jc w:val="right"/>
              <w:rPr>
                <w:rFonts w:ascii="Calibri" w:hAnsi="Calibri" w:cs="Calibri"/>
                <w:color w:val="000000"/>
                <w:sz w:val="22"/>
                <w:szCs w:val="22"/>
                <w:lang w:eastAsia="en-GB"/>
              </w:rPr>
            </w:pPr>
          </w:p>
          <w:p w14:paraId="5E0204CB" w14:textId="77777777" w:rsidR="00471ABD" w:rsidRDefault="00471ABD" w:rsidP="00471ABD">
            <w:pPr>
              <w:jc w:val="right"/>
              <w:rPr>
                <w:rFonts w:ascii="Calibri" w:hAnsi="Calibri" w:cs="Calibri"/>
                <w:color w:val="000000"/>
                <w:sz w:val="22"/>
                <w:szCs w:val="22"/>
                <w:lang w:eastAsia="en-GB"/>
              </w:rPr>
            </w:pPr>
          </w:p>
          <w:p w14:paraId="0E7EBA6A" w14:textId="77777777" w:rsidR="00471ABD" w:rsidRDefault="00471ABD" w:rsidP="00471ABD">
            <w:pPr>
              <w:jc w:val="right"/>
              <w:rPr>
                <w:rFonts w:ascii="Calibri" w:hAnsi="Calibri" w:cs="Calibri"/>
                <w:color w:val="000000"/>
                <w:sz w:val="22"/>
                <w:szCs w:val="22"/>
                <w:lang w:eastAsia="en-GB"/>
              </w:rPr>
            </w:pPr>
          </w:p>
          <w:p w14:paraId="2EC21FBE" w14:textId="77777777" w:rsidR="00471ABD" w:rsidRDefault="00471ABD" w:rsidP="00471ABD">
            <w:pPr>
              <w:jc w:val="right"/>
              <w:rPr>
                <w:rFonts w:ascii="Calibri" w:hAnsi="Calibri" w:cs="Calibri"/>
                <w:color w:val="000000"/>
                <w:sz w:val="22"/>
                <w:szCs w:val="22"/>
                <w:lang w:eastAsia="en-GB"/>
              </w:rPr>
            </w:pPr>
          </w:p>
          <w:p w14:paraId="68488E71" w14:textId="77777777" w:rsidR="00471ABD" w:rsidRDefault="00471ABD" w:rsidP="00471ABD">
            <w:pPr>
              <w:jc w:val="right"/>
              <w:rPr>
                <w:rFonts w:ascii="Calibri" w:hAnsi="Calibri" w:cs="Calibri"/>
                <w:color w:val="000000"/>
                <w:sz w:val="22"/>
                <w:szCs w:val="22"/>
                <w:lang w:eastAsia="en-GB"/>
              </w:rPr>
            </w:pPr>
          </w:p>
          <w:p w14:paraId="428D7DC3" w14:textId="77777777" w:rsidR="00471ABD" w:rsidRDefault="00471ABD" w:rsidP="00471ABD">
            <w:pPr>
              <w:jc w:val="right"/>
              <w:rPr>
                <w:rFonts w:ascii="Calibri" w:hAnsi="Calibri" w:cs="Calibri"/>
                <w:color w:val="000000"/>
                <w:sz w:val="22"/>
                <w:szCs w:val="22"/>
                <w:lang w:eastAsia="en-GB"/>
              </w:rPr>
            </w:pPr>
          </w:p>
          <w:p w14:paraId="491E6D38" w14:textId="77777777" w:rsidR="00471ABD" w:rsidRDefault="00471ABD" w:rsidP="00471ABD">
            <w:pPr>
              <w:jc w:val="right"/>
              <w:rPr>
                <w:rFonts w:ascii="Calibri" w:hAnsi="Calibri" w:cs="Calibri"/>
                <w:color w:val="000000"/>
                <w:sz w:val="22"/>
                <w:szCs w:val="22"/>
                <w:lang w:eastAsia="en-GB"/>
              </w:rPr>
            </w:pPr>
          </w:p>
          <w:p w14:paraId="2F50CCD8" w14:textId="77777777" w:rsidR="00471ABD" w:rsidRDefault="00471ABD" w:rsidP="00471ABD">
            <w:pPr>
              <w:jc w:val="right"/>
              <w:rPr>
                <w:rFonts w:ascii="Calibri" w:hAnsi="Calibri" w:cs="Calibri"/>
                <w:color w:val="000000"/>
                <w:sz w:val="22"/>
                <w:szCs w:val="22"/>
                <w:lang w:eastAsia="en-GB"/>
              </w:rPr>
            </w:pPr>
          </w:p>
          <w:p w14:paraId="49CF4998" w14:textId="77777777" w:rsidR="00471ABD" w:rsidRDefault="00471ABD" w:rsidP="00471ABD">
            <w:pPr>
              <w:jc w:val="right"/>
              <w:rPr>
                <w:rFonts w:ascii="Calibri" w:hAnsi="Calibri" w:cs="Calibri"/>
                <w:color w:val="000000"/>
                <w:sz w:val="22"/>
                <w:szCs w:val="22"/>
                <w:lang w:eastAsia="en-GB"/>
              </w:rPr>
            </w:pPr>
          </w:p>
          <w:p w14:paraId="30471EDE" w14:textId="77777777" w:rsidR="00471ABD" w:rsidRDefault="00471ABD" w:rsidP="00471ABD">
            <w:pPr>
              <w:jc w:val="right"/>
              <w:rPr>
                <w:rFonts w:ascii="Calibri" w:hAnsi="Calibri" w:cs="Calibri"/>
                <w:color w:val="000000"/>
                <w:sz w:val="22"/>
                <w:szCs w:val="22"/>
                <w:lang w:eastAsia="en-GB"/>
              </w:rPr>
            </w:pPr>
          </w:p>
          <w:p w14:paraId="3377EB8A" w14:textId="77777777" w:rsidR="00471ABD" w:rsidRDefault="00471ABD" w:rsidP="00471ABD">
            <w:pPr>
              <w:jc w:val="right"/>
              <w:rPr>
                <w:rFonts w:ascii="Calibri" w:hAnsi="Calibri" w:cs="Calibri"/>
                <w:color w:val="000000"/>
                <w:sz w:val="22"/>
                <w:szCs w:val="22"/>
                <w:lang w:eastAsia="en-GB"/>
              </w:rPr>
            </w:pPr>
          </w:p>
          <w:p w14:paraId="1A93CC26" w14:textId="77777777" w:rsidR="00471ABD" w:rsidRDefault="00471ABD" w:rsidP="00471ABD">
            <w:pPr>
              <w:jc w:val="right"/>
              <w:rPr>
                <w:rFonts w:ascii="Calibri" w:hAnsi="Calibri" w:cs="Calibri"/>
                <w:color w:val="000000"/>
                <w:sz w:val="22"/>
                <w:szCs w:val="22"/>
                <w:lang w:eastAsia="en-GB"/>
              </w:rPr>
            </w:pPr>
          </w:p>
          <w:p w14:paraId="330B9E6E" w14:textId="77777777" w:rsidR="00471ABD" w:rsidRDefault="00471ABD" w:rsidP="00471ABD">
            <w:pPr>
              <w:jc w:val="right"/>
              <w:rPr>
                <w:rFonts w:ascii="Calibri" w:hAnsi="Calibri" w:cs="Calibri"/>
                <w:color w:val="000000"/>
                <w:sz w:val="22"/>
                <w:szCs w:val="22"/>
                <w:lang w:eastAsia="en-GB"/>
              </w:rPr>
            </w:pPr>
          </w:p>
          <w:p w14:paraId="5FC9A685" w14:textId="77777777" w:rsidR="00471ABD" w:rsidRDefault="00471ABD" w:rsidP="00471ABD">
            <w:pPr>
              <w:jc w:val="right"/>
              <w:rPr>
                <w:rFonts w:ascii="Calibri" w:hAnsi="Calibri" w:cs="Calibri"/>
                <w:color w:val="000000"/>
                <w:sz w:val="22"/>
                <w:szCs w:val="22"/>
                <w:lang w:eastAsia="en-GB"/>
              </w:rPr>
            </w:pPr>
          </w:p>
          <w:p w14:paraId="56061DDF" w14:textId="77777777" w:rsidR="00471ABD" w:rsidRDefault="00471ABD" w:rsidP="00471ABD">
            <w:pPr>
              <w:jc w:val="right"/>
              <w:rPr>
                <w:rFonts w:ascii="Calibri" w:hAnsi="Calibri" w:cs="Calibri"/>
                <w:color w:val="000000"/>
                <w:sz w:val="22"/>
                <w:szCs w:val="22"/>
                <w:lang w:eastAsia="en-GB"/>
              </w:rPr>
            </w:pPr>
          </w:p>
          <w:p w14:paraId="43B4E0E2" w14:textId="77777777" w:rsidR="00471ABD" w:rsidRDefault="00471ABD" w:rsidP="00471ABD">
            <w:pPr>
              <w:jc w:val="right"/>
              <w:rPr>
                <w:rFonts w:ascii="Calibri" w:hAnsi="Calibri" w:cs="Calibri"/>
                <w:color w:val="000000"/>
                <w:sz w:val="22"/>
                <w:szCs w:val="22"/>
                <w:lang w:eastAsia="en-GB"/>
              </w:rPr>
            </w:pPr>
          </w:p>
          <w:p w14:paraId="0D241506" w14:textId="77777777" w:rsidR="00471ABD" w:rsidRDefault="00471ABD" w:rsidP="00471ABD">
            <w:pPr>
              <w:jc w:val="right"/>
              <w:rPr>
                <w:rFonts w:ascii="Calibri" w:hAnsi="Calibri" w:cs="Calibri"/>
                <w:color w:val="000000"/>
                <w:sz w:val="22"/>
                <w:szCs w:val="22"/>
                <w:lang w:eastAsia="en-GB"/>
              </w:rPr>
            </w:pPr>
          </w:p>
          <w:p w14:paraId="3C472F44" w14:textId="77777777" w:rsidR="00471ABD" w:rsidRDefault="00471ABD" w:rsidP="00471ABD">
            <w:pPr>
              <w:jc w:val="right"/>
              <w:rPr>
                <w:rFonts w:ascii="Calibri" w:hAnsi="Calibri" w:cs="Calibri"/>
                <w:color w:val="000000"/>
                <w:sz w:val="22"/>
                <w:szCs w:val="22"/>
                <w:lang w:eastAsia="en-GB"/>
              </w:rPr>
            </w:pPr>
          </w:p>
          <w:p w14:paraId="11ED245D" w14:textId="77777777" w:rsidR="00471ABD" w:rsidRDefault="00471ABD" w:rsidP="00471ABD">
            <w:pPr>
              <w:jc w:val="right"/>
              <w:rPr>
                <w:rFonts w:ascii="Calibri" w:hAnsi="Calibri" w:cs="Calibri"/>
                <w:color w:val="000000"/>
                <w:sz w:val="22"/>
                <w:szCs w:val="22"/>
                <w:lang w:eastAsia="en-GB"/>
              </w:rPr>
            </w:pPr>
          </w:p>
          <w:p w14:paraId="5198C366" w14:textId="77777777" w:rsidR="00471ABD" w:rsidRDefault="00471ABD" w:rsidP="00471ABD">
            <w:pPr>
              <w:jc w:val="right"/>
              <w:rPr>
                <w:rFonts w:ascii="Calibri" w:hAnsi="Calibri" w:cs="Calibri"/>
                <w:color w:val="000000"/>
                <w:sz w:val="22"/>
                <w:szCs w:val="22"/>
                <w:lang w:eastAsia="en-GB"/>
              </w:rPr>
            </w:pPr>
          </w:p>
          <w:p w14:paraId="6C8D020F" w14:textId="77777777" w:rsidR="00592809" w:rsidRPr="007A46B0" w:rsidRDefault="00592809" w:rsidP="00471ABD">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w:t>
            </w:r>
            <w:r w:rsidR="00F846C2" w:rsidRPr="0048366B">
              <w:rPr>
                <w:rFonts w:ascii="Calibri" w:hAnsi="Calibri" w:cs="Calibri"/>
                <w:color w:val="000000"/>
                <w:sz w:val="22"/>
                <w:szCs w:val="22"/>
                <w:highlight w:val="black"/>
                <w:lang w:eastAsia="en-GB"/>
              </w:rPr>
              <w:t>406,258</w:t>
            </w:r>
          </w:p>
        </w:tc>
        <w:tc>
          <w:tcPr>
            <w:tcW w:w="1417" w:type="dxa"/>
            <w:shd w:val="clear" w:color="auto" w:fill="FFFFFF" w:themeFill="background1"/>
          </w:tcPr>
          <w:p w14:paraId="7894E9C3" w14:textId="77777777" w:rsidR="00471ABD" w:rsidRDefault="00471ABD" w:rsidP="00F846C2">
            <w:pPr>
              <w:jc w:val="right"/>
              <w:rPr>
                <w:rFonts w:ascii="Calibri" w:hAnsi="Calibri" w:cs="Calibri"/>
                <w:color w:val="000000"/>
                <w:sz w:val="22"/>
                <w:szCs w:val="22"/>
                <w:lang w:eastAsia="en-GB"/>
              </w:rPr>
            </w:pPr>
          </w:p>
          <w:p w14:paraId="03D8E8D6" w14:textId="77777777" w:rsidR="00471ABD" w:rsidRDefault="00471ABD"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£160,302 (1.18%)</w:t>
            </w:r>
          </w:p>
          <w:p w14:paraId="33690B1F" w14:textId="77777777" w:rsidR="00471ABD" w:rsidRDefault="00471ABD" w:rsidP="00F846C2">
            <w:pPr>
              <w:jc w:val="right"/>
              <w:rPr>
                <w:rFonts w:ascii="Calibri" w:hAnsi="Calibri" w:cs="Calibri"/>
                <w:color w:val="000000"/>
                <w:sz w:val="22"/>
                <w:szCs w:val="22"/>
                <w:lang w:eastAsia="en-GB"/>
              </w:rPr>
            </w:pPr>
          </w:p>
          <w:p w14:paraId="5FDC72A3" w14:textId="77777777" w:rsidR="00471ABD" w:rsidRDefault="00471ABD" w:rsidP="00F846C2">
            <w:pPr>
              <w:jc w:val="right"/>
              <w:rPr>
                <w:rFonts w:ascii="Calibri" w:hAnsi="Calibri" w:cs="Calibri"/>
                <w:color w:val="000000"/>
                <w:sz w:val="22"/>
                <w:szCs w:val="22"/>
                <w:lang w:eastAsia="en-GB"/>
              </w:rPr>
            </w:pPr>
          </w:p>
          <w:p w14:paraId="2726B0E8" w14:textId="77777777" w:rsidR="00471ABD" w:rsidRDefault="00471ABD" w:rsidP="00F846C2">
            <w:pPr>
              <w:jc w:val="right"/>
              <w:rPr>
                <w:rFonts w:ascii="Calibri" w:hAnsi="Calibri" w:cs="Calibri"/>
                <w:color w:val="000000"/>
                <w:sz w:val="22"/>
                <w:szCs w:val="22"/>
                <w:lang w:eastAsia="en-GB"/>
              </w:rPr>
            </w:pPr>
          </w:p>
          <w:p w14:paraId="125D7805" w14:textId="77777777" w:rsidR="00471ABD" w:rsidRDefault="00471ABD" w:rsidP="00F846C2">
            <w:pPr>
              <w:jc w:val="right"/>
              <w:rPr>
                <w:rFonts w:ascii="Calibri" w:hAnsi="Calibri" w:cs="Calibri"/>
                <w:color w:val="000000"/>
                <w:sz w:val="22"/>
                <w:szCs w:val="22"/>
                <w:lang w:eastAsia="en-GB"/>
              </w:rPr>
            </w:pPr>
          </w:p>
          <w:p w14:paraId="26D21316" w14:textId="77777777" w:rsidR="00471ABD" w:rsidRDefault="00471ABD" w:rsidP="00F846C2">
            <w:pPr>
              <w:jc w:val="right"/>
              <w:rPr>
                <w:rFonts w:ascii="Calibri" w:hAnsi="Calibri" w:cs="Calibri"/>
                <w:color w:val="000000"/>
                <w:sz w:val="22"/>
                <w:szCs w:val="22"/>
                <w:lang w:eastAsia="en-GB"/>
              </w:rPr>
            </w:pPr>
          </w:p>
          <w:p w14:paraId="64330077" w14:textId="77777777" w:rsidR="00471ABD" w:rsidRDefault="00471ABD" w:rsidP="00F846C2">
            <w:pPr>
              <w:jc w:val="right"/>
              <w:rPr>
                <w:rFonts w:ascii="Calibri" w:hAnsi="Calibri" w:cs="Calibri"/>
                <w:color w:val="000000"/>
                <w:sz w:val="22"/>
                <w:szCs w:val="22"/>
                <w:lang w:eastAsia="en-GB"/>
              </w:rPr>
            </w:pPr>
          </w:p>
          <w:p w14:paraId="13A5CE64" w14:textId="77777777" w:rsidR="00471ABD" w:rsidRDefault="00471ABD" w:rsidP="00F846C2">
            <w:pPr>
              <w:jc w:val="right"/>
              <w:rPr>
                <w:rFonts w:ascii="Calibri" w:hAnsi="Calibri" w:cs="Calibri"/>
                <w:color w:val="000000"/>
                <w:sz w:val="22"/>
                <w:szCs w:val="22"/>
                <w:lang w:eastAsia="en-GB"/>
              </w:rPr>
            </w:pPr>
          </w:p>
          <w:p w14:paraId="5AEBA127" w14:textId="77777777" w:rsidR="00471ABD" w:rsidRDefault="00471ABD" w:rsidP="00F846C2">
            <w:pPr>
              <w:jc w:val="right"/>
              <w:rPr>
                <w:rFonts w:ascii="Calibri" w:hAnsi="Calibri" w:cs="Calibri"/>
                <w:color w:val="000000"/>
                <w:sz w:val="22"/>
                <w:szCs w:val="22"/>
                <w:lang w:eastAsia="en-GB"/>
              </w:rPr>
            </w:pPr>
          </w:p>
          <w:p w14:paraId="1C92324E" w14:textId="77777777" w:rsidR="00471ABD" w:rsidRDefault="00471ABD" w:rsidP="00F846C2">
            <w:pPr>
              <w:jc w:val="right"/>
              <w:rPr>
                <w:rFonts w:ascii="Calibri" w:hAnsi="Calibri" w:cs="Calibri"/>
                <w:color w:val="000000"/>
                <w:sz w:val="22"/>
                <w:szCs w:val="22"/>
                <w:lang w:eastAsia="en-GB"/>
              </w:rPr>
            </w:pPr>
          </w:p>
          <w:p w14:paraId="2FA0ABB6" w14:textId="77777777" w:rsidR="00471ABD" w:rsidRDefault="00471ABD" w:rsidP="00F846C2">
            <w:pPr>
              <w:jc w:val="right"/>
              <w:rPr>
                <w:rFonts w:ascii="Calibri" w:hAnsi="Calibri" w:cs="Calibri"/>
                <w:color w:val="000000"/>
                <w:sz w:val="22"/>
                <w:szCs w:val="22"/>
                <w:lang w:eastAsia="en-GB"/>
              </w:rPr>
            </w:pPr>
          </w:p>
          <w:p w14:paraId="41E822A2" w14:textId="77777777" w:rsidR="00471ABD" w:rsidRDefault="00471ABD" w:rsidP="00F846C2">
            <w:pPr>
              <w:jc w:val="right"/>
              <w:rPr>
                <w:rFonts w:ascii="Calibri" w:hAnsi="Calibri" w:cs="Calibri"/>
                <w:color w:val="000000"/>
                <w:sz w:val="22"/>
                <w:szCs w:val="22"/>
                <w:lang w:eastAsia="en-GB"/>
              </w:rPr>
            </w:pPr>
          </w:p>
          <w:p w14:paraId="01857F91" w14:textId="77777777" w:rsidR="00471ABD" w:rsidRDefault="00471ABD" w:rsidP="00F846C2">
            <w:pPr>
              <w:jc w:val="right"/>
              <w:rPr>
                <w:rFonts w:ascii="Calibri" w:hAnsi="Calibri" w:cs="Calibri"/>
                <w:color w:val="000000"/>
                <w:sz w:val="22"/>
                <w:szCs w:val="22"/>
                <w:lang w:eastAsia="en-GB"/>
              </w:rPr>
            </w:pPr>
          </w:p>
          <w:p w14:paraId="797B8190" w14:textId="77777777" w:rsidR="00471ABD" w:rsidRDefault="00471ABD" w:rsidP="00F846C2">
            <w:pPr>
              <w:jc w:val="right"/>
              <w:rPr>
                <w:rFonts w:ascii="Calibri" w:hAnsi="Calibri" w:cs="Calibri"/>
                <w:color w:val="000000"/>
                <w:sz w:val="22"/>
                <w:szCs w:val="22"/>
                <w:lang w:eastAsia="en-GB"/>
              </w:rPr>
            </w:pPr>
          </w:p>
          <w:p w14:paraId="122671BE" w14:textId="77777777" w:rsidR="00471ABD" w:rsidRDefault="00471ABD" w:rsidP="00F846C2">
            <w:pPr>
              <w:jc w:val="right"/>
              <w:rPr>
                <w:rFonts w:ascii="Calibri" w:hAnsi="Calibri" w:cs="Calibri"/>
                <w:color w:val="000000"/>
                <w:sz w:val="22"/>
                <w:szCs w:val="22"/>
                <w:lang w:eastAsia="en-GB"/>
              </w:rPr>
            </w:pPr>
          </w:p>
          <w:p w14:paraId="67E651C6" w14:textId="77777777" w:rsidR="00471ABD" w:rsidRDefault="00471ABD" w:rsidP="00F846C2">
            <w:pPr>
              <w:jc w:val="right"/>
              <w:rPr>
                <w:rFonts w:ascii="Calibri" w:hAnsi="Calibri" w:cs="Calibri"/>
                <w:color w:val="000000"/>
                <w:sz w:val="22"/>
                <w:szCs w:val="22"/>
                <w:lang w:eastAsia="en-GB"/>
              </w:rPr>
            </w:pPr>
          </w:p>
          <w:p w14:paraId="09DC0B46" w14:textId="77777777" w:rsidR="00471ABD" w:rsidRDefault="00471ABD" w:rsidP="00F846C2">
            <w:pPr>
              <w:jc w:val="right"/>
              <w:rPr>
                <w:rFonts w:ascii="Calibri" w:hAnsi="Calibri" w:cs="Calibri"/>
                <w:color w:val="000000"/>
                <w:sz w:val="22"/>
                <w:szCs w:val="22"/>
                <w:lang w:eastAsia="en-GB"/>
              </w:rPr>
            </w:pPr>
          </w:p>
          <w:p w14:paraId="59A936F3" w14:textId="77777777" w:rsidR="00471ABD" w:rsidRDefault="00471ABD" w:rsidP="00F846C2">
            <w:pPr>
              <w:jc w:val="right"/>
              <w:rPr>
                <w:rFonts w:ascii="Calibri" w:hAnsi="Calibri" w:cs="Calibri"/>
                <w:color w:val="000000"/>
                <w:sz w:val="22"/>
                <w:szCs w:val="22"/>
                <w:lang w:eastAsia="en-GB"/>
              </w:rPr>
            </w:pPr>
          </w:p>
          <w:p w14:paraId="4BADDCCC" w14:textId="77777777" w:rsidR="00471ABD" w:rsidRDefault="00471ABD" w:rsidP="00F846C2">
            <w:pPr>
              <w:jc w:val="right"/>
              <w:rPr>
                <w:rFonts w:ascii="Calibri" w:hAnsi="Calibri" w:cs="Calibri"/>
                <w:color w:val="000000"/>
                <w:sz w:val="22"/>
                <w:szCs w:val="22"/>
                <w:lang w:eastAsia="en-GB"/>
              </w:rPr>
            </w:pPr>
          </w:p>
          <w:p w14:paraId="67FC53C0" w14:textId="77777777" w:rsidR="00471ABD" w:rsidRDefault="00471ABD" w:rsidP="00F846C2">
            <w:pPr>
              <w:jc w:val="right"/>
              <w:rPr>
                <w:rFonts w:ascii="Calibri" w:hAnsi="Calibri" w:cs="Calibri"/>
                <w:color w:val="000000"/>
                <w:sz w:val="22"/>
                <w:szCs w:val="22"/>
                <w:lang w:eastAsia="en-GB"/>
              </w:rPr>
            </w:pPr>
          </w:p>
          <w:p w14:paraId="5625DE31" w14:textId="77777777" w:rsidR="00471ABD" w:rsidRDefault="00471ABD" w:rsidP="00F846C2">
            <w:pPr>
              <w:jc w:val="right"/>
              <w:rPr>
                <w:rFonts w:ascii="Calibri" w:hAnsi="Calibri" w:cs="Calibri"/>
                <w:color w:val="000000"/>
                <w:sz w:val="22"/>
                <w:szCs w:val="22"/>
                <w:lang w:eastAsia="en-GB"/>
              </w:rPr>
            </w:pPr>
          </w:p>
          <w:p w14:paraId="05C9D7CB" w14:textId="77777777" w:rsidR="00592809" w:rsidRPr="007A46B0" w:rsidRDefault="00592809"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F846C2" w:rsidRPr="0048366B">
              <w:rPr>
                <w:rFonts w:ascii="Calibri" w:hAnsi="Calibri" w:cs="Calibri"/>
                <w:color w:val="000000"/>
                <w:sz w:val="22"/>
                <w:szCs w:val="22"/>
                <w:highlight w:val="black"/>
                <w:lang w:eastAsia="en-GB"/>
              </w:rPr>
              <w:t>94,383</w:t>
            </w:r>
            <w:r w:rsidRPr="0048366B">
              <w:rPr>
                <w:rFonts w:ascii="Calibri" w:hAnsi="Calibri" w:cs="Calibri"/>
                <w:color w:val="000000"/>
                <w:sz w:val="22"/>
                <w:szCs w:val="22"/>
                <w:highlight w:val="black"/>
                <w:lang w:eastAsia="en-GB"/>
              </w:rPr>
              <w:t xml:space="preserve"> (</w:t>
            </w:r>
            <w:r w:rsidR="00F846C2" w:rsidRPr="0048366B">
              <w:rPr>
                <w:rFonts w:ascii="Calibri" w:hAnsi="Calibri" w:cs="Calibri"/>
                <w:color w:val="000000"/>
                <w:sz w:val="22"/>
                <w:szCs w:val="22"/>
                <w:highlight w:val="black"/>
                <w:lang w:eastAsia="en-GB"/>
              </w:rPr>
              <w:t>6.3</w:t>
            </w:r>
            <w:r w:rsidRPr="0048366B">
              <w:rPr>
                <w:rFonts w:ascii="Calibri" w:hAnsi="Calibri" w:cs="Calibri"/>
                <w:color w:val="000000"/>
                <w:sz w:val="22"/>
                <w:szCs w:val="22"/>
                <w:highlight w:val="black"/>
                <w:lang w:eastAsia="en-GB"/>
              </w:rPr>
              <w:t>%)</w:t>
            </w:r>
          </w:p>
        </w:tc>
        <w:tc>
          <w:tcPr>
            <w:tcW w:w="3261" w:type="dxa"/>
          </w:tcPr>
          <w:p w14:paraId="2B683FFE" w14:textId="77777777" w:rsidR="00471ABD" w:rsidRDefault="00471ABD" w:rsidP="00471AB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lastRenderedPageBreak/>
              <w:t>Variances in Oct and Dec reflect the deferral of Milestone payments to the contractor – creating variances in both months.</w:t>
            </w:r>
          </w:p>
          <w:p w14:paraId="596BC46B" w14:textId="77777777" w:rsidR="00471ABD" w:rsidRDefault="00471ABD" w:rsidP="00471ABD">
            <w:pPr>
              <w:rPr>
                <w:rFonts w:ascii="Calibri" w:hAnsi="Calibri" w:cs="Calibri"/>
                <w:color w:val="000000"/>
                <w:sz w:val="22"/>
                <w:szCs w:val="22"/>
                <w:lang w:eastAsia="en-GB"/>
              </w:rPr>
            </w:pPr>
          </w:p>
          <w:p w14:paraId="165B3236" w14:textId="77777777" w:rsidR="00471ABD" w:rsidRDefault="00471ABD" w:rsidP="00471AB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Jan - failure of contractor to meet specified 'Outcomes' led to an underspend against profile in January.</w:t>
            </w:r>
          </w:p>
          <w:p w14:paraId="43A20654" w14:textId="77777777" w:rsidR="00471ABD" w:rsidRDefault="00471ABD" w:rsidP="00471ABD">
            <w:pPr>
              <w:rPr>
                <w:rFonts w:ascii="Calibri" w:hAnsi="Calibri" w:cs="Calibri"/>
                <w:color w:val="000000"/>
                <w:sz w:val="22"/>
                <w:szCs w:val="22"/>
                <w:lang w:eastAsia="en-GB"/>
              </w:rPr>
            </w:pPr>
          </w:p>
          <w:p w14:paraId="39D98DA5" w14:textId="77777777" w:rsidR="00471ABD" w:rsidRDefault="00471ABD" w:rsidP="00471AB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Feb - milestone payments profiled for March were paid in February, on receipt of supporting evidence confirming delivery.</w:t>
            </w:r>
          </w:p>
          <w:p w14:paraId="6A1BD791" w14:textId="77777777" w:rsidR="00471ABD" w:rsidRDefault="00471ABD" w:rsidP="00471ABD">
            <w:pPr>
              <w:rPr>
                <w:rFonts w:ascii="Calibri" w:hAnsi="Calibri" w:cs="Calibri"/>
                <w:color w:val="000000"/>
                <w:sz w:val="22"/>
                <w:szCs w:val="22"/>
                <w:lang w:eastAsia="en-GB"/>
              </w:rPr>
            </w:pPr>
          </w:p>
          <w:p w14:paraId="4929D3B4" w14:textId="77777777" w:rsidR="00592809" w:rsidRDefault="00471ABD" w:rsidP="00471AB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Residual underspend relates to the recovery of service credits following performance review against contract KPIs.</w:t>
            </w:r>
            <w:r>
              <w:rPr>
                <w:rFonts w:ascii="Calibri" w:hAnsi="Calibri" w:cs="Calibri"/>
                <w:color w:val="000000"/>
                <w:sz w:val="22"/>
                <w:szCs w:val="22"/>
                <w:lang w:eastAsia="en-GB"/>
              </w:rPr>
              <w:t xml:space="preserve">  </w:t>
            </w:r>
          </w:p>
          <w:p w14:paraId="64AB8E29" w14:textId="77777777" w:rsidR="00471ABD" w:rsidRDefault="00471ABD" w:rsidP="00471ABD">
            <w:pPr>
              <w:rPr>
                <w:rFonts w:ascii="Calibri" w:hAnsi="Calibri" w:cs="Calibri"/>
                <w:color w:val="000000"/>
                <w:sz w:val="22"/>
                <w:szCs w:val="22"/>
                <w:lang w:eastAsia="en-GB"/>
              </w:rPr>
            </w:pPr>
          </w:p>
          <w:p w14:paraId="247998B5" w14:textId="77777777" w:rsidR="00471ABD" w:rsidRDefault="00471ABD" w:rsidP="00471ABD">
            <w:pPr>
              <w:rPr>
                <w:rFonts w:ascii="Calibri" w:hAnsi="Calibri" w:cs="Calibri"/>
                <w:color w:val="000000"/>
                <w:sz w:val="22"/>
                <w:szCs w:val="22"/>
                <w:lang w:eastAsia="en-GB"/>
              </w:rPr>
            </w:pPr>
          </w:p>
          <w:p w14:paraId="67E41B1D" w14:textId="77777777" w:rsidR="00471ABD" w:rsidRPr="007A46B0" w:rsidRDefault="00123ACB" w:rsidP="00223723">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 xml:space="preserve">The milestone R7 invoice (Infrastructure) </w:t>
            </w:r>
            <w:r w:rsidR="00223723" w:rsidRPr="0048366B">
              <w:rPr>
                <w:rFonts w:ascii="Calibri" w:hAnsi="Calibri" w:cs="Calibri"/>
                <w:color w:val="000000"/>
                <w:sz w:val="22"/>
                <w:szCs w:val="22"/>
                <w:highlight w:val="black"/>
                <w:lang w:eastAsia="en-GB"/>
              </w:rPr>
              <w:t>has been deferred until final costings for delivery of this work has be agreed with the Department</w:t>
            </w:r>
            <w:r w:rsidRPr="0048366B">
              <w:rPr>
                <w:rFonts w:ascii="Calibri" w:hAnsi="Calibri" w:cs="Calibri"/>
                <w:color w:val="000000"/>
                <w:sz w:val="22"/>
                <w:szCs w:val="22"/>
                <w:highlight w:val="black"/>
                <w:lang w:eastAsia="en-GB"/>
              </w:rPr>
              <w:t>.</w:t>
            </w:r>
          </w:p>
        </w:tc>
      </w:tr>
      <w:tr w:rsidR="00592809" w14:paraId="44D249D3" w14:textId="77777777" w:rsidTr="009F74DD">
        <w:tc>
          <w:tcPr>
            <w:tcW w:w="851" w:type="dxa"/>
          </w:tcPr>
          <w:p w14:paraId="1E809E05" w14:textId="77777777" w:rsidR="00592809" w:rsidRPr="007A46B0" w:rsidRDefault="00592809" w:rsidP="009F74DD">
            <w:pPr>
              <w:rPr>
                <w:rFonts w:ascii="Calibri" w:hAnsi="Calibri" w:cs="Calibri"/>
                <w:color w:val="000000"/>
                <w:sz w:val="22"/>
                <w:szCs w:val="22"/>
                <w:lang w:eastAsia="en-GB"/>
              </w:rPr>
            </w:pPr>
            <w:r w:rsidRPr="007A46B0">
              <w:rPr>
                <w:rFonts w:ascii="Calibri" w:hAnsi="Calibri" w:cs="Calibri"/>
                <w:color w:val="000000"/>
                <w:sz w:val="22"/>
                <w:szCs w:val="22"/>
                <w:lang w:eastAsia="en-GB"/>
              </w:rPr>
              <w:lastRenderedPageBreak/>
              <w:t xml:space="preserve">GAD </w:t>
            </w:r>
          </w:p>
        </w:tc>
        <w:tc>
          <w:tcPr>
            <w:tcW w:w="1417" w:type="dxa"/>
            <w:shd w:val="clear" w:color="auto" w:fill="FFFFFF" w:themeFill="background1"/>
          </w:tcPr>
          <w:p w14:paraId="473AF6BD"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4</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5</w:t>
            </w:r>
          </w:p>
          <w:p w14:paraId="3C189118" w14:textId="77777777" w:rsidR="00471ABD" w:rsidRPr="00471ABD" w:rsidRDefault="00471ABD" w:rsidP="00471ABD">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£366,663</w:t>
            </w:r>
          </w:p>
          <w:p w14:paraId="158316CB" w14:textId="77777777" w:rsidR="00471ABD" w:rsidRDefault="00471ABD" w:rsidP="00471ABD">
            <w:pPr>
              <w:rPr>
                <w:rFonts w:ascii="Calibri" w:hAnsi="Calibri" w:cs="Calibri"/>
                <w:b/>
                <w:color w:val="000000"/>
                <w:sz w:val="22"/>
                <w:szCs w:val="22"/>
                <w:u w:val="single"/>
                <w:lang w:eastAsia="en-GB"/>
              </w:rPr>
            </w:pPr>
          </w:p>
          <w:p w14:paraId="610E31C0" w14:textId="77777777" w:rsidR="00471ABD" w:rsidRDefault="00471ABD" w:rsidP="00471ABD">
            <w:pPr>
              <w:rPr>
                <w:rFonts w:ascii="Calibri" w:hAnsi="Calibri" w:cs="Calibri"/>
                <w:b/>
                <w:color w:val="000000"/>
                <w:sz w:val="22"/>
                <w:szCs w:val="22"/>
                <w:u w:val="single"/>
                <w:lang w:eastAsia="en-GB"/>
              </w:rPr>
            </w:pPr>
          </w:p>
          <w:p w14:paraId="789781F1" w14:textId="77777777" w:rsidR="00471ABD" w:rsidRDefault="00471ABD" w:rsidP="00471ABD">
            <w:pPr>
              <w:rPr>
                <w:rFonts w:ascii="Calibri" w:hAnsi="Calibri" w:cs="Calibri"/>
                <w:b/>
                <w:color w:val="000000"/>
                <w:sz w:val="22"/>
                <w:szCs w:val="22"/>
                <w:u w:val="single"/>
                <w:lang w:eastAsia="en-GB"/>
              </w:rPr>
            </w:pPr>
          </w:p>
          <w:p w14:paraId="6760E9AB" w14:textId="77777777" w:rsidR="00471ABD" w:rsidRDefault="00471ABD" w:rsidP="00471ABD">
            <w:pPr>
              <w:rPr>
                <w:rFonts w:ascii="Calibri" w:hAnsi="Calibri" w:cs="Calibri"/>
                <w:b/>
                <w:color w:val="000000"/>
                <w:sz w:val="22"/>
                <w:szCs w:val="22"/>
                <w:u w:val="single"/>
                <w:lang w:eastAsia="en-GB"/>
              </w:rPr>
            </w:pPr>
          </w:p>
          <w:p w14:paraId="0BF12D5A" w14:textId="77777777" w:rsidR="00471ABD" w:rsidRDefault="00471ABD" w:rsidP="00471ABD">
            <w:pPr>
              <w:rPr>
                <w:rFonts w:ascii="Calibri" w:hAnsi="Calibri" w:cs="Calibri"/>
                <w:b/>
                <w:color w:val="000000"/>
                <w:sz w:val="22"/>
                <w:szCs w:val="22"/>
                <w:u w:val="single"/>
                <w:lang w:eastAsia="en-GB"/>
              </w:rPr>
            </w:pPr>
          </w:p>
          <w:p w14:paraId="3E657C35" w14:textId="77777777" w:rsidR="00471ABD" w:rsidRDefault="00471ABD" w:rsidP="00471ABD">
            <w:pPr>
              <w:rPr>
                <w:rFonts w:ascii="Calibri" w:hAnsi="Calibri" w:cs="Calibri"/>
                <w:b/>
                <w:color w:val="000000"/>
                <w:sz w:val="22"/>
                <w:szCs w:val="22"/>
                <w:u w:val="single"/>
                <w:lang w:eastAsia="en-GB"/>
              </w:rPr>
            </w:pPr>
          </w:p>
          <w:p w14:paraId="565AE507"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5</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6</w:t>
            </w:r>
          </w:p>
          <w:p w14:paraId="78112D55" w14:textId="77777777" w:rsidR="00592809" w:rsidRPr="007A46B0" w:rsidRDefault="00592809"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F846C2" w:rsidRPr="0048366B">
              <w:rPr>
                <w:rFonts w:ascii="Calibri" w:hAnsi="Calibri" w:cs="Calibri"/>
                <w:color w:val="000000"/>
                <w:sz w:val="22"/>
                <w:szCs w:val="22"/>
                <w:highlight w:val="black"/>
                <w:lang w:eastAsia="en-GB"/>
              </w:rPr>
              <w:t>35,000</w:t>
            </w:r>
          </w:p>
        </w:tc>
        <w:tc>
          <w:tcPr>
            <w:tcW w:w="1418" w:type="dxa"/>
            <w:shd w:val="clear" w:color="auto" w:fill="FFFFFF" w:themeFill="background1"/>
          </w:tcPr>
          <w:p w14:paraId="46051662" w14:textId="77777777" w:rsidR="00471ABD" w:rsidRDefault="00471ABD" w:rsidP="00E74849">
            <w:pPr>
              <w:jc w:val="right"/>
              <w:rPr>
                <w:rFonts w:ascii="Calibri" w:hAnsi="Calibri" w:cs="Calibri"/>
                <w:color w:val="000000"/>
                <w:sz w:val="22"/>
                <w:szCs w:val="22"/>
                <w:lang w:eastAsia="en-GB"/>
              </w:rPr>
            </w:pPr>
          </w:p>
          <w:p w14:paraId="4C3874DC" w14:textId="77777777" w:rsidR="00471ABD" w:rsidRDefault="00471ABD" w:rsidP="00E74849">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£342,506</w:t>
            </w:r>
          </w:p>
          <w:p w14:paraId="2CE7EBCC" w14:textId="77777777" w:rsidR="00471ABD" w:rsidRDefault="00471ABD" w:rsidP="00E74849">
            <w:pPr>
              <w:jc w:val="right"/>
              <w:rPr>
                <w:rFonts w:ascii="Calibri" w:hAnsi="Calibri" w:cs="Calibri"/>
                <w:color w:val="000000"/>
                <w:sz w:val="22"/>
                <w:szCs w:val="22"/>
                <w:lang w:eastAsia="en-GB"/>
              </w:rPr>
            </w:pPr>
          </w:p>
          <w:p w14:paraId="584DBCB6" w14:textId="77777777" w:rsidR="00471ABD" w:rsidRDefault="00471ABD" w:rsidP="00E74849">
            <w:pPr>
              <w:jc w:val="right"/>
              <w:rPr>
                <w:rFonts w:ascii="Calibri" w:hAnsi="Calibri" w:cs="Calibri"/>
                <w:color w:val="000000"/>
                <w:sz w:val="22"/>
                <w:szCs w:val="22"/>
                <w:lang w:eastAsia="en-GB"/>
              </w:rPr>
            </w:pPr>
          </w:p>
          <w:p w14:paraId="394D7686" w14:textId="77777777" w:rsidR="00471ABD" w:rsidRDefault="00471ABD" w:rsidP="00E74849">
            <w:pPr>
              <w:jc w:val="right"/>
              <w:rPr>
                <w:rFonts w:ascii="Calibri" w:hAnsi="Calibri" w:cs="Calibri"/>
                <w:color w:val="000000"/>
                <w:sz w:val="22"/>
                <w:szCs w:val="22"/>
                <w:lang w:eastAsia="en-GB"/>
              </w:rPr>
            </w:pPr>
          </w:p>
          <w:p w14:paraId="6BC8B570" w14:textId="77777777" w:rsidR="00471ABD" w:rsidRDefault="00471ABD" w:rsidP="00E74849">
            <w:pPr>
              <w:jc w:val="right"/>
              <w:rPr>
                <w:rFonts w:ascii="Calibri" w:hAnsi="Calibri" w:cs="Calibri"/>
                <w:color w:val="000000"/>
                <w:sz w:val="22"/>
                <w:szCs w:val="22"/>
                <w:lang w:eastAsia="en-GB"/>
              </w:rPr>
            </w:pPr>
          </w:p>
          <w:p w14:paraId="0DE583D3" w14:textId="77777777" w:rsidR="00471ABD" w:rsidRDefault="00471ABD" w:rsidP="00E74849">
            <w:pPr>
              <w:jc w:val="right"/>
              <w:rPr>
                <w:rFonts w:ascii="Calibri" w:hAnsi="Calibri" w:cs="Calibri"/>
                <w:color w:val="000000"/>
                <w:sz w:val="22"/>
                <w:szCs w:val="22"/>
                <w:lang w:eastAsia="en-GB"/>
              </w:rPr>
            </w:pPr>
          </w:p>
          <w:p w14:paraId="38FEEBFA" w14:textId="77777777" w:rsidR="00471ABD" w:rsidRDefault="00471ABD" w:rsidP="00E74849">
            <w:pPr>
              <w:jc w:val="right"/>
              <w:rPr>
                <w:rFonts w:ascii="Calibri" w:hAnsi="Calibri" w:cs="Calibri"/>
                <w:color w:val="000000"/>
                <w:sz w:val="22"/>
                <w:szCs w:val="22"/>
                <w:lang w:eastAsia="en-GB"/>
              </w:rPr>
            </w:pPr>
          </w:p>
          <w:p w14:paraId="26AFA3BF" w14:textId="77777777" w:rsidR="00471ABD" w:rsidRDefault="00471ABD" w:rsidP="00E74849">
            <w:pPr>
              <w:jc w:val="right"/>
              <w:rPr>
                <w:rFonts w:ascii="Calibri" w:hAnsi="Calibri" w:cs="Calibri"/>
                <w:color w:val="000000"/>
                <w:sz w:val="22"/>
                <w:szCs w:val="22"/>
                <w:lang w:eastAsia="en-GB"/>
              </w:rPr>
            </w:pPr>
          </w:p>
          <w:p w14:paraId="3B29ACA1" w14:textId="77777777" w:rsidR="00E74849" w:rsidRPr="007A46B0" w:rsidRDefault="00592809" w:rsidP="00E74849">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E74849" w:rsidRPr="0048366B">
              <w:rPr>
                <w:rFonts w:ascii="Calibri" w:hAnsi="Calibri" w:cs="Calibri"/>
                <w:color w:val="000000"/>
                <w:sz w:val="22"/>
                <w:szCs w:val="22"/>
                <w:highlight w:val="black"/>
                <w:lang w:eastAsia="en-GB"/>
              </w:rPr>
              <w:t>37,000</w:t>
            </w:r>
          </w:p>
        </w:tc>
        <w:tc>
          <w:tcPr>
            <w:tcW w:w="1417" w:type="dxa"/>
            <w:shd w:val="clear" w:color="auto" w:fill="FFFFFF" w:themeFill="background1"/>
          </w:tcPr>
          <w:p w14:paraId="48D078F3" w14:textId="77777777" w:rsidR="00471ABD" w:rsidRDefault="00471ABD" w:rsidP="00E74849">
            <w:pPr>
              <w:jc w:val="right"/>
              <w:rPr>
                <w:rFonts w:ascii="Calibri" w:hAnsi="Calibri" w:cs="Calibri"/>
                <w:color w:val="000000"/>
                <w:sz w:val="22"/>
                <w:szCs w:val="22"/>
                <w:lang w:eastAsia="en-GB"/>
              </w:rPr>
            </w:pPr>
          </w:p>
          <w:p w14:paraId="00BCE1AA" w14:textId="77777777" w:rsidR="00471ABD" w:rsidRPr="0048366B" w:rsidRDefault="00471ABD" w:rsidP="00471ABD">
            <w:pPr>
              <w:jc w:val="right"/>
              <w:rPr>
                <w:rFonts w:ascii="Calibri" w:hAnsi="Calibri" w:cs="Calibri"/>
                <w:color w:val="000000"/>
                <w:sz w:val="22"/>
                <w:szCs w:val="22"/>
                <w:highlight w:val="black"/>
                <w:lang w:eastAsia="en-GB"/>
              </w:rPr>
            </w:pPr>
            <w:r w:rsidRPr="0048366B">
              <w:rPr>
                <w:rFonts w:ascii="Calibri" w:hAnsi="Calibri" w:cs="Calibri"/>
                <w:color w:val="000000"/>
                <w:sz w:val="22"/>
                <w:szCs w:val="22"/>
                <w:highlight w:val="black"/>
                <w:lang w:eastAsia="en-GB"/>
              </w:rPr>
              <w:t>£24,157</w:t>
            </w:r>
          </w:p>
          <w:p w14:paraId="6929F2FF" w14:textId="77777777" w:rsidR="00471ABD" w:rsidRDefault="00471ABD" w:rsidP="00E74849">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(6.6%)</w:t>
            </w:r>
          </w:p>
          <w:p w14:paraId="095C2258" w14:textId="77777777" w:rsidR="00471ABD" w:rsidRDefault="00471ABD" w:rsidP="00E74849">
            <w:pPr>
              <w:jc w:val="right"/>
              <w:rPr>
                <w:rFonts w:ascii="Calibri" w:hAnsi="Calibri" w:cs="Calibri"/>
                <w:color w:val="000000"/>
                <w:sz w:val="22"/>
                <w:szCs w:val="22"/>
                <w:lang w:eastAsia="en-GB"/>
              </w:rPr>
            </w:pPr>
          </w:p>
          <w:p w14:paraId="2E9E32A8" w14:textId="77777777" w:rsidR="00471ABD" w:rsidRDefault="00471ABD" w:rsidP="00E74849">
            <w:pPr>
              <w:jc w:val="right"/>
              <w:rPr>
                <w:rFonts w:ascii="Calibri" w:hAnsi="Calibri" w:cs="Calibri"/>
                <w:color w:val="000000"/>
                <w:sz w:val="22"/>
                <w:szCs w:val="22"/>
                <w:lang w:eastAsia="en-GB"/>
              </w:rPr>
            </w:pPr>
          </w:p>
          <w:p w14:paraId="060A22B6" w14:textId="77777777" w:rsidR="00471ABD" w:rsidRDefault="00471ABD" w:rsidP="00E74849">
            <w:pPr>
              <w:jc w:val="right"/>
              <w:rPr>
                <w:rFonts w:ascii="Calibri" w:hAnsi="Calibri" w:cs="Calibri"/>
                <w:color w:val="000000"/>
                <w:sz w:val="22"/>
                <w:szCs w:val="22"/>
                <w:lang w:eastAsia="en-GB"/>
              </w:rPr>
            </w:pPr>
          </w:p>
          <w:p w14:paraId="4DE26520" w14:textId="77777777" w:rsidR="00471ABD" w:rsidRDefault="00471ABD" w:rsidP="00E74849">
            <w:pPr>
              <w:jc w:val="right"/>
              <w:rPr>
                <w:rFonts w:ascii="Calibri" w:hAnsi="Calibri" w:cs="Calibri"/>
                <w:color w:val="000000"/>
                <w:sz w:val="22"/>
                <w:szCs w:val="22"/>
                <w:lang w:eastAsia="en-GB"/>
              </w:rPr>
            </w:pPr>
          </w:p>
          <w:p w14:paraId="014E61A2" w14:textId="77777777" w:rsidR="00471ABD" w:rsidRDefault="00471ABD" w:rsidP="00E74849">
            <w:pPr>
              <w:jc w:val="right"/>
              <w:rPr>
                <w:rFonts w:ascii="Calibri" w:hAnsi="Calibri" w:cs="Calibri"/>
                <w:color w:val="000000"/>
                <w:sz w:val="22"/>
                <w:szCs w:val="22"/>
                <w:lang w:eastAsia="en-GB"/>
              </w:rPr>
            </w:pPr>
          </w:p>
          <w:p w14:paraId="370431A2" w14:textId="77777777" w:rsidR="00471ABD" w:rsidRDefault="00471ABD" w:rsidP="00E74849">
            <w:pPr>
              <w:jc w:val="right"/>
              <w:rPr>
                <w:rFonts w:ascii="Calibri" w:hAnsi="Calibri" w:cs="Calibri"/>
                <w:color w:val="000000"/>
                <w:sz w:val="22"/>
                <w:szCs w:val="22"/>
                <w:lang w:eastAsia="en-GB"/>
              </w:rPr>
            </w:pPr>
          </w:p>
          <w:p w14:paraId="36F0ED05" w14:textId="77777777" w:rsidR="00592809" w:rsidRPr="007A46B0" w:rsidRDefault="00592809" w:rsidP="00E74849">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E74849" w:rsidRPr="0048366B">
              <w:rPr>
                <w:rFonts w:ascii="Calibri" w:hAnsi="Calibri" w:cs="Calibri"/>
                <w:color w:val="000000"/>
                <w:sz w:val="22"/>
                <w:szCs w:val="22"/>
                <w:highlight w:val="black"/>
                <w:lang w:eastAsia="en-GB"/>
              </w:rPr>
              <w:t>2</w:t>
            </w:r>
            <w:r w:rsidR="00F846C2" w:rsidRPr="0048366B">
              <w:rPr>
                <w:rFonts w:ascii="Calibri" w:hAnsi="Calibri" w:cs="Calibri"/>
                <w:color w:val="000000"/>
                <w:sz w:val="22"/>
                <w:szCs w:val="22"/>
                <w:highlight w:val="black"/>
                <w:lang w:eastAsia="en-GB"/>
              </w:rPr>
              <w:t>,000</w:t>
            </w:r>
          </w:p>
        </w:tc>
        <w:tc>
          <w:tcPr>
            <w:tcW w:w="3261" w:type="dxa"/>
          </w:tcPr>
          <w:p w14:paraId="53C19D9A" w14:textId="77777777" w:rsidR="00471ABD" w:rsidRDefault="00471ABD" w:rsidP="009F74DD">
            <w:pPr>
              <w:rPr>
                <w:rFonts w:ascii="Calibri" w:hAnsi="Calibri" w:cs="Calibri"/>
                <w:color w:val="000000"/>
                <w:sz w:val="22"/>
                <w:szCs w:val="22"/>
                <w:lang w:eastAsia="en-GB"/>
              </w:rPr>
            </w:pPr>
          </w:p>
          <w:p w14:paraId="45C7ED0B" w14:textId="77777777" w:rsidR="00471ABD" w:rsidRDefault="00471ABD" w:rsidP="009F74D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Work completed by GAD in delivering the scheme valuation has been shared with other public service schemes.  The Department has therefore been re-credited (Sept-Oct</w:t>
            </w:r>
            <w:r w:rsidR="002A66BE" w:rsidRPr="0048366B">
              <w:rPr>
                <w:rFonts w:ascii="Calibri" w:hAnsi="Calibri" w:cs="Calibri"/>
                <w:color w:val="000000"/>
                <w:sz w:val="22"/>
                <w:szCs w:val="22"/>
                <w:highlight w:val="black"/>
                <w:lang w:eastAsia="en-GB"/>
              </w:rPr>
              <w:t>.</w:t>
            </w:r>
            <w:r w:rsidRPr="0048366B">
              <w:rPr>
                <w:rFonts w:ascii="Calibri" w:hAnsi="Calibri" w:cs="Calibri"/>
                <w:color w:val="000000"/>
                <w:sz w:val="22"/>
                <w:szCs w:val="22"/>
                <w:highlight w:val="black"/>
                <w:lang w:eastAsia="en-GB"/>
              </w:rPr>
              <w:t>)</w:t>
            </w:r>
          </w:p>
          <w:p w14:paraId="21DD9F82" w14:textId="77777777" w:rsidR="00471ABD" w:rsidRDefault="00471ABD" w:rsidP="009F74DD">
            <w:pPr>
              <w:rPr>
                <w:rFonts w:ascii="Calibri" w:hAnsi="Calibri" w:cs="Calibri"/>
                <w:color w:val="000000"/>
                <w:sz w:val="22"/>
                <w:szCs w:val="22"/>
                <w:lang w:eastAsia="en-GB"/>
              </w:rPr>
            </w:pPr>
          </w:p>
          <w:p w14:paraId="4E3CEFE7" w14:textId="77777777" w:rsidR="00471ABD" w:rsidRDefault="00471ABD" w:rsidP="009F74DD">
            <w:pPr>
              <w:rPr>
                <w:rFonts w:ascii="Calibri" w:hAnsi="Calibri" w:cs="Calibri"/>
                <w:color w:val="000000"/>
                <w:sz w:val="22"/>
                <w:szCs w:val="22"/>
                <w:lang w:eastAsia="en-GB"/>
              </w:rPr>
            </w:pPr>
          </w:p>
          <w:p w14:paraId="12CC5B2B" w14:textId="77777777" w:rsidR="00592809" w:rsidRPr="007A46B0" w:rsidRDefault="00E74849" w:rsidP="009F74DD">
            <w:pPr>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 xml:space="preserve">Additional expenditure incurred </w:t>
            </w:r>
            <w:r w:rsidR="00471ABD" w:rsidRPr="0048366B">
              <w:rPr>
                <w:rFonts w:ascii="Calibri" w:hAnsi="Calibri" w:cs="Calibri"/>
                <w:color w:val="000000"/>
                <w:sz w:val="22"/>
                <w:szCs w:val="22"/>
                <w:highlight w:val="black"/>
                <w:lang w:eastAsia="en-GB"/>
              </w:rPr>
              <w:t>in quality assuring membership data for the scheme accounts</w:t>
            </w:r>
            <w:r w:rsidR="002A66BE" w:rsidRPr="0048366B">
              <w:rPr>
                <w:rFonts w:ascii="Calibri" w:hAnsi="Calibri" w:cs="Calibri"/>
                <w:color w:val="000000"/>
                <w:sz w:val="22"/>
                <w:szCs w:val="22"/>
                <w:highlight w:val="black"/>
                <w:lang w:eastAsia="en-GB"/>
              </w:rPr>
              <w:t>.</w:t>
            </w:r>
          </w:p>
        </w:tc>
      </w:tr>
      <w:tr w:rsidR="00592809" w14:paraId="4A7E946A" w14:textId="77777777" w:rsidTr="009F74DD">
        <w:tc>
          <w:tcPr>
            <w:tcW w:w="851" w:type="dxa"/>
          </w:tcPr>
          <w:p w14:paraId="52670F40" w14:textId="77777777" w:rsidR="00592809" w:rsidRPr="007A46B0" w:rsidRDefault="00592809" w:rsidP="009F74DD">
            <w:pPr>
              <w:rPr>
                <w:rFonts w:ascii="Calibri" w:hAnsi="Calibri" w:cs="Calibri"/>
                <w:color w:val="000000"/>
                <w:sz w:val="22"/>
                <w:szCs w:val="22"/>
                <w:lang w:eastAsia="en-GB"/>
              </w:rPr>
            </w:pPr>
            <w:r w:rsidRPr="007A46B0">
              <w:rPr>
                <w:rFonts w:ascii="Calibri" w:hAnsi="Calibri" w:cs="Calibri"/>
                <w:color w:val="000000"/>
                <w:sz w:val="22"/>
                <w:szCs w:val="22"/>
                <w:lang w:eastAsia="en-GB"/>
              </w:rPr>
              <w:t xml:space="preserve">OH Assist </w:t>
            </w:r>
          </w:p>
        </w:tc>
        <w:tc>
          <w:tcPr>
            <w:tcW w:w="1417" w:type="dxa"/>
            <w:shd w:val="clear" w:color="auto" w:fill="FFFFFF" w:themeFill="background1"/>
          </w:tcPr>
          <w:p w14:paraId="56C0DDCB"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4</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5</w:t>
            </w:r>
          </w:p>
          <w:p w14:paraId="4009A2E4" w14:textId="77777777" w:rsidR="00471ABD" w:rsidRDefault="00471ABD"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£102,663</w:t>
            </w:r>
          </w:p>
          <w:p w14:paraId="4CBADF1E" w14:textId="77777777" w:rsidR="00471ABD" w:rsidRDefault="00471ABD" w:rsidP="00F846C2">
            <w:pPr>
              <w:jc w:val="right"/>
              <w:rPr>
                <w:rFonts w:ascii="Calibri" w:hAnsi="Calibri" w:cs="Calibri"/>
                <w:color w:val="000000"/>
                <w:sz w:val="22"/>
                <w:szCs w:val="22"/>
                <w:lang w:eastAsia="en-GB"/>
              </w:rPr>
            </w:pPr>
          </w:p>
          <w:p w14:paraId="380E5705"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5</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6</w:t>
            </w:r>
          </w:p>
          <w:p w14:paraId="192D1B7B" w14:textId="77777777" w:rsidR="00592809" w:rsidRPr="007A46B0" w:rsidRDefault="00592809"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F846C2" w:rsidRPr="0048366B">
              <w:rPr>
                <w:rFonts w:ascii="Calibri" w:hAnsi="Calibri" w:cs="Calibri"/>
                <w:color w:val="000000"/>
                <w:sz w:val="22"/>
                <w:szCs w:val="22"/>
                <w:highlight w:val="black"/>
                <w:lang w:eastAsia="en-GB"/>
              </w:rPr>
              <w:t>9,333</w:t>
            </w:r>
          </w:p>
        </w:tc>
        <w:tc>
          <w:tcPr>
            <w:tcW w:w="1418" w:type="dxa"/>
            <w:shd w:val="clear" w:color="auto" w:fill="FFFFFF" w:themeFill="background1"/>
          </w:tcPr>
          <w:p w14:paraId="72840E27" w14:textId="77777777" w:rsidR="00471ABD" w:rsidRDefault="00471ABD" w:rsidP="00F846C2">
            <w:pPr>
              <w:jc w:val="right"/>
              <w:rPr>
                <w:rFonts w:ascii="Calibri" w:hAnsi="Calibri" w:cs="Calibri"/>
                <w:color w:val="000000"/>
                <w:sz w:val="22"/>
                <w:szCs w:val="22"/>
                <w:lang w:eastAsia="en-GB"/>
              </w:rPr>
            </w:pPr>
          </w:p>
          <w:p w14:paraId="4F1FF184" w14:textId="77777777" w:rsidR="00471ABD" w:rsidRDefault="00471ABD"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£102,663</w:t>
            </w:r>
          </w:p>
          <w:p w14:paraId="17813ED4" w14:textId="77777777" w:rsidR="00471ABD" w:rsidRDefault="00471ABD" w:rsidP="00F846C2">
            <w:pPr>
              <w:jc w:val="right"/>
              <w:rPr>
                <w:rFonts w:ascii="Calibri" w:hAnsi="Calibri" w:cs="Calibri"/>
                <w:color w:val="000000"/>
                <w:sz w:val="22"/>
                <w:szCs w:val="22"/>
                <w:lang w:eastAsia="en-GB"/>
              </w:rPr>
            </w:pPr>
          </w:p>
          <w:p w14:paraId="545417BE" w14:textId="77777777" w:rsidR="00471ABD" w:rsidRDefault="00471ABD" w:rsidP="00F846C2">
            <w:pPr>
              <w:jc w:val="right"/>
              <w:rPr>
                <w:rFonts w:ascii="Calibri" w:hAnsi="Calibri" w:cs="Calibri"/>
                <w:color w:val="000000"/>
                <w:sz w:val="22"/>
                <w:szCs w:val="22"/>
                <w:lang w:eastAsia="en-GB"/>
              </w:rPr>
            </w:pPr>
          </w:p>
          <w:p w14:paraId="391FADDD" w14:textId="77777777" w:rsidR="00592809" w:rsidRPr="007A46B0" w:rsidRDefault="00592809" w:rsidP="00F846C2">
            <w:pPr>
              <w:jc w:val="right"/>
              <w:rPr>
                <w:rFonts w:ascii="Calibri" w:hAnsi="Calibri" w:cs="Calibri"/>
                <w:color w:val="000000"/>
                <w:sz w:val="22"/>
                <w:szCs w:val="22"/>
                <w:lang w:eastAsia="en-GB"/>
              </w:rPr>
            </w:pPr>
            <w:r w:rsidRPr="0048366B">
              <w:rPr>
                <w:rFonts w:ascii="Calibri" w:hAnsi="Calibri" w:cs="Calibri"/>
                <w:color w:val="000000"/>
                <w:sz w:val="22"/>
                <w:szCs w:val="22"/>
                <w:highlight w:val="black"/>
                <w:lang w:eastAsia="en-GB"/>
              </w:rPr>
              <w:t>£</w:t>
            </w:r>
            <w:r w:rsidR="00F846C2" w:rsidRPr="0048366B">
              <w:rPr>
                <w:rFonts w:ascii="Calibri" w:hAnsi="Calibri" w:cs="Calibri"/>
                <w:color w:val="000000"/>
                <w:sz w:val="22"/>
                <w:szCs w:val="22"/>
                <w:highlight w:val="black"/>
                <w:lang w:eastAsia="en-GB"/>
              </w:rPr>
              <w:t>9,333</w:t>
            </w:r>
          </w:p>
        </w:tc>
        <w:tc>
          <w:tcPr>
            <w:tcW w:w="1417" w:type="dxa"/>
            <w:shd w:val="clear" w:color="auto" w:fill="FFFFFF" w:themeFill="background1"/>
          </w:tcPr>
          <w:p w14:paraId="0F5DC8F6" w14:textId="77777777" w:rsidR="00471ABD" w:rsidRDefault="00471ABD" w:rsidP="009F74DD">
            <w:pPr>
              <w:jc w:val="right"/>
              <w:rPr>
                <w:rFonts w:ascii="Calibri" w:hAnsi="Calibri" w:cs="Calibri"/>
                <w:color w:val="000000"/>
                <w:sz w:val="22"/>
                <w:szCs w:val="22"/>
                <w:lang w:eastAsia="en-GB"/>
              </w:rPr>
            </w:pPr>
          </w:p>
          <w:p w14:paraId="1BF33865" w14:textId="77777777" w:rsidR="00471ABD" w:rsidRDefault="00471ABD" w:rsidP="009F74DD">
            <w:pPr>
              <w:jc w:val="right"/>
              <w:rPr>
                <w:rFonts w:ascii="Calibri" w:hAnsi="Calibri" w:cs="Calibri"/>
                <w:color w:val="000000"/>
                <w:sz w:val="22"/>
                <w:szCs w:val="22"/>
                <w:lang w:eastAsia="en-GB"/>
              </w:rPr>
            </w:pPr>
            <w:r>
              <w:rPr>
                <w:rFonts w:ascii="Calibri" w:hAnsi="Calibri" w:cs="Calibri"/>
                <w:color w:val="000000"/>
                <w:sz w:val="22"/>
                <w:szCs w:val="22"/>
                <w:lang w:eastAsia="en-GB"/>
              </w:rPr>
              <w:t>£0</w:t>
            </w:r>
          </w:p>
          <w:p w14:paraId="5CC748EA" w14:textId="77777777" w:rsidR="00471ABD" w:rsidRDefault="00471ABD" w:rsidP="009F74DD">
            <w:pPr>
              <w:jc w:val="right"/>
              <w:rPr>
                <w:rFonts w:ascii="Calibri" w:hAnsi="Calibri" w:cs="Calibri"/>
                <w:color w:val="000000"/>
                <w:sz w:val="22"/>
                <w:szCs w:val="22"/>
                <w:lang w:eastAsia="en-GB"/>
              </w:rPr>
            </w:pPr>
          </w:p>
          <w:p w14:paraId="64452B1F" w14:textId="77777777" w:rsidR="00471ABD" w:rsidRDefault="00471ABD" w:rsidP="009F74DD">
            <w:pPr>
              <w:jc w:val="right"/>
              <w:rPr>
                <w:rFonts w:ascii="Calibri" w:hAnsi="Calibri" w:cs="Calibri"/>
                <w:color w:val="000000"/>
                <w:sz w:val="22"/>
                <w:szCs w:val="22"/>
                <w:lang w:eastAsia="en-GB"/>
              </w:rPr>
            </w:pPr>
          </w:p>
          <w:p w14:paraId="4C94369A" w14:textId="77777777" w:rsidR="00592809" w:rsidRPr="007A46B0" w:rsidRDefault="00592809" w:rsidP="009F74DD">
            <w:pPr>
              <w:jc w:val="right"/>
              <w:rPr>
                <w:rFonts w:ascii="Calibri" w:hAnsi="Calibri" w:cs="Calibri"/>
                <w:color w:val="000000"/>
                <w:sz w:val="22"/>
                <w:szCs w:val="22"/>
                <w:lang w:eastAsia="en-GB"/>
              </w:rPr>
            </w:pPr>
            <w:r w:rsidRPr="007A46B0">
              <w:rPr>
                <w:rFonts w:ascii="Calibri" w:hAnsi="Calibri" w:cs="Calibri"/>
                <w:color w:val="000000"/>
                <w:sz w:val="22"/>
                <w:szCs w:val="22"/>
                <w:lang w:eastAsia="en-GB"/>
              </w:rPr>
              <w:t>£</w:t>
            </w:r>
            <w:r>
              <w:rPr>
                <w:rFonts w:ascii="Calibri" w:hAnsi="Calibri" w:cs="Calibri"/>
                <w:color w:val="000000"/>
                <w:sz w:val="22"/>
                <w:szCs w:val="22"/>
                <w:lang w:eastAsia="en-GB"/>
              </w:rPr>
              <w:t>0</w:t>
            </w:r>
          </w:p>
        </w:tc>
        <w:tc>
          <w:tcPr>
            <w:tcW w:w="3261" w:type="dxa"/>
          </w:tcPr>
          <w:p w14:paraId="6CFF92D3" w14:textId="77777777" w:rsidR="00471ABD" w:rsidRDefault="00471ABD" w:rsidP="009F74DD">
            <w:pPr>
              <w:rPr>
                <w:rFonts w:ascii="Calibri" w:hAnsi="Calibri" w:cs="Calibri"/>
                <w:color w:val="000000"/>
                <w:sz w:val="22"/>
                <w:szCs w:val="22"/>
                <w:lang w:eastAsia="en-GB"/>
              </w:rPr>
            </w:pPr>
          </w:p>
          <w:p w14:paraId="23B0A389" w14:textId="77777777" w:rsidR="00592809" w:rsidRPr="007A46B0" w:rsidRDefault="00592809" w:rsidP="009F74DD">
            <w:pPr>
              <w:rPr>
                <w:rFonts w:ascii="Calibri" w:hAnsi="Calibri" w:cs="Calibri"/>
                <w:color w:val="000000"/>
                <w:sz w:val="22"/>
                <w:szCs w:val="22"/>
                <w:lang w:eastAsia="en-GB"/>
              </w:rPr>
            </w:pPr>
            <w:r>
              <w:rPr>
                <w:rFonts w:ascii="Calibri" w:hAnsi="Calibri" w:cs="Calibri"/>
                <w:color w:val="000000"/>
                <w:sz w:val="22"/>
                <w:szCs w:val="22"/>
                <w:lang w:eastAsia="en-GB"/>
              </w:rPr>
              <w:t>Payments made in line with agreed contract.</w:t>
            </w:r>
          </w:p>
        </w:tc>
      </w:tr>
      <w:tr w:rsidR="00592809" w14:paraId="7483E2B6" w14:textId="77777777" w:rsidTr="009F74DD">
        <w:tc>
          <w:tcPr>
            <w:tcW w:w="851" w:type="dxa"/>
          </w:tcPr>
          <w:p w14:paraId="75107195" w14:textId="77777777" w:rsidR="00592809" w:rsidRPr="007A46B0" w:rsidRDefault="00592809" w:rsidP="009F74DD">
            <w:pPr>
              <w:rPr>
                <w:rFonts w:ascii="Calibri" w:hAnsi="Calibri" w:cs="Calibri"/>
                <w:color w:val="000000"/>
                <w:sz w:val="22"/>
                <w:szCs w:val="22"/>
                <w:lang w:eastAsia="en-GB"/>
              </w:rPr>
            </w:pPr>
            <w:r>
              <w:rPr>
                <w:rFonts w:ascii="Calibri" w:hAnsi="Calibri" w:cs="Calibri"/>
                <w:color w:val="000000"/>
                <w:sz w:val="22"/>
                <w:szCs w:val="22"/>
                <w:lang w:eastAsia="en-GB"/>
              </w:rPr>
              <w:t>DfE</w:t>
            </w:r>
          </w:p>
        </w:tc>
        <w:tc>
          <w:tcPr>
            <w:tcW w:w="1417" w:type="dxa"/>
            <w:shd w:val="clear" w:color="auto" w:fill="FFFFFF" w:themeFill="background1"/>
          </w:tcPr>
          <w:p w14:paraId="12E2617C" w14:textId="77777777" w:rsidR="00471ABD" w:rsidRPr="00471ABD" w:rsidRDefault="00471ABD" w:rsidP="00471ABD">
            <w:pPr>
              <w:rPr>
                <w:rFonts w:ascii="Calibri" w:hAnsi="Calibri" w:cs="Calibri"/>
                <w:b/>
                <w:color w:val="000000"/>
                <w:sz w:val="22"/>
                <w:szCs w:val="22"/>
                <w:u w:val="single"/>
                <w:lang w:eastAsia="en-GB"/>
              </w:rPr>
            </w:pPr>
            <w:r w:rsidRPr="00471ABD">
              <w:rPr>
                <w:rFonts w:ascii="Calibri" w:hAnsi="Calibri" w:cs="Calibri"/>
                <w:b/>
                <w:color w:val="000000"/>
                <w:sz w:val="22"/>
                <w:szCs w:val="22"/>
                <w:u w:val="single"/>
                <w:lang w:eastAsia="en-GB"/>
              </w:rPr>
              <w:t>201</w:t>
            </w:r>
            <w:r w:rsidR="00BF06D2">
              <w:rPr>
                <w:rFonts w:ascii="Calibri" w:hAnsi="Calibri" w:cs="Calibri"/>
                <w:b/>
                <w:color w:val="000000"/>
                <w:sz w:val="22"/>
                <w:szCs w:val="22"/>
                <w:u w:val="single"/>
                <w:lang w:eastAsia="en-GB"/>
              </w:rPr>
              <w:t>5</w:t>
            </w:r>
            <w:r w:rsidRPr="00471ABD">
              <w:rPr>
                <w:rFonts w:ascii="Calibri" w:hAnsi="Calibri" w:cs="Calibri"/>
                <w:b/>
                <w:color w:val="000000"/>
                <w:sz w:val="22"/>
                <w:szCs w:val="22"/>
                <w:u w:val="single"/>
                <w:lang w:eastAsia="en-GB"/>
              </w:rPr>
              <w:t>-1</w:t>
            </w:r>
            <w:r w:rsidR="00BF06D2">
              <w:rPr>
                <w:rFonts w:ascii="Calibri" w:hAnsi="Calibri" w:cs="Calibri"/>
                <w:b/>
                <w:color w:val="000000"/>
                <w:sz w:val="22"/>
                <w:szCs w:val="22"/>
                <w:u w:val="single"/>
                <w:lang w:eastAsia="en-GB"/>
              </w:rPr>
              <w:t>6</w:t>
            </w:r>
          </w:p>
          <w:p w14:paraId="11C28B5F" w14:textId="77777777" w:rsidR="00592809" w:rsidRPr="007A46B0" w:rsidRDefault="00CB62A2" w:rsidP="00CB62A2">
            <w:pPr>
              <w:jc w:val="right"/>
              <w:rPr>
                <w:rFonts w:ascii="Calibri" w:hAnsi="Calibri" w:cs="Calibri"/>
                <w:color w:val="000000"/>
                <w:sz w:val="22"/>
                <w:szCs w:val="22"/>
                <w:lang w:eastAsia="en-GB"/>
              </w:rPr>
            </w:pPr>
            <w:r>
              <w:rPr>
                <w:rFonts w:ascii="Calibri" w:hAnsi="Calibri" w:cs="Calibri"/>
                <w:color w:val="000000"/>
                <w:sz w:val="22"/>
                <w:szCs w:val="22"/>
                <w:lang w:eastAsia="en-GB"/>
              </w:rPr>
              <w:t>£47,486</w:t>
            </w:r>
          </w:p>
        </w:tc>
        <w:tc>
          <w:tcPr>
            <w:tcW w:w="1418" w:type="dxa"/>
            <w:shd w:val="clear" w:color="auto" w:fill="FFFFFF" w:themeFill="background1"/>
          </w:tcPr>
          <w:p w14:paraId="6F696D43" w14:textId="77777777" w:rsidR="00471ABD" w:rsidRDefault="00471ABD" w:rsidP="00CB62A2">
            <w:pPr>
              <w:jc w:val="right"/>
              <w:rPr>
                <w:rFonts w:ascii="Calibri" w:hAnsi="Calibri" w:cs="Calibri"/>
                <w:color w:val="000000"/>
                <w:sz w:val="22"/>
                <w:szCs w:val="22"/>
                <w:lang w:eastAsia="en-GB"/>
              </w:rPr>
            </w:pPr>
          </w:p>
          <w:p w14:paraId="3A91948F" w14:textId="77777777" w:rsidR="00592809" w:rsidRPr="007A46B0" w:rsidRDefault="00CB62A2" w:rsidP="00CB62A2">
            <w:pPr>
              <w:jc w:val="right"/>
              <w:rPr>
                <w:rFonts w:ascii="Calibri" w:hAnsi="Calibri" w:cs="Calibri"/>
                <w:color w:val="000000"/>
                <w:sz w:val="22"/>
                <w:szCs w:val="22"/>
                <w:lang w:eastAsia="en-GB"/>
              </w:rPr>
            </w:pPr>
            <w:r>
              <w:rPr>
                <w:rFonts w:ascii="Calibri" w:hAnsi="Calibri" w:cs="Calibri"/>
                <w:color w:val="000000"/>
                <w:sz w:val="22"/>
                <w:szCs w:val="22"/>
                <w:lang w:eastAsia="en-GB"/>
              </w:rPr>
              <w:t>£46,673</w:t>
            </w:r>
          </w:p>
        </w:tc>
        <w:tc>
          <w:tcPr>
            <w:tcW w:w="1417" w:type="dxa"/>
            <w:shd w:val="clear" w:color="auto" w:fill="FFFFFF" w:themeFill="background1"/>
          </w:tcPr>
          <w:p w14:paraId="7DFCF71B" w14:textId="77777777" w:rsidR="00471ABD" w:rsidRDefault="00471ABD" w:rsidP="009F74DD">
            <w:pPr>
              <w:jc w:val="right"/>
              <w:rPr>
                <w:rFonts w:ascii="Calibri" w:hAnsi="Calibri" w:cs="Calibri"/>
                <w:color w:val="000000"/>
                <w:sz w:val="22"/>
                <w:szCs w:val="22"/>
                <w:lang w:eastAsia="en-GB"/>
              </w:rPr>
            </w:pPr>
          </w:p>
          <w:p w14:paraId="6CA0B9BF" w14:textId="77777777" w:rsidR="00592809" w:rsidRPr="007A46B0" w:rsidRDefault="00CB62A2" w:rsidP="009F74DD">
            <w:pPr>
              <w:jc w:val="right"/>
              <w:rPr>
                <w:rFonts w:ascii="Calibri" w:hAnsi="Calibri" w:cs="Calibri"/>
                <w:color w:val="000000"/>
                <w:sz w:val="22"/>
                <w:szCs w:val="22"/>
                <w:lang w:eastAsia="en-GB"/>
              </w:rPr>
            </w:pPr>
            <w:r>
              <w:rPr>
                <w:rFonts w:ascii="Calibri" w:hAnsi="Calibri" w:cs="Calibri"/>
                <w:color w:val="000000"/>
                <w:sz w:val="22"/>
                <w:szCs w:val="22"/>
                <w:lang w:eastAsia="en-GB"/>
              </w:rPr>
              <w:t>£813</w:t>
            </w:r>
          </w:p>
        </w:tc>
        <w:tc>
          <w:tcPr>
            <w:tcW w:w="3261" w:type="dxa"/>
          </w:tcPr>
          <w:p w14:paraId="6D02C6A6" w14:textId="77777777" w:rsidR="00471ABD" w:rsidRDefault="00471ABD" w:rsidP="009F74DD">
            <w:pPr>
              <w:rPr>
                <w:rFonts w:ascii="Calibri" w:hAnsi="Calibri" w:cs="Calibri"/>
                <w:color w:val="000000"/>
                <w:sz w:val="22"/>
                <w:szCs w:val="22"/>
                <w:lang w:eastAsia="en-GB"/>
              </w:rPr>
            </w:pPr>
          </w:p>
          <w:p w14:paraId="1E8BCEA9" w14:textId="77777777" w:rsidR="00592809" w:rsidRPr="007A46B0" w:rsidRDefault="00CB62A2" w:rsidP="009F74DD">
            <w:pPr>
              <w:rPr>
                <w:rFonts w:ascii="Calibri" w:hAnsi="Calibri" w:cs="Calibri"/>
                <w:color w:val="000000"/>
                <w:sz w:val="22"/>
                <w:szCs w:val="22"/>
                <w:lang w:eastAsia="en-GB"/>
              </w:rPr>
            </w:pPr>
            <w:r>
              <w:rPr>
                <w:rFonts w:ascii="Calibri" w:hAnsi="Calibri" w:cs="Calibri"/>
                <w:color w:val="000000"/>
                <w:sz w:val="22"/>
                <w:szCs w:val="22"/>
                <w:lang w:eastAsia="en-GB"/>
              </w:rPr>
              <w:t xml:space="preserve">Provider </w:t>
            </w:r>
            <w:r w:rsidR="007B476F">
              <w:rPr>
                <w:rFonts w:ascii="Calibri" w:hAnsi="Calibri" w:cs="Calibri"/>
                <w:color w:val="000000"/>
                <w:sz w:val="22"/>
                <w:szCs w:val="22"/>
                <w:lang w:eastAsia="en-GB"/>
              </w:rPr>
              <w:t xml:space="preserve">(Redfern) </w:t>
            </w:r>
            <w:r>
              <w:rPr>
                <w:rFonts w:ascii="Calibri" w:hAnsi="Calibri" w:cs="Calibri"/>
                <w:color w:val="000000"/>
                <w:sz w:val="22"/>
                <w:szCs w:val="22"/>
                <w:lang w:eastAsia="en-GB"/>
              </w:rPr>
              <w:t>has not issued invoices for travel costs for April.</w:t>
            </w:r>
          </w:p>
        </w:tc>
      </w:tr>
    </w:tbl>
    <w:p w14:paraId="029D5E9A" w14:textId="77777777" w:rsidR="00471ABD" w:rsidRDefault="00471ABD" w:rsidP="00356245">
      <w:pPr>
        <w:jc w:val="center"/>
        <w:rPr>
          <w:rFonts w:ascii="Calibri" w:hAnsi="Calibri" w:cs="Calibri"/>
          <w:b/>
          <w:sz w:val="28"/>
          <w:szCs w:val="28"/>
        </w:rPr>
      </w:pPr>
    </w:p>
    <w:p w14:paraId="6A42DE6F" w14:textId="77777777" w:rsidR="00C5630B" w:rsidRPr="000B5871" w:rsidRDefault="00C5630B" w:rsidP="00C5630B">
      <w:pPr>
        <w:jc w:val="center"/>
        <w:rPr>
          <w:rFonts w:ascii="Calibri" w:hAnsi="Calibri" w:cs="Calibri"/>
          <w:b/>
          <w:sz w:val="28"/>
          <w:szCs w:val="28"/>
        </w:rPr>
      </w:pPr>
      <w:r w:rsidRPr="000B5871">
        <w:rPr>
          <w:rFonts w:ascii="Calibri" w:hAnsi="Calibri" w:cs="Calibri"/>
          <w:b/>
          <w:sz w:val="28"/>
          <w:szCs w:val="28"/>
        </w:rPr>
        <w:t xml:space="preserve">Risk Update </w:t>
      </w:r>
    </w:p>
    <w:p w14:paraId="225C33C7" w14:textId="77777777" w:rsidR="00C5630B" w:rsidRDefault="00C5630B" w:rsidP="00C5630B">
      <w:pPr>
        <w:rPr>
          <w:rFonts w:ascii="Calibri" w:hAnsi="Calibri" w:cs="Calibri"/>
          <w:sz w:val="22"/>
          <w:szCs w:val="22"/>
        </w:rPr>
      </w:pPr>
    </w:p>
    <w:p w14:paraId="62D00E74" w14:textId="77777777" w:rsidR="00C5630B" w:rsidRDefault="00C5630B" w:rsidP="00D97FCD">
      <w:pPr>
        <w:ind w:right="-58"/>
        <w:rPr>
          <w:rFonts w:ascii="Calibri" w:hAnsi="Calibri" w:cs="Calibri"/>
          <w:color w:val="000000"/>
          <w:sz w:val="22"/>
          <w:szCs w:val="22"/>
          <w:lang w:eastAsia="en-GB"/>
        </w:rPr>
      </w:pPr>
      <w:r>
        <w:rPr>
          <w:rFonts w:ascii="Calibri" w:hAnsi="Calibri" w:cs="Calibri"/>
          <w:color w:val="000000"/>
          <w:sz w:val="22"/>
          <w:szCs w:val="22"/>
          <w:lang w:eastAsia="en-GB"/>
        </w:rPr>
        <w:t xml:space="preserve">The Risk management process remains robust, with a regular monthly meeting held </w:t>
      </w:r>
      <w:r w:rsidR="00D97FCD">
        <w:rPr>
          <w:rFonts w:ascii="Calibri" w:hAnsi="Calibri" w:cs="Calibri"/>
          <w:color w:val="000000"/>
          <w:sz w:val="22"/>
          <w:szCs w:val="22"/>
          <w:lang w:eastAsia="en-GB"/>
        </w:rPr>
        <w:t>b</w:t>
      </w:r>
      <w:r>
        <w:rPr>
          <w:rFonts w:ascii="Calibri" w:hAnsi="Calibri" w:cs="Calibri"/>
          <w:color w:val="000000"/>
          <w:sz w:val="22"/>
          <w:szCs w:val="22"/>
          <w:lang w:eastAsia="en-GB"/>
        </w:rPr>
        <w:t>etween key members of both the DfE and Capita teams to review the current status of active risks and discuss potential emerging risks. Capita can supplement this process by calling upon wider Group expertise where required.</w:t>
      </w:r>
    </w:p>
    <w:p w14:paraId="62C75281" w14:textId="77777777" w:rsidR="00C5630B" w:rsidRDefault="00C5630B" w:rsidP="00C5630B">
      <w:pPr>
        <w:ind w:left="360"/>
        <w:rPr>
          <w:rFonts w:ascii="Calibri" w:hAnsi="Calibri" w:cs="Calibri"/>
          <w:color w:val="000000"/>
          <w:sz w:val="22"/>
          <w:szCs w:val="22"/>
          <w:lang w:eastAsia="en-GB"/>
        </w:rPr>
      </w:pPr>
    </w:p>
    <w:p w14:paraId="13B4FAF4" w14:textId="77777777" w:rsidR="00C5630B" w:rsidRPr="00653702" w:rsidRDefault="00C5630B" w:rsidP="00D97FCD">
      <w:pPr>
        <w:rPr>
          <w:rFonts w:ascii="Calibri" w:hAnsi="Calibri" w:cs="Calibri"/>
          <w:b/>
          <w:color w:val="000000"/>
          <w:szCs w:val="24"/>
          <w:lang w:eastAsia="en-GB"/>
        </w:rPr>
      </w:pPr>
      <w:r w:rsidRPr="00653702">
        <w:rPr>
          <w:rFonts w:ascii="Calibri" w:hAnsi="Calibri" w:cs="Calibri"/>
          <w:b/>
          <w:color w:val="000000"/>
          <w:szCs w:val="24"/>
          <w:lang w:eastAsia="en-GB"/>
        </w:rPr>
        <w:t>Key Risks</w:t>
      </w:r>
    </w:p>
    <w:p w14:paraId="210C1F2F" w14:textId="77777777" w:rsidR="00C5630B" w:rsidRDefault="00C5630B" w:rsidP="00C5630B">
      <w:pPr>
        <w:ind w:left="360"/>
        <w:rPr>
          <w:rFonts w:ascii="Calibri" w:hAnsi="Calibri" w:cs="Calibri"/>
          <w:b/>
          <w:color w:val="000000"/>
          <w:sz w:val="22"/>
          <w:szCs w:val="22"/>
          <w:lang w:eastAsia="en-GB"/>
        </w:rPr>
      </w:pPr>
    </w:p>
    <w:p w14:paraId="69151EEB" w14:textId="77777777" w:rsidR="00C5630B" w:rsidRDefault="00C5630B" w:rsidP="00D97FCD">
      <w:pPr>
        <w:rPr>
          <w:rFonts w:ascii="Calibri" w:hAnsi="Calibri" w:cs="Calibri"/>
          <w:b/>
          <w:color w:val="000000"/>
          <w:sz w:val="22"/>
          <w:szCs w:val="22"/>
          <w:lang w:eastAsia="en-GB"/>
        </w:rPr>
      </w:pPr>
      <w:r>
        <w:rPr>
          <w:rFonts w:ascii="Calibri" w:hAnsi="Calibri" w:cs="Calibri"/>
          <w:b/>
          <w:color w:val="000000"/>
          <w:sz w:val="22"/>
          <w:szCs w:val="22"/>
          <w:lang w:eastAsia="en-GB"/>
        </w:rPr>
        <w:t>Deferred Project</w:t>
      </w:r>
    </w:p>
    <w:p w14:paraId="6A501D32"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A deferred pension relates to active unclaimed pensions, where a member has left the scheme but has either not transferred their existing pension to a new scheme or claimed the residual funds. A project has been initiated to trace and verify deferred members, passing deferred member data to a tracing service and offering payment of pension or a refund of contributions as appropriate. It is forecast the project will attempt to trace c. 200k members over 48 months. Project commenced data exchange in April and 2,742 records were processed and analysis is currently underway on the results received.</w:t>
      </w:r>
    </w:p>
    <w:p w14:paraId="1E7D02B9" w14:textId="77777777" w:rsidR="00C5630B" w:rsidRDefault="00C5630B" w:rsidP="00C5630B">
      <w:pPr>
        <w:ind w:left="360"/>
        <w:rPr>
          <w:rFonts w:ascii="Calibri" w:hAnsi="Calibri" w:cs="Calibri"/>
          <w:color w:val="000000"/>
          <w:sz w:val="22"/>
          <w:szCs w:val="22"/>
          <w:lang w:eastAsia="en-GB"/>
        </w:rPr>
      </w:pPr>
    </w:p>
    <w:p w14:paraId="3CDE3AD7" w14:textId="77777777" w:rsidR="00C5630B" w:rsidRDefault="00C5630B" w:rsidP="00D97FCD">
      <w:pPr>
        <w:rPr>
          <w:rFonts w:ascii="Calibri" w:hAnsi="Calibri" w:cs="Calibri"/>
          <w:b/>
          <w:color w:val="000000"/>
          <w:sz w:val="22"/>
          <w:szCs w:val="22"/>
          <w:lang w:eastAsia="en-GB"/>
        </w:rPr>
      </w:pPr>
      <w:r>
        <w:rPr>
          <w:rFonts w:ascii="Calibri" w:hAnsi="Calibri" w:cs="Calibri"/>
          <w:b/>
          <w:color w:val="000000"/>
          <w:sz w:val="22"/>
          <w:szCs w:val="22"/>
          <w:lang w:eastAsia="en-GB"/>
        </w:rPr>
        <w:t>Outcomes</w:t>
      </w:r>
    </w:p>
    <w:p w14:paraId="34841675"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The TPS contract is measured annually against 16 Outcome measures to determine the level of member and employer satisfaction, finance and data quality, and successful</w:t>
      </w:r>
      <w:r w:rsidR="00D97FCD">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contract partnership. There are a number of initiatives in place to actively manage and measure these Outcomes to achieve satisfactory results. A review is also currently underway to revise and </w:t>
      </w:r>
      <w:r>
        <w:rPr>
          <w:rFonts w:ascii="Calibri" w:hAnsi="Calibri" w:cs="Calibri"/>
          <w:color w:val="000000"/>
          <w:sz w:val="22"/>
          <w:szCs w:val="22"/>
          <w:lang w:eastAsia="en-GB"/>
        </w:rPr>
        <w:lastRenderedPageBreak/>
        <w:t>improve the measurement criteria for a number of outcomes, along with a forum to carry out ‘horizon scanning’ exercises in order to understand how future changes in the scheme, the membership and technology might have an influence on the scoring and methodology of measurement.</w:t>
      </w:r>
    </w:p>
    <w:p w14:paraId="4A5E63DD" w14:textId="77777777" w:rsidR="00C5630B" w:rsidRDefault="00C5630B" w:rsidP="00C5630B">
      <w:pPr>
        <w:ind w:left="360"/>
        <w:rPr>
          <w:rFonts w:ascii="Calibri" w:hAnsi="Calibri" w:cs="Calibri"/>
          <w:color w:val="000000"/>
          <w:sz w:val="22"/>
          <w:szCs w:val="22"/>
          <w:lang w:eastAsia="en-GB"/>
        </w:rPr>
      </w:pPr>
    </w:p>
    <w:p w14:paraId="2229FB90" w14:textId="77777777" w:rsidR="00C5630B" w:rsidRDefault="00C5630B" w:rsidP="00D97FCD">
      <w:pPr>
        <w:rPr>
          <w:rFonts w:ascii="Calibri" w:hAnsi="Calibri" w:cs="Calibri"/>
          <w:b/>
          <w:color w:val="000000"/>
          <w:sz w:val="22"/>
          <w:szCs w:val="22"/>
          <w:lang w:eastAsia="en-GB"/>
        </w:rPr>
      </w:pPr>
      <w:r>
        <w:rPr>
          <w:rFonts w:ascii="Calibri" w:hAnsi="Calibri" w:cs="Calibri"/>
          <w:b/>
          <w:color w:val="000000"/>
          <w:sz w:val="22"/>
          <w:szCs w:val="22"/>
          <w:lang w:eastAsia="en-GB"/>
        </w:rPr>
        <w:t>Reform</w:t>
      </w:r>
    </w:p>
    <w:p w14:paraId="3FA49AD4" w14:textId="1E1C459B"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The 2015 Reform has been managed through a major programme of work and has delivered communications, process and technology results to ensure the scheme and its members</w:t>
      </w:r>
      <w:r w:rsidR="00D97FCD">
        <w:rPr>
          <w:rFonts w:ascii="Calibri" w:hAnsi="Calibri" w:cs="Calibri"/>
          <w:color w:val="000000"/>
          <w:sz w:val="22"/>
          <w:szCs w:val="22"/>
          <w:lang w:eastAsia="en-GB"/>
        </w:rPr>
        <w:t xml:space="preserve"> </w:t>
      </w:r>
      <w:r>
        <w:rPr>
          <w:rFonts w:ascii="Calibri" w:hAnsi="Calibri" w:cs="Calibri"/>
          <w:color w:val="000000"/>
          <w:sz w:val="22"/>
          <w:szCs w:val="22"/>
          <w:lang w:eastAsia="en-GB"/>
        </w:rPr>
        <w:t>/employers are best placed to understand and manage the changes it brings. The programme went live on 2 April 2015 but remains on the register as there is an ongoing risk during the ‘bedding-in’ process until knowledge management, decision making and on-going communications are confirmed as operating effectively.</w:t>
      </w:r>
    </w:p>
    <w:p w14:paraId="28D496DA" w14:textId="77777777" w:rsidR="00C5630B" w:rsidRDefault="00C5630B" w:rsidP="00C5630B">
      <w:pPr>
        <w:ind w:left="360"/>
        <w:rPr>
          <w:rFonts w:ascii="Calibri" w:hAnsi="Calibri" w:cs="Calibri"/>
          <w:color w:val="000000"/>
          <w:sz w:val="22"/>
          <w:szCs w:val="22"/>
          <w:lang w:eastAsia="en-GB"/>
        </w:rPr>
      </w:pPr>
    </w:p>
    <w:p w14:paraId="7EABE8E2" w14:textId="77777777" w:rsidR="00C5630B" w:rsidRDefault="00C5630B" w:rsidP="00D97FCD">
      <w:pPr>
        <w:rPr>
          <w:rFonts w:ascii="Calibri" w:hAnsi="Calibri" w:cs="Calibri"/>
          <w:b/>
          <w:color w:val="000000"/>
          <w:sz w:val="22"/>
          <w:szCs w:val="22"/>
          <w:lang w:eastAsia="en-GB"/>
        </w:rPr>
      </w:pPr>
      <w:r>
        <w:rPr>
          <w:rFonts w:ascii="Calibri" w:hAnsi="Calibri" w:cs="Calibri"/>
          <w:b/>
          <w:color w:val="000000"/>
          <w:sz w:val="22"/>
          <w:szCs w:val="22"/>
          <w:lang w:eastAsia="en-GB"/>
        </w:rPr>
        <w:t>Data Quality</w:t>
      </w:r>
    </w:p>
    <w:p w14:paraId="24120F14"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Data Quality is paramount to the successful administration of the scheme and a number of initiatives are in place to improve and maintain the quality of common and conditional data held. These initiatives are managed by the Data Strategy, which has delivered a number of improvements to date and continues to drive improvements and address issues via a Data Working Group which meets monthly.</w:t>
      </w:r>
    </w:p>
    <w:p w14:paraId="63D9382C" w14:textId="77777777" w:rsidR="00C5630B" w:rsidRDefault="00C5630B" w:rsidP="00C5630B">
      <w:pPr>
        <w:ind w:left="360"/>
        <w:rPr>
          <w:rFonts w:ascii="Calibri" w:hAnsi="Calibri" w:cs="Calibri"/>
          <w:color w:val="000000"/>
          <w:sz w:val="22"/>
          <w:szCs w:val="22"/>
          <w:lang w:eastAsia="en-GB"/>
        </w:rPr>
      </w:pPr>
    </w:p>
    <w:p w14:paraId="1F4CDBE2" w14:textId="256AEF36" w:rsidR="00C5630B" w:rsidRDefault="00C5630B" w:rsidP="00D97FCD">
      <w:pPr>
        <w:rPr>
          <w:rFonts w:ascii="Calibri" w:hAnsi="Calibri" w:cs="Calibri"/>
          <w:color w:val="000000"/>
          <w:sz w:val="22"/>
          <w:szCs w:val="22"/>
          <w:lang w:eastAsia="en-GB"/>
        </w:rPr>
      </w:pPr>
      <w:r w:rsidRPr="003F2C94">
        <w:rPr>
          <w:rFonts w:ascii="Calibri" w:hAnsi="Calibri" w:cs="Calibri"/>
          <w:b/>
          <w:color w:val="000000"/>
          <w:sz w:val="22"/>
          <w:szCs w:val="22"/>
          <w:lang w:eastAsia="en-GB"/>
        </w:rPr>
        <w:t>Guaranteed Minimum Pension (GMP) records</w:t>
      </w:r>
      <w:r>
        <w:rPr>
          <w:rFonts w:ascii="Calibri" w:hAnsi="Calibri" w:cs="Calibri"/>
          <w:color w:val="000000"/>
          <w:sz w:val="22"/>
          <w:szCs w:val="22"/>
          <w:lang w:eastAsia="en-GB"/>
        </w:rPr>
        <w:t xml:space="preserve"> - </w:t>
      </w:r>
      <w:r w:rsidRPr="003F2C94">
        <w:rPr>
          <w:rFonts w:ascii="Calibri" w:hAnsi="Calibri" w:cs="Calibri"/>
          <w:color w:val="000000"/>
          <w:sz w:val="22"/>
          <w:szCs w:val="22"/>
          <w:lang w:eastAsia="en-GB"/>
        </w:rPr>
        <w:t>As part</w:t>
      </w:r>
      <w:r w:rsidR="00606BB2">
        <w:rPr>
          <w:rFonts w:ascii="Calibri" w:hAnsi="Calibri" w:cs="Calibri"/>
          <w:color w:val="000000"/>
          <w:sz w:val="22"/>
          <w:szCs w:val="22"/>
          <w:lang w:eastAsia="en-GB"/>
        </w:rPr>
        <w:t xml:space="preserve"> of</w:t>
      </w:r>
      <w:r w:rsidRPr="003F2C94">
        <w:rPr>
          <w:rFonts w:ascii="Calibri" w:hAnsi="Calibri" w:cs="Calibri"/>
          <w:color w:val="000000"/>
          <w:sz w:val="22"/>
          <w:szCs w:val="22"/>
          <w:lang w:eastAsia="en-GB"/>
        </w:rPr>
        <w:t xml:space="preserve"> the cessation of ‘contracting out’ in 2016 a number of issues have been raised by</w:t>
      </w:r>
      <w:r w:rsidR="00D97FCD">
        <w:rPr>
          <w:rFonts w:ascii="Calibri" w:hAnsi="Calibri" w:cs="Calibri"/>
          <w:color w:val="000000"/>
          <w:sz w:val="22"/>
          <w:szCs w:val="22"/>
          <w:lang w:eastAsia="en-GB"/>
        </w:rPr>
        <w:t>,</w:t>
      </w:r>
      <w:r w:rsidRPr="003F2C94">
        <w:rPr>
          <w:rFonts w:ascii="Calibri" w:hAnsi="Calibri" w:cs="Calibri"/>
          <w:color w:val="000000"/>
          <w:sz w:val="22"/>
          <w:szCs w:val="22"/>
          <w:lang w:eastAsia="en-GB"/>
        </w:rPr>
        <w:t xml:space="preserve"> and with</w:t>
      </w:r>
      <w:r w:rsidR="00D97FCD">
        <w:rPr>
          <w:rFonts w:ascii="Calibri" w:hAnsi="Calibri" w:cs="Calibri"/>
          <w:color w:val="000000"/>
          <w:sz w:val="22"/>
          <w:szCs w:val="22"/>
          <w:lang w:eastAsia="en-GB"/>
        </w:rPr>
        <w:t>,</w:t>
      </w:r>
      <w:r w:rsidRPr="003F2C94">
        <w:rPr>
          <w:rFonts w:ascii="Calibri" w:hAnsi="Calibri" w:cs="Calibri"/>
          <w:color w:val="000000"/>
          <w:sz w:val="22"/>
          <w:szCs w:val="22"/>
          <w:lang w:eastAsia="en-GB"/>
        </w:rPr>
        <w:t xml:space="preserve"> HMRC and DWP regarding Guaranteed Minimum Pension (GMP) records and outstanding preservation actions. This may result in increased work for public service pension schemes during 201</w:t>
      </w:r>
      <w:r w:rsidR="00606BB2">
        <w:rPr>
          <w:rFonts w:ascii="Calibri" w:hAnsi="Calibri" w:cs="Calibri"/>
          <w:color w:val="000000"/>
          <w:sz w:val="22"/>
          <w:szCs w:val="22"/>
          <w:lang w:eastAsia="en-GB"/>
        </w:rPr>
        <w:t>5</w:t>
      </w:r>
      <w:r w:rsidRPr="003F2C94">
        <w:rPr>
          <w:rFonts w:ascii="Calibri" w:hAnsi="Calibri" w:cs="Calibri"/>
          <w:color w:val="000000"/>
          <w:sz w:val="22"/>
          <w:szCs w:val="22"/>
          <w:lang w:eastAsia="en-GB"/>
        </w:rPr>
        <w:t xml:space="preserve"> and 201</w:t>
      </w:r>
      <w:r w:rsidR="00606BB2">
        <w:rPr>
          <w:rFonts w:ascii="Calibri" w:hAnsi="Calibri" w:cs="Calibri"/>
          <w:color w:val="000000"/>
          <w:sz w:val="22"/>
          <w:szCs w:val="22"/>
          <w:lang w:eastAsia="en-GB"/>
        </w:rPr>
        <w:t>6</w:t>
      </w:r>
      <w:r w:rsidR="00D97FCD">
        <w:rPr>
          <w:rFonts w:ascii="Calibri" w:hAnsi="Calibri" w:cs="Calibri"/>
          <w:color w:val="000000"/>
          <w:sz w:val="22"/>
          <w:szCs w:val="22"/>
          <w:lang w:eastAsia="en-GB"/>
        </w:rPr>
        <w:t>,</w:t>
      </w:r>
      <w:r w:rsidRPr="003F2C94">
        <w:rPr>
          <w:rFonts w:ascii="Calibri" w:hAnsi="Calibri" w:cs="Calibri"/>
          <w:color w:val="000000"/>
          <w:sz w:val="22"/>
          <w:szCs w:val="22"/>
          <w:lang w:eastAsia="en-GB"/>
        </w:rPr>
        <w:t xml:space="preserve"> to assist with the cleansing of records prior to National Insurance statements being issued to the general population. Potentially this will cause conflict with the public service schemes’ Reform development programmes. There are also longer term </w:t>
      </w:r>
      <w:r w:rsidR="00261949">
        <w:rPr>
          <w:rFonts w:ascii="Calibri" w:hAnsi="Calibri" w:cs="Calibri"/>
          <w:color w:val="000000"/>
          <w:sz w:val="22"/>
          <w:szCs w:val="22"/>
          <w:lang w:eastAsia="en-GB"/>
        </w:rPr>
        <w:t xml:space="preserve">policy </w:t>
      </w:r>
      <w:r w:rsidRPr="003F2C94">
        <w:rPr>
          <w:rFonts w:ascii="Calibri" w:hAnsi="Calibri" w:cs="Calibri"/>
          <w:color w:val="000000"/>
          <w:sz w:val="22"/>
          <w:szCs w:val="22"/>
          <w:lang w:eastAsia="en-GB"/>
        </w:rPr>
        <w:t>issues to be resolved about the payment of GMP increases post 2016.</w:t>
      </w:r>
    </w:p>
    <w:p w14:paraId="629C3628" w14:textId="77777777" w:rsidR="00C5630B" w:rsidRDefault="00C5630B" w:rsidP="00C5630B">
      <w:pPr>
        <w:ind w:left="426"/>
        <w:rPr>
          <w:rFonts w:ascii="Calibri" w:hAnsi="Calibri" w:cs="Calibri"/>
          <w:color w:val="000000"/>
          <w:sz w:val="22"/>
          <w:szCs w:val="22"/>
          <w:lang w:eastAsia="en-GB"/>
        </w:rPr>
      </w:pPr>
    </w:p>
    <w:p w14:paraId="481A8596" w14:textId="77777777" w:rsidR="00C5630B" w:rsidRPr="00653702" w:rsidRDefault="00C5630B" w:rsidP="00D97FCD">
      <w:pPr>
        <w:rPr>
          <w:rFonts w:ascii="Calibri" w:hAnsi="Calibri" w:cs="Calibri"/>
          <w:b/>
          <w:color w:val="000000"/>
          <w:szCs w:val="24"/>
          <w:lang w:eastAsia="en-GB"/>
        </w:rPr>
      </w:pPr>
      <w:r w:rsidRPr="00653702">
        <w:rPr>
          <w:rFonts w:ascii="Calibri" w:hAnsi="Calibri" w:cs="Calibri"/>
          <w:b/>
          <w:color w:val="000000"/>
          <w:szCs w:val="24"/>
          <w:lang w:eastAsia="en-GB"/>
        </w:rPr>
        <w:t>Overview of all Risks</w:t>
      </w:r>
    </w:p>
    <w:p w14:paraId="3C83B8E3" w14:textId="77777777" w:rsidR="00C5630B" w:rsidRDefault="00C5630B" w:rsidP="00C5630B">
      <w:pPr>
        <w:ind w:left="360"/>
        <w:rPr>
          <w:rFonts w:ascii="Calibri" w:hAnsi="Calibri" w:cs="Calibri"/>
          <w:color w:val="000000"/>
          <w:sz w:val="22"/>
          <w:szCs w:val="22"/>
          <w:lang w:eastAsia="en-GB"/>
        </w:rPr>
      </w:pPr>
    </w:p>
    <w:p w14:paraId="2458BDCC"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There are currently 30 Strategic Risks under management, two of which carry a ‘High’ net risk rating, both of which have strong controls in place.</w:t>
      </w:r>
    </w:p>
    <w:p w14:paraId="7B761312" w14:textId="77777777" w:rsidR="00C5630B" w:rsidRDefault="00C5630B" w:rsidP="00C5630B">
      <w:pPr>
        <w:ind w:left="426"/>
        <w:rPr>
          <w:rFonts w:ascii="Calibri" w:hAnsi="Calibri" w:cs="Calibri"/>
          <w:color w:val="000000"/>
          <w:sz w:val="22"/>
          <w:szCs w:val="22"/>
          <w:lang w:eastAsia="en-GB"/>
        </w:rPr>
      </w:pPr>
    </w:p>
    <w:p w14:paraId="7BC6A32E"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The ‘High’ rated risks are:</w:t>
      </w:r>
    </w:p>
    <w:p w14:paraId="0E6F0F7A" w14:textId="77777777" w:rsidR="00C5630B" w:rsidRDefault="00C5630B" w:rsidP="00C5630B">
      <w:pPr>
        <w:ind w:left="426"/>
        <w:rPr>
          <w:rFonts w:ascii="Calibri" w:hAnsi="Calibri" w:cs="Calibri"/>
          <w:color w:val="000000"/>
          <w:sz w:val="22"/>
          <w:szCs w:val="22"/>
          <w:lang w:eastAsia="en-GB"/>
        </w:rPr>
      </w:pPr>
    </w:p>
    <w:p w14:paraId="55B18739" w14:textId="77777777" w:rsidR="00C5630B" w:rsidRDefault="00C5630B" w:rsidP="00D97FCD">
      <w:pPr>
        <w:rPr>
          <w:rFonts w:ascii="Calibri" w:hAnsi="Calibri" w:cs="Calibri"/>
          <w:color w:val="000000"/>
          <w:sz w:val="22"/>
          <w:szCs w:val="22"/>
          <w:lang w:eastAsia="en-GB"/>
        </w:rPr>
      </w:pPr>
      <w:r w:rsidRPr="00A37123">
        <w:rPr>
          <w:rFonts w:ascii="Calibri" w:hAnsi="Calibri" w:cs="Calibri"/>
          <w:b/>
          <w:color w:val="000000"/>
          <w:sz w:val="22"/>
          <w:szCs w:val="22"/>
          <w:lang w:eastAsia="en-GB"/>
        </w:rPr>
        <w:t>Achievement of Outcomes</w:t>
      </w:r>
      <w:r>
        <w:rPr>
          <w:rFonts w:ascii="Calibri" w:hAnsi="Calibri" w:cs="Calibri"/>
          <w:color w:val="000000"/>
          <w:sz w:val="22"/>
          <w:szCs w:val="22"/>
          <w:lang w:eastAsia="en-GB"/>
        </w:rPr>
        <w:t xml:space="preserve"> – As described above (Dashboard item); and </w:t>
      </w:r>
    </w:p>
    <w:p w14:paraId="169D6FA0" w14:textId="77777777" w:rsidR="00C5630B" w:rsidRDefault="00C5630B" w:rsidP="00C5630B">
      <w:pPr>
        <w:ind w:left="426"/>
        <w:rPr>
          <w:rFonts w:ascii="Calibri" w:hAnsi="Calibri" w:cs="Calibri"/>
          <w:color w:val="000000"/>
          <w:sz w:val="22"/>
          <w:szCs w:val="22"/>
          <w:lang w:eastAsia="en-GB"/>
        </w:rPr>
      </w:pPr>
    </w:p>
    <w:p w14:paraId="30CFFF67" w14:textId="77777777" w:rsidR="00C5630B" w:rsidRDefault="00C5630B" w:rsidP="00D97FCD">
      <w:pPr>
        <w:rPr>
          <w:rFonts w:ascii="Calibri" w:hAnsi="Calibri" w:cs="Calibri"/>
          <w:color w:val="000000"/>
          <w:sz w:val="22"/>
          <w:szCs w:val="22"/>
          <w:lang w:eastAsia="en-GB"/>
        </w:rPr>
      </w:pPr>
      <w:r w:rsidRPr="00A37123">
        <w:rPr>
          <w:rFonts w:ascii="Calibri" w:hAnsi="Calibri" w:cs="Calibri"/>
          <w:b/>
          <w:color w:val="000000"/>
          <w:sz w:val="22"/>
          <w:szCs w:val="22"/>
          <w:lang w:eastAsia="en-GB"/>
        </w:rPr>
        <w:t>Monitoring of the cash resource position</w:t>
      </w:r>
      <w:r>
        <w:rPr>
          <w:rFonts w:ascii="Calibri" w:hAnsi="Calibri" w:cs="Calibri"/>
          <w:color w:val="000000"/>
          <w:sz w:val="22"/>
          <w:szCs w:val="22"/>
          <w:lang w:eastAsia="en-GB"/>
        </w:rPr>
        <w:t xml:space="preserve"> - </w:t>
      </w:r>
      <w:r w:rsidRPr="00A37123">
        <w:rPr>
          <w:rFonts w:ascii="Calibri" w:hAnsi="Calibri" w:cs="Calibri"/>
          <w:color w:val="000000"/>
          <w:sz w:val="22"/>
          <w:szCs w:val="22"/>
          <w:lang w:eastAsia="en-GB"/>
        </w:rPr>
        <w:t xml:space="preserve">There is a risk that an inadequate control environment in which to monitor and submit accurate figures </w:t>
      </w:r>
      <w:r>
        <w:rPr>
          <w:rFonts w:ascii="Calibri" w:hAnsi="Calibri" w:cs="Calibri"/>
          <w:color w:val="000000"/>
          <w:sz w:val="22"/>
          <w:szCs w:val="22"/>
          <w:lang w:eastAsia="en-GB"/>
        </w:rPr>
        <w:t>on</w:t>
      </w:r>
      <w:r w:rsidRPr="00A37123">
        <w:rPr>
          <w:rFonts w:ascii="Calibri" w:hAnsi="Calibri" w:cs="Calibri"/>
          <w:color w:val="000000"/>
          <w:sz w:val="22"/>
          <w:szCs w:val="22"/>
          <w:lang w:eastAsia="en-GB"/>
        </w:rPr>
        <w:t xml:space="preserve"> the TPS resource position throughout the year (monthly to Treasury/OBR </w:t>
      </w:r>
      <w:r>
        <w:rPr>
          <w:rFonts w:ascii="Calibri" w:hAnsi="Calibri" w:cs="Calibri"/>
          <w:color w:val="000000"/>
          <w:sz w:val="22"/>
          <w:szCs w:val="22"/>
          <w:lang w:eastAsia="en-GB"/>
        </w:rPr>
        <w:t>on</w:t>
      </w:r>
      <w:r w:rsidRPr="00A37123">
        <w:rPr>
          <w:rFonts w:ascii="Calibri" w:hAnsi="Calibri" w:cs="Calibri"/>
          <w:color w:val="000000"/>
          <w:sz w:val="22"/>
          <w:szCs w:val="22"/>
          <w:lang w:eastAsia="en-GB"/>
        </w:rPr>
        <w:t xml:space="preserve"> estimating) could ultimately lead to account qualification.</w:t>
      </w:r>
      <w:r>
        <w:rPr>
          <w:rFonts w:ascii="Calibri" w:hAnsi="Calibri" w:cs="Calibri"/>
          <w:color w:val="000000"/>
          <w:sz w:val="22"/>
          <w:szCs w:val="22"/>
          <w:lang w:eastAsia="en-GB"/>
        </w:rPr>
        <w:t xml:space="preserve"> This risk is being mitigated by the implementation of a new process of management and maintenance, which is being transferred from the Department’s Finance and Commercial Group to </w:t>
      </w:r>
      <w:proofErr w:type="spellStart"/>
      <w:r>
        <w:rPr>
          <w:rFonts w:ascii="Calibri" w:hAnsi="Calibri" w:cs="Calibri"/>
          <w:color w:val="000000"/>
          <w:sz w:val="22"/>
          <w:szCs w:val="22"/>
          <w:lang w:eastAsia="en-GB"/>
        </w:rPr>
        <w:t>Capita’s</w:t>
      </w:r>
      <w:proofErr w:type="spellEnd"/>
      <w:r>
        <w:rPr>
          <w:rFonts w:ascii="Calibri" w:hAnsi="Calibri" w:cs="Calibri"/>
          <w:color w:val="000000"/>
          <w:sz w:val="22"/>
          <w:szCs w:val="22"/>
          <w:lang w:eastAsia="en-GB"/>
        </w:rPr>
        <w:t xml:space="preserve"> TP Finance Team. The transfer is due to go live in June with a report on May’s data.</w:t>
      </w:r>
    </w:p>
    <w:p w14:paraId="3685E7B0" w14:textId="77777777" w:rsidR="00C5630B" w:rsidRDefault="00C5630B" w:rsidP="00C5630B">
      <w:pPr>
        <w:ind w:left="426"/>
        <w:rPr>
          <w:rFonts w:ascii="Calibri" w:hAnsi="Calibri" w:cs="Calibri"/>
          <w:color w:val="000000"/>
          <w:sz w:val="22"/>
          <w:szCs w:val="22"/>
          <w:lang w:eastAsia="en-GB"/>
        </w:rPr>
      </w:pPr>
    </w:p>
    <w:p w14:paraId="4A161989"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In addition to this, there are an additional 43 Service Delivery Risks under management, only one of which carries a ‘High’ net risk rating (GMP updates).</w:t>
      </w:r>
    </w:p>
    <w:p w14:paraId="4CDE8B5D" w14:textId="77777777" w:rsidR="00C5630B" w:rsidRDefault="00C5630B" w:rsidP="00C5630B">
      <w:pPr>
        <w:ind w:left="426"/>
        <w:rPr>
          <w:rFonts w:ascii="Calibri" w:hAnsi="Calibri" w:cs="Calibri"/>
          <w:color w:val="000000"/>
          <w:sz w:val="22"/>
          <w:szCs w:val="22"/>
          <w:lang w:eastAsia="en-GB"/>
        </w:rPr>
      </w:pPr>
    </w:p>
    <w:p w14:paraId="10954C86" w14:textId="77777777" w:rsidR="00C5630B" w:rsidRDefault="00C5630B" w:rsidP="00D97FCD">
      <w:pPr>
        <w:rPr>
          <w:rFonts w:ascii="Calibri" w:hAnsi="Calibri" w:cs="Calibri"/>
          <w:color w:val="000000"/>
          <w:sz w:val="22"/>
          <w:szCs w:val="22"/>
          <w:lang w:eastAsia="en-GB"/>
        </w:rPr>
      </w:pPr>
      <w:r>
        <w:rPr>
          <w:rFonts w:ascii="Calibri" w:hAnsi="Calibri" w:cs="Calibri"/>
          <w:color w:val="000000"/>
          <w:sz w:val="22"/>
          <w:szCs w:val="22"/>
          <w:lang w:eastAsia="en-GB"/>
        </w:rPr>
        <w:t>The ‘High’ rated risk is:</w:t>
      </w:r>
    </w:p>
    <w:p w14:paraId="2F7020DE" w14:textId="28099ACC" w:rsidR="00C5630B" w:rsidRDefault="00C5630B" w:rsidP="00606BB2">
      <w:pPr>
        <w:rPr>
          <w:rFonts w:ascii="Calibri" w:hAnsi="Calibri" w:cs="Calibri"/>
          <w:b/>
          <w:sz w:val="28"/>
          <w:szCs w:val="28"/>
        </w:rPr>
      </w:pPr>
      <w:proofErr w:type="gramStart"/>
      <w:r w:rsidRPr="003F2C94">
        <w:rPr>
          <w:rFonts w:ascii="Calibri" w:hAnsi="Calibri" w:cs="Calibri"/>
          <w:b/>
          <w:color w:val="000000"/>
          <w:sz w:val="22"/>
          <w:szCs w:val="22"/>
          <w:lang w:eastAsia="en-GB"/>
        </w:rPr>
        <w:t>Guaranteed Minimum Pension (GMP) records</w:t>
      </w:r>
      <w:r>
        <w:rPr>
          <w:rFonts w:ascii="Calibri" w:hAnsi="Calibri" w:cs="Calibri"/>
          <w:color w:val="000000"/>
          <w:sz w:val="22"/>
          <w:szCs w:val="22"/>
          <w:lang w:eastAsia="en-GB"/>
        </w:rPr>
        <w:t xml:space="preserve"> - As described above (Dashboard item)</w:t>
      </w:r>
      <w:r w:rsidR="00D97FCD">
        <w:rPr>
          <w:rFonts w:ascii="Calibri" w:hAnsi="Calibri" w:cs="Calibri"/>
          <w:color w:val="000000"/>
          <w:sz w:val="22"/>
          <w:szCs w:val="22"/>
          <w:lang w:eastAsia="en-GB"/>
        </w:rPr>
        <w:t>.</w:t>
      </w:r>
      <w:proofErr w:type="gramEnd"/>
    </w:p>
    <w:p w14:paraId="0DC1A189" w14:textId="77777777" w:rsidR="00C5630B" w:rsidRDefault="00C5630B" w:rsidP="00C5630B">
      <w:pPr>
        <w:jc w:val="center"/>
        <w:rPr>
          <w:rFonts w:ascii="Calibri" w:hAnsi="Calibri" w:cs="Calibri"/>
          <w:b/>
          <w:sz w:val="28"/>
          <w:szCs w:val="28"/>
        </w:rPr>
        <w:sectPr w:rsidR="00C5630B" w:rsidSect="00606BB2">
          <w:headerReference w:type="default" r:id="rId13"/>
          <w:pgSz w:w="11906" w:h="16838"/>
          <w:pgMar w:top="1440" w:right="1700" w:bottom="1440" w:left="1800" w:header="708" w:footer="708" w:gutter="0"/>
          <w:cols w:space="708"/>
          <w:docGrid w:linePitch="360"/>
        </w:sectPr>
      </w:pPr>
    </w:p>
    <w:p w14:paraId="585EBF10" w14:textId="77777777" w:rsidR="00C5630B" w:rsidRPr="00695F57" w:rsidRDefault="00C5630B" w:rsidP="00C5630B">
      <w:pPr>
        <w:rPr>
          <w:rFonts w:ascii="Calibri" w:hAnsi="Calibri" w:cs="Calibri"/>
          <w:b/>
          <w:sz w:val="28"/>
          <w:szCs w:val="28"/>
        </w:rPr>
      </w:pPr>
      <w:r>
        <w:rPr>
          <w:rFonts w:ascii="Calibri" w:hAnsi="Calibri" w:cs="Calibri"/>
          <w:b/>
          <w:sz w:val="28"/>
          <w:szCs w:val="28"/>
        </w:rPr>
        <w:lastRenderedPageBreak/>
        <w:t xml:space="preserve">Group Internal </w:t>
      </w:r>
      <w:r w:rsidRPr="00695F57">
        <w:rPr>
          <w:rFonts w:ascii="Calibri" w:hAnsi="Calibri" w:cs="Calibri"/>
          <w:b/>
          <w:sz w:val="28"/>
          <w:szCs w:val="28"/>
        </w:rPr>
        <w:t>Audit</w:t>
      </w:r>
      <w:r>
        <w:rPr>
          <w:rFonts w:ascii="Calibri" w:hAnsi="Calibri" w:cs="Calibri"/>
          <w:b/>
          <w:sz w:val="28"/>
          <w:szCs w:val="28"/>
        </w:rPr>
        <w:t xml:space="preserve"> (GIA) Update</w:t>
      </w:r>
    </w:p>
    <w:p w14:paraId="45D4AECA" w14:textId="77777777" w:rsidR="00C5630B" w:rsidRDefault="00C5630B" w:rsidP="00C5630B">
      <w:pPr>
        <w:rPr>
          <w:rFonts w:ascii="Calibri" w:hAnsi="Calibri" w:cs="Calibri"/>
          <w:sz w:val="22"/>
          <w:szCs w:val="22"/>
        </w:rPr>
      </w:pPr>
    </w:p>
    <w:p w14:paraId="0B425D64" w14:textId="77777777" w:rsidR="00C5630B" w:rsidRPr="002C1FCF" w:rsidRDefault="00C5630B" w:rsidP="00C5630B">
      <w:pPr>
        <w:rPr>
          <w:rFonts w:asciiTheme="minorHAnsi" w:hAnsiTheme="minorHAnsi" w:cstheme="minorHAnsi"/>
          <w:sz w:val="22"/>
          <w:szCs w:val="22"/>
        </w:rPr>
      </w:pPr>
      <w:r w:rsidRPr="002C1FCF">
        <w:rPr>
          <w:rFonts w:asciiTheme="minorHAnsi" w:hAnsiTheme="minorHAnsi" w:cstheme="minorHAnsi"/>
          <w:sz w:val="22"/>
          <w:szCs w:val="22"/>
        </w:rPr>
        <w:t>The main focus of GIA activity during the month has been the continued progression of the 2015 plan and production of the 2014/2015 Annual Statement of Assurance. The 2015 plan remains fully resourced for completion. One report was issued in ‘Final’ during the period:</w:t>
      </w:r>
    </w:p>
    <w:p w14:paraId="0C058F49" w14:textId="77777777" w:rsidR="00C5630B" w:rsidRPr="002C1FCF" w:rsidRDefault="00C5630B" w:rsidP="00C5630B">
      <w:pPr>
        <w:rPr>
          <w:rFonts w:asciiTheme="minorHAnsi" w:hAnsiTheme="minorHAnsi" w:cstheme="minorHAnsi"/>
          <w:sz w:val="22"/>
          <w:szCs w:val="22"/>
        </w:rPr>
      </w:pPr>
    </w:p>
    <w:p w14:paraId="4C56A1B6" w14:textId="77777777" w:rsidR="00C5630B" w:rsidRPr="002C1FCF" w:rsidRDefault="00C5630B" w:rsidP="00C5630B">
      <w:pPr>
        <w:widowControl/>
        <w:numPr>
          <w:ilvl w:val="0"/>
          <w:numId w:val="12"/>
        </w:numPr>
        <w:tabs>
          <w:tab w:val="clear" w:pos="720"/>
        </w:tabs>
        <w:overflowPunct/>
        <w:autoSpaceDE/>
        <w:autoSpaceDN/>
        <w:adjustRightInd/>
        <w:ind w:left="301" w:hanging="301"/>
        <w:textAlignment w:val="auto"/>
        <w:rPr>
          <w:rFonts w:asciiTheme="minorHAnsi" w:hAnsiTheme="minorHAnsi" w:cstheme="minorHAnsi"/>
          <w:sz w:val="22"/>
          <w:szCs w:val="22"/>
        </w:rPr>
      </w:pPr>
      <w:r w:rsidRPr="002C1FCF">
        <w:rPr>
          <w:rFonts w:asciiTheme="minorHAnsi" w:hAnsiTheme="minorHAnsi" w:cstheme="minorHAnsi"/>
          <w:sz w:val="22"/>
          <w:szCs w:val="22"/>
        </w:rPr>
        <w:t xml:space="preserve">Scheme Reform – Training &amp; Procedures: </w:t>
      </w:r>
      <w:r w:rsidRPr="002C1FCF">
        <w:rPr>
          <w:rFonts w:asciiTheme="minorHAnsi" w:hAnsiTheme="minorHAnsi" w:cstheme="minorHAnsi"/>
          <w:i/>
          <w:sz w:val="22"/>
          <w:szCs w:val="22"/>
        </w:rPr>
        <w:t>‘</w:t>
      </w:r>
      <w:r w:rsidRPr="002C1FCF">
        <w:rPr>
          <w:rFonts w:asciiTheme="minorHAnsi" w:hAnsiTheme="minorHAnsi" w:cstheme="minorHAnsi"/>
          <w:sz w:val="22"/>
          <w:szCs w:val="22"/>
        </w:rPr>
        <w:t>Effective’ (1 x Medium and 2 x Low risk graded finding identified).</w:t>
      </w:r>
    </w:p>
    <w:p w14:paraId="328693D1" w14:textId="77777777" w:rsidR="00C5630B" w:rsidRPr="002C1FCF" w:rsidRDefault="00C5630B" w:rsidP="00C5630B">
      <w:pPr>
        <w:ind w:left="301"/>
        <w:rPr>
          <w:rFonts w:asciiTheme="minorHAnsi" w:hAnsiTheme="minorHAnsi" w:cstheme="minorHAnsi"/>
          <w:sz w:val="22"/>
          <w:szCs w:val="22"/>
        </w:rPr>
      </w:pPr>
    </w:p>
    <w:p w14:paraId="6FE18473" w14:textId="77777777" w:rsidR="00C5630B" w:rsidRPr="00D97FCD" w:rsidRDefault="00C5630B" w:rsidP="00D97FCD">
      <w:pPr>
        <w:widowControl/>
        <w:overflowPunct/>
        <w:autoSpaceDE/>
        <w:autoSpaceDN/>
        <w:adjustRightInd/>
        <w:textAlignment w:val="auto"/>
        <w:rPr>
          <w:rFonts w:asciiTheme="minorHAnsi" w:hAnsiTheme="minorHAnsi" w:cstheme="minorHAnsi"/>
          <w:sz w:val="22"/>
          <w:szCs w:val="22"/>
        </w:rPr>
      </w:pPr>
      <w:r w:rsidRPr="00D97FCD">
        <w:rPr>
          <w:rFonts w:asciiTheme="minorHAnsi" w:hAnsiTheme="minorHAnsi" w:cstheme="minorHAnsi"/>
          <w:sz w:val="22"/>
          <w:szCs w:val="22"/>
        </w:rPr>
        <w:t xml:space="preserve">The review of Scheme Reform – Flexibilities is at ‘Draft’ reporting stage. Fieldwork is in progress for the reviews of SLA and Performance MI and </w:t>
      </w:r>
      <w:proofErr w:type="spellStart"/>
      <w:r w:rsidRPr="00D97FCD">
        <w:rPr>
          <w:rFonts w:asciiTheme="minorHAnsi" w:hAnsiTheme="minorHAnsi" w:cstheme="minorHAnsi"/>
          <w:sz w:val="22"/>
          <w:szCs w:val="22"/>
        </w:rPr>
        <w:t>HartLink</w:t>
      </w:r>
      <w:proofErr w:type="spellEnd"/>
      <w:r w:rsidRPr="00D97FCD">
        <w:rPr>
          <w:rFonts w:asciiTheme="minorHAnsi" w:hAnsiTheme="minorHAnsi" w:cstheme="minorHAnsi"/>
          <w:sz w:val="22"/>
          <w:szCs w:val="22"/>
        </w:rPr>
        <w:t xml:space="preserve"> Change Management. Planning is in progress for the Deferred Members Project audit. </w:t>
      </w:r>
      <w:r w:rsidRPr="00D97FCD">
        <w:rPr>
          <w:rFonts w:asciiTheme="minorHAnsi" w:hAnsiTheme="minorHAnsi" w:cstheme="minorHAnsi"/>
          <w:b/>
          <w:sz w:val="22"/>
          <w:szCs w:val="22"/>
        </w:rPr>
        <w:t xml:space="preserve"> </w:t>
      </w:r>
    </w:p>
    <w:p w14:paraId="39A33394" w14:textId="77777777" w:rsidR="00C5630B" w:rsidRDefault="00C5630B" w:rsidP="00C5630B">
      <w:pPr>
        <w:widowControl/>
        <w:overflowPunct/>
        <w:autoSpaceDE/>
        <w:autoSpaceDN/>
        <w:adjustRightInd/>
        <w:ind w:left="15"/>
        <w:jc w:val="center"/>
        <w:textAlignment w:val="auto"/>
        <w:rPr>
          <w:b/>
          <w:lang w:eastAsia="en-GB"/>
        </w:rPr>
      </w:pPr>
    </w:p>
    <w:p w14:paraId="44FE7BB9" w14:textId="77777777" w:rsidR="00C5630B" w:rsidRDefault="00C5630B" w:rsidP="00C5630B">
      <w:pPr>
        <w:widowControl/>
        <w:overflowPunct/>
        <w:autoSpaceDE/>
        <w:autoSpaceDN/>
        <w:adjustRightInd/>
        <w:ind w:left="15"/>
        <w:jc w:val="center"/>
        <w:textAlignment w:val="auto"/>
        <w:rPr>
          <w:b/>
          <w:lang w:eastAsia="en-GB"/>
        </w:rPr>
      </w:pPr>
    </w:p>
    <w:p w14:paraId="71DD4291" w14:textId="77777777" w:rsidR="00C5630B" w:rsidRDefault="00C5630B" w:rsidP="00C5630B">
      <w:pPr>
        <w:widowControl/>
        <w:overflowPunct/>
        <w:autoSpaceDE/>
        <w:autoSpaceDN/>
        <w:adjustRightInd/>
        <w:ind w:left="15"/>
        <w:jc w:val="center"/>
        <w:textAlignment w:val="auto"/>
        <w:rPr>
          <w:b/>
          <w:lang w:eastAsia="en-GB"/>
        </w:rPr>
      </w:pPr>
      <w:r w:rsidRPr="009C35E0">
        <w:rPr>
          <w:b/>
          <w:lang w:eastAsia="en-GB"/>
        </w:rPr>
        <w:t>Outstanding Issues</w:t>
      </w:r>
    </w:p>
    <w:p w14:paraId="504FB720" w14:textId="77777777" w:rsidR="00C5630B" w:rsidRDefault="00C5630B" w:rsidP="00C5630B">
      <w:pPr>
        <w:widowControl/>
        <w:overflowPunct/>
        <w:autoSpaceDE/>
        <w:autoSpaceDN/>
        <w:adjustRightInd/>
        <w:ind w:left="15"/>
        <w:jc w:val="center"/>
        <w:textAlignment w:val="auto"/>
        <w:rPr>
          <w:b/>
          <w:lang w:eastAsia="en-GB"/>
        </w:rPr>
      </w:pPr>
    </w:p>
    <w:tbl>
      <w:tblPr>
        <w:tblW w:w="10416" w:type="dxa"/>
        <w:tblInd w:w="1781" w:type="dxa"/>
        <w:tblLayout w:type="fixed"/>
        <w:tblLook w:val="0000" w:firstRow="0" w:lastRow="0" w:firstColumn="0" w:lastColumn="0" w:noHBand="0" w:noVBand="0"/>
      </w:tblPr>
      <w:tblGrid>
        <w:gridCol w:w="1995"/>
        <w:gridCol w:w="498"/>
        <w:gridCol w:w="498"/>
        <w:gridCol w:w="540"/>
        <w:gridCol w:w="445"/>
        <w:gridCol w:w="440"/>
        <w:gridCol w:w="480"/>
        <w:gridCol w:w="460"/>
        <w:gridCol w:w="460"/>
        <w:gridCol w:w="400"/>
        <w:gridCol w:w="460"/>
        <w:gridCol w:w="420"/>
        <w:gridCol w:w="520"/>
        <w:gridCol w:w="460"/>
        <w:gridCol w:w="480"/>
        <w:gridCol w:w="460"/>
        <w:gridCol w:w="440"/>
        <w:gridCol w:w="960"/>
      </w:tblGrid>
      <w:tr w:rsidR="00C5630B" w:rsidRPr="0071762D" w14:paraId="0215F721" w14:textId="77777777" w:rsidTr="00C613C9">
        <w:trPr>
          <w:trHeight w:val="330"/>
        </w:trPr>
        <w:tc>
          <w:tcPr>
            <w:tcW w:w="10416" w:type="dxa"/>
            <w:gridSpan w:val="18"/>
            <w:tcBorders>
              <w:top w:val="single" w:sz="8" w:space="0" w:color="auto"/>
              <w:left w:val="single" w:sz="8" w:space="0" w:color="auto"/>
              <w:bottom w:val="single" w:sz="8" w:space="0" w:color="auto"/>
              <w:right w:val="single" w:sz="8" w:space="0" w:color="000000"/>
            </w:tcBorders>
            <w:shd w:val="clear" w:color="auto" w:fill="969696"/>
            <w:vAlign w:val="bottom"/>
          </w:tcPr>
          <w:p w14:paraId="1D31299C" w14:textId="77777777" w:rsidR="00C5630B" w:rsidRPr="0071762D" w:rsidRDefault="00C5630B" w:rsidP="00C613C9">
            <w:pPr>
              <w:rPr>
                <w:rFonts w:cs="Arial"/>
                <w:b/>
                <w:bCs/>
                <w:color w:val="FFFFFF"/>
                <w:szCs w:val="24"/>
                <w:lang w:eastAsia="en-GB"/>
              </w:rPr>
            </w:pPr>
            <w:r w:rsidRPr="0071762D">
              <w:rPr>
                <w:rFonts w:cs="Arial"/>
                <w:b/>
                <w:bCs/>
                <w:color w:val="FFFFFF"/>
                <w:szCs w:val="24"/>
                <w:lang w:eastAsia="en-GB"/>
              </w:rPr>
              <w:t>Overdue 1-30 days: Green; 31-60 days: Amber; 60 days plus: Red</w:t>
            </w:r>
          </w:p>
        </w:tc>
      </w:tr>
      <w:tr w:rsidR="00C5630B" w:rsidRPr="0071762D" w14:paraId="7EDB60E1" w14:textId="77777777" w:rsidTr="00C613C9">
        <w:trPr>
          <w:trHeight w:val="315"/>
        </w:trPr>
        <w:tc>
          <w:tcPr>
            <w:tcW w:w="1995" w:type="dxa"/>
            <w:vMerge w:val="restart"/>
            <w:tcBorders>
              <w:top w:val="nil"/>
              <w:left w:val="single" w:sz="8" w:space="0" w:color="auto"/>
              <w:bottom w:val="single" w:sz="8" w:space="0" w:color="000000"/>
              <w:right w:val="single" w:sz="8" w:space="0" w:color="auto"/>
            </w:tcBorders>
            <w:shd w:val="clear" w:color="auto" w:fill="C0C0C0"/>
            <w:vAlign w:val="bottom"/>
          </w:tcPr>
          <w:p w14:paraId="1FB65BF8" w14:textId="77777777" w:rsidR="00C5630B" w:rsidRPr="0071762D" w:rsidRDefault="00C5630B" w:rsidP="00C613C9">
            <w:pPr>
              <w:rPr>
                <w:rFonts w:cs="Arial"/>
                <w:b/>
                <w:bCs/>
                <w:color w:val="FFFFFF"/>
                <w:lang w:eastAsia="en-GB"/>
              </w:rPr>
            </w:pPr>
            <w:r w:rsidRPr="0071762D">
              <w:rPr>
                <w:rFonts w:cs="Arial"/>
                <w:b/>
                <w:bCs/>
                <w:color w:val="FFFFFF"/>
                <w:lang w:eastAsia="en-GB"/>
              </w:rPr>
              <w:t>Source</w:t>
            </w:r>
          </w:p>
        </w:tc>
        <w:tc>
          <w:tcPr>
            <w:tcW w:w="1981" w:type="dxa"/>
            <w:gridSpan w:val="4"/>
            <w:tcBorders>
              <w:top w:val="single" w:sz="8" w:space="0" w:color="auto"/>
              <w:left w:val="nil"/>
              <w:bottom w:val="single" w:sz="8" w:space="0" w:color="auto"/>
              <w:right w:val="single" w:sz="8" w:space="0" w:color="000000"/>
            </w:tcBorders>
            <w:shd w:val="clear" w:color="auto" w:fill="C0C0C0"/>
            <w:vAlign w:val="bottom"/>
          </w:tcPr>
          <w:p w14:paraId="31F30EAA"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Total Open</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54866ADF"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 xml:space="preserve">1 to 30 days </w:t>
            </w:r>
          </w:p>
        </w:tc>
        <w:tc>
          <w:tcPr>
            <w:tcW w:w="1800" w:type="dxa"/>
            <w:gridSpan w:val="4"/>
            <w:tcBorders>
              <w:top w:val="single" w:sz="8" w:space="0" w:color="auto"/>
              <w:left w:val="nil"/>
              <w:bottom w:val="single" w:sz="8" w:space="0" w:color="auto"/>
              <w:right w:val="single" w:sz="8" w:space="0" w:color="000000"/>
            </w:tcBorders>
            <w:shd w:val="clear" w:color="auto" w:fill="C0C0C0"/>
            <w:vAlign w:val="bottom"/>
          </w:tcPr>
          <w:p w14:paraId="43BEC20E"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31 to 60 days</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08277326"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60 days +</w:t>
            </w:r>
          </w:p>
        </w:tc>
        <w:tc>
          <w:tcPr>
            <w:tcW w:w="960" w:type="dxa"/>
            <w:vMerge w:val="restart"/>
            <w:tcBorders>
              <w:top w:val="nil"/>
              <w:left w:val="single" w:sz="8" w:space="0" w:color="auto"/>
              <w:bottom w:val="single" w:sz="8" w:space="0" w:color="000000"/>
              <w:right w:val="single" w:sz="8" w:space="0" w:color="auto"/>
            </w:tcBorders>
            <w:shd w:val="clear" w:color="auto" w:fill="C0C0C0"/>
            <w:vAlign w:val="bottom"/>
          </w:tcPr>
          <w:p w14:paraId="6C792708"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Trend</w:t>
            </w:r>
          </w:p>
        </w:tc>
      </w:tr>
      <w:tr w:rsidR="00C5630B" w:rsidRPr="0071762D" w14:paraId="3BCEC50A" w14:textId="77777777" w:rsidTr="00C613C9">
        <w:trPr>
          <w:trHeight w:val="315"/>
        </w:trPr>
        <w:tc>
          <w:tcPr>
            <w:tcW w:w="1995" w:type="dxa"/>
            <w:vMerge/>
            <w:tcBorders>
              <w:top w:val="nil"/>
              <w:left w:val="single" w:sz="8" w:space="0" w:color="auto"/>
              <w:bottom w:val="single" w:sz="8" w:space="0" w:color="000000"/>
              <w:right w:val="single" w:sz="8" w:space="0" w:color="auto"/>
            </w:tcBorders>
            <w:vAlign w:val="center"/>
          </w:tcPr>
          <w:p w14:paraId="4120850F" w14:textId="77777777" w:rsidR="00C5630B" w:rsidRPr="0071762D" w:rsidRDefault="00C5630B" w:rsidP="00C613C9">
            <w:pPr>
              <w:rPr>
                <w:rFonts w:cs="Arial"/>
                <w:b/>
                <w:bCs/>
                <w:color w:val="FFFFFF"/>
                <w:lang w:eastAsia="en-GB"/>
              </w:rPr>
            </w:pPr>
          </w:p>
        </w:tc>
        <w:tc>
          <w:tcPr>
            <w:tcW w:w="498" w:type="dxa"/>
            <w:tcBorders>
              <w:top w:val="nil"/>
              <w:left w:val="nil"/>
              <w:bottom w:val="single" w:sz="8" w:space="0" w:color="auto"/>
              <w:right w:val="single" w:sz="8" w:space="0" w:color="auto"/>
            </w:tcBorders>
            <w:shd w:val="clear" w:color="auto" w:fill="C0C0C0"/>
            <w:vAlign w:val="bottom"/>
          </w:tcPr>
          <w:p w14:paraId="179D6AE4"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C</w:t>
            </w:r>
          </w:p>
        </w:tc>
        <w:tc>
          <w:tcPr>
            <w:tcW w:w="498" w:type="dxa"/>
            <w:tcBorders>
              <w:top w:val="nil"/>
              <w:left w:val="nil"/>
              <w:bottom w:val="single" w:sz="8" w:space="0" w:color="auto"/>
              <w:right w:val="single" w:sz="8" w:space="0" w:color="auto"/>
            </w:tcBorders>
            <w:shd w:val="clear" w:color="auto" w:fill="C0C0C0"/>
            <w:vAlign w:val="bottom"/>
          </w:tcPr>
          <w:p w14:paraId="0D1A6986"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H</w:t>
            </w:r>
          </w:p>
        </w:tc>
        <w:tc>
          <w:tcPr>
            <w:tcW w:w="540" w:type="dxa"/>
            <w:tcBorders>
              <w:top w:val="nil"/>
              <w:left w:val="nil"/>
              <w:bottom w:val="single" w:sz="8" w:space="0" w:color="auto"/>
              <w:right w:val="single" w:sz="8" w:space="0" w:color="auto"/>
            </w:tcBorders>
            <w:shd w:val="clear" w:color="auto" w:fill="C0C0C0"/>
            <w:vAlign w:val="bottom"/>
          </w:tcPr>
          <w:p w14:paraId="494EF21A"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M</w:t>
            </w:r>
          </w:p>
        </w:tc>
        <w:tc>
          <w:tcPr>
            <w:tcW w:w="445" w:type="dxa"/>
            <w:tcBorders>
              <w:top w:val="nil"/>
              <w:left w:val="nil"/>
              <w:bottom w:val="single" w:sz="8" w:space="0" w:color="auto"/>
              <w:right w:val="single" w:sz="8" w:space="0" w:color="auto"/>
            </w:tcBorders>
            <w:shd w:val="clear" w:color="auto" w:fill="C0C0C0"/>
            <w:vAlign w:val="bottom"/>
          </w:tcPr>
          <w:p w14:paraId="74AAA0AA"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L</w:t>
            </w:r>
          </w:p>
        </w:tc>
        <w:tc>
          <w:tcPr>
            <w:tcW w:w="440" w:type="dxa"/>
            <w:tcBorders>
              <w:top w:val="nil"/>
              <w:left w:val="nil"/>
              <w:bottom w:val="single" w:sz="8" w:space="0" w:color="auto"/>
              <w:right w:val="single" w:sz="8" w:space="0" w:color="auto"/>
            </w:tcBorders>
            <w:shd w:val="clear" w:color="auto" w:fill="C0C0C0"/>
            <w:vAlign w:val="bottom"/>
          </w:tcPr>
          <w:p w14:paraId="50E29610"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1FA3CAD7"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69A96A94"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M</w:t>
            </w:r>
          </w:p>
        </w:tc>
        <w:tc>
          <w:tcPr>
            <w:tcW w:w="460" w:type="dxa"/>
            <w:tcBorders>
              <w:top w:val="nil"/>
              <w:left w:val="nil"/>
              <w:bottom w:val="single" w:sz="8" w:space="0" w:color="auto"/>
              <w:right w:val="single" w:sz="8" w:space="0" w:color="auto"/>
            </w:tcBorders>
            <w:shd w:val="clear" w:color="auto" w:fill="C0C0C0"/>
            <w:vAlign w:val="bottom"/>
          </w:tcPr>
          <w:p w14:paraId="236A8CC1"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L</w:t>
            </w:r>
          </w:p>
        </w:tc>
        <w:tc>
          <w:tcPr>
            <w:tcW w:w="400" w:type="dxa"/>
            <w:tcBorders>
              <w:top w:val="nil"/>
              <w:left w:val="nil"/>
              <w:bottom w:val="single" w:sz="8" w:space="0" w:color="auto"/>
              <w:right w:val="single" w:sz="8" w:space="0" w:color="auto"/>
            </w:tcBorders>
            <w:shd w:val="clear" w:color="auto" w:fill="C0C0C0"/>
            <w:vAlign w:val="bottom"/>
          </w:tcPr>
          <w:p w14:paraId="49A68B8C"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C</w:t>
            </w:r>
          </w:p>
        </w:tc>
        <w:tc>
          <w:tcPr>
            <w:tcW w:w="460" w:type="dxa"/>
            <w:tcBorders>
              <w:top w:val="nil"/>
              <w:left w:val="nil"/>
              <w:bottom w:val="single" w:sz="8" w:space="0" w:color="auto"/>
              <w:right w:val="single" w:sz="8" w:space="0" w:color="auto"/>
            </w:tcBorders>
            <w:shd w:val="clear" w:color="auto" w:fill="C0C0C0"/>
            <w:vAlign w:val="bottom"/>
          </w:tcPr>
          <w:p w14:paraId="154465FC"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H</w:t>
            </w:r>
          </w:p>
        </w:tc>
        <w:tc>
          <w:tcPr>
            <w:tcW w:w="420" w:type="dxa"/>
            <w:tcBorders>
              <w:top w:val="nil"/>
              <w:left w:val="nil"/>
              <w:bottom w:val="single" w:sz="8" w:space="0" w:color="auto"/>
              <w:right w:val="single" w:sz="8" w:space="0" w:color="auto"/>
            </w:tcBorders>
            <w:shd w:val="clear" w:color="auto" w:fill="C0C0C0"/>
            <w:vAlign w:val="bottom"/>
          </w:tcPr>
          <w:p w14:paraId="7C092C24"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M</w:t>
            </w:r>
          </w:p>
        </w:tc>
        <w:tc>
          <w:tcPr>
            <w:tcW w:w="520" w:type="dxa"/>
            <w:tcBorders>
              <w:top w:val="nil"/>
              <w:left w:val="nil"/>
              <w:bottom w:val="single" w:sz="8" w:space="0" w:color="auto"/>
              <w:right w:val="single" w:sz="8" w:space="0" w:color="auto"/>
            </w:tcBorders>
            <w:shd w:val="clear" w:color="auto" w:fill="C0C0C0"/>
            <w:vAlign w:val="bottom"/>
          </w:tcPr>
          <w:p w14:paraId="06EF58BE"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L</w:t>
            </w:r>
          </w:p>
        </w:tc>
        <w:tc>
          <w:tcPr>
            <w:tcW w:w="460" w:type="dxa"/>
            <w:tcBorders>
              <w:top w:val="nil"/>
              <w:left w:val="nil"/>
              <w:bottom w:val="single" w:sz="8" w:space="0" w:color="auto"/>
              <w:right w:val="single" w:sz="8" w:space="0" w:color="auto"/>
            </w:tcBorders>
            <w:shd w:val="clear" w:color="auto" w:fill="C0C0C0"/>
            <w:vAlign w:val="bottom"/>
          </w:tcPr>
          <w:p w14:paraId="272C27A6"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63F9CEBD"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017D14C9"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M</w:t>
            </w:r>
          </w:p>
        </w:tc>
        <w:tc>
          <w:tcPr>
            <w:tcW w:w="440" w:type="dxa"/>
            <w:tcBorders>
              <w:top w:val="nil"/>
              <w:left w:val="nil"/>
              <w:bottom w:val="single" w:sz="8" w:space="0" w:color="auto"/>
              <w:right w:val="single" w:sz="8" w:space="0" w:color="auto"/>
            </w:tcBorders>
            <w:shd w:val="clear" w:color="auto" w:fill="C0C0C0"/>
            <w:vAlign w:val="bottom"/>
          </w:tcPr>
          <w:p w14:paraId="36931A9E" w14:textId="77777777" w:rsidR="00C5630B" w:rsidRPr="0071762D" w:rsidRDefault="00C5630B" w:rsidP="00C613C9">
            <w:pPr>
              <w:jc w:val="center"/>
              <w:rPr>
                <w:rFonts w:cs="Arial"/>
                <w:b/>
                <w:bCs/>
                <w:color w:val="FFFFFF"/>
                <w:lang w:eastAsia="en-GB"/>
              </w:rPr>
            </w:pPr>
            <w:r w:rsidRPr="0071762D">
              <w:rPr>
                <w:rFonts w:cs="Arial"/>
                <w:b/>
                <w:bCs/>
                <w:color w:val="FFFFFF"/>
                <w:lang w:eastAsia="en-GB"/>
              </w:rPr>
              <w:t>L</w:t>
            </w:r>
          </w:p>
        </w:tc>
        <w:tc>
          <w:tcPr>
            <w:tcW w:w="960" w:type="dxa"/>
            <w:vMerge/>
            <w:tcBorders>
              <w:top w:val="nil"/>
              <w:left w:val="single" w:sz="8" w:space="0" w:color="auto"/>
              <w:bottom w:val="single" w:sz="8" w:space="0" w:color="000000"/>
              <w:right w:val="single" w:sz="8" w:space="0" w:color="auto"/>
            </w:tcBorders>
            <w:vAlign w:val="center"/>
          </w:tcPr>
          <w:p w14:paraId="4470F0B2" w14:textId="77777777" w:rsidR="00C5630B" w:rsidRPr="0071762D" w:rsidRDefault="00C5630B" w:rsidP="00C613C9">
            <w:pPr>
              <w:rPr>
                <w:rFonts w:cs="Arial"/>
                <w:b/>
                <w:bCs/>
                <w:color w:val="FFFFFF"/>
                <w:lang w:eastAsia="en-GB"/>
              </w:rPr>
            </w:pPr>
          </w:p>
        </w:tc>
      </w:tr>
      <w:tr w:rsidR="00C5630B" w:rsidRPr="0071762D" w14:paraId="5464CC88" w14:textId="77777777" w:rsidTr="00C613C9">
        <w:trPr>
          <w:trHeight w:val="315"/>
        </w:trPr>
        <w:tc>
          <w:tcPr>
            <w:tcW w:w="1995" w:type="dxa"/>
            <w:tcBorders>
              <w:top w:val="nil"/>
              <w:left w:val="single" w:sz="8" w:space="0" w:color="auto"/>
              <w:bottom w:val="single" w:sz="8" w:space="0" w:color="auto"/>
              <w:right w:val="single" w:sz="8" w:space="0" w:color="auto"/>
            </w:tcBorders>
            <w:noWrap/>
            <w:vAlign w:val="bottom"/>
          </w:tcPr>
          <w:p w14:paraId="0669EB73" w14:textId="77777777" w:rsidR="00C5630B" w:rsidRPr="0071762D" w:rsidRDefault="00C5630B" w:rsidP="00C613C9">
            <w:pPr>
              <w:rPr>
                <w:rFonts w:cs="Arial"/>
                <w:b/>
                <w:bCs/>
                <w:lang w:eastAsia="en-GB"/>
              </w:rPr>
            </w:pPr>
            <w:r w:rsidRPr="0071762D">
              <w:rPr>
                <w:rFonts w:cs="Arial"/>
                <w:b/>
                <w:bCs/>
                <w:lang w:eastAsia="en-GB"/>
              </w:rPr>
              <w:t>TPS Operations</w:t>
            </w:r>
          </w:p>
        </w:tc>
        <w:tc>
          <w:tcPr>
            <w:tcW w:w="498" w:type="dxa"/>
            <w:tcBorders>
              <w:top w:val="nil"/>
              <w:left w:val="nil"/>
              <w:bottom w:val="single" w:sz="8" w:space="0" w:color="auto"/>
              <w:right w:val="single" w:sz="8" w:space="0" w:color="auto"/>
            </w:tcBorders>
            <w:noWrap/>
            <w:vAlign w:val="bottom"/>
          </w:tcPr>
          <w:p w14:paraId="287A53F3" w14:textId="77777777" w:rsidR="00C5630B" w:rsidRPr="0071762D" w:rsidRDefault="00C5630B" w:rsidP="00C613C9">
            <w:pPr>
              <w:jc w:val="center"/>
              <w:rPr>
                <w:rFonts w:cs="Arial"/>
                <w:lang w:eastAsia="en-GB"/>
              </w:rPr>
            </w:pPr>
            <w:r w:rsidRPr="0071762D">
              <w:rPr>
                <w:rFonts w:cs="Arial"/>
                <w:lang w:eastAsia="en-GB"/>
              </w:rPr>
              <w:t>0</w:t>
            </w:r>
          </w:p>
        </w:tc>
        <w:tc>
          <w:tcPr>
            <w:tcW w:w="498" w:type="dxa"/>
            <w:tcBorders>
              <w:top w:val="nil"/>
              <w:left w:val="nil"/>
              <w:bottom w:val="single" w:sz="8" w:space="0" w:color="auto"/>
              <w:right w:val="single" w:sz="8" w:space="0" w:color="auto"/>
            </w:tcBorders>
            <w:noWrap/>
            <w:vAlign w:val="bottom"/>
          </w:tcPr>
          <w:p w14:paraId="77F35B74" w14:textId="77777777" w:rsidR="00C5630B" w:rsidRPr="0071762D" w:rsidRDefault="00C5630B" w:rsidP="00C613C9">
            <w:pPr>
              <w:jc w:val="center"/>
              <w:rPr>
                <w:rFonts w:cs="Arial"/>
                <w:lang w:eastAsia="en-GB"/>
              </w:rPr>
            </w:pPr>
            <w:r>
              <w:rPr>
                <w:rFonts w:cs="Arial"/>
                <w:lang w:eastAsia="en-GB"/>
              </w:rPr>
              <w:t>0</w:t>
            </w:r>
          </w:p>
        </w:tc>
        <w:tc>
          <w:tcPr>
            <w:tcW w:w="540" w:type="dxa"/>
            <w:tcBorders>
              <w:top w:val="nil"/>
              <w:left w:val="nil"/>
              <w:bottom w:val="single" w:sz="8" w:space="0" w:color="auto"/>
              <w:right w:val="single" w:sz="8" w:space="0" w:color="auto"/>
            </w:tcBorders>
            <w:noWrap/>
            <w:vAlign w:val="bottom"/>
          </w:tcPr>
          <w:p w14:paraId="4E086A99" w14:textId="77777777" w:rsidR="00C5630B" w:rsidRPr="0071762D" w:rsidRDefault="00C5630B" w:rsidP="00C613C9">
            <w:pPr>
              <w:jc w:val="center"/>
              <w:rPr>
                <w:rFonts w:cs="Arial"/>
                <w:lang w:eastAsia="en-GB"/>
              </w:rPr>
            </w:pPr>
            <w:r>
              <w:rPr>
                <w:rFonts w:cs="Arial"/>
                <w:lang w:eastAsia="en-GB"/>
              </w:rPr>
              <w:t>4</w:t>
            </w:r>
          </w:p>
        </w:tc>
        <w:tc>
          <w:tcPr>
            <w:tcW w:w="445" w:type="dxa"/>
            <w:tcBorders>
              <w:top w:val="nil"/>
              <w:left w:val="nil"/>
              <w:bottom w:val="single" w:sz="8" w:space="0" w:color="auto"/>
              <w:right w:val="single" w:sz="8" w:space="0" w:color="auto"/>
            </w:tcBorders>
            <w:noWrap/>
            <w:vAlign w:val="bottom"/>
          </w:tcPr>
          <w:p w14:paraId="33EE5A5B" w14:textId="77777777" w:rsidR="00C5630B" w:rsidRPr="0071762D" w:rsidRDefault="00C5630B" w:rsidP="00C613C9">
            <w:pPr>
              <w:jc w:val="center"/>
              <w:rPr>
                <w:rFonts w:cs="Arial"/>
                <w:lang w:eastAsia="en-GB"/>
              </w:rPr>
            </w:pPr>
            <w:r>
              <w:rPr>
                <w:rFonts w:cs="Arial"/>
                <w:lang w:eastAsia="en-GB"/>
              </w:rPr>
              <w:t>2</w:t>
            </w:r>
          </w:p>
        </w:tc>
        <w:tc>
          <w:tcPr>
            <w:tcW w:w="440" w:type="dxa"/>
            <w:tcBorders>
              <w:top w:val="nil"/>
              <w:left w:val="nil"/>
              <w:bottom w:val="single" w:sz="8" w:space="0" w:color="auto"/>
              <w:right w:val="single" w:sz="8" w:space="0" w:color="auto"/>
            </w:tcBorders>
            <w:shd w:val="clear" w:color="auto" w:fill="00FF00"/>
            <w:noWrap/>
            <w:vAlign w:val="bottom"/>
          </w:tcPr>
          <w:p w14:paraId="5A0D28AD" w14:textId="77777777" w:rsidR="00C5630B" w:rsidRPr="0071762D" w:rsidRDefault="00C5630B" w:rsidP="00C613C9">
            <w:pPr>
              <w:jc w:val="center"/>
              <w:rPr>
                <w:rFonts w:cs="Arial"/>
                <w:lang w:eastAsia="en-GB"/>
              </w:rPr>
            </w:pPr>
            <w:r w:rsidRPr="0071762D">
              <w:rPr>
                <w:rFonts w:cs="Arial"/>
                <w:lang w:eastAsia="en-GB"/>
              </w:rPr>
              <w:t>0</w:t>
            </w:r>
          </w:p>
        </w:tc>
        <w:tc>
          <w:tcPr>
            <w:tcW w:w="480" w:type="dxa"/>
            <w:tcBorders>
              <w:top w:val="nil"/>
              <w:left w:val="nil"/>
              <w:bottom w:val="single" w:sz="8" w:space="0" w:color="auto"/>
              <w:right w:val="single" w:sz="8" w:space="0" w:color="auto"/>
            </w:tcBorders>
            <w:shd w:val="clear" w:color="auto" w:fill="00FF00"/>
            <w:noWrap/>
            <w:vAlign w:val="bottom"/>
          </w:tcPr>
          <w:p w14:paraId="45DE69F6" w14:textId="77777777" w:rsidR="00C5630B" w:rsidRPr="0071762D" w:rsidRDefault="00C5630B" w:rsidP="00C613C9">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00FF00"/>
            <w:noWrap/>
            <w:vAlign w:val="bottom"/>
          </w:tcPr>
          <w:p w14:paraId="0093D88A" w14:textId="77777777" w:rsidR="00C5630B" w:rsidRPr="0071762D" w:rsidRDefault="00C5630B" w:rsidP="00C613C9">
            <w:pPr>
              <w:jc w:val="center"/>
              <w:rPr>
                <w:rFonts w:cs="Arial"/>
                <w:lang w:eastAsia="en-GB"/>
              </w:rPr>
            </w:pPr>
            <w:r>
              <w:rPr>
                <w:rFonts w:cs="Arial"/>
                <w:lang w:eastAsia="en-GB"/>
              </w:rPr>
              <w:t>1</w:t>
            </w:r>
          </w:p>
        </w:tc>
        <w:tc>
          <w:tcPr>
            <w:tcW w:w="460" w:type="dxa"/>
            <w:tcBorders>
              <w:top w:val="nil"/>
              <w:left w:val="nil"/>
              <w:bottom w:val="single" w:sz="8" w:space="0" w:color="auto"/>
              <w:right w:val="single" w:sz="8" w:space="0" w:color="auto"/>
            </w:tcBorders>
            <w:shd w:val="clear" w:color="auto" w:fill="00FF00"/>
            <w:noWrap/>
            <w:vAlign w:val="bottom"/>
          </w:tcPr>
          <w:p w14:paraId="42E6D543" w14:textId="77777777" w:rsidR="00C5630B" w:rsidRPr="0071762D" w:rsidRDefault="00C5630B" w:rsidP="00C613C9">
            <w:pPr>
              <w:jc w:val="center"/>
              <w:rPr>
                <w:rFonts w:cs="Arial"/>
                <w:lang w:eastAsia="en-GB"/>
              </w:rPr>
            </w:pPr>
            <w:r>
              <w:rPr>
                <w:rFonts w:cs="Arial"/>
                <w:lang w:eastAsia="en-GB"/>
              </w:rPr>
              <w:t>0</w:t>
            </w:r>
          </w:p>
        </w:tc>
        <w:tc>
          <w:tcPr>
            <w:tcW w:w="400" w:type="dxa"/>
            <w:tcBorders>
              <w:top w:val="nil"/>
              <w:left w:val="nil"/>
              <w:bottom w:val="single" w:sz="8" w:space="0" w:color="auto"/>
              <w:right w:val="single" w:sz="8" w:space="0" w:color="auto"/>
            </w:tcBorders>
            <w:shd w:val="clear" w:color="auto" w:fill="FFCC00"/>
            <w:vAlign w:val="bottom"/>
          </w:tcPr>
          <w:p w14:paraId="2C904ED9" w14:textId="77777777" w:rsidR="00C5630B" w:rsidRPr="0071762D" w:rsidRDefault="00C5630B" w:rsidP="00C613C9">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FFCC00"/>
            <w:vAlign w:val="bottom"/>
          </w:tcPr>
          <w:p w14:paraId="372DA22A" w14:textId="77777777" w:rsidR="00C5630B" w:rsidRPr="0071762D" w:rsidRDefault="00C5630B" w:rsidP="00C613C9">
            <w:pPr>
              <w:jc w:val="center"/>
              <w:rPr>
                <w:rFonts w:cs="Arial"/>
                <w:lang w:eastAsia="en-GB"/>
              </w:rPr>
            </w:pPr>
            <w:r w:rsidRPr="0071762D">
              <w:rPr>
                <w:rFonts w:cs="Arial"/>
                <w:lang w:eastAsia="en-GB"/>
              </w:rPr>
              <w:t>0</w:t>
            </w:r>
          </w:p>
        </w:tc>
        <w:tc>
          <w:tcPr>
            <w:tcW w:w="420" w:type="dxa"/>
            <w:tcBorders>
              <w:top w:val="nil"/>
              <w:left w:val="nil"/>
              <w:bottom w:val="single" w:sz="8" w:space="0" w:color="auto"/>
              <w:right w:val="single" w:sz="8" w:space="0" w:color="auto"/>
            </w:tcBorders>
            <w:shd w:val="clear" w:color="auto" w:fill="FFCC00"/>
            <w:vAlign w:val="bottom"/>
          </w:tcPr>
          <w:p w14:paraId="6CB2FC19" w14:textId="77777777" w:rsidR="00C5630B" w:rsidRPr="0071762D" w:rsidRDefault="00C5630B" w:rsidP="00C613C9">
            <w:pPr>
              <w:jc w:val="center"/>
              <w:rPr>
                <w:rFonts w:cs="Arial"/>
                <w:lang w:eastAsia="en-GB"/>
              </w:rPr>
            </w:pPr>
            <w:r>
              <w:rPr>
                <w:rFonts w:cs="Arial"/>
                <w:lang w:eastAsia="en-GB"/>
              </w:rPr>
              <w:t>0</w:t>
            </w:r>
          </w:p>
        </w:tc>
        <w:tc>
          <w:tcPr>
            <w:tcW w:w="520" w:type="dxa"/>
            <w:tcBorders>
              <w:top w:val="nil"/>
              <w:left w:val="nil"/>
              <w:bottom w:val="single" w:sz="8" w:space="0" w:color="auto"/>
              <w:right w:val="single" w:sz="8" w:space="0" w:color="auto"/>
            </w:tcBorders>
            <w:shd w:val="clear" w:color="auto" w:fill="FFCC00"/>
            <w:vAlign w:val="bottom"/>
          </w:tcPr>
          <w:p w14:paraId="297E38EE" w14:textId="77777777" w:rsidR="00C5630B" w:rsidRPr="0071762D" w:rsidRDefault="00C5630B" w:rsidP="00C613C9">
            <w:pPr>
              <w:jc w:val="center"/>
              <w:rPr>
                <w:rFonts w:cs="Arial"/>
                <w:lang w:eastAsia="en-GB"/>
              </w:rPr>
            </w:pPr>
            <w:r>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6A5AC0E0" w14:textId="77777777" w:rsidR="00C5630B" w:rsidRPr="0071762D" w:rsidRDefault="00C5630B" w:rsidP="00C613C9">
            <w:pPr>
              <w:jc w:val="center"/>
              <w:rPr>
                <w:rFonts w:cs="Arial"/>
                <w:lang w:eastAsia="en-GB"/>
              </w:rPr>
            </w:pPr>
            <w:r w:rsidRPr="0071762D">
              <w:rPr>
                <w:rFonts w:cs="Arial"/>
                <w:lang w:eastAsia="en-GB"/>
              </w:rPr>
              <w:t>0</w:t>
            </w:r>
          </w:p>
        </w:tc>
        <w:tc>
          <w:tcPr>
            <w:tcW w:w="480" w:type="dxa"/>
            <w:tcBorders>
              <w:top w:val="nil"/>
              <w:left w:val="nil"/>
              <w:bottom w:val="single" w:sz="8" w:space="0" w:color="auto"/>
              <w:right w:val="single" w:sz="8" w:space="0" w:color="auto"/>
            </w:tcBorders>
            <w:shd w:val="clear" w:color="auto" w:fill="FF0000"/>
            <w:vAlign w:val="bottom"/>
          </w:tcPr>
          <w:p w14:paraId="36A636FB" w14:textId="77777777" w:rsidR="00C5630B" w:rsidRPr="0071762D" w:rsidRDefault="00C5630B" w:rsidP="00C613C9">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2197FA5A" w14:textId="77777777" w:rsidR="00C5630B" w:rsidRPr="0071762D" w:rsidRDefault="00C5630B" w:rsidP="00C613C9">
            <w:pPr>
              <w:jc w:val="center"/>
              <w:rPr>
                <w:rFonts w:cs="Arial"/>
                <w:lang w:eastAsia="en-GB"/>
              </w:rPr>
            </w:pPr>
            <w:r>
              <w:rPr>
                <w:rFonts w:cs="Arial"/>
                <w:lang w:eastAsia="en-GB"/>
              </w:rPr>
              <w:t>0</w:t>
            </w:r>
          </w:p>
        </w:tc>
        <w:tc>
          <w:tcPr>
            <w:tcW w:w="440" w:type="dxa"/>
            <w:tcBorders>
              <w:top w:val="nil"/>
              <w:left w:val="nil"/>
              <w:bottom w:val="single" w:sz="8" w:space="0" w:color="auto"/>
              <w:right w:val="single" w:sz="8" w:space="0" w:color="auto"/>
            </w:tcBorders>
            <w:shd w:val="clear" w:color="auto" w:fill="FF0000"/>
            <w:vAlign w:val="bottom"/>
          </w:tcPr>
          <w:p w14:paraId="5E6C06E4" w14:textId="77777777" w:rsidR="00C5630B" w:rsidRPr="0071762D" w:rsidRDefault="00C5630B" w:rsidP="00C613C9">
            <w:pPr>
              <w:jc w:val="center"/>
              <w:rPr>
                <w:rFonts w:cs="Arial"/>
                <w:lang w:eastAsia="en-GB"/>
              </w:rPr>
            </w:pPr>
            <w:r>
              <w:rPr>
                <w:rFonts w:cs="Arial"/>
                <w:lang w:eastAsia="en-GB"/>
              </w:rPr>
              <w:t>0</w:t>
            </w:r>
          </w:p>
        </w:tc>
        <w:tc>
          <w:tcPr>
            <w:tcW w:w="960" w:type="dxa"/>
            <w:tcBorders>
              <w:top w:val="nil"/>
              <w:left w:val="nil"/>
              <w:bottom w:val="single" w:sz="8" w:space="0" w:color="auto"/>
              <w:right w:val="single" w:sz="8" w:space="0" w:color="auto"/>
            </w:tcBorders>
            <w:vAlign w:val="bottom"/>
          </w:tcPr>
          <w:p w14:paraId="71513B82" w14:textId="77777777" w:rsidR="00C5630B" w:rsidRPr="00B60795" w:rsidRDefault="00C5630B" w:rsidP="00C613C9">
            <w:pPr>
              <w:jc w:val="center"/>
              <w:rPr>
                <w:color w:val="404040"/>
              </w:rPr>
            </w:pPr>
            <w:r>
              <w:rPr>
                <w:rFonts w:ascii="Wingdings 3" w:hAnsi="Wingdings 3" w:cs="Arial"/>
                <w:b/>
                <w:bCs/>
                <w:lang w:eastAsia="en-GB"/>
              </w:rPr>
              <w:t></w:t>
            </w:r>
          </w:p>
        </w:tc>
      </w:tr>
    </w:tbl>
    <w:p w14:paraId="3A07633C" w14:textId="77777777" w:rsidR="00C5630B" w:rsidRDefault="00C5630B" w:rsidP="00C5630B">
      <w:pPr>
        <w:widowControl/>
        <w:overflowPunct/>
        <w:autoSpaceDE/>
        <w:autoSpaceDN/>
        <w:adjustRightInd/>
        <w:ind w:left="15"/>
        <w:jc w:val="center"/>
        <w:textAlignment w:val="auto"/>
        <w:rPr>
          <w:b/>
          <w:lang w:eastAsia="en-GB"/>
        </w:rPr>
      </w:pPr>
    </w:p>
    <w:p w14:paraId="4876C8DE" w14:textId="77777777" w:rsidR="00C5630B" w:rsidRPr="009C35E0" w:rsidRDefault="00C5630B" w:rsidP="00C5630B">
      <w:pPr>
        <w:widowControl/>
        <w:overflowPunct/>
        <w:autoSpaceDE/>
        <w:autoSpaceDN/>
        <w:adjustRightInd/>
        <w:ind w:left="15"/>
        <w:jc w:val="center"/>
        <w:textAlignment w:val="auto"/>
        <w:rPr>
          <w:b/>
          <w:lang w:eastAsia="en-GB"/>
        </w:rPr>
      </w:pPr>
    </w:p>
    <w:p w14:paraId="1004BED9" w14:textId="77777777" w:rsidR="00C5630B" w:rsidRDefault="00C5630B" w:rsidP="00C5630B">
      <w:pPr>
        <w:jc w:val="both"/>
        <w:rPr>
          <w:rFonts w:asciiTheme="minorHAnsi" w:hAnsiTheme="minorHAnsi" w:cstheme="minorHAnsi"/>
          <w:sz w:val="22"/>
          <w:szCs w:val="22"/>
        </w:rPr>
      </w:pPr>
      <w:r w:rsidRPr="002C1FCF">
        <w:rPr>
          <w:rFonts w:asciiTheme="minorHAnsi" w:hAnsiTheme="minorHAnsi" w:cstheme="minorHAnsi"/>
          <w:sz w:val="22"/>
          <w:szCs w:val="22"/>
        </w:rPr>
        <w:t>There is one overdue ‘Medium’ rated overdue action in the 1-30 day category.</w:t>
      </w:r>
    </w:p>
    <w:p w14:paraId="211A4847" w14:textId="77777777" w:rsidR="00D97FCD" w:rsidRPr="002C1FCF" w:rsidRDefault="00D97FCD" w:rsidP="00C5630B">
      <w:pPr>
        <w:jc w:val="both"/>
        <w:rPr>
          <w:rFonts w:asciiTheme="minorHAnsi" w:hAnsiTheme="minorHAnsi" w:cstheme="minorHAnsi"/>
          <w:sz w:val="22"/>
          <w:szCs w:val="22"/>
        </w:rPr>
      </w:pPr>
    </w:p>
    <w:p w14:paraId="08537D2D" w14:textId="77777777" w:rsidR="00C5630B" w:rsidRPr="002C1FCF" w:rsidRDefault="00C5630B" w:rsidP="00C5630B">
      <w:pPr>
        <w:pStyle w:val="ListParagraph"/>
        <w:widowControl/>
        <w:numPr>
          <w:ilvl w:val="0"/>
          <w:numId w:val="15"/>
        </w:numPr>
        <w:overflowPunct/>
        <w:ind w:left="284" w:hanging="284"/>
        <w:textAlignment w:val="auto"/>
        <w:rPr>
          <w:rFonts w:asciiTheme="minorHAnsi" w:hAnsiTheme="minorHAnsi" w:cstheme="minorHAnsi"/>
          <w:sz w:val="22"/>
          <w:szCs w:val="22"/>
        </w:rPr>
      </w:pPr>
      <w:r w:rsidRPr="002C1FCF">
        <w:rPr>
          <w:rFonts w:asciiTheme="minorHAnsi" w:hAnsiTheme="minorHAnsi" w:cstheme="minorHAnsi"/>
          <w:b/>
          <w:sz w:val="22"/>
          <w:szCs w:val="22"/>
        </w:rPr>
        <w:t>Scheme Reform – IT Development (Finding 1 rated ‘Medium’ due 31/03/15)</w:t>
      </w:r>
      <w:r w:rsidRPr="002C1FCF">
        <w:rPr>
          <w:rFonts w:asciiTheme="minorHAnsi" w:hAnsiTheme="minorHAnsi" w:cstheme="minorHAnsi"/>
          <w:sz w:val="22"/>
          <w:szCs w:val="22"/>
        </w:rPr>
        <w:t>: Log of rejected system defects that are outside the scope of the Reform project requires updating and incorporating into the Operational Project Activity Timeline. Action Owner Update (David Webb): The list of general defects has been produced for entry onto the OPAT and will be completed by 15</w:t>
      </w:r>
      <w:r w:rsidRPr="002C1FCF">
        <w:rPr>
          <w:rFonts w:asciiTheme="minorHAnsi" w:hAnsiTheme="minorHAnsi" w:cstheme="minorHAnsi"/>
          <w:sz w:val="22"/>
          <w:szCs w:val="22"/>
          <w:vertAlign w:val="superscript"/>
        </w:rPr>
        <w:t>th</w:t>
      </w:r>
      <w:r w:rsidRPr="002C1FCF">
        <w:rPr>
          <w:rFonts w:asciiTheme="minorHAnsi" w:hAnsiTheme="minorHAnsi" w:cstheme="minorHAnsi"/>
          <w:sz w:val="22"/>
          <w:szCs w:val="22"/>
        </w:rPr>
        <w:t xml:space="preserve"> May 2015. </w:t>
      </w:r>
    </w:p>
    <w:p w14:paraId="05F5CF5D" w14:textId="77777777" w:rsidR="00C5630B" w:rsidRPr="002C1FCF" w:rsidRDefault="00C5630B" w:rsidP="00C5630B">
      <w:pPr>
        <w:pStyle w:val="ListParagraph"/>
        <w:ind w:left="284"/>
        <w:rPr>
          <w:rFonts w:asciiTheme="minorHAnsi" w:hAnsiTheme="minorHAnsi" w:cstheme="minorHAnsi"/>
          <w:sz w:val="22"/>
          <w:szCs w:val="22"/>
        </w:rPr>
      </w:pPr>
    </w:p>
    <w:p w14:paraId="4220D61C" w14:textId="77777777" w:rsidR="00C5630B" w:rsidRPr="002C1FCF" w:rsidRDefault="00C5630B" w:rsidP="00C5630B">
      <w:pPr>
        <w:rPr>
          <w:rFonts w:asciiTheme="minorHAnsi" w:hAnsiTheme="minorHAnsi" w:cstheme="minorHAnsi"/>
          <w:sz w:val="22"/>
          <w:szCs w:val="22"/>
        </w:rPr>
      </w:pPr>
      <w:r w:rsidRPr="002C1FCF">
        <w:rPr>
          <w:rFonts w:asciiTheme="minorHAnsi" w:hAnsiTheme="minorHAnsi" w:cstheme="minorHAnsi"/>
          <w:sz w:val="22"/>
          <w:szCs w:val="22"/>
        </w:rPr>
        <w:t xml:space="preserve">Capita management continue to prioritise the closure of outstanding issues, and monthly challenge sessions are continuing to be held between GIA and Capita management to assist with this focus. </w:t>
      </w:r>
    </w:p>
    <w:p w14:paraId="00C2DA46" w14:textId="77777777" w:rsidR="00C5630B" w:rsidRDefault="00C5630B" w:rsidP="00C5630B">
      <w:pPr>
        <w:jc w:val="center"/>
        <w:rPr>
          <w:rFonts w:ascii="Calibri" w:hAnsi="Calibri" w:cs="Calibri"/>
          <w:sz w:val="22"/>
          <w:szCs w:val="22"/>
        </w:rPr>
      </w:pPr>
    </w:p>
    <w:p w14:paraId="4E3C6AB3" w14:textId="77777777" w:rsidR="00C5630B" w:rsidRDefault="00C5630B" w:rsidP="00C5630B">
      <w:pPr>
        <w:pStyle w:val="Heading2"/>
        <w:spacing w:before="0"/>
      </w:pPr>
      <w:r>
        <w:lastRenderedPageBreak/>
        <w:t>Progress against Audit Plan for 2015</w:t>
      </w: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57"/>
        <w:gridCol w:w="600"/>
        <w:gridCol w:w="500"/>
        <w:gridCol w:w="500"/>
        <w:gridCol w:w="500"/>
        <w:gridCol w:w="500"/>
        <w:gridCol w:w="1100"/>
        <w:gridCol w:w="1100"/>
        <w:gridCol w:w="1000"/>
        <w:gridCol w:w="900"/>
        <w:gridCol w:w="1000"/>
        <w:gridCol w:w="1000"/>
        <w:gridCol w:w="1000"/>
        <w:gridCol w:w="800"/>
        <w:gridCol w:w="500"/>
        <w:gridCol w:w="500"/>
        <w:gridCol w:w="500"/>
        <w:gridCol w:w="500"/>
      </w:tblGrid>
      <w:tr w:rsidR="00C5630B" w:rsidRPr="00824DE2" w14:paraId="6C222E0F" w14:textId="77777777" w:rsidTr="00C613C9">
        <w:trPr>
          <w:tblHeader/>
        </w:trPr>
        <w:tc>
          <w:tcPr>
            <w:tcW w:w="2157" w:type="dxa"/>
            <w:shd w:val="clear" w:color="auto" w:fill="004E73"/>
            <w:vAlign w:val="center"/>
          </w:tcPr>
          <w:p w14:paraId="7ED62280" w14:textId="77777777" w:rsidR="00C5630B" w:rsidRPr="00286917" w:rsidRDefault="00C5630B" w:rsidP="00C613C9">
            <w:pPr>
              <w:pStyle w:val="TableHeading"/>
              <w:jc w:val="center"/>
            </w:pPr>
            <w:r w:rsidRPr="00286917">
              <w:rPr>
                <w:sz w:val="22"/>
                <w:szCs w:val="22"/>
              </w:rPr>
              <w:t>Audit Title</w:t>
            </w:r>
          </w:p>
        </w:tc>
        <w:tc>
          <w:tcPr>
            <w:tcW w:w="600" w:type="dxa"/>
            <w:shd w:val="clear" w:color="auto" w:fill="004E73"/>
            <w:vAlign w:val="center"/>
          </w:tcPr>
          <w:p w14:paraId="77F68D1F" w14:textId="77777777" w:rsidR="00C5630B" w:rsidRPr="00286917" w:rsidRDefault="00C5630B" w:rsidP="00C613C9">
            <w:pPr>
              <w:pStyle w:val="TableHeading"/>
              <w:jc w:val="center"/>
            </w:pPr>
            <w:r w:rsidRPr="00286917">
              <w:rPr>
                <w:sz w:val="22"/>
                <w:szCs w:val="22"/>
              </w:rPr>
              <w:t>IA</w:t>
            </w:r>
          </w:p>
        </w:tc>
        <w:tc>
          <w:tcPr>
            <w:tcW w:w="500" w:type="dxa"/>
            <w:shd w:val="clear" w:color="auto" w:fill="004E73"/>
            <w:vAlign w:val="center"/>
          </w:tcPr>
          <w:p w14:paraId="4890CB6F" w14:textId="77777777" w:rsidR="00C5630B" w:rsidRPr="00286917" w:rsidRDefault="00C5630B" w:rsidP="00C613C9">
            <w:pPr>
              <w:pStyle w:val="TableHeading"/>
              <w:jc w:val="center"/>
            </w:pPr>
            <w:r w:rsidRPr="00286917">
              <w:rPr>
                <w:sz w:val="22"/>
                <w:szCs w:val="22"/>
              </w:rPr>
              <w:t>Q1</w:t>
            </w:r>
          </w:p>
        </w:tc>
        <w:tc>
          <w:tcPr>
            <w:tcW w:w="500" w:type="dxa"/>
            <w:shd w:val="clear" w:color="auto" w:fill="004E73"/>
            <w:vAlign w:val="center"/>
          </w:tcPr>
          <w:p w14:paraId="75D92DD3" w14:textId="77777777" w:rsidR="00C5630B" w:rsidRPr="00286917" w:rsidRDefault="00C5630B" w:rsidP="00C613C9">
            <w:pPr>
              <w:pStyle w:val="TableHeading"/>
              <w:jc w:val="center"/>
            </w:pPr>
            <w:r w:rsidRPr="00286917">
              <w:rPr>
                <w:sz w:val="22"/>
                <w:szCs w:val="22"/>
              </w:rPr>
              <w:t>Q2</w:t>
            </w:r>
          </w:p>
        </w:tc>
        <w:tc>
          <w:tcPr>
            <w:tcW w:w="500" w:type="dxa"/>
            <w:shd w:val="clear" w:color="auto" w:fill="004E73"/>
            <w:vAlign w:val="center"/>
          </w:tcPr>
          <w:p w14:paraId="27BFE2F4" w14:textId="77777777" w:rsidR="00C5630B" w:rsidRPr="00286917" w:rsidRDefault="00C5630B" w:rsidP="00C613C9">
            <w:pPr>
              <w:pStyle w:val="TableHeading"/>
              <w:jc w:val="center"/>
            </w:pPr>
            <w:r w:rsidRPr="00286917">
              <w:rPr>
                <w:sz w:val="22"/>
                <w:szCs w:val="22"/>
              </w:rPr>
              <w:t>Q3</w:t>
            </w:r>
          </w:p>
        </w:tc>
        <w:tc>
          <w:tcPr>
            <w:tcW w:w="500" w:type="dxa"/>
            <w:shd w:val="clear" w:color="auto" w:fill="004E73"/>
            <w:vAlign w:val="center"/>
          </w:tcPr>
          <w:p w14:paraId="07726251" w14:textId="77777777" w:rsidR="00C5630B" w:rsidRPr="00286917" w:rsidRDefault="00C5630B" w:rsidP="00C613C9">
            <w:pPr>
              <w:pStyle w:val="TableHeading"/>
              <w:jc w:val="center"/>
            </w:pPr>
            <w:r w:rsidRPr="00286917">
              <w:rPr>
                <w:sz w:val="22"/>
                <w:szCs w:val="22"/>
              </w:rPr>
              <w:t>Q4</w:t>
            </w:r>
          </w:p>
        </w:tc>
        <w:tc>
          <w:tcPr>
            <w:tcW w:w="1100" w:type="dxa"/>
            <w:shd w:val="clear" w:color="auto" w:fill="004E73"/>
            <w:tcMar>
              <w:left w:w="113" w:type="dxa"/>
              <w:right w:w="85" w:type="dxa"/>
            </w:tcMar>
            <w:vAlign w:val="center"/>
          </w:tcPr>
          <w:p w14:paraId="4A326F54" w14:textId="77777777" w:rsidR="00C5630B" w:rsidRPr="00286917" w:rsidRDefault="00C5630B" w:rsidP="00C613C9">
            <w:pPr>
              <w:pStyle w:val="TableHeading"/>
              <w:jc w:val="center"/>
            </w:pPr>
            <w:r w:rsidRPr="00286917">
              <w:rPr>
                <w:sz w:val="22"/>
                <w:szCs w:val="22"/>
              </w:rPr>
              <w:t>Current Status</w:t>
            </w:r>
            <w:r w:rsidRPr="00286917">
              <w:rPr>
                <w:rFonts w:ascii="Arial Bold" w:hAnsi="Arial Bold"/>
                <w:sz w:val="22"/>
                <w:szCs w:val="22"/>
                <w:vertAlign w:val="superscript"/>
              </w:rPr>
              <w:t>1</w:t>
            </w:r>
          </w:p>
        </w:tc>
        <w:tc>
          <w:tcPr>
            <w:tcW w:w="1100" w:type="dxa"/>
            <w:tcBorders>
              <w:bottom w:val="single" w:sz="4" w:space="0" w:color="auto"/>
            </w:tcBorders>
            <w:shd w:val="clear" w:color="auto" w:fill="004E73"/>
          </w:tcPr>
          <w:p w14:paraId="0BE5C24F" w14:textId="77777777" w:rsidR="00C5630B" w:rsidRPr="00286917" w:rsidRDefault="00C5630B" w:rsidP="00C613C9">
            <w:pPr>
              <w:pStyle w:val="TableHeading"/>
              <w:jc w:val="center"/>
            </w:pPr>
            <w:r w:rsidRPr="00286917">
              <w:rPr>
                <w:sz w:val="22"/>
                <w:szCs w:val="22"/>
              </w:rPr>
              <w:t xml:space="preserve">Target Final Draft </w:t>
            </w:r>
            <w:proofErr w:type="spellStart"/>
            <w:r w:rsidRPr="00286917">
              <w:rPr>
                <w:sz w:val="22"/>
                <w:szCs w:val="22"/>
              </w:rPr>
              <w:t>ToR</w:t>
            </w:r>
            <w:proofErr w:type="spellEnd"/>
            <w:r w:rsidRPr="00286917">
              <w:rPr>
                <w:sz w:val="22"/>
                <w:szCs w:val="22"/>
              </w:rPr>
              <w:t>*</w:t>
            </w:r>
          </w:p>
        </w:tc>
        <w:tc>
          <w:tcPr>
            <w:tcW w:w="1000" w:type="dxa"/>
            <w:tcBorders>
              <w:bottom w:val="single" w:sz="4" w:space="0" w:color="auto"/>
            </w:tcBorders>
            <w:shd w:val="clear" w:color="auto" w:fill="004E73"/>
          </w:tcPr>
          <w:p w14:paraId="085C0D8B" w14:textId="77777777" w:rsidR="00C5630B" w:rsidRPr="00286917" w:rsidRDefault="00C5630B" w:rsidP="00C613C9">
            <w:pPr>
              <w:pStyle w:val="TableHeading"/>
              <w:jc w:val="center"/>
            </w:pPr>
            <w:r w:rsidRPr="00286917">
              <w:rPr>
                <w:sz w:val="22"/>
                <w:szCs w:val="22"/>
              </w:rPr>
              <w:t xml:space="preserve">Actual Final Draft </w:t>
            </w:r>
            <w:proofErr w:type="spellStart"/>
            <w:r w:rsidRPr="00286917">
              <w:rPr>
                <w:sz w:val="22"/>
                <w:szCs w:val="22"/>
              </w:rPr>
              <w:t>ToR</w:t>
            </w:r>
            <w:proofErr w:type="spellEnd"/>
            <w:r w:rsidRPr="00286917">
              <w:rPr>
                <w:sz w:val="22"/>
                <w:szCs w:val="22"/>
              </w:rPr>
              <w:t>*</w:t>
            </w:r>
          </w:p>
        </w:tc>
        <w:tc>
          <w:tcPr>
            <w:tcW w:w="900" w:type="dxa"/>
            <w:tcBorders>
              <w:bottom w:val="single" w:sz="4" w:space="0" w:color="auto"/>
            </w:tcBorders>
            <w:shd w:val="clear" w:color="auto" w:fill="004E73"/>
          </w:tcPr>
          <w:p w14:paraId="4E8053DA" w14:textId="77777777" w:rsidR="00C5630B" w:rsidRPr="00286917" w:rsidRDefault="00C5630B" w:rsidP="00C613C9">
            <w:pPr>
              <w:pStyle w:val="TableHeading"/>
              <w:jc w:val="center"/>
            </w:pPr>
            <w:r w:rsidRPr="00286917">
              <w:rPr>
                <w:sz w:val="22"/>
                <w:szCs w:val="22"/>
              </w:rPr>
              <w:t xml:space="preserve">Final </w:t>
            </w:r>
            <w:proofErr w:type="spellStart"/>
            <w:r w:rsidRPr="00286917">
              <w:rPr>
                <w:sz w:val="22"/>
                <w:szCs w:val="22"/>
              </w:rPr>
              <w:t>ToR</w:t>
            </w:r>
            <w:proofErr w:type="spellEnd"/>
          </w:p>
        </w:tc>
        <w:tc>
          <w:tcPr>
            <w:tcW w:w="1000" w:type="dxa"/>
            <w:tcBorders>
              <w:bottom w:val="single" w:sz="4" w:space="0" w:color="auto"/>
            </w:tcBorders>
            <w:shd w:val="clear" w:color="auto" w:fill="004E73"/>
          </w:tcPr>
          <w:p w14:paraId="2C1DC18A" w14:textId="77777777" w:rsidR="00C5630B" w:rsidRPr="00286917" w:rsidRDefault="00C5630B" w:rsidP="00C613C9">
            <w:pPr>
              <w:pStyle w:val="TableHeading"/>
              <w:jc w:val="center"/>
            </w:pPr>
            <w:r w:rsidRPr="00286917">
              <w:rPr>
                <w:sz w:val="22"/>
                <w:szCs w:val="22"/>
              </w:rPr>
              <w:t>Target Final Draft Report*</w:t>
            </w:r>
          </w:p>
        </w:tc>
        <w:tc>
          <w:tcPr>
            <w:tcW w:w="1000" w:type="dxa"/>
            <w:tcBorders>
              <w:bottom w:val="single" w:sz="4" w:space="0" w:color="auto"/>
            </w:tcBorders>
            <w:shd w:val="clear" w:color="auto" w:fill="004E73"/>
          </w:tcPr>
          <w:p w14:paraId="0C96A1D4" w14:textId="77777777" w:rsidR="00C5630B" w:rsidRPr="00286917" w:rsidRDefault="00C5630B" w:rsidP="00C613C9">
            <w:pPr>
              <w:pStyle w:val="TableHeading"/>
              <w:jc w:val="center"/>
            </w:pPr>
            <w:r w:rsidRPr="00286917">
              <w:rPr>
                <w:sz w:val="22"/>
                <w:szCs w:val="22"/>
              </w:rPr>
              <w:t>Actual Final Draft Report*</w:t>
            </w:r>
          </w:p>
        </w:tc>
        <w:tc>
          <w:tcPr>
            <w:tcW w:w="1000" w:type="dxa"/>
            <w:tcBorders>
              <w:bottom w:val="single" w:sz="4" w:space="0" w:color="auto"/>
            </w:tcBorders>
            <w:shd w:val="clear" w:color="auto" w:fill="004E73"/>
          </w:tcPr>
          <w:p w14:paraId="09CAFB90" w14:textId="77777777" w:rsidR="00C5630B" w:rsidRPr="00286917" w:rsidRDefault="00C5630B" w:rsidP="00C613C9">
            <w:pPr>
              <w:pStyle w:val="TableHeading"/>
              <w:jc w:val="center"/>
            </w:pPr>
            <w:r w:rsidRPr="00286917">
              <w:rPr>
                <w:sz w:val="22"/>
                <w:szCs w:val="22"/>
              </w:rPr>
              <w:t>Final Report</w:t>
            </w:r>
          </w:p>
        </w:tc>
        <w:tc>
          <w:tcPr>
            <w:tcW w:w="800" w:type="dxa"/>
            <w:tcBorders>
              <w:bottom w:val="single" w:sz="4" w:space="0" w:color="auto"/>
            </w:tcBorders>
            <w:shd w:val="clear" w:color="auto" w:fill="004E73"/>
            <w:vAlign w:val="center"/>
          </w:tcPr>
          <w:p w14:paraId="4B2189F8" w14:textId="77777777" w:rsidR="00C5630B" w:rsidRPr="00286917" w:rsidRDefault="00C5630B" w:rsidP="00C613C9">
            <w:pPr>
              <w:pStyle w:val="TableHeading"/>
              <w:jc w:val="center"/>
            </w:pPr>
            <w:r>
              <w:rPr>
                <w:sz w:val="22"/>
                <w:szCs w:val="22"/>
              </w:rPr>
              <w:t>E/IR</w:t>
            </w:r>
            <w:r w:rsidRPr="00286917">
              <w:rPr>
                <w:sz w:val="22"/>
                <w:szCs w:val="22"/>
              </w:rPr>
              <w:t xml:space="preserve">/ </w:t>
            </w:r>
            <w:r>
              <w:rPr>
                <w:sz w:val="22"/>
                <w:szCs w:val="22"/>
              </w:rPr>
              <w:t>S</w:t>
            </w:r>
            <w:r w:rsidRPr="00286917">
              <w:rPr>
                <w:sz w:val="22"/>
                <w:szCs w:val="22"/>
              </w:rPr>
              <w:t>IR/</w:t>
            </w:r>
            <w:r>
              <w:rPr>
                <w:sz w:val="22"/>
                <w:szCs w:val="22"/>
              </w:rPr>
              <w:t>I</w:t>
            </w:r>
            <w:r w:rsidRPr="00286917">
              <w:rPr>
                <w:rFonts w:ascii="Arial Bold" w:hAnsi="Arial Bold"/>
                <w:sz w:val="22"/>
                <w:szCs w:val="22"/>
                <w:vertAlign w:val="superscript"/>
              </w:rPr>
              <w:t>2</w:t>
            </w:r>
          </w:p>
        </w:tc>
        <w:tc>
          <w:tcPr>
            <w:tcW w:w="500" w:type="dxa"/>
            <w:tcBorders>
              <w:bottom w:val="single" w:sz="4" w:space="0" w:color="auto"/>
            </w:tcBorders>
            <w:shd w:val="clear" w:color="auto" w:fill="004E73"/>
            <w:vAlign w:val="center"/>
          </w:tcPr>
          <w:p w14:paraId="60B6D3F2" w14:textId="77777777" w:rsidR="00C5630B" w:rsidRPr="00286917" w:rsidRDefault="00C5630B" w:rsidP="00C613C9">
            <w:pPr>
              <w:pStyle w:val="TableHeading"/>
              <w:jc w:val="center"/>
            </w:pPr>
            <w:r w:rsidRPr="00286917">
              <w:rPr>
                <w:sz w:val="22"/>
                <w:szCs w:val="22"/>
              </w:rPr>
              <w:t>C</w:t>
            </w:r>
          </w:p>
        </w:tc>
        <w:tc>
          <w:tcPr>
            <w:tcW w:w="500" w:type="dxa"/>
            <w:tcBorders>
              <w:bottom w:val="single" w:sz="4" w:space="0" w:color="auto"/>
            </w:tcBorders>
            <w:shd w:val="clear" w:color="auto" w:fill="004E73"/>
            <w:vAlign w:val="center"/>
          </w:tcPr>
          <w:p w14:paraId="60EDD77C" w14:textId="77777777" w:rsidR="00C5630B" w:rsidRPr="00286917" w:rsidRDefault="00C5630B" w:rsidP="00C613C9">
            <w:pPr>
              <w:pStyle w:val="TableHeading"/>
              <w:jc w:val="center"/>
            </w:pPr>
            <w:r w:rsidRPr="00286917">
              <w:rPr>
                <w:sz w:val="22"/>
                <w:szCs w:val="22"/>
              </w:rPr>
              <w:t>H</w:t>
            </w:r>
          </w:p>
        </w:tc>
        <w:tc>
          <w:tcPr>
            <w:tcW w:w="500" w:type="dxa"/>
            <w:tcBorders>
              <w:bottom w:val="single" w:sz="4" w:space="0" w:color="auto"/>
            </w:tcBorders>
            <w:shd w:val="clear" w:color="auto" w:fill="004E73"/>
            <w:vAlign w:val="center"/>
          </w:tcPr>
          <w:p w14:paraId="1F709175" w14:textId="77777777" w:rsidR="00C5630B" w:rsidRPr="00286917" w:rsidRDefault="00C5630B" w:rsidP="00C613C9">
            <w:pPr>
              <w:pStyle w:val="TableHeading"/>
              <w:jc w:val="center"/>
            </w:pPr>
            <w:r w:rsidRPr="00286917">
              <w:rPr>
                <w:sz w:val="22"/>
                <w:szCs w:val="22"/>
              </w:rPr>
              <w:t>M</w:t>
            </w:r>
          </w:p>
        </w:tc>
        <w:tc>
          <w:tcPr>
            <w:tcW w:w="500" w:type="dxa"/>
            <w:tcBorders>
              <w:bottom w:val="single" w:sz="4" w:space="0" w:color="auto"/>
            </w:tcBorders>
            <w:shd w:val="clear" w:color="auto" w:fill="004E73"/>
            <w:vAlign w:val="center"/>
          </w:tcPr>
          <w:p w14:paraId="3C88EE13" w14:textId="77777777" w:rsidR="00C5630B" w:rsidRPr="00286917" w:rsidRDefault="00C5630B" w:rsidP="00C613C9">
            <w:pPr>
              <w:pStyle w:val="TableHeading"/>
              <w:jc w:val="center"/>
            </w:pPr>
            <w:r w:rsidRPr="00286917">
              <w:rPr>
                <w:sz w:val="22"/>
                <w:szCs w:val="22"/>
              </w:rPr>
              <w:t>L</w:t>
            </w:r>
          </w:p>
        </w:tc>
      </w:tr>
      <w:tr w:rsidR="00C5630B" w:rsidRPr="008B4DDE" w14:paraId="64E4E92B" w14:textId="77777777" w:rsidTr="00C613C9">
        <w:trPr>
          <w:trHeight w:val="454"/>
        </w:trPr>
        <w:tc>
          <w:tcPr>
            <w:tcW w:w="2157" w:type="dxa"/>
            <w:tcMar>
              <w:left w:w="85" w:type="dxa"/>
              <w:right w:w="85" w:type="dxa"/>
            </w:tcMar>
            <w:vAlign w:val="center"/>
          </w:tcPr>
          <w:p w14:paraId="764DE983" w14:textId="77777777" w:rsidR="00C5630B" w:rsidRPr="00286917" w:rsidRDefault="00C5630B" w:rsidP="00C613C9">
            <w:pPr>
              <w:rPr>
                <w:sz w:val="18"/>
                <w:szCs w:val="18"/>
              </w:rPr>
            </w:pPr>
            <w:r w:rsidRPr="00286917">
              <w:rPr>
                <w:sz w:val="18"/>
                <w:szCs w:val="18"/>
              </w:rPr>
              <w:t xml:space="preserve">TP01 </w:t>
            </w:r>
            <w:r>
              <w:rPr>
                <w:sz w:val="18"/>
                <w:szCs w:val="18"/>
              </w:rPr>
              <w:t>SLA &amp; Performance MI</w:t>
            </w:r>
          </w:p>
        </w:tc>
        <w:tc>
          <w:tcPr>
            <w:tcW w:w="600" w:type="dxa"/>
            <w:vAlign w:val="center"/>
          </w:tcPr>
          <w:p w14:paraId="26042E5E" w14:textId="77777777" w:rsidR="00C5630B" w:rsidRPr="00286917" w:rsidRDefault="00C5630B" w:rsidP="00C613C9">
            <w:pPr>
              <w:spacing w:before="120" w:after="120"/>
              <w:jc w:val="center"/>
              <w:rPr>
                <w:rFonts w:cs="Arial"/>
                <w:sz w:val="18"/>
                <w:szCs w:val="18"/>
              </w:rPr>
            </w:pPr>
            <w:r>
              <w:rPr>
                <w:rFonts w:cs="Arial"/>
                <w:sz w:val="18"/>
                <w:szCs w:val="18"/>
              </w:rPr>
              <w:t>AB</w:t>
            </w:r>
          </w:p>
        </w:tc>
        <w:tc>
          <w:tcPr>
            <w:tcW w:w="500" w:type="dxa"/>
            <w:vAlign w:val="center"/>
          </w:tcPr>
          <w:p w14:paraId="097395A8" w14:textId="77777777" w:rsidR="00C5630B" w:rsidRPr="00286917" w:rsidRDefault="00C5630B" w:rsidP="00C613C9">
            <w:pPr>
              <w:jc w:val="center"/>
              <w:rPr>
                <w:rFonts w:cs="Arial"/>
                <w:sz w:val="18"/>
                <w:szCs w:val="18"/>
              </w:rPr>
            </w:pPr>
            <w:r>
              <w:rPr>
                <w:rFonts w:cs="Arial"/>
                <w:sz w:val="18"/>
                <w:szCs w:val="18"/>
              </w:rPr>
              <w:t>30</w:t>
            </w:r>
          </w:p>
        </w:tc>
        <w:tc>
          <w:tcPr>
            <w:tcW w:w="500" w:type="dxa"/>
            <w:vAlign w:val="center"/>
          </w:tcPr>
          <w:p w14:paraId="324108C7" w14:textId="77777777" w:rsidR="00C5630B" w:rsidRPr="00286917" w:rsidRDefault="00C5630B" w:rsidP="00C613C9">
            <w:pPr>
              <w:jc w:val="center"/>
              <w:rPr>
                <w:rFonts w:cs="Arial"/>
                <w:sz w:val="18"/>
                <w:szCs w:val="18"/>
              </w:rPr>
            </w:pPr>
          </w:p>
        </w:tc>
        <w:tc>
          <w:tcPr>
            <w:tcW w:w="500" w:type="dxa"/>
            <w:vAlign w:val="center"/>
          </w:tcPr>
          <w:p w14:paraId="03FA7D5C" w14:textId="77777777" w:rsidR="00C5630B" w:rsidRPr="00286917" w:rsidRDefault="00C5630B" w:rsidP="00C613C9">
            <w:pPr>
              <w:jc w:val="center"/>
              <w:rPr>
                <w:rFonts w:cs="Arial"/>
                <w:sz w:val="18"/>
                <w:szCs w:val="18"/>
              </w:rPr>
            </w:pPr>
          </w:p>
        </w:tc>
        <w:tc>
          <w:tcPr>
            <w:tcW w:w="500" w:type="dxa"/>
            <w:vAlign w:val="center"/>
          </w:tcPr>
          <w:p w14:paraId="3BA7D557"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30B036CF" w14:textId="77777777" w:rsidR="00C5630B" w:rsidRPr="00286917" w:rsidRDefault="00C5630B" w:rsidP="00C613C9">
            <w:pPr>
              <w:ind w:left="-108" w:right="-108"/>
              <w:jc w:val="center"/>
              <w:rPr>
                <w:sz w:val="18"/>
                <w:szCs w:val="18"/>
              </w:rPr>
            </w:pPr>
            <w:r>
              <w:rPr>
                <w:sz w:val="18"/>
                <w:szCs w:val="18"/>
              </w:rPr>
              <w:t>Fieldwork</w:t>
            </w:r>
          </w:p>
        </w:tc>
        <w:tc>
          <w:tcPr>
            <w:tcW w:w="1100" w:type="dxa"/>
            <w:vAlign w:val="center"/>
          </w:tcPr>
          <w:p w14:paraId="7333729F" w14:textId="77777777" w:rsidR="00C5630B" w:rsidRPr="00286917" w:rsidRDefault="00C5630B" w:rsidP="00C613C9">
            <w:pPr>
              <w:ind w:left="-108" w:right="-108"/>
              <w:jc w:val="center"/>
              <w:rPr>
                <w:sz w:val="18"/>
                <w:szCs w:val="18"/>
              </w:rPr>
            </w:pPr>
            <w:r>
              <w:rPr>
                <w:sz w:val="18"/>
                <w:szCs w:val="18"/>
              </w:rPr>
              <w:t>Feb 2015</w:t>
            </w:r>
          </w:p>
        </w:tc>
        <w:tc>
          <w:tcPr>
            <w:tcW w:w="1000" w:type="dxa"/>
            <w:tcBorders>
              <w:bottom w:val="single" w:sz="4" w:space="0" w:color="auto"/>
            </w:tcBorders>
            <w:shd w:val="clear" w:color="auto" w:fill="00B050"/>
            <w:vAlign w:val="center"/>
          </w:tcPr>
          <w:p w14:paraId="17C12C49" w14:textId="77777777" w:rsidR="00C5630B" w:rsidRPr="00286917" w:rsidRDefault="00C5630B" w:rsidP="00C613C9">
            <w:pPr>
              <w:ind w:left="-108" w:right="-108"/>
              <w:jc w:val="center"/>
              <w:rPr>
                <w:sz w:val="18"/>
                <w:szCs w:val="18"/>
              </w:rPr>
            </w:pPr>
            <w:r>
              <w:rPr>
                <w:sz w:val="18"/>
                <w:szCs w:val="18"/>
              </w:rPr>
              <w:t>Feb 2015</w:t>
            </w:r>
          </w:p>
        </w:tc>
        <w:tc>
          <w:tcPr>
            <w:tcW w:w="900" w:type="dxa"/>
            <w:shd w:val="clear" w:color="auto" w:fill="auto"/>
            <w:vAlign w:val="center"/>
          </w:tcPr>
          <w:p w14:paraId="68CC9CFF" w14:textId="77777777" w:rsidR="00C5630B" w:rsidRPr="00286917" w:rsidRDefault="00C5630B" w:rsidP="00C613C9">
            <w:pPr>
              <w:ind w:left="-108" w:right="-108"/>
              <w:jc w:val="center"/>
              <w:rPr>
                <w:sz w:val="18"/>
                <w:szCs w:val="18"/>
              </w:rPr>
            </w:pPr>
            <w:r>
              <w:rPr>
                <w:sz w:val="18"/>
                <w:szCs w:val="18"/>
              </w:rPr>
              <w:t>02/03/15</w:t>
            </w:r>
          </w:p>
        </w:tc>
        <w:tc>
          <w:tcPr>
            <w:tcW w:w="1000" w:type="dxa"/>
            <w:shd w:val="clear" w:color="auto" w:fill="auto"/>
            <w:vAlign w:val="center"/>
          </w:tcPr>
          <w:p w14:paraId="0CAFD07C" w14:textId="77777777" w:rsidR="00C5630B" w:rsidRPr="00286917" w:rsidRDefault="00C5630B" w:rsidP="00C613C9">
            <w:pPr>
              <w:ind w:left="-108" w:right="-108"/>
              <w:jc w:val="center"/>
              <w:rPr>
                <w:sz w:val="18"/>
                <w:szCs w:val="18"/>
              </w:rPr>
            </w:pPr>
            <w:r>
              <w:rPr>
                <w:sz w:val="18"/>
                <w:szCs w:val="18"/>
              </w:rPr>
              <w:t>Jun 2015</w:t>
            </w:r>
          </w:p>
        </w:tc>
        <w:tc>
          <w:tcPr>
            <w:tcW w:w="1000" w:type="dxa"/>
            <w:tcBorders>
              <w:bottom w:val="single" w:sz="4" w:space="0" w:color="auto"/>
            </w:tcBorders>
            <w:shd w:val="clear" w:color="auto" w:fill="auto"/>
            <w:vAlign w:val="center"/>
          </w:tcPr>
          <w:p w14:paraId="4FDDE376" w14:textId="77777777" w:rsidR="00C5630B" w:rsidRPr="00286917" w:rsidRDefault="00C5630B" w:rsidP="00C613C9">
            <w:pPr>
              <w:ind w:left="-108" w:right="-108"/>
              <w:jc w:val="center"/>
              <w:rPr>
                <w:sz w:val="18"/>
                <w:szCs w:val="18"/>
              </w:rPr>
            </w:pPr>
          </w:p>
        </w:tc>
        <w:tc>
          <w:tcPr>
            <w:tcW w:w="1000" w:type="dxa"/>
            <w:shd w:val="clear" w:color="auto" w:fill="auto"/>
            <w:vAlign w:val="center"/>
          </w:tcPr>
          <w:p w14:paraId="0E6C0B79" w14:textId="77777777" w:rsidR="00C5630B" w:rsidRPr="00286917" w:rsidRDefault="00C5630B" w:rsidP="00C613C9">
            <w:pPr>
              <w:ind w:left="-108" w:right="-108"/>
              <w:jc w:val="center"/>
              <w:rPr>
                <w:sz w:val="18"/>
                <w:szCs w:val="18"/>
              </w:rPr>
            </w:pPr>
          </w:p>
        </w:tc>
        <w:tc>
          <w:tcPr>
            <w:tcW w:w="800" w:type="dxa"/>
            <w:shd w:val="clear" w:color="auto" w:fill="auto"/>
            <w:vAlign w:val="center"/>
          </w:tcPr>
          <w:p w14:paraId="6200E01F" w14:textId="77777777" w:rsidR="00C5630B" w:rsidRPr="00286917" w:rsidRDefault="00C5630B" w:rsidP="00C613C9">
            <w:pPr>
              <w:ind w:left="-108" w:right="-108"/>
              <w:jc w:val="center"/>
              <w:rPr>
                <w:sz w:val="18"/>
                <w:szCs w:val="18"/>
              </w:rPr>
            </w:pPr>
          </w:p>
        </w:tc>
        <w:tc>
          <w:tcPr>
            <w:tcW w:w="500" w:type="dxa"/>
            <w:shd w:val="clear" w:color="auto" w:fill="auto"/>
            <w:vAlign w:val="center"/>
          </w:tcPr>
          <w:p w14:paraId="56A2E3D2" w14:textId="77777777" w:rsidR="00C5630B" w:rsidRPr="00286917" w:rsidRDefault="00C5630B" w:rsidP="00C613C9">
            <w:pPr>
              <w:ind w:left="-108" w:right="-108"/>
              <w:jc w:val="center"/>
              <w:rPr>
                <w:sz w:val="18"/>
                <w:szCs w:val="18"/>
              </w:rPr>
            </w:pPr>
          </w:p>
        </w:tc>
        <w:tc>
          <w:tcPr>
            <w:tcW w:w="500" w:type="dxa"/>
            <w:shd w:val="clear" w:color="auto" w:fill="auto"/>
            <w:vAlign w:val="center"/>
          </w:tcPr>
          <w:p w14:paraId="420AD1F8" w14:textId="77777777" w:rsidR="00C5630B" w:rsidRPr="00286917" w:rsidRDefault="00C5630B" w:rsidP="00C613C9">
            <w:pPr>
              <w:ind w:left="-108" w:right="-108"/>
              <w:jc w:val="center"/>
              <w:rPr>
                <w:sz w:val="18"/>
                <w:szCs w:val="18"/>
              </w:rPr>
            </w:pPr>
          </w:p>
        </w:tc>
        <w:tc>
          <w:tcPr>
            <w:tcW w:w="500" w:type="dxa"/>
            <w:shd w:val="clear" w:color="auto" w:fill="auto"/>
            <w:vAlign w:val="center"/>
          </w:tcPr>
          <w:p w14:paraId="3425F967" w14:textId="77777777" w:rsidR="00C5630B" w:rsidRPr="00286917" w:rsidRDefault="00C5630B" w:rsidP="00C613C9">
            <w:pPr>
              <w:ind w:left="-108" w:right="-108"/>
              <w:jc w:val="center"/>
              <w:rPr>
                <w:sz w:val="18"/>
                <w:szCs w:val="18"/>
              </w:rPr>
            </w:pPr>
          </w:p>
        </w:tc>
        <w:tc>
          <w:tcPr>
            <w:tcW w:w="500" w:type="dxa"/>
            <w:shd w:val="clear" w:color="auto" w:fill="auto"/>
            <w:vAlign w:val="center"/>
          </w:tcPr>
          <w:p w14:paraId="2FDDA3E2" w14:textId="77777777" w:rsidR="00C5630B" w:rsidRPr="00286917" w:rsidRDefault="00C5630B" w:rsidP="00C613C9">
            <w:pPr>
              <w:ind w:left="-108" w:right="-108"/>
              <w:jc w:val="center"/>
              <w:rPr>
                <w:sz w:val="18"/>
                <w:szCs w:val="18"/>
              </w:rPr>
            </w:pPr>
          </w:p>
        </w:tc>
      </w:tr>
      <w:tr w:rsidR="00C5630B" w:rsidRPr="008B4DDE" w14:paraId="219AC1D6" w14:textId="77777777" w:rsidTr="00C613C9">
        <w:trPr>
          <w:trHeight w:val="454"/>
        </w:trPr>
        <w:tc>
          <w:tcPr>
            <w:tcW w:w="2157" w:type="dxa"/>
            <w:tcMar>
              <w:left w:w="85" w:type="dxa"/>
              <w:right w:w="85" w:type="dxa"/>
            </w:tcMar>
            <w:vAlign w:val="center"/>
          </w:tcPr>
          <w:p w14:paraId="3CD20F2E" w14:textId="77777777" w:rsidR="00C5630B" w:rsidRPr="00286917" w:rsidRDefault="00C5630B" w:rsidP="00C613C9">
            <w:pPr>
              <w:rPr>
                <w:sz w:val="18"/>
                <w:szCs w:val="18"/>
              </w:rPr>
            </w:pPr>
            <w:r>
              <w:rPr>
                <w:sz w:val="18"/>
                <w:szCs w:val="18"/>
              </w:rPr>
              <w:t>TP02 Scheme Accounting</w:t>
            </w:r>
          </w:p>
        </w:tc>
        <w:tc>
          <w:tcPr>
            <w:tcW w:w="600" w:type="dxa"/>
            <w:vAlign w:val="center"/>
          </w:tcPr>
          <w:p w14:paraId="619D3B84" w14:textId="77777777" w:rsidR="00C5630B" w:rsidRPr="00286917" w:rsidRDefault="00C5630B" w:rsidP="00C613C9">
            <w:pPr>
              <w:jc w:val="center"/>
              <w:rPr>
                <w:rFonts w:cs="Arial"/>
                <w:sz w:val="18"/>
                <w:szCs w:val="18"/>
              </w:rPr>
            </w:pPr>
            <w:r>
              <w:rPr>
                <w:rFonts w:cs="Arial"/>
                <w:sz w:val="18"/>
                <w:szCs w:val="18"/>
              </w:rPr>
              <w:t>HU</w:t>
            </w:r>
          </w:p>
        </w:tc>
        <w:tc>
          <w:tcPr>
            <w:tcW w:w="500" w:type="dxa"/>
            <w:vAlign w:val="center"/>
          </w:tcPr>
          <w:p w14:paraId="68010EB1" w14:textId="77777777" w:rsidR="00C5630B" w:rsidRPr="00286917" w:rsidRDefault="00C5630B" w:rsidP="00C613C9">
            <w:pPr>
              <w:jc w:val="center"/>
              <w:rPr>
                <w:rFonts w:cs="Arial"/>
                <w:sz w:val="18"/>
                <w:szCs w:val="18"/>
              </w:rPr>
            </w:pPr>
          </w:p>
        </w:tc>
        <w:tc>
          <w:tcPr>
            <w:tcW w:w="500" w:type="dxa"/>
            <w:vAlign w:val="center"/>
          </w:tcPr>
          <w:p w14:paraId="0B9D910B" w14:textId="77777777" w:rsidR="00C5630B" w:rsidRPr="00286917" w:rsidRDefault="00C5630B" w:rsidP="00C613C9">
            <w:pPr>
              <w:jc w:val="center"/>
              <w:rPr>
                <w:rFonts w:cs="Arial"/>
                <w:sz w:val="18"/>
                <w:szCs w:val="18"/>
              </w:rPr>
            </w:pPr>
          </w:p>
        </w:tc>
        <w:tc>
          <w:tcPr>
            <w:tcW w:w="500" w:type="dxa"/>
            <w:vAlign w:val="center"/>
          </w:tcPr>
          <w:p w14:paraId="36D20653" w14:textId="77777777" w:rsidR="00C5630B" w:rsidRPr="00286917" w:rsidRDefault="00C5630B" w:rsidP="00C613C9">
            <w:pPr>
              <w:jc w:val="center"/>
              <w:rPr>
                <w:rFonts w:cs="Arial"/>
                <w:sz w:val="18"/>
                <w:szCs w:val="18"/>
              </w:rPr>
            </w:pPr>
            <w:r>
              <w:rPr>
                <w:rFonts w:cs="Arial"/>
                <w:sz w:val="18"/>
                <w:szCs w:val="18"/>
              </w:rPr>
              <w:t>30</w:t>
            </w:r>
          </w:p>
        </w:tc>
        <w:tc>
          <w:tcPr>
            <w:tcW w:w="500" w:type="dxa"/>
            <w:vAlign w:val="center"/>
          </w:tcPr>
          <w:p w14:paraId="324961E4"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443D2319" w14:textId="77777777" w:rsidR="00C5630B" w:rsidRPr="00286917" w:rsidRDefault="00C5630B" w:rsidP="00C613C9">
            <w:pPr>
              <w:ind w:left="-113" w:right="-85"/>
              <w:jc w:val="center"/>
              <w:rPr>
                <w:sz w:val="18"/>
                <w:szCs w:val="18"/>
              </w:rPr>
            </w:pPr>
            <w:r>
              <w:rPr>
                <w:sz w:val="18"/>
                <w:szCs w:val="18"/>
              </w:rPr>
              <w:t>Not Started</w:t>
            </w:r>
          </w:p>
        </w:tc>
        <w:tc>
          <w:tcPr>
            <w:tcW w:w="1100" w:type="dxa"/>
            <w:vAlign w:val="center"/>
          </w:tcPr>
          <w:p w14:paraId="7878438E" w14:textId="77777777" w:rsidR="00C5630B" w:rsidRPr="00286917" w:rsidRDefault="00C5630B" w:rsidP="00C613C9">
            <w:pPr>
              <w:jc w:val="center"/>
              <w:rPr>
                <w:sz w:val="18"/>
                <w:szCs w:val="18"/>
              </w:rPr>
            </w:pPr>
            <w:r>
              <w:rPr>
                <w:sz w:val="18"/>
                <w:szCs w:val="18"/>
              </w:rPr>
              <w:t>Aug 2015</w:t>
            </w:r>
          </w:p>
        </w:tc>
        <w:tc>
          <w:tcPr>
            <w:tcW w:w="1000" w:type="dxa"/>
            <w:tcBorders>
              <w:bottom w:val="single" w:sz="4" w:space="0" w:color="auto"/>
            </w:tcBorders>
            <w:shd w:val="clear" w:color="auto" w:fill="auto"/>
            <w:vAlign w:val="center"/>
          </w:tcPr>
          <w:p w14:paraId="38C497BF" w14:textId="77777777" w:rsidR="00C5630B" w:rsidRPr="00286917" w:rsidRDefault="00C5630B" w:rsidP="00C613C9">
            <w:pPr>
              <w:jc w:val="center"/>
              <w:rPr>
                <w:sz w:val="18"/>
                <w:szCs w:val="18"/>
              </w:rPr>
            </w:pPr>
          </w:p>
        </w:tc>
        <w:tc>
          <w:tcPr>
            <w:tcW w:w="900" w:type="dxa"/>
            <w:shd w:val="clear" w:color="auto" w:fill="auto"/>
            <w:vAlign w:val="center"/>
          </w:tcPr>
          <w:p w14:paraId="68FE4949" w14:textId="77777777" w:rsidR="00C5630B" w:rsidRPr="00286917" w:rsidRDefault="00C5630B" w:rsidP="00C613C9">
            <w:pPr>
              <w:jc w:val="center"/>
              <w:rPr>
                <w:sz w:val="18"/>
                <w:szCs w:val="18"/>
              </w:rPr>
            </w:pPr>
          </w:p>
        </w:tc>
        <w:tc>
          <w:tcPr>
            <w:tcW w:w="1000" w:type="dxa"/>
            <w:shd w:val="clear" w:color="auto" w:fill="auto"/>
            <w:vAlign w:val="center"/>
          </w:tcPr>
          <w:p w14:paraId="7E4E599F" w14:textId="77777777" w:rsidR="00C5630B" w:rsidRPr="00286917" w:rsidRDefault="00C5630B" w:rsidP="00C613C9">
            <w:pPr>
              <w:jc w:val="center"/>
              <w:rPr>
                <w:sz w:val="18"/>
                <w:szCs w:val="18"/>
              </w:rPr>
            </w:pPr>
            <w:r>
              <w:rPr>
                <w:sz w:val="18"/>
                <w:szCs w:val="18"/>
              </w:rPr>
              <w:t>Oct 2015</w:t>
            </w:r>
          </w:p>
        </w:tc>
        <w:tc>
          <w:tcPr>
            <w:tcW w:w="1000" w:type="dxa"/>
            <w:tcBorders>
              <w:bottom w:val="single" w:sz="4" w:space="0" w:color="auto"/>
            </w:tcBorders>
            <w:shd w:val="clear" w:color="auto" w:fill="auto"/>
            <w:vAlign w:val="center"/>
          </w:tcPr>
          <w:p w14:paraId="1ED11C61" w14:textId="77777777" w:rsidR="00C5630B" w:rsidRPr="00286917" w:rsidRDefault="00C5630B" w:rsidP="00C613C9">
            <w:pPr>
              <w:jc w:val="center"/>
              <w:rPr>
                <w:sz w:val="18"/>
                <w:szCs w:val="18"/>
              </w:rPr>
            </w:pPr>
          </w:p>
        </w:tc>
        <w:tc>
          <w:tcPr>
            <w:tcW w:w="1000" w:type="dxa"/>
            <w:shd w:val="clear" w:color="auto" w:fill="auto"/>
            <w:vAlign w:val="center"/>
          </w:tcPr>
          <w:p w14:paraId="573A7334" w14:textId="77777777" w:rsidR="00C5630B" w:rsidRPr="00286917" w:rsidRDefault="00C5630B" w:rsidP="00C613C9">
            <w:pPr>
              <w:jc w:val="center"/>
              <w:rPr>
                <w:sz w:val="18"/>
                <w:szCs w:val="18"/>
              </w:rPr>
            </w:pPr>
          </w:p>
        </w:tc>
        <w:tc>
          <w:tcPr>
            <w:tcW w:w="800" w:type="dxa"/>
            <w:shd w:val="clear" w:color="auto" w:fill="auto"/>
            <w:vAlign w:val="center"/>
          </w:tcPr>
          <w:p w14:paraId="7862740B" w14:textId="77777777" w:rsidR="00C5630B" w:rsidRPr="00D7779E" w:rsidRDefault="00C5630B" w:rsidP="00C613C9">
            <w:pPr>
              <w:jc w:val="center"/>
              <w:rPr>
                <w:sz w:val="18"/>
                <w:szCs w:val="18"/>
              </w:rPr>
            </w:pPr>
          </w:p>
        </w:tc>
        <w:tc>
          <w:tcPr>
            <w:tcW w:w="500" w:type="dxa"/>
            <w:shd w:val="clear" w:color="auto" w:fill="auto"/>
            <w:vAlign w:val="center"/>
          </w:tcPr>
          <w:p w14:paraId="740AC83F" w14:textId="77777777" w:rsidR="00C5630B" w:rsidRPr="00D7779E" w:rsidRDefault="00C5630B" w:rsidP="00C613C9">
            <w:pPr>
              <w:jc w:val="center"/>
              <w:rPr>
                <w:sz w:val="18"/>
                <w:szCs w:val="18"/>
              </w:rPr>
            </w:pPr>
          </w:p>
        </w:tc>
        <w:tc>
          <w:tcPr>
            <w:tcW w:w="500" w:type="dxa"/>
            <w:shd w:val="clear" w:color="auto" w:fill="auto"/>
            <w:vAlign w:val="center"/>
          </w:tcPr>
          <w:p w14:paraId="5CB11BA3" w14:textId="77777777" w:rsidR="00C5630B" w:rsidRPr="00D7779E" w:rsidRDefault="00C5630B" w:rsidP="00C613C9">
            <w:pPr>
              <w:jc w:val="center"/>
              <w:rPr>
                <w:sz w:val="18"/>
                <w:szCs w:val="18"/>
              </w:rPr>
            </w:pPr>
          </w:p>
        </w:tc>
        <w:tc>
          <w:tcPr>
            <w:tcW w:w="500" w:type="dxa"/>
            <w:shd w:val="clear" w:color="auto" w:fill="auto"/>
            <w:vAlign w:val="center"/>
          </w:tcPr>
          <w:p w14:paraId="117E14B5" w14:textId="77777777" w:rsidR="00C5630B" w:rsidRPr="00D7779E" w:rsidRDefault="00C5630B" w:rsidP="00C613C9">
            <w:pPr>
              <w:jc w:val="center"/>
              <w:rPr>
                <w:sz w:val="18"/>
                <w:szCs w:val="18"/>
              </w:rPr>
            </w:pPr>
          </w:p>
        </w:tc>
        <w:tc>
          <w:tcPr>
            <w:tcW w:w="500" w:type="dxa"/>
            <w:shd w:val="clear" w:color="auto" w:fill="auto"/>
            <w:vAlign w:val="center"/>
          </w:tcPr>
          <w:p w14:paraId="2CED2B16" w14:textId="77777777" w:rsidR="00C5630B" w:rsidRPr="00D7779E" w:rsidRDefault="00C5630B" w:rsidP="00C613C9">
            <w:pPr>
              <w:jc w:val="center"/>
              <w:rPr>
                <w:sz w:val="18"/>
                <w:szCs w:val="18"/>
              </w:rPr>
            </w:pPr>
          </w:p>
        </w:tc>
      </w:tr>
      <w:tr w:rsidR="00C5630B" w:rsidRPr="008B4DDE" w14:paraId="521002E4" w14:textId="77777777" w:rsidTr="00C613C9">
        <w:trPr>
          <w:trHeight w:val="454"/>
        </w:trPr>
        <w:tc>
          <w:tcPr>
            <w:tcW w:w="2157" w:type="dxa"/>
            <w:tcMar>
              <w:left w:w="85" w:type="dxa"/>
              <w:right w:w="85" w:type="dxa"/>
            </w:tcMar>
            <w:vAlign w:val="center"/>
          </w:tcPr>
          <w:p w14:paraId="490AF639" w14:textId="77777777" w:rsidR="00C5630B" w:rsidRPr="00286917" w:rsidRDefault="00C5630B" w:rsidP="00C613C9">
            <w:pPr>
              <w:rPr>
                <w:sz w:val="18"/>
                <w:szCs w:val="18"/>
              </w:rPr>
            </w:pPr>
            <w:r>
              <w:rPr>
                <w:sz w:val="18"/>
                <w:szCs w:val="18"/>
              </w:rPr>
              <w:t xml:space="preserve">TP03 Monthly Data Collection </w:t>
            </w:r>
          </w:p>
        </w:tc>
        <w:tc>
          <w:tcPr>
            <w:tcW w:w="600" w:type="dxa"/>
            <w:vAlign w:val="center"/>
          </w:tcPr>
          <w:p w14:paraId="4494CD7C" w14:textId="77777777" w:rsidR="00C5630B" w:rsidRPr="00286917" w:rsidRDefault="00C5630B" w:rsidP="00C613C9">
            <w:pPr>
              <w:jc w:val="center"/>
              <w:rPr>
                <w:rFonts w:cs="Arial"/>
                <w:sz w:val="18"/>
                <w:szCs w:val="18"/>
              </w:rPr>
            </w:pPr>
            <w:r>
              <w:rPr>
                <w:rFonts w:cs="Arial"/>
                <w:sz w:val="18"/>
                <w:szCs w:val="18"/>
              </w:rPr>
              <w:t>AB</w:t>
            </w:r>
          </w:p>
        </w:tc>
        <w:tc>
          <w:tcPr>
            <w:tcW w:w="500" w:type="dxa"/>
            <w:vAlign w:val="center"/>
          </w:tcPr>
          <w:p w14:paraId="1B9BF3A7" w14:textId="77777777" w:rsidR="00C5630B" w:rsidRPr="00286917" w:rsidRDefault="00C5630B" w:rsidP="00C613C9">
            <w:pPr>
              <w:jc w:val="center"/>
              <w:rPr>
                <w:rFonts w:cs="Arial"/>
                <w:sz w:val="18"/>
                <w:szCs w:val="18"/>
              </w:rPr>
            </w:pPr>
          </w:p>
        </w:tc>
        <w:tc>
          <w:tcPr>
            <w:tcW w:w="500" w:type="dxa"/>
            <w:vAlign w:val="center"/>
          </w:tcPr>
          <w:p w14:paraId="48DF0CD5" w14:textId="77777777" w:rsidR="00C5630B" w:rsidRPr="00286917" w:rsidRDefault="00C5630B" w:rsidP="00C613C9">
            <w:pPr>
              <w:jc w:val="center"/>
              <w:rPr>
                <w:rFonts w:cs="Arial"/>
                <w:sz w:val="18"/>
                <w:szCs w:val="18"/>
              </w:rPr>
            </w:pPr>
          </w:p>
        </w:tc>
        <w:tc>
          <w:tcPr>
            <w:tcW w:w="500" w:type="dxa"/>
            <w:vAlign w:val="center"/>
          </w:tcPr>
          <w:p w14:paraId="2FFC25F1" w14:textId="77777777" w:rsidR="00C5630B" w:rsidRPr="00286917" w:rsidRDefault="00C5630B" w:rsidP="00C613C9">
            <w:pPr>
              <w:jc w:val="center"/>
              <w:rPr>
                <w:rFonts w:cs="Arial"/>
                <w:sz w:val="18"/>
                <w:szCs w:val="18"/>
              </w:rPr>
            </w:pPr>
          </w:p>
        </w:tc>
        <w:tc>
          <w:tcPr>
            <w:tcW w:w="500" w:type="dxa"/>
            <w:vAlign w:val="center"/>
          </w:tcPr>
          <w:p w14:paraId="77484ADD" w14:textId="77777777" w:rsidR="00C5630B" w:rsidRPr="00286917" w:rsidRDefault="00C5630B" w:rsidP="00C613C9">
            <w:pPr>
              <w:jc w:val="center"/>
              <w:rPr>
                <w:rFonts w:cs="Arial"/>
                <w:sz w:val="18"/>
                <w:szCs w:val="18"/>
              </w:rPr>
            </w:pPr>
            <w:r>
              <w:rPr>
                <w:rFonts w:cs="Arial"/>
                <w:sz w:val="18"/>
                <w:szCs w:val="18"/>
              </w:rPr>
              <w:t>25</w:t>
            </w:r>
          </w:p>
        </w:tc>
        <w:tc>
          <w:tcPr>
            <w:tcW w:w="1100" w:type="dxa"/>
            <w:tcMar>
              <w:left w:w="113" w:type="dxa"/>
              <w:right w:w="85" w:type="dxa"/>
            </w:tcMar>
            <w:vAlign w:val="center"/>
          </w:tcPr>
          <w:p w14:paraId="2B6D08F5" w14:textId="77777777" w:rsidR="00C5630B" w:rsidRPr="00FE6E5A" w:rsidRDefault="00C5630B" w:rsidP="00C613C9">
            <w:pPr>
              <w:ind w:left="-135" w:right="-97"/>
              <w:jc w:val="center"/>
              <w:rPr>
                <w:sz w:val="18"/>
                <w:szCs w:val="18"/>
              </w:rPr>
            </w:pPr>
            <w:r>
              <w:rPr>
                <w:sz w:val="18"/>
                <w:szCs w:val="18"/>
              </w:rPr>
              <w:t>Not Started</w:t>
            </w:r>
          </w:p>
        </w:tc>
        <w:tc>
          <w:tcPr>
            <w:tcW w:w="1100" w:type="dxa"/>
            <w:vAlign w:val="center"/>
          </w:tcPr>
          <w:p w14:paraId="10FD5E79" w14:textId="77777777" w:rsidR="00C5630B" w:rsidRPr="00286917" w:rsidRDefault="00C5630B" w:rsidP="00C613C9">
            <w:pPr>
              <w:jc w:val="center"/>
              <w:rPr>
                <w:sz w:val="18"/>
                <w:szCs w:val="18"/>
              </w:rPr>
            </w:pPr>
            <w:r>
              <w:rPr>
                <w:sz w:val="18"/>
                <w:szCs w:val="18"/>
              </w:rPr>
              <w:t>Sep 2015</w:t>
            </w:r>
          </w:p>
        </w:tc>
        <w:tc>
          <w:tcPr>
            <w:tcW w:w="1000" w:type="dxa"/>
            <w:tcBorders>
              <w:bottom w:val="single" w:sz="4" w:space="0" w:color="auto"/>
            </w:tcBorders>
            <w:shd w:val="clear" w:color="auto" w:fill="auto"/>
            <w:vAlign w:val="center"/>
          </w:tcPr>
          <w:p w14:paraId="631DF5A9" w14:textId="77777777" w:rsidR="00C5630B" w:rsidRPr="00286917" w:rsidRDefault="00C5630B" w:rsidP="00C613C9">
            <w:pPr>
              <w:jc w:val="center"/>
              <w:rPr>
                <w:sz w:val="18"/>
                <w:szCs w:val="18"/>
              </w:rPr>
            </w:pPr>
          </w:p>
        </w:tc>
        <w:tc>
          <w:tcPr>
            <w:tcW w:w="900" w:type="dxa"/>
            <w:shd w:val="clear" w:color="auto" w:fill="auto"/>
            <w:vAlign w:val="center"/>
          </w:tcPr>
          <w:p w14:paraId="0F664CF5" w14:textId="77777777" w:rsidR="00C5630B" w:rsidRPr="00286917" w:rsidRDefault="00C5630B" w:rsidP="00C613C9">
            <w:pPr>
              <w:jc w:val="center"/>
              <w:rPr>
                <w:sz w:val="18"/>
                <w:szCs w:val="18"/>
              </w:rPr>
            </w:pPr>
          </w:p>
        </w:tc>
        <w:tc>
          <w:tcPr>
            <w:tcW w:w="1000" w:type="dxa"/>
            <w:shd w:val="clear" w:color="auto" w:fill="auto"/>
            <w:vAlign w:val="center"/>
          </w:tcPr>
          <w:p w14:paraId="62A31071" w14:textId="77777777" w:rsidR="00C5630B" w:rsidRPr="00286917" w:rsidRDefault="00C5630B" w:rsidP="00C613C9">
            <w:pPr>
              <w:jc w:val="center"/>
              <w:rPr>
                <w:sz w:val="18"/>
                <w:szCs w:val="18"/>
              </w:rPr>
            </w:pPr>
            <w:r>
              <w:rPr>
                <w:sz w:val="18"/>
                <w:szCs w:val="18"/>
              </w:rPr>
              <w:t>Nov 2015</w:t>
            </w:r>
          </w:p>
        </w:tc>
        <w:tc>
          <w:tcPr>
            <w:tcW w:w="1000" w:type="dxa"/>
            <w:tcBorders>
              <w:bottom w:val="single" w:sz="4" w:space="0" w:color="auto"/>
            </w:tcBorders>
            <w:shd w:val="clear" w:color="auto" w:fill="auto"/>
            <w:vAlign w:val="center"/>
          </w:tcPr>
          <w:p w14:paraId="24BABD28" w14:textId="77777777" w:rsidR="00C5630B" w:rsidRPr="00837764" w:rsidRDefault="00C5630B" w:rsidP="00C613C9">
            <w:pPr>
              <w:jc w:val="center"/>
              <w:rPr>
                <w:sz w:val="18"/>
                <w:szCs w:val="18"/>
              </w:rPr>
            </w:pPr>
          </w:p>
        </w:tc>
        <w:tc>
          <w:tcPr>
            <w:tcW w:w="1000" w:type="dxa"/>
            <w:shd w:val="clear" w:color="auto" w:fill="auto"/>
            <w:vAlign w:val="center"/>
          </w:tcPr>
          <w:p w14:paraId="2AF775E8" w14:textId="77777777" w:rsidR="00C5630B" w:rsidRPr="00286917" w:rsidRDefault="00C5630B" w:rsidP="00C613C9">
            <w:pPr>
              <w:jc w:val="center"/>
              <w:rPr>
                <w:sz w:val="18"/>
                <w:szCs w:val="18"/>
              </w:rPr>
            </w:pPr>
          </w:p>
        </w:tc>
        <w:tc>
          <w:tcPr>
            <w:tcW w:w="800" w:type="dxa"/>
            <w:shd w:val="clear" w:color="auto" w:fill="auto"/>
            <w:vAlign w:val="center"/>
          </w:tcPr>
          <w:p w14:paraId="72731EF8" w14:textId="77777777" w:rsidR="00C5630B" w:rsidRPr="00155566" w:rsidRDefault="00C5630B" w:rsidP="00C613C9">
            <w:pPr>
              <w:jc w:val="center"/>
              <w:rPr>
                <w:sz w:val="18"/>
                <w:szCs w:val="18"/>
              </w:rPr>
            </w:pPr>
          </w:p>
        </w:tc>
        <w:tc>
          <w:tcPr>
            <w:tcW w:w="500" w:type="dxa"/>
            <w:shd w:val="clear" w:color="auto" w:fill="auto"/>
            <w:vAlign w:val="center"/>
          </w:tcPr>
          <w:p w14:paraId="4577FA31" w14:textId="77777777" w:rsidR="00C5630B" w:rsidRPr="00155566" w:rsidRDefault="00C5630B" w:rsidP="00C613C9">
            <w:pPr>
              <w:jc w:val="center"/>
              <w:rPr>
                <w:sz w:val="18"/>
                <w:szCs w:val="18"/>
              </w:rPr>
            </w:pPr>
          </w:p>
        </w:tc>
        <w:tc>
          <w:tcPr>
            <w:tcW w:w="500" w:type="dxa"/>
            <w:shd w:val="clear" w:color="auto" w:fill="auto"/>
            <w:vAlign w:val="center"/>
          </w:tcPr>
          <w:p w14:paraId="26C60B6F" w14:textId="77777777" w:rsidR="00C5630B" w:rsidRPr="00155566" w:rsidRDefault="00C5630B" w:rsidP="00C613C9">
            <w:pPr>
              <w:jc w:val="center"/>
              <w:rPr>
                <w:sz w:val="18"/>
                <w:szCs w:val="18"/>
              </w:rPr>
            </w:pPr>
          </w:p>
        </w:tc>
        <w:tc>
          <w:tcPr>
            <w:tcW w:w="500" w:type="dxa"/>
            <w:shd w:val="clear" w:color="auto" w:fill="auto"/>
            <w:vAlign w:val="center"/>
          </w:tcPr>
          <w:p w14:paraId="16B16ECE" w14:textId="77777777" w:rsidR="00C5630B" w:rsidRPr="00155566" w:rsidRDefault="00C5630B" w:rsidP="00C613C9">
            <w:pPr>
              <w:jc w:val="center"/>
              <w:rPr>
                <w:sz w:val="18"/>
                <w:szCs w:val="18"/>
              </w:rPr>
            </w:pPr>
          </w:p>
        </w:tc>
        <w:tc>
          <w:tcPr>
            <w:tcW w:w="500" w:type="dxa"/>
            <w:shd w:val="clear" w:color="auto" w:fill="auto"/>
            <w:vAlign w:val="center"/>
          </w:tcPr>
          <w:p w14:paraId="2FF48145" w14:textId="77777777" w:rsidR="00C5630B" w:rsidRPr="00155566" w:rsidRDefault="00C5630B" w:rsidP="00C613C9">
            <w:pPr>
              <w:jc w:val="center"/>
              <w:rPr>
                <w:sz w:val="18"/>
                <w:szCs w:val="18"/>
              </w:rPr>
            </w:pPr>
          </w:p>
        </w:tc>
      </w:tr>
      <w:tr w:rsidR="00C5630B" w:rsidRPr="008B4DDE" w14:paraId="2076E306" w14:textId="77777777" w:rsidTr="00C613C9">
        <w:trPr>
          <w:trHeight w:val="454"/>
        </w:trPr>
        <w:tc>
          <w:tcPr>
            <w:tcW w:w="2157" w:type="dxa"/>
            <w:tcMar>
              <w:left w:w="85" w:type="dxa"/>
              <w:right w:w="85" w:type="dxa"/>
            </w:tcMar>
            <w:vAlign w:val="center"/>
          </w:tcPr>
          <w:p w14:paraId="4B4BC1F7" w14:textId="77777777" w:rsidR="00C5630B" w:rsidRPr="00286917" w:rsidRDefault="00C5630B" w:rsidP="00C613C9">
            <w:pPr>
              <w:rPr>
                <w:sz w:val="18"/>
                <w:szCs w:val="18"/>
              </w:rPr>
            </w:pPr>
            <w:r>
              <w:rPr>
                <w:sz w:val="18"/>
                <w:szCs w:val="18"/>
              </w:rPr>
              <w:t>TP04 Contributions</w:t>
            </w:r>
          </w:p>
        </w:tc>
        <w:tc>
          <w:tcPr>
            <w:tcW w:w="600" w:type="dxa"/>
            <w:vAlign w:val="center"/>
          </w:tcPr>
          <w:p w14:paraId="345CF21B" w14:textId="77777777" w:rsidR="00C5630B" w:rsidRPr="00286917" w:rsidRDefault="00C5630B" w:rsidP="00C613C9">
            <w:pPr>
              <w:jc w:val="center"/>
              <w:rPr>
                <w:rFonts w:cs="Arial"/>
                <w:sz w:val="18"/>
                <w:szCs w:val="18"/>
              </w:rPr>
            </w:pPr>
            <w:r>
              <w:rPr>
                <w:rFonts w:cs="Arial"/>
                <w:sz w:val="18"/>
                <w:szCs w:val="18"/>
              </w:rPr>
              <w:t>ND</w:t>
            </w:r>
          </w:p>
        </w:tc>
        <w:tc>
          <w:tcPr>
            <w:tcW w:w="500" w:type="dxa"/>
            <w:vAlign w:val="center"/>
          </w:tcPr>
          <w:p w14:paraId="6CC0B353" w14:textId="77777777" w:rsidR="00C5630B" w:rsidRPr="00286917" w:rsidRDefault="00C5630B" w:rsidP="00C613C9">
            <w:pPr>
              <w:jc w:val="center"/>
              <w:rPr>
                <w:rFonts w:cs="Arial"/>
                <w:sz w:val="18"/>
                <w:szCs w:val="18"/>
              </w:rPr>
            </w:pPr>
          </w:p>
        </w:tc>
        <w:tc>
          <w:tcPr>
            <w:tcW w:w="500" w:type="dxa"/>
            <w:vAlign w:val="center"/>
          </w:tcPr>
          <w:p w14:paraId="37AC55DD" w14:textId="77777777" w:rsidR="00C5630B" w:rsidRPr="00286917" w:rsidRDefault="00C5630B" w:rsidP="00C613C9">
            <w:pPr>
              <w:jc w:val="center"/>
              <w:rPr>
                <w:rFonts w:cs="Arial"/>
                <w:sz w:val="18"/>
                <w:szCs w:val="18"/>
              </w:rPr>
            </w:pPr>
          </w:p>
        </w:tc>
        <w:tc>
          <w:tcPr>
            <w:tcW w:w="500" w:type="dxa"/>
            <w:vAlign w:val="center"/>
          </w:tcPr>
          <w:p w14:paraId="6966C989" w14:textId="77777777" w:rsidR="00C5630B" w:rsidRPr="00286917" w:rsidRDefault="00C5630B" w:rsidP="00C613C9">
            <w:pPr>
              <w:rPr>
                <w:rFonts w:cs="Arial"/>
                <w:sz w:val="18"/>
                <w:szCs w:val="18"/>
              </w:rPr>
            </w:pPr>
          </w:p>
        </w:tc>
        <w:tc>
          <w:tcPr>
            <w:tcW w:w="500" w:type="dxa"/>
            <w:vAlign w:val="center"/>
          </w:tcPr>
          <w:p w14:paraId="274E8D33" w14:textId="77777777" w:rsidR="00C5630B" w:rsidRPr="00286917" w:rsidRDefault="00C5630B" w:rsidP="00C613C9">
            <w:pPr>
              <w:jc w:val="center"/>
              <w:rPr>
                <w:rFonts w:cs="Arial"/>
                <w:sz w:val="18"/>
                <w:szCs w:val="18"/>
              </w:rPr>
            </w:pPr>
            <w:r>
              <w:rPr>
                <w:rFonts w:cs="Arial"/>
                <w:sz w:val="18"/>
                <w:szCs w:val="18"/>
              </w:rPr>
              <w:t>25</w:t>
            </w:r>
          </w:p>
        </w:tc>
        <w:tc>
          <w:tcPr>
            <w:tcW w:w="1100" w:type="dxa"/>
            <w:tcMar>
              <w:left w:w="113" w:type="dxa"/>
              <w:right w:w="85" w:type="dxa"/>
            </w:tcMar>
            <w:vAlign w:val="center"/>
          </w:tcPr>
          <w:p w14:paraId="0B8B9DBF" w14:textId="77777777" w:rsidR="00C5630B" w:rsidRPr="00F16AB1" w:rsidRDefault="00C5630B" w:rsidP="00C613C9">
            <w:pPr>
              <w:ind w:right="-85" w:hanging="113"/>
              <w:jc w:val="center"/>
              <w:rPr>
                <w:sz w:val="18"/>
                <w:szCs w:val="18"/>
              </w:rPr>
            </w:pPr>
            <w:r>
              <w:rPr>
                <w:sz w:val="18"/>
                <w:szCs w:val="18"/>
              </w:rPr>
              <w:t>Not Started</w:t>
            </w:r>
          </w:p>
        </w:tc>
        <w:tc>
          <w:tcPr>
            <w:tcW w:w="1100" w:type="dxa"/>
            <w:vAlign w:val="center"/>
          </w:tcPr>
          <w:p w14:paraId="062F4F0E" w14:textId="77777777" w:rsidR="00C5630B" w:rsidRPr="00F16AB1" w:rsidRDefault="00C5630B" w:rsidP="00C613C9">
            <w:pPr>
              <w:jc w:val="center"/>
              <w:rPr>
                <w:sz w:val="18"/>
                <w:szCs w:val="18"/>
              </w:rPr>
            </w:pPr>
            <w:r>
              <w:rPr>
                <w:sz w:val="18"/>
                <w:szCs w:val="18"/>
              </w:rPr>
              <w:t>Oct 2015</w:t>
            </w:r>
          </w:p>
        </w:tc>
        <w:tc>
          <w:tcPr>
            <w:tcW w:w="1000" w:type="dxa"/>
            <w:tcBorders>
              <w:bottom w:val="single" w:sz="4" w:space="0" w:color="auto"/>
            </w:tcBorders>
            <w:shd w:val="clear" w:color="auto" w:fill="auto"/>
            <w:vAlign w:val="center"/>
          </w:tcPr>
          <w:p w14:paraId="5FF87512" w14:textId="77777777" w:rsidR="00C5630B" w:rsidRPr="00286917" w:rsidRDefault="00C5630B" w:rsidP="00C613C9">
            <w:pPr>
              <w:jc w:val="center"/>
              <w:rPr>
                <w:sz w:val="18"/>
                <w:szCs w:val="18"/>
              </w:rPr>
            </w:pPr>
          </w:p>
        </w:tc>
        <w:tc>
          <w:tcPr>
            <w:tcW w:w="900" w:type="dxa"/>
            <w:shd w:val="clear" w:color="auto" w:fill="auto"/>
            <w:vAlign w:val="center"/>
          </w:tcPr>
          <w:p w14:paraId="59B01B17" w14:textId="77777777" w:rsidR="00C5630B" w:rsidRPr="00286917" w:rsidRDefault="00C5630B" w:rsidP="00C613C9">
            <w:pPr>
              <w:jc w:val="center"/>
              <w:rPr>
                <w:sz w:val="18"/>
                <w:szCs w:val="18"/>
              </w:rPr>
            </w:pPr>
          </w:p>
        </w:tc>
        <w:tc>
          <w:tcPr>
            <w:tcW w:w="1000" w:type="dxa"/>
            <w:shd w:val="clear" w:color="auto" w:fill="auto"/>
            <w:vAlign w:val="center"/>
          </w:tcPr>
          <w:p w14:paraId="540C1C3E" w14:textId="77777777" w:rsidR="00C5630B" w:rsidRPr="00286917" w:rsidRDefault="00C5630B" w:rsidP="00C613C9">
            <w:pPr>
              <w:jc w:val="center"/>
              <w:rPr>
                <w:sz w:val="18"/>
                <w:szCs w:val="18"/>
              </w:rPr>
            </w:pPr>
            <w:r>
              <w:rPr>
                <w:sz w:val="18"/>
                <w:szCs w:val="18"/>
              </w:rPr>
              <w:t>Dec 2015</w:t>
            </w:r>
          </w:p>
        </w:tc>
        <w:tc>
          <w:tcPr>
            <w:tcW w:w="1000" w:type="dxa"/>
            <w:tcBorders>
              <w:bottom w:val="single" w:sz="4" w:space="0" w:color="auto"/>
            </w:tcBorders>
            <w:shd w:val="clear" w:color="auto" w:fill="auto"/>
            <w:vAlign w:val="center"/>
          </w:tcPr>
          <w:p w14:paraId="6FA45D06" w14:textId="77777777" w:rsidR="00C5630B" w:rsidRPr="00286917" w:rsidRDefault="00C5630B" w:rsidP="00C613C9">
            <w:pPr>
              <w:jc w:val="center"/>
              <w:rPr>
                <w:sz w:val="18"/>
                <w:szCs w:val="18"/>
              </w:rPr>
            </w:pPr>
          </w:p>
        </w:tc>
        <w:tc>
          <w:tcPr>
            <w:tcW w:w="1000" w:type="dxa"/>
            <w:shd w:val="clear" w:color="auto" w:fill="auto"/>
            <w:vAlign w:val="center"/>
          </w:tcPr>
          <w:p w14:paraId="0F919B9B" w14:textId="77777777" w:rsidR="00C5630B" w:rsidRPr="00EA0A86" w:rsidRDefault="00C5630B" w:rsidP="00C613C9">
            <w:pPr>
              <w:jc w:val="center"/>
              <w:rPr>
                <w:sz w:val="18"/>
                <w:szCs w:val="18"/>
              </w:rPr>
            </w:pPr>
          </w:p>
        </w:tc>
        <w:tc>
          <w:tcPr>
            <w:tcW w:w="800" w:type="dxa"/>
            <w:shd w:val="clear" w:color="auto" w:fill="auto"/>
            <w:vAlign w:val="center"/>
          </w:tcPr>
          <w:p w14:paraId="600B367D" w14:textId="77777777" w:rsidR="00C5630B" w:rsidRPr="00EA0A86" w:rsidRDefault="00C5630B" w:rsidP="00C613C9">
            <w:pPr>
              <w:jc w:val="center"/>
              <w:rPr>
                <w:sz w:val="18"/>
                <w:szCs w:val="18"/>
              </w:rPr>
            </w:pPr>
          </w:p>
        </w:tc>
        <w:tc>
          <w:tcPr>
            <w:tcW w:w="500" w:type="dxa"/>
            <w:shd w:val="clear" w:color="auto" w:fill="auto"/>
            <w:vAlign w:val="center"/>
          </w:tcPr>
          <w:p w14:paraId="2936478E" w14:textId="77777777" w:rsidR="00C5630B" w:rsidRPr="00EA0A86" w:rsidRDefault="00C5630B" w:rsidP="00C613C9">
            <w:pPr>
              <w:jc w:val="center"/>
              <w:rPr>
                <w:sz w:val="18"/>
                <w:szCs w:val="18"/>
              </w:rPr>
            </w:pPr>
          </w:p>
        </w:tc>
        <w:tc>
          <w:tcPr>
            <w:tcW w:w="500" w:type="dxa"/>
            <w:shd w:val="clear" w:color="auto" w:fill="auto"/>
            <w:vAlign w:val="center"/>
          </w:tcPr>
          <w:p w14:paraId="2263ECE0" w14:textId="77777777" w:rsidR="00C5630B" w:rsidRPr="00EA0A86" w:rsidRDefault="00C5630B" w:rsidP="00C613C9">
            <w:pPr>
              <w:jc w:val="center"/>
              <w:rPr>
                <w:sz w:val="18"/>
                <w:szCs w:val="18"/>
              </w:rPr>
            </w:pPr>
          </w:p>
        </w:tc>
        <w:tc>
          <w:tcPr>
            <w:tcW w:w="500" w:type="dxa"/>
            <w:shd w:val="clear" w:color="auto" w:fill="auto"/>
            <w:vAlign w:val="center"/>
          </w:tcPr>
          <w:p w14:paraId="6E83227E" w14:textId="77777777" w:rsidR="00C5630B" w:rsidRPr="00EA0A86" w:rsidRDefault="00C5630B" w:rsidP="00C613C9">
            <w:pPr>
              <w:jc w:val="center"/>
              <w:rPr>
                <w:sz w:val="18"/>
                <w:szCs w:val="18"/>
              </w:rPr>
            </w:pPr>
          </w:p>
        </w:tc>
        <w:tc>
          <w:tcPr>
            <w:tcW w:w="500" w:type="dxa"/>
            <w:shd w:val="clear" w:color="auto" w:fill="auto"/>
            <w:vAlign w:val="center"/>
          </w:tcPr>
          <w:p w14:paraId="37CF22CD" w14:textId="77777777" w:rsidR="00C5630B" w:rsidRPr="00EA0A86" w:rsidRDefault="00C5630B" w:rsidP="00C613C9">
            <w:pPr>
              <w:jc w:val="center"/>
              <w:rPr>
                <w:sz w:val="18"/>
                <w:szCs w:val="18"/>
              </w:rPr>
            </w:pPr>
          </w:p>
        </w:tc>
      </w:tr>
      <w:tr w:rsidR="00C5630B" w:rsidRPr="008B4DDE" w14:paraId="16748DDF" w14:textId="77777777" w:rsidTr="00C613C9">
        <w:trPr>
          <w:trHeight w:val="454"/>
        </w:trPr>
        <w:tc>
          <w:tcPr>
            <w:tcW w:w="2157" w:type="dxa"/>
            <w:tcMar>
              <w:left w:w="85" w:type="dxa"/>
              <w:right w:w="85" w:type="dxa"/>
            </w:tcMar>
            <w:vAlign w:val="center"/>
          </w:tcPr>
          <w:p w14:paraId="0BF01AC6" w14:textId="77777777" w:rsidR="00C5630B" w:rsidRPr="00286917" w:rsidRDefault="00C5630B" w:rsidP="00C613C9">
            <w:pPr>
              <w:rPr>
                <w:sz w:val="18"/>
                <w:szCs w:val="18"/>
              </w:rPr>
            </w:pPr>
            <w:r>
              <w:rPr>
                <w:sz w:val="18"/>
                <w:szCs w:val="18"/>
              </w:rPr>
              <w:t xml:space="preserve">TP05 Fraud Data Mining </w:t>
            </w:r>
          </w:p>
        </w:tc>
        <w:tc>
          <w:tcPr>
            <w:tcW w:w="600" w:type="dxa"/>
            <w:vAlign w:val="center"/>
          </w:tcPr>
          <w:p w14:paraId="153FDD3F" w14:textId="77777777" w:rsidR="00C5630B" w:rsidRPr="00286917" w:rsidRDefault="00C5630B" w:rsidP="00C613C9">
            <w:pPr>
              <w:jc w:val="center"/>
              <w:rPr>
                <w:rFonts w:cs="Arial"/>
                <w:sz w:val="18"/>
                <w:szCs w:val="18"/>
              </w:rPr>
            </w:pPr>
            <w:r>
              <w:rPr>
                <w:rFonts w:cs="Arial"/>
                <w:sz w:val="18"/>
                <w:szCs w:val="18"/>
              </w:rPr>
              <w:t>HU</w:t>
            </w:r>
          </w:p>
        </w:tc>
        <w:tc>
          <w:tcPr>
            <w:tcW w:w="500" w:type="dxa"/>
            <w:vAlign w:val="center"/>
          </w:tcPr>
          <w:p w14:paraId="4E178005" w14:textId="77777777" w:rsidR="00C5630B" w:rsidRPr="00286917" w:rsidRDefault="00C5630B" w:rsidP="00C613C9">
            <w:pPr>
              <w:jc w:val="center"/>
              <w:rPr>
                <w:rFonts w:cs="Arial"/>
                <w:sz w:val="18"/>
                <w:szCs w:val="18"/>
              </w:rPr>
            </w:pPr>
          </w:p>
        </w:tc>
        <w:tc>
          <w:tcPr>
            <w:tcW w:w="500" w:type="dxa"/>
            <w:vAlign w:val="center"/>
          </w:tcPr>
          <w:p w14:paraId="76971A40" w14:textId="77777777" w:rsidR="00C5630B" w:rsidRPr="00286917" w:rsidRDefault="00C5630B" w:rsidP="00C613C9">
            <w:pPr>
              <w:jc w:val="center"/>
              <w:rPr>
                <w:rFonts w:cs="Arial"/>
                <w:sz w:val="18"/>
                <w:szCs w:val="18"/>
              </w:rPr>
            </w:pPr>
          </w:p>
        </w:tc>
        <w:tc>
          <w:tcPr>
            <w:tcW w:w="500" w:type="dxa"/>
            <w:vAlign w:val="center"/>
          </w:tcPr>
          <w:p w14:paraId="1DD712AC" w14:textId="77777777" w:rsidR="00C5630B" w:rsidRPr="00286917" w:rsidRDefault="00C5630B" w:rsidP="00C613C9">
            <w:pPr>
              <w:jc w:val="center"/>
              <w:rPr>
                <w:rFonts w:cs="Arial"/>
                <w:sz w:val="18"/>
                <w:szCs w:val="18"/>
              </w:rPr>
            </w:pPr>
            <w:r>
              <w:rPr>
                <w:rFonts w:cs="Arial"/>
                <w:sz w:val="18"/>
                <w:szCs w:val="18"/>
              </w:rPr>
              <w:t>20</w:t>
            </w:r>
          </w:p>
        </w:tc>
        <w:tc>
          <w:tcPr>
            <w:tcW w:w="500" w:type="dxa"/>
            <w:vAlign w:val="center"/>
          </w:tcPr>
          <w:p w14:paraId="5EF408E7"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53067D81" w14:textId="77777777" w:rsidR="00C5630B" w:rsidRPr="00F63852" w:rsidRDefault="00C5630B" w:rsidP="00C613C9">
            <w:pPr>
              <w:ind w:left="-113" w:right="-85"/>
              <w:jc w:val="center"/>
              <w:rPr>
                <w:sz w:val="18"/>
                <w:szCs w:val="18"/>
              </w:rPr>
            </w:pPr>
            <w:r>
              <w:rPr>
                <w:sz w:val="18"/>
                <w:szCs w:val="18"/>
              </w:rPr>
              <w:t>Not Started</w:t>
            </w:r>
          </w:p>
        </w:tc>
        <w:tc>
          <w:tcPr>
            <w:tcW w:w="1100" w:type="dxa"/>
            <w:vAlign w:val="center"/>
          </w:tcPr>
          <w:p w14:paraId="3B0993CF" w14:textId="77777777" w:rsidR="00C5630B" w:rsidRPr="00286917" w:rsidRDefault="00C5630B" w:rsidP="00C613C9">
            <w:pPr>
              <w:jc w:val="center"/>
              <w:rPr>
                <w:sz w:val="18"/>
                <w:szCs w:val="18"/>
              </w:rPr>
            </w:pPr>
            <w:r>
              <w:rPr>
                <w:sz w:val="18"/>
                <w:szCs w:val="18"/>
              </w:rPr>
              <w:t>Sep 2015</w:t>
            </w:r>
          </w:p>
        </w:tc>
        <w:tc>
          <w:tcPr>
            <w:tcW w:w="1000" w:type="dxa"/>
            <w:tcBorders>
              <w:bottom w:val="single" w:sz="4" w:space="0" w:color="auto"/>
            </w:tcBorders>
            <w:shd w:val="clear" w:color="auto" w:fill="auto"/>
            <w:vAlign w:val="center"/>
          </w:tcPr>
          <w:p w14:paraId="79782CC9" w14:textId="77777777" w:rsidR="00C5630B" w:rsidRPr="00CE1B48" w:rsidRDefault="00C5630B" w:rsidP="00C613C9">
            <w:pPr>
              <w:jc w:val="center"/>
              <w:rPr>
                <w:sz w:val="18"/>
                <w:szCs w:val="18"/>
              </w:rPr>
            </w:pPr>
          </w:p>
        </w:tc>
        <w:tc>
          <w:tcPr>
            <w:tcW w:w="900" w:type="dxa"/>
            <w:shd w:val="clear" w:color="auto" w:fill="auto"/>
            <w:vAlign w:val="center"/>
          </w:tcPr>
          <w:p w14:paraId="125B0AE4" w14:textId="77777777" w:rsidR="00C5630B" w:rsidRPr="00286917" w:rsidRDefault="00C5630B" w:rsidP="00C613C9">
            <w:pPr>
              <w:jc w:val="center"/>
              <w:rPr>
                <w:sz w:val="18"/>
                <w:szCs w:val="18"/>
              </w:rPr>
            </w:pPr>
          </w:p>
        </w:tc>
        <w:tc>
          <w:tcPr>
            <w:tcW w:w="1000" w:type="dxa"/>
            <w:shd w:val="clear" w:color="auto" w:fill="auto"/>
            <w:vAlign w:val="center"/>
          </w:tcPr>
          <w:p w14:paraId="49BD87A6" w14:textId="77777777" w:rsidR="00C5630B" w:rsidRPr="00286917" w:rsidRDefault="00C5630B" w:rsidP="00C613C9">
            <w:pPr>
              <w:jc w:val="center"/>
              <w:rPr>
                <w:sz w:val="18"/>
                <w:szCs w:val="18"/>
              </w:rPr>
            </w:pPr>
            <w:r>
              <w:rPr>
                <w:sz w:val="18"/>
                <w:szCs w:val="18"/>
              </w:rPr>
              <w:t>Dec 2015</w:t>
            </w:r>
          </w:p>
        </w:tc>
        <w:tc>
          <w:tcPr>
            <w:tcW w:w="1000" w:type="dxa"/>
            <w:tcBorders>
              <w:bottom w:val="single" w:sz="4" w:space="0" w:color="auto"/>
            </w:tcBorders>
            <w:shd w:val="clear" w:color="auto" w:fill="auto"/>
            <w:vAlign w:val="center"/>
          </w:tcPr>
          <w:p w14:paraId="0709B556" w14:textId="77777777" w:rsidR="00C5630B" w:rsidRPr="00155566" w:rsidRDefault="00C5630B" w:rsidP="00C613C9">
            <w:pPr>
              <w:jc w:val="center"/>
              <w:rPr>
                <w:i/>
                <w:sz w:val="18"/>
                <w:szCs w:val="18"/>
              </w:rPr>
            </w:pPr>
          </w:p>
        </w:tc>
        <w:tc>
          <w:tcPr>
            <w:tcW w:w="1000" w:type="dxa"/>
            <w:shd w:val="clear" w:color="auto" w:fill="auto"/>
            <w:vAlign w:val="center"/>
          </w:tcPr>
          <w:p w14:paraId="1A7E6967" w14:textId="77777777" w:rsidR="00C5630B" w:rsidRPr="00286917" w:rsidRDefault="00C5630B" w:rsidP="00C613C9">
            <w:pPr>
              <w:jc w:val="center"/>
              <w:rPr>
                <w:sz w:val="18"/>
                <w:szCs w:val="18"/>
              </w:rPr>
            </w:pPr>
          </w:p>
        </w:tc>
        <w:tc>
          <w:tcPr>
            <w:tcW w:w="800" w:type="dxa"/>
            <w:shd w:val="clear" w:color="auto" w:fill="auto"/>
            <w:vAlign w:val="center"/>
          </w:tcPr>
          <w:p w14:paraId="7E9E60FE" w14:textId="77777777" w:rsidR="00C5630B" w:rsidRPr="00286917" w:rsidRDefault="00C5630B" w:rsidP="00C613C9">
            <w:pPr>
              <w:jc w:val="center"/>
              <w:rPr>
                <w:sz w:val="18"/>
                <w:szCs w:val="18"/>
              </w:rPr>
            </w:pPr>
          </w:p>
        </w:tc>
        <w:tc>
          <w:tcPr>
            <w:tcW w:w="500" w:type="dxa"/>
            <w:shd w:val="clear" w:color="auto" w:fill="auto"/>
            <w:vAlign w:val="center"/>
          </w:tcPr>
          <w:p w14:paraId="1CFBE28B" w14:textId="77777777" w:rsidR="00C5630B" w:rsidRPr="00286917" w:rsidRDefault="00C5630B" w:rsidP="00C613C9">
            <w:pPr>
              <w:jc w:val="center"/>
              <w:rPr>
                <w:sz w:val="18"/>
                <w:szCs w:val="18"/>
              </w:rPr>
            </w:pPr>
          </w:p>
        </w:tc>
        <w:tc>
          <w:tcPr>
            <w:tcW w:w="500" w:type="dxa"/>
            <w:shd w:val="clear" w:color="auto" w:fill="auto"/>
            <w:vAlign w:val="center"/>
          </w:tcPr>
          <w:p w14:paraId="062EA220" w14:textId="77777777" w:rsidR="00C5630B" w:rsidRPr="00286917" w:rsidRDefault="00C5630B" w:rsidP="00C613C9">
            <w:pPr>
              <w:jc w:val="center"/>
              <w:rPr>
                <w:sz w:val="18"/>
                <w:szCs w:val="18"/>
              </w:rPr>
            </w:pPr>
          </w:p>
        </w:tc>
        <w:tc>
          <w:tcPr>
            <w:tcW w:w="500" w:type="dxa"/>
            <w:shd w:val="clear" w:color="auto" w:fill="auto"/>
            <w:vAlign w:val="center"/>
          </w:tcPr>
          <w:p w14:paraId="460E5EDF" w14:textId="77777777" w:rsidR="00C5630B" w:rsidRPr="00286917" w:rsidRDefault="00C5630B" w:rsidP="00C613C9">
            <w:pPr>
              <w:jc w:val="center"/>
              <w:rPr>
                <w:sz w:val="18"/>
                <w:szCs w:val="18"/>
              </w:rPr>
            </w:pPr>
          </w:p>
        </w:tc>
        <w:tc>
          <w:tcPr>
            <w:tcW w:w="500" w:type="dxa"/>
            <w:shd w:val="clear" w:color="auto" w:fill="auto"/>
            <w:vAlign w:val="center"/>
          </w:tcPr>
          <w:p w14:paraId="305A6229" w14:textId="77777777" w:rsidR="00C5630B" w:rsidRPr="00286917" w:rsidRDefault="00C5630B" w:rsidP="00C613C9">
            <w:pPr>
              <w:jc w:val="center"/>
              <w:rPr>
                <w:sz w:val="18"/>
                <w:szCs w:val="18"/>
              </w:rPr>
            </w:pPr>
          </w:p>
        </w:tc>
      </w:tr>
      <w:tr w:rsidR="00C5630B" w:rsidRPr="008B4DDE" w14:paraId="1D956029" w14:textId="77777777" w:rsidTr="00C613C9">
        <w:trPr>
          <w:trHeight w:val="454"/>
        </w:trPr>
        <w:tc>
          <w:tcPr>
            <w:tcW w:w="2157" w:type="dxa"/>
            <w:tcMar>
              <w:left w:w="85" w:type="dxa"/>
              <w:right w:w="85" w:type="dxa"/>
            </w:tcMar>
            <w:vAlign w:val="center"/>
          </w:tcPr>
          <w:p w14:paraId="107368B9" w14:textId="77777777" w:rsidR="00C5630B" w:rsidRPr="00286917" w:rsidRDefault="00C5630B" w:rsidP="00C613C9">
            <w:pPr>
              <w:rPr>
                <w:sz w:val="18"/>
                <w:szCs w:val="18"/>
              </w:rPr>
            </w:pPr>
            <w:r>
              <w:rPr>
                <w:sz w:val="18"/>
                <w:szCs w:val="18"/>
              </w:rPr>
              <w:t xml:space="preserve">TP06 Deferred Members Project </w:t>
            </w:r>
          </w:p>
        </w:tc>
        <w:tc>
          <w:tcPr>
            <w:tcW w:w="600" w:type="dxa"/>
            <w:vAlign w:val="center"/>
          </w:tcPr>
          <w:p w14:paraId="36854A57" w14:textId="77777777" w:rsidR="00C5630B" w:rsidRPr="00286917" w:rsidRDefault="00C5630B" w:rsidP="00C613C9">
            <w:pPr>
              <w:jc w:val="center"/>
              <w:rPr>
                <w:rFonts w:cs="Arial"/>
                <w:sz w:val="18"/>
                <w:szCs w:val="18"/>
              </w:rPr>
            </w:pPr>
            <w:r>
              <w:rPr>
                <w:rFonts w:cs="Arial"/>
                <w:sz w:val="18"/>
                <w:szCs w:val="18"/>
              </w:rPr>
              <w:t>HU</w:t>
            </w:r>
          </w:p>
        </w:tc>
        <w:tc>
          <w:tcPr>
            <w:tcW w:w="500" w:type="dxa"/>
            <w:vAlign w:val="center"/>
          </w:tcPr>
          <w:p w14:paraId="3281A9DF" w14:textId="77777777" w:rsidR="00C5630B" w:rsidRPr="00286917" w:rsidRDefault="00C5630B" w:rsidP="00C613C9">
            <w:pPr>
              <w:jc w:val="center"/>
              <w:rPr>
                <w:rFonts w:cs="Arial"/>
                <w:sz w:val="18"/>
                <w:szCs w:val="18"/>
              </w:rPr>
            </w:pPr>
          </w:p>
        </w:tc>
        <w:tc>
          <w:tcPr>
            <w:tcW w:w="500" w:type="dxa"/>
            <w:vAlign w:val="center"/>
          </w:tcPr>
          <w:p w14:paraId="335EA7AE" w14:textId="77777777" w:rsidR="00C5630B" w:rsidRPr="00286917" w:rsidRDefault="00C5630B" w:rsidP="00C613C9">
            <w:pPr>
              <w:jc w:val="center"/>
              <w:rPr>
                <w:rFonts w:cs="Arial"/>
                <w:sz w:val="18"/>
                <w:szCs w:val="18"/>
              </w:rPr>
            </w:pPr>
            <w:r>
              <w:rPr>
                <w:rFonts w:cs="Arial"/>
                <w:sz w:val="18"/>
                <w:szCs w:val="18"/>
              </w:rPr>
              <w:t>25</w:t>
            </w:r>
          </w:p>
        </w:tc>
        <w:tc>
          <w:tcPr>
            <w:tcW w:w="500" w:type="dxa"/>
            <w:vAlign w:val="center"/>
          </w:tcPr>
          <w:p w14:paraId="5153859E" w14:textId="77777777" w:rsidR="00C5630B" w:rsidRPr="00286917" w:rsidRDefault="00C5630B" w:rsidP="00C613C9">
            <w:pPr>
              <w:jc w:val="center"/>
              <w:rPr>
                <w:rFonts w:cs="Arial"/>
                <w:sz w:val="18"/>
                <w:szCs w:val="18"/>
              </w:rPr>
            </w:pPr>
          </w:p>
        </w:tc>
        <w:tc>
          <w:tcPr>
            <w:tcW w:w="500" w:type="dxa"/>
            <w:vAlign w:val="center"/>
          </w:tcPr>
          <w:p w14:paraId="0C39DC36"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22C1C6FB" w14:textId="77777777" w:rsidR="00C5630B" w:rsidRPr="00286917" w:rsidRDefault="00C5630B" w:rsidP="00C613C9">
            <w:pPr>
              <w:ind w:left="-113" w:right="-85"/>
              <w:jc w:val="center"/>
              <w:rPr>
                <w:sz w:val="18"/>
                <w:szCs w:val="18"/>
              </w:rPr>
            </w:pPr>
            <w:r>
              <w:rPr>
                <w:sz w:val="18"/>
                <w:szCs w:val="18"/>
              </w:rPr>
              <w:t>Planning</w:t>
            </w:r>
          </w:p>
        </w:tc>
        <w:tc>
          <w:tcPr>
            <w:tcW w:w="1100" w:type="dxa"/>
            <w:vAlign w:val="center"/>
          </w:tcPr>
          <w:p w14:paraId="7EFB49F8" w14:textId="77777777" w:rsidR="00C5630B" w:rsidRPr="00286917" w:rsidRDefault="00C5630B" w:rsidP="00C613C9">
            <w:pPr>
              <w:jc w:val="center"/>
              <w:rPr>
                <w:sz w:val="18"/>
                <w:szCs w:val="18"/>
              </w:rPr>
            </w:pPr>
            <w:r>
              <w:rPr>
                <w:sz w:val="18"/>
                <w:szCs w:val="18"/>
              </w:rPr>
              <w:t>Jun 2015</w:t>
            </w:r>
          </w:p>
        </w:tc>
        <w:tc>
          <w:tcPr>
            <w:tcW w:w="1000" w:type="dxa"/>
            <w:tcBorders>
              <w:bottom w:val="single" w:sz="4" w:space="0" w:color="auto"/>
            </w:tcBorders>
            <w:shd w:val="clear" w:color="auto" w:fill="auto"/>
            <w:vAlign w:val="center"/>
          </w:tcPr>
          <w:p w14:paraId="0951B78B" w14:textId="77777777" w:rsidR="00C5630B" w:rsidRPr="00286917" w:rsidRDefault="00C5630B" w:rsidP="00C613C9">
            <w:pPr>
              <w:jc w:val="center"/>
              <w:rPr>
                <w:sz w:val="18"/>
                <w:szCs w:val="18"/>
              </w:rPr>
            </w:pPr>
          </w:p>
        </w:tc>
        <w:tc>
          <w:tcPr>
            <w:tcW w:w="900" w:type="dxa"/>
            <w:shd w:val="clear" w:color="auto" w:fill="auto"/>
            <w:vAlign w:val="center"/>
          </w:tcPr>
          <w:p w14:paraId="1EFAFA22" w14:textId="77777777" w:rsidR="00C5630B" w:rsidRPr="00286917" w:rsidRDefault="00C5630B" w:rsidP="00C613C9">
            <w:pPr>
              <w:jc w:val="center"/>
              <w:rPr>
                <w:sz w:val="18"/>
                <w:szCs w:val="18"/>
              </w:rPr>
            </w:pPr>
          </w:p>
        </w:tc>
        <w:tc>
          <w:tcPr>
            <w:tcW w:w="1000" w:type="dxa"/>
            <w:shd w:val="clear" w:color="auto" w:fill="auto"/>
            <w:vAlign w:val="center"/>
          </w:tcPr>
          <w:p w14:paraId="1D5AAB64" w14:textId="77777777" w:rsidR="00C5630B" w:rsidRPr="00286917" w:rsidRDefault="00C5630B" w:rsidP="00C613C9">
            <w:pPr>
              <w:jc w:val="center"/>
              <w:rPr>
                <w:sz w:val="18"/>
                <w:szCs w:val="18"/>
              </w:rPr>
            </w:pPr>
            <w:r>
              <w:rPr>
                <w:sz w:val="18"/>
                <w:szCs w:val="18"/>
              </w:rPr>
              <w:t>Sep 2015</w:t>
            </w:r>
          </w:p>
        </w:tc>
        <w:tc>
          <w:tcPr>
            <w:tcW w:w="1000" w:type="dxa"/>
            <w:tcBorders>
              <w:bottom w:val="single" w:sz="4" w:space="0" w:color="auto"/>
            </w:tcBorders>
            <w:shd w:val="clear" w:color="auto" w:fill="auto"/>
            <w:vAlign w:val="center"/>
          </w:tcPr>
          <w:p w14:paraId="3A6DE848" w14:textId="77777777" w:rsidR="00C5630B" w:rsidRPr="00286917" w:rsidRDefault="00C5630B" w:rsidP="00C613C9">
            <w:pPr>
              <w:jc w:val="center"/>
              <w:rPr>
                <w:i/>
                <w:sz w:val="18"/>
                <w:szCs w:val="18"/>
              </w:rPr>
            </w:pPr>
          </w:p>
        </w:tc>
        <w:tc>
          <w:tcPr>
            <w:tcW w:w="1000" w:type="dxa"/>
            <w:shd w:val="clear" w:color="auto" w:fill="auto"/>
            <w:vAlign w:val="center"/>
          </w:tcPr>
          <w:p w14:paraId="2574DA8A" w14:textId="77777777" w:rsidR="00C5630B" w:rsidRPr="00286917" w:rsidRDefault="00C5630B" w:rsidP="00C613C9">
            <w:pPr>
              <w:jc w:val="center"/>
              <w:rPr>
                <w:sz w:val="18"/>
                <w:szCs w:val="18"/>
              </w:rPr>
            </w:pPr>
          </w:p>
        </w:tc>
        <w:tc>
          <w:tcPr>
            <w:tcW w:w="800" w:type="dxa"/>
            <w:shd w:val="clear" w:color="auto" w:fill="auto"/>
            <w:vAlign w:val="center"/>
          </w:tcPr>
          <w:p w14:paraId="0EF0A572" w14:textId="77777777" w:rsidR="00C5630B" w:rsidRPr="00286917" w:rsidRDefault="00C5630B" w:rsidP="00C613C9">
            <w:pPr>
              <w:jc w:val="center"/>
              <w:rPr>
                <w:sz w:val="18"/>
                <w:szCs w:val="18"/>
              </w:rPr>
            </w:pPr>
          </w:p>
        </w:tc>
        <w:tc>
          <w:tcPr>
            <w:tcW w:w="500" w:type="dxa"/>
            <w:shd w:val="clear" w:color="auto" w:fill="auto"/>
            <w:vAlign w:val="center"/>
          </w:tcPr>
          <w:p w14:paraId="4107BA90" w14:textId="77777777" w:rsidR="00C5630B" w:rsidRPr="00286917" w:rsidRDefault="00C5630B" w:rsidP="00C613C9">
            <w:pPr>
              <w:jc w:val="center"/>
              <w:rPr>
                <w:sz w:val="18"/>
                <w:szCs w:val="18"/>
              </w:rPr>
            </w:pPr>
          </w:p>
        </w:tc>
        <w:tc>
          <w:tcPr>
            <w:tcW w:w="500" w:type="dxa"/>
            <w:shd w:val="clear" w:color="auto" w:fill="auto"/>
            <w:vAlign w:val="center"/>
          </w:tcPr>
          <w:p w14:paraId="608D1056" w14:textId="77777777" w:rsidR="00C5630B" w:rsidRPr="00286917" w:rsidRDefault="00C5630B" w:rsidP="00C613C9">
            <w:pPr>
              <w:jc w:val="center"/>
              <w:rPr>
                <w:sz w:val="18"/>
                <w:szCs w:val="18"/>
              </w:rPr>
            </w:pPr>
          </w:p>
        </w:tc>
        <w:tc>
          <w:tcPr>
            <w:tcW w:w="500" w:type="dxa"/>
            <w:shd w:val="clear" w:color="auto" w:fill="auto"/>
            <w:vAlign w:val="center"/>
          </w:tcPr>
          <w:p w14:paraId="1EB88DE8" w14:textId="77777777" w:rsidR="00C5630B" w:rsidRPr="00286917" w:rsidRDefault="00C5630B" w:rsidP="00C613C9">
            <w:pPr>
              <w:jc w:val="center"/>
              <w:rPr>
                <w:sz w:val="18"/>
                <w:szCs w:val="18"/>
              </w:rPr>
            </w:pPr>
          </w:p>
        </w:tc>
        <w:tc>
          <w:tcPr>
            <w:tcW w:w="500" w:type="dxa"/>
            <w:shd w:val="clear" w:color="auto" w:fill="auto"/>
            <w:vAlign w:val="center"/>
          </w:tcPr>
          <w:p w14:paraId="2928CEE1" w14:textId="77777777" w:rsidR="00C5630B" w:rsidRPr="00286917" w:rsidRDefault="00C5630B" w:rsidP="00C613C9">
            <w:pPr>
              <w:jc w:val="center"/>
              <w:rPr>
                <w:sz w:val="18"/>
                <w:szCs w:val="18"/>
              </w:rPr>
            </w:pPr>
          </w:p>
        </w:tc>
      </w:tr>
      <w:tr w:rsidR="00C5630B" w:rsidRPr="008B4DDE" w14:paraId="57EBAC4C" w14:textId="77777777" w:rsidTr="00C613C9">
        <w:trPr>
          <w:trHeight w:val="454"/>
        </w:trPr>
        <w:tc>
          <w:tcPr>
            <w:tcW w:w="2157" w:type="dxa"/>
            <w:tcMar>
              <w:left w:w="85" w:type="dxa"/>
              <w:right w:w="85" w:type="dxa"/>
            </w:tcMar>
            <w:vAlign w:val="center"/>
          </w:tcPr>
          <w:p w14:paraId="0696D73F" w14:textId="77777777" w:rsidR="00C5630B" w:rsidRPr="00286917" w:rsidRDefault="00C5630B" w:rsidP="00C613C9">
            <w:pPr>
              <w:rPr>
                <w:sz w:val="18"/>
                <w:szCs w:val="18"/>
              </w:rPr>
            </w:pPr>
            <w:r>
              <w:rPr>
                <w:sz w:val="18"/>
                <w:szCs w:val="18"/>
              </w:rPr>
              <w:t>TP07 Scheme Reform – Training and Procedures</w:t>
            </w:r>
          </w:p>
        </w:tc>
        <w:tc>
          <w:tcPr>
            <w:tcW w:w="600" w:type="dxa"/>
            <w:vAlign w:val="center"/>
          </w:tcPr>
          <w:p w14:paraId="63CC30E6" w14:textId="77777777" w:rsidR="00C5630B" w:rsidRPr="00286917" w:rsidRDefault="00C5630B" w:rsidP="00C613C9">
            <w:pPr>
              <w:jc w:val="center"/>
              <w:rPr>
                <w:rFonts w:cs="Arial"/>
                <w:sz w:val="18"/>
                <w:szCs w:val="18"/>
              </w:rPr>
            </w:pPr>
            <w:r>
              <w:rPr>
                <w:rFonts w:cs="Arial"/>
                <w:sz w:val="18"/>
                <w:szCs w:val="18"/>
              </w:rPr>
              <w:t>HU</w:t>
            </w:r>
          </w:p>
        </w:tc>
        <w:tc>
          <w:tcPr>
            <w:tcW w:w="500" w:type="dxa"/>
            <w:vAlign w:val="center"/>
          </w:tcPr>
          <w:p w14:paraId="2B7CDD6B" w14:textId="77777777" w:rsidR="00C5630B" w:rsidRPr="00286917" w:rsidRDefault="00C5630B" w:rsidP="00C613C9">
            <w:pPr>
              <w:jc w:val="center"/>
              <w:rPr>
                <w:rFonts w:cs="Arial"/>
                <w:sz w:val="18"/>
                <w:szCs w:val="18"/>
              </w:rPr>
            </w:pPr>
            <w:r>
              <w:rPr>
                <w:rFonts w:cs="Arial"/>
                <w:sz w:val="18"/>
                <w:szCs w:val="18"/>
              </w:rPr>
              <w:t>30</w:t>
            </w:r>
          </w:p>
        </w:tc>
        <w:tc>
          <w:tcPr>
            <w:tcW w:w="500" w:type="dxa"/>
            <w:vAlign w:val="center"/>
          </w:tcPr>
          <w:p w14:paraId="704720FE" w14:textId="77777777" w:rsidR="00C5630B" w:rsidRPr="00286917" w:rsidRDefault="00C5630B" w:rsidP="00C613C9">
            <w:pPr>
              <w:jc w:val="center"/>
              <w:rPr>
                <w:rFonts w:cs="Arial"/>
                <w:sz w:val="18"/>
                <w:szCs w:val="18"/>
              </w:rPr>
            </w:pPr>
          </w:p>
        </w:tc>
        <w:tc>
          <w:tcPr>
            <w:tcW w:w="500" w:type="dxa"/>
            <w:vAlign w:val="center"/>
          </w:tcPr>
          <w:p w14:paraId="73C9A948" w14:textId="77777777" w:rsidR="00C5630B" w:rsidRPr="00286917" w:rsidRDefault="00C5630B" w:rsidP="00C613C9">
            <w:pPr>
              <w:jc w:val="center"/>
              <w:rPr>
                <w:rFonts w:cs="Arial"/>
                <w:sz w:val="18"/>
                <w:szCs w:val="18"/>
              </w:rPr>
            </w:pPr>
          </w:p>
        </w:tc>
        <w:tc>
          <w:tcPr>
            <w:tcW w:w="500" w:type="dxa"/>
            <w:vAlign w:val="center"/>
          </w:tcPr>
          <w:p w14:paraId="1A70167C"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591B591B" w14:textId="77777777" w:rsidR="00C5630B" w:rsidRPr="009D5D3F" w:rsidRDefault="00C5630B" w:rsidP="00C613C9">
            <w:pPr>
              <w:ind w:left="-113" w:right="-85"/>
              <w:jc w:val="center"/>
              <w:rPr>
                <w:sz w:val="18"/>
                <w:szCs w:val="18"/>
              </w:rPr>
            </w:pPr>
            <w:r>
              <w:rPr>
                <w:sz w:val="18"/>
                <w:szCs w:val="18"/>
              </w:rPr>
              <w:t>Final Report</w:t>
            </w:r>
          </w:p>
        </w:tc>
        <w:tc>
          <w:tcPr>
            <w:tcW w:w="1100" w:type="dxa"/>
            <w:vAlign w:val="center"/>
          </w:tcPr>
          <w:p w14:paraId="09363448" w14:textId="77777777" w:rsidR="00C5630B" w:rsidRPr="00286917" w:rsidRDefault="00C5630B" w:rsidP="00C613C9">
            <w:pPr>
              <w:jc w:val="center"/>
              <w:rPr>
                <w:sz w:val="18"/>
                <w:szCs w:val="18"/>
              </w:rPr>
            </w:pPr>
            <w:r>
              <w:rPr>
                <w:sz w:val="18"/>
                <w:szCs w:val="18"/>
              </w:rPr>
              <w:t>Feb 2015</w:t>
            </w:r>
          </w:p>
        </w:tc>
        <w:tc>
          <w:tcPr>
            <w:tcW w:w="1000" w:type="dxa"/>
            <w:tcBorders>
              <w:bottom w:val="single" w:sz="4" w:space="0" w:color="auto"/>
            </w:tcBorders>
            <w:shd w:val="clear" w:color="auto" w:fill="00B050"/>
            <w:vAlign w:val="center"/>
          </w:tcPr>
          <w:p w14:paraId="7F806EF7" w14:textId="77777777" w:rsidR="00C5630B" w:rsidRPr="00286917" w:rsidRDefault="00C5630B" w:rsidP="00C613C9">
            <w:pPr>
              <w:jc w:val="center"/>
              <w:rPr>
                <w:color w:val="000000"/>
                <w:sz w:val="18"/>
                <w:szCs w:val="18"/>
              </w:rPr>
            </w:pPr>
            <w:r>
              <w:rPr>
                <w:color w:val="000000"/>
                <w:sz w:val="18"/>
                <w:szCs w:val="18"/>
              </w:rPr>
              <w:t>Jan 2015</w:t>
            </w:r>
          </w:p>
        </w:tc>
        <w:tc>
          <w:tcPr>
            <w:tcW w:w="900" w:type="dxa"/>
            <w:shd w:val="clear" w:color="auto" w:fill="auto"/>
            <w:vAlign w:val="center"/>
          </w:tcPr>
          <w:p w14:paraId="7D2DFE80" w14:textId="77777777" w:rsidR="00C5630B" w:rsidRPr="00286917" w:rsidRDefault="00C5630B" w:rsidP="00C613C9">
            <w:pPr>
              <w:jc w:val="center"/>
              <w:rPr>
                <w:sz w:val="18"/>
                <w:szCs w:val="18"/>
              </w:rPr>
            </w:pPr>
            <w:r>
              <w:rPr>
                <w:sz w:val="18"/>
                <w:szCs w:val="18"/>
              </w:rPr>
              <w:t>04/03/15</w:t>
            </w:r>
          </w:p>
        </w:tc>
        <w:tc>
          <w:tcPr>
            <w:tcW w:w="1000" w:type="dxa"/>
            <w:shd w:val="clear" w:color="auto" w:fill="auto"/>
            <w:vAlign w:val="center"/>
          </w:tcPr>
          <w:p w14:paraId="68896F9B" w14:textId="77777777" w:rsidR="00C5630B" w:rsidRPr="00286917" w:rsidRDefault="00C5630B" w:rsidP="00C613C9">
            <w:pPr>
              <w:jc w:val="center"/>
              <w:rPr>
                <w:sz w:val="18"/>
                <w:szCs w:val="18"/>
              </w:rPr>
            </w:pPr>
            <w:r>
              <w:rPr>
                <w:sz w:val="18"/>
                <w:szCs w:val="18"/>
              </w:rPr>
              <w:t>Apr 2015</w:t>
            </w:r>
          </w:p>
        </w:tc>
        <w:tc>
          <w:tcPr>
            <w:tcW w:w="1000" w:type="dxa"/>
            <w:tcBorders>
              <w:bottom w:val="single" w:sz="4" w:space="0" w:color="auto"/>
            </w:tcBorders>
            <w:shd w:val="clear" w:color="auto" w:fill="00B050"/>
            <w:vAlign w:val="center"/>
          </w:tcPr>
          <w:p w14:paraId="7B8B77EE" w14:textId="77777777" w:rsidR="00C5630B" w:rsidRPr="00145B62" w:rsidRDefault="00C5630B" w:rsidP="00C613C9">
            <w:pPr>
              <w:jc w:val="center"/>
              <w:rPr>
                <w:sz w:val="18"/>
                <w:szCs w:val="18"/>
              </w:rPr>
            </w:pPr>
            <w:r>
              <w:rPr>
                <w:sz w:val="18"/>
                <w:szCs w:val="18"/>
              </w:rPr>
              <w:t>Apr 2015</w:t>
            </w:r>
          </w:p>
        </w:tc>
        <w:tc>
          <w:tcPr>
            <w:tcW w:w="1000" w:type="dxa"/>
            <w:shd w:val="clear" w:color="auto" w:fill="auto"/>
            <w:vAlign w:val="center"/>
          </w:tcPr>
          <w:p w14:paraId="3084D182" w14:textId="77777777" w:rsidR="00C5630B" w:rsidRPr="00286917" w:rsidRDefault="00C5630B" w:rsidP="00C613C9">
            <w:pPr>
              <w:jc w:val="center"/>
              <w:rPr>
                <w:sz w:val="18"/>
                <w:szCs w:val="18"/>
              </w:rPr>
            </w:pPr>
            <w:r>
              <w:rPr>
                <w:sz w:val="18"/>
                <w:szCs w:val="18"/>
              </w:rPr>
              <w:t>01/05/15</w:t>
            </w:r>
          </w:p>
        </w:tc>
        <w:tc>
          <w:tcPr>
            <w:tcW w:w="800" w:type="dxa"/>
            <w:shd w:val="clear" w:color="auto" w:fill="auto"/>
            <w:vAlign w:val="center"/>
          </w:tcPr>
          <w:p w14:paraId="72663F37" w14:textId="77777777" w:rsidR="00C5630B" w:rsidRPr="0001754C" w:rsidRDefault="00C5630B" w:rsidP="00C613C9">
            <w:pPr>
              <w:jc w:val="center"/>
              <w:rPr>
                <w:sz w:val="18"/>
                <w:szCs w:val="18"/>
              </w:rPr>
            </w:pPr>
            <w:r>
              <w:rPr>
                <w:sz w:val="18"/>
                <w:szCs w:val="18"/>
              </w:rPr>
              <w:t>E</w:t>
            </w:r>
          </w:p>
        </w:tc>
        <w:tc>
          <w:tcPr>
            <w:tcW w:w="500" w:type="dxa"/>
            <w:shd w:val="clear" w:color="auto" w:fill="auto"/>
            <w:vAlign w:val="center"/>
          </w:tcPr>
          <w:p w14:paraId="57941CC3" w14:textId="77777777" w:rsidR="00C5630B" w:rsidRPr="00F814A4" w:rsidRDefault="00C5630B" w:rsidP="00C613C9">
            <w:pPr>
              <w:jc w:val="center"/>
              <w:rPr>
                <w:sz w:val="18"/>
                <w:szCs w:val="18"/>
              </w:rPr>
            </w:pPr>
            <w:r>
              <w:rPr>
                <w:sz w:val="18"/>
                <w:szCs w:val="18"/>
              </w:rPr>
              <w:t>-</w:t>
            </w:r>
          </w:p>
        </w:tc>
        <w:tc>
          <w:tcPr>
            <w:tcW w:w="500" w:type="dxa"/>
            <w:shd w:val="clear" w:color="auto" w:fill="auto"/>
            <w:vAlign w:val="center"/>
          </w:tcPr>
          <w:p w14:paraId="68204160" w14:textId="77777777" w:rsidR="00C5630B" w:rsidRPr="00F814A4" w:rsidRDefault="00C5630B" w:rsidP="00C613C9">
            <w:pPr>
              <w:jc w:val="center"/>
              <w:rPr>
                <w:sz w:val="18"/>
                <w:szCs w:val="18"/>
              </w:rPr>
            </w:pPr>
            <w:r>
              <w:rPr>
                <w:sz w:val="18"/>
                <w:szCs w:val="18"/>
              </w:rPr>
              <w:t>-</w:t>
            </w:r>
          </w:p>
        </w:tc>
        <w:tc>
          <w:tcPr>
            <w:tcW w:w="500" w:type="dxa"/>
            <w:shd w:val="clear" w:color="auto" w:fill="auto"/>
            <w:vAlign w:val="center"/>
          </w:tcPr>
          <w:p w14:paraId="3878E63A" w14:textId="77777777" w:rsidR="00C5630B" w:rsidRPr="00F814A4" w:rsidRDefault="00C5630B" w:rsidP="00C613C9">
            <w:pPr>
              <w:jc w:val="center"/>
              <w:rPr>
                <w:sz w:val="18"/>
                <w:szCs w:val="18"/>
              </w:rPr>
            </w:pPr>
            <w:r>
              <w:rPr>
                <w:sz w:val="18"/>
                <w:szCs w:val="18"/>
              </w:rPr>
              <w:t>1</w:t>
            </w:r>
          </w:p>
        </w:tc>
        <w:tc>
          <w:tcPr>
            <w:tcW w:w="500" w:type="dxa"/>
            <w:shd w:val="clear" w:color="auto" w:fill="auto"/>
            <w:vAlign w:val="center"/>
          </w:tcPr>
          <w:p w14:paraId="11251D8F" w14:textId="77777777" w:rsidR="00C5630B" w:rsidRPr="00F814A4" w:rsidRDefault="00C5630B" w:rsidP="00C613C9">
            <w:pPr>
              <w:jc w:val="center"/>
              <w:rPr>
                <w:sz w:val="18"/>
                <w:szCs w:val="18"/>
              </w:rPr>
            </w:pPr>
            <w:r>
              <w:rPr>
                <w:sz w:val="18"/>
                <w:szCs w:val="18"/>
              </w:rPr>
              <w:t>2</w:t>
            </w:r>
          </w:p>
        </w:tc>
      </w:tr>
      <w:tr w:rsidR="00C5630B" w:rsidRPr="008B4DDE" w14:paraId="04A8F828" w14:textId="77777777" w:rsidTr="00C613C9">
        <w:trPr>
          <w:trHeight w:val="454"/>
        </w:trPr>
        <w:tc>
          <w:tcPr>
            <w:tcW w:w="2157" w:type="dxa"/>
            <w:tcMar>
              <w:left w:w="85" w:type="dxa"/>
              <w:right w:w="85" w:type="dxa"/>
            </w:tcMar>
            <w:vAlign w:val="center"/>
          </w:tcPr>
          <w:p w14:paraId="073DC60A" w14:textId="77777777" w:rsidR="00C5630B" w:rsidRPr="00286917" w:rsidRDefault="00C5630B" w:rsidP="00C613C9">
            <w:pPr>
              <w:rPr>
                <w:color w:val="000000"/>
                <w:sz w:val="18"/>
                <w:szCs w:val="18"/>
              </w:rPr>
            </w:pPr>
            <w:r>
              <w:rPr>
                <w:color w:val="000000"/>
                <w:sz w:val="18"/>
                <w:szCs w:val="18"/>
              </w:rPr>
              <w:t xml:space="preserve">TP08 Scheme Reform – Flexibilities </w:t>
            </w:r>
          </w:p>
        </w:tc>
        <w:tc>
          <w:tcPr>
            <w:tcW w:w="600" w:type="dxa"/>
            <w:vAlign w:val="center"/>
          </w:tcPr>
          <w:p w14:paraId="67E32CB8" w14:textId="77777777" w:rsidR="00C5630B" w:rsidRPr="00286917" w:rsidRDefault="00C5630B" w:rsidP="00C613C9">
            <w:pPr>
              <w:jc w:val="center"/>
              <w:rPr>
                <w:rFonts w:cs="Arial"/>
                <w:color w:val="000000"/>
                <w:sz w:val="18"/>
                <w:szCs w:val="18"/>
              </w:rPr>
            </w:pPr>
            <w:r>
              <w:rPr>
                <w:rFonts w:cs="Arial"/>
                <w:color w:val="000000"/>
                <w:sz w:val="18"/>
                <w:szCs w:val="18"/>
              </w:rPr>
              <w:t>HU</w:t>
            </w:r>
          </w:p>
        </w:tc>
        <w:tc>
          <w:tcPr>
            <w:tcW w:w="500" w:type="dxa"/>
            <w:vAlign w:val="center"/>
          </w:tcPr>
          <w:p w14:paraId="11378CCD" w14:textId="77777777" w:rsidR="00C5630B" w:rsidRPr="00286917" w:rsidRDefault="00C5630B" w:rsidP="00C613C9">
            <w:pPr>
              <w:jc w:val="center"/>
              <w:rPr>
                <w:rFonts w:cs="Arial"/>
                <w:color w:val="000000"/>
                <w:sz w:val="18"/>
                <w:szCs w:val="18"/>
              </w:rPr>
            </w:pPr>
            <w:r>
              <w:rPr>
                <w:rFonts w:cs="Arial"/>
                <w:color w:val="000000"/>
                <w:sz w:val="18"/>
                <w:szCs w:val="18"/>
              </w:rPr>
              <w:t>25</w:t>
            </w:r>
          </w:p>
        </w:tc>
        <w:tc>
          <w:tcPr>
            <w:tcW w:w="500" w:type="dxa"/>
            <w:vAlign w:val="center"/>
          </w:tcPr>
          <w:p w14:paraId="1B2154EA" w14:textId="77777777" w:rsidR="00C5630B" w:rsidRPr="00286917" w:rsidRDefault="00C5630B" w:rsidP="00C613C9">
            <w:pPr>
              <w:jc w:val="center"/>
              <w:rPr>
                <w:rFonts w:cs="Arial"/>
                <w:color w:val="000000"/>
                <w:sz w:val="18"/>
                <w:szCs w:val="18"/>
              </w:rPr>
            </w:pPr>
          </w:p>
        </w:tc>
        <w:tc>
          <w:tcPr>
            <w:tcW w:w="500" w:type="dxa"/>
            <w:vAlign w:val="center"/>
          </w:tcPr>
          <w:p w14:paraId="68C35093" w14:textId="77777777" w:rsidR="00C5630B" w:rsidRPr="00286917" w:rsidRDefault="00C5630B" w:rsidP="00C613C9">
            <w:pPr>
              <w:jc w:val="center"/>
              <w:rPr>
                <w:rFonts w:cs="Arial"/>
                <w:color w:val="000000"/>
                <w:sz w:val="18"/>
                <w:szCs w:val="18"/>
              </w:rPr>
            </w:pPr>
          </w:p>
        </w:tc>
        <w:tc>
          <w:tcPr>
            <w:tcW w:w="500" w:type="dxa"/>
            <w:vAlign w:val="center"/>
          </w:tcPr>
          <w:p w14:paraId="27F700C1" w14:textId="77777777" w:rsidR="00C5630B" w:rsidRPr="00286917" w:rsidRDefault="00C5630B" w:rsidP="00C613C9">
            <w:pPr>
              <w:jc w:val="center"/>
              <w:rPr>
                <w:rFonts w:cs="Arial"/>
                <w:color w:val="000000"/>
                <w:sz w:val="18"/>
                <w:szCs w:val="18"/>
              </w:rPr>
            </w:pPr>
          </w:p>
        </w:tc>
        <w:tc>
          <w:tcPr>
            <w:tcW w:w="1100" w:type="dxa"/>
            <w:tcMar>
              <w:left w:w="113" w:type="dxa"/>
              <w:right w:w="85" w:type="dxa"/>
            </w:tcMar>
            <w:vAlign w:val="center"/>
          </w:tcPr>
          <w:p w14:paraId="49E4AE6D" w14:textId="77777777" w:rsidR="00C5630B" w:rsidRPr="00286917" w:rsidRDefault="00C5630B" w:rsidP="00C613C9">
            <w:pPr>
              <w:ind w:left="-135" w:right="-97"/>
              <w:jc w:val="center"/>
              <w:rPr>
                <w:color w:val="000000"/>
                <w:sz w:val="18"/>
                <w:szCs w:val="18"/>
              </w:rPr>
            </w:pPr>
            <w:r>
              <w:rPr>
                <w:color w:val="000000"/>
                <w:sz w:val="18"/>
                <w:szCs w:val="18"/>
              </w:rPr>
              <w:t>Draft Report</w:t>
            </w:r>
          </w:p>
        </w:tc>
        <w:tc>
          <w:tcPr>
            <w:tcW w:w="1100" w:type="dxa"/>
            <w:vAlign w:val="center"/>
          </w:tcPr>
          <w:p w14:paraId="65045BEB" w14:textId="77777777" w:rsidR="00C5630B" w:rsidRPr="00286917" w:rsidRDefault="00C5630B" w:rsidP="00C613C9">
            <w:pPr>
              <w:jc w:val="center"/>
              <w:rPr>
                <w:sz w:val="18"/>
                <w:szCs w:val="18"/>
              </w:rPr>
            </w:pPr>
            <w:r>
              <w:rPr>
                <w:sz w:val="18"/>
                <w:szCs w:val="18"/>
              </w:rPr>
              <w:t xml:space="preserve"> Mar 2015</w:t>
            </w:r>
          </w:p>
        </w:tc>
        <w:tc>
          <w:tcPr>
            <w:tcW w:w="1000" w:type="dxa"/>
            <w:tcBorders>
              <w:bottom w:val="single" w:sz="4" w:space="0" w:color="auto"/>
            </w:tcBorders>
            <w:shd w:val="clear" w:color="auto" w:fill="00B050"/>
            <w:vAlign w:val="center"/>
          </w:tcPr>
          <w:p w14:paraId="73473BC8" w14:textId="77777777" w:rsidR="00C5630B" w:rsidRPr="00286917" w:rsidRDefault="00C5630B" w:rsidP="00C613C9">
            <w:pPr>
              <w:jc w:val="center"/>
              <w:rPr>
                <w:sz w:val="18"/>
                <w:szCs w:val="18"/>
              </w:rPr>
            </w:pPr>
            <w:r>
              <w:rPr>
                <w:sz w:val="18"/>
                <w:szCs w:val="18"/>
              </w:rPr>
              <w:t>Jan 2015</w:t>
            </w:r>
          </w:p>
        </w:tc>
        <w:tc>
          <w:tcPr>
            <w:tcW w:w="900" w:type="dxa"/>
            <w:shd w:val="clear" w:color="auto" w:fill="auto"/>
            <w:vAlign w:val="center"/>
          </w:tcPr>
          <w:p w14:paraId="0ECD59B3" w14:textId="77777777" w:rsidR="00C5630B" w:rsidRPr="00286917" w:rsidRDefault="00C5630B" w:rsidP="00C613C9">
            <w:pPr>
              <w:jc w:val="center"/>
              <w:rPr>
                <w:sz w:val="18"/>
                <w:szCs w:val="18"/>
              </w:rPr>
            </w:pPr>
            <w:r>
              <w:rPr>
                <w:sz w:val="18"/>
                <w:szCs w:val="18"/>
              </w:rPr>
              <w:t>04/03/15</w:t>
            </w:r>
          </w:p>
        </w:tc>
        <w:tc>
          <w:tcPr>
            <w:tcW w:w="1000" w:type="dxa"/>
            <w:shd w:val="clear" w:color="auto" w:fill="auto"/>
            <w:vAlign w:val="center"/>
          </w:tcPr>
          <w:p w14:paraId="76F6ED09" w14:textId="77777777" w:rsidR="00C5630B" w:rsidRPr="00286917" w:rsidRDefault="00C5630B" w:rsidP="00C613C9">
            <w:pPr>
              <w:rPr>
                <w:sz w:val="18"/>
                <w:szCs w:val="18"/>
              </w:rPr>
            </w:pPr>
            <w:r>
              <w:rPr>
                <w:sz w:val="18"/>
                <w:szCs w:val="18"/>
              </w:rPr>
              <w:t xml:space="preserve"> May 2015</w:t>
            </w:r>
          </w:p>
        </w:tc>
        <w:tc>
          <w:tcPr>
            <w:tcW w:w="1000" w:type="dxa"/>
            <w:tcBorders>
              <w:bottom w:val="single" w:sz="4" w:space="0" w:color="auto"/>
            </w:tcBorders>
            <w:shd w:val="clear" w:color="auto" w:fill="auto"/>
            <w:vAlign w:val="center"/>
          </w:tcPr>
          <w:p w14:paraId="79F05745" w14:textId="77777777" w:rsidR="00C5630B" w:rsidRPr="00286917" w:rsidRDefault="00C5630B" w:rsidP="00C613C9">
            <w:pPr>
              <w:jc w:val="center"/>
              <w:rPr>
                <w:sz w:val="18"/>
                <w:szCs w:val="18"/>
              </w:rPr>
            </w:pPr>
          </w:p>
        </w:tc>
        <w:tc>
          <w:tcPr>
            <w:tcW w:w="1000" w:type="dxa"/>
            <w:shd w:val="clear" w:color="auto" w:fill="auto"/>
            <w:vAlign w:val="center"/>
          </w:tcPr>
          <w:p w14:paraId="1450EC94" w14:textId="77777777" w:rsidR="00C5630B" w:rsidRPr="00286917" w:rsidRDefault="00C5630B" w:rsidP="00C613C9">
            <w:pPr>
              <w:jc w:val="center"/>
              <w:rPr>
                <w:sz w:val="18"/>
                <w:szCs w:val="18"/>
              </w:rPr>
            </w:pPr>
          </w:p>
        </w:tc>
        <w:tc>
          <w:tcPr>
            <w:tcW w:w="800" w:type="dxa"/>
            <w:tcBorders>
              <w:bottom w:val="single" w:sz="4" w:space="0" w:color="auto"/>
            </w:tcBorders>
            <w:shd w:val="clear" w:color="auto" w:fill="auto"/>
            <w:vAlign w:val="center"/>
          </w:tcPr>
          <w:p w14:paraId="7F909CA3" w14:textId="77777777" w:rsidR="00C5630B" w:rsidRPr="00286917" w:rsidRDefault="00C5630B" w:rsidP="00C613C9">
            <w:pPr>
              <w:jc w:val="center"/>
              <w:rPr>
                <w:i/>
                <w:sz w:val="18"/>
                <w:szCs w:val="18"/>
              </w:rPr>
            </w:pPr>
          </w:p>
        </w:tc>
        <w:tc>
          <w:tcPr>
            <w:tcW w:w="500" w:type="dxa"/>
            <w:shd w:val="clear" w:color="auto" w:fill="auto"/>
            <w:vAlign w:val="center"/>
          </w:tcPr>
          <w:p w14:paraId="69D6263A" w14:textId="77777777" w:rsidR="00C5630B" w:rsidRPr="00286917" w:rsidRDefault="00C5630B" w:rsidP="00C613C9">
            <w:pPr>
              <w:jc w:val="center"/>
              <w:rPr>
                <w:i/>
                <w:sz w:val="18"/>
                <w:szCs w:val="18"/>
              </w:rPr>
            </w:pPr>
          </w:p>
        </w:tc>
        <w:tc>
          <w:tcPr>
            <w:tcW w:w="500" w:type="dxa"/>
            <w:shd w:val="clear" w:color="auto" w:fill="auto"/>
            <w:vAlign w:val="center"/>
          </w:tcPr>
          <w:p w14:paraId="5785796D" w14:textId="77777777" w:rsidR="00C5630B" w:rsidRPr="00286917" w:rsidRDefault="00C5630B" w:rsidP="00C613C9">
            <w:pPr>
              <w:jc w:val="center"/>
              <w:rPr>
                <w:i/>
                <w:sz w:val="18"/>
                <w:szCs w:val="18"/>
              </w:rPr>
            </w:pPr>
          </w:p>
        </w:tc>
        <w:tc>
          <w:tcPr>
            <w:tcW w:w="500" w:type="dxa"/>
            <w:shd w:val="clear" w:color="auto" w:fill="auto"/>
            <w:vAlign w:val="center"/>
          </w:tcPr>
          <w:p w14:paraId="36903C31" w14:textId="77777777" w:rsidR="00C5630B" w:rsidRPr="00286917" w:rsidRDefault="00C5630B" w:rsidP="00C613C9">
            <w:pPr>
              <w:jc w:val="center"/>
              <w:rPr>
                <w:i/>
                <w:sz w:val="18"/>
                <w:szCs w:val="18"/>
              </w:rPr>
            </w:pPr>
          </w:p>
        </w:tc>
        <w:tc>
          <w:tcPr>
            <w:tcW w:w="500" w:type="dxa"/>
            <w:shd w:val="clear" w:color="auto" w:fill="auto"/>
            <w:vAlign w:val="center"/>
          </w:tcPr>
          <w:p w14:paraId="5661E55D" w14:textId="77777777" w:rsidR="00C5630B" w:rsidRPr="00286917" w:rsidRDefault="00C5630B" w:rsidP="00C613C9">
            <w:pPr>
              <w:jc w:val="center"/>
              <w:rPr>
                <w:i/>
                <w:sz w:val="18"/>
                <w:szCs w:val="18"/>
              </w:rPr>
            </w:pPr>
          </w:p>
        </w:tc>
      </w:tr>
      <w:tr w:rsidR="00C5630B" w:rsidRPr="008B4DDE" w14:paraId="5F19EAA6" w14:textId="77777777" w:rsidTr="00C613C9">
        <w:trPr>
          <w:trHeight w:val="454"/>
        </w:trPr>
        <w:tc>
          <w:tcPr>
            <w:tcW w:w="2157" w:type="dxa"/>
            <w:tcMar>
              <w:left w:w="85" w:type="dxa"/>
              <w:right w:w="85" w:type="dxa"/>
            </w:tcMar>
            <w:vAlign w:val="center"/>
          </w:tcPr>
          <w:p w14:paraId="6144C210" w14:textId="77777777" w:rsidR="00C5630B" w:rsidRPr="00286917" w:rsidRDefault="00C5630B" w:rsidP="00C613C9">
            <w:pPr>
              <w:jc w:val="both"/>
              <w:rPr>
                <w:sz w:val="18"/>
                <w:szCs w:val="18"/>
              </w:rPr>
            </w:pPr>
            <w:r>
              <w:rPr>
                <w:sz w:val="18"/>
                <w:szCs w:val="18"/>
              </w:rPr>
              <w:t xml:space="preserve">IT01 Hartlink Change Management </w:t>
            </w:r>
          </w:p>
        </w:tc>
        <w:tc>
          <w:tcPr>
            <w:tcW w:w="600" w:type="dxa"/>
            <w:vAlign w:val="center"/>
          </w:tcPr>
          <w:p w14:paraId="25D5CE1C" w14:textId="77777777" w:rsidR="00C5630B" w:rsidRPr="00286917" w:rsidRDefault="00C5630B" w:rsidP="00C613C9">
            <w:pPr>
              <w:jc w:val="center"/>
              <w:rPr>
                <w:sz w:val="18"/>
                <w:szCs w:val="18"/>
              </w:rPr>
            </w:pPr>
            <w:r>
              <w:rPr>
                <w:sz w:val="18"/>
                <w:szCs w:val="18"/>
              </w:rPr>
              <w:t>IT</w:t>
            </w:r>
          </w:p>
        </w:tc>
        <w:tc>
          <w:tcPr>
            <w:tcW w:w="500" w:type="dxa"/>
            <w:vAlign w:val="center"/>
          </w:tcPr>
          <w:p w14:paraId="1650CA09" w14:textId="77777777" w:rsidR="00C5630B" w:rsidRPr="00286917" w:rsidRDefault="00C5630B" w:rsidP="00C613C9">
            <w:pPr>
              <w:jc w:val="center"/>
              <w:rPr>
                <w:rFonts w:cs="Arial"/>
                <w:sz w:val="18"/>
                <w:szCs w:val="18"/>
              </w:rPr>
            </w:pPr>
          </w:p>
        </w:tc>
        <w:tc>
          <w:tcPr>
            <w:tcW w:w="500" w:type="dxa"/>
            <w:vAlign w:val="center"/>
          </w:tcPr>
          <w:p w14:paraId="34638826" w14:textId="77777777" w:rsidR="00C5630B" w:rsidRPr="00286917" w:rsidRDefault="00C5630B" w:rsidP="00C613C9">
            <w:pPr>
              <w:jc w:val="center"/>
              <w:rPr>
                <w:rFonts w:cs="Arial"/>
                <w:sz w:val="18"/>
                <w:szCs w:val="18"/>
              </w:rPr>
            </w:pPr>
            <w:r>
              <w:rPr>
                <w:rFonts w:cs="Arial"/>
                <w:sz w:val="18"/>
                <w:szCs w:val="18"/>
              </w:rPr>
              <w:t>30</w:t>
            </w:r>
          </w:p>
        </w:tc>
        <w:tc>
          <w:tcPr>
            <w:tcW w:w="500" w:type="dxa"/>
            <w:vAlign w:val="center"/>
          </w:tcPr>
          <w:p w14:paraId="696ADB37" w14:textId="77777777" w:rsidR="00C5630B" w:rsidRPr="00286917" w:rsidRDefault="00C5630B" w:rsidP="00C613C9">
            <w:pPr>
              <w:jc w:val="center"/>
              <w:rPr>
                <w:rFonts w:cs="Arial"/>
                <w:sz w:val="18"/>
                <w:szCs w:val="18"/>
              </w:rPr>
            </w:pPr>
          </w:p>
        </w:tc>
        <w:tc>
          <w:tcPr>
            <w:tcW w:w="500" w:type="dxa"/>
            <w:vAlign w:val="center"/>
          </w:tcPr>
          <w:p w14:paraId="4368BCC6"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241ED212" w14:textId="77777777" w:rsidR="00C5630B" w:rsidRDefault="00C5630B" w:rsidP="00C613C9">
            <w:pPr>
              <w:ind w:left="-113" w:right="-85"/>
              <w:jc w:val="center"/>
              <w:rPr>
                <w:sz w:val="18"/>
                <w:szCs w:val="18"/>
              </w:rPr>
            </w:pPr>
            <w:r>
              <w:rPr>
                <w:sz w:val="18"/>
                <w:szCs w:val="18"/>
              </w:rPr>
              <w:t>Fieldwork</w:t>
            </w:r>
          </w:p>
        </w:tc>
        <w:tc>
          <w:tcPr>
            <w:tcW w:w="1100" w:type="dxa"/>
            <w:vAlign w:val="center"/>
          </w:tcPr>
          <w:p w14:paraId="4D6DC3B8" w14:textId="77777777" w:rsidR="00C5630B" w:rsidRDefault="00C5630B" w:rsidP="00C613C9">
            <w:pPr>
              <w:jc w:val="center"/>
              <w:rPr>
                <w:color w:val="000000"/>
                <w:sz w:val="18"/>
                <w:szCs w:val="18"/>
              </w:rPr>
            </w:pPr>
            <w:r>
              <w:rPr>
                <w:color w:val="000000"/>
                <w:sz w:val="18"/>
                <w:szCs w:val="18"/>
              </w:rPr>
              <w:t>May 2015</w:t>
            </w:r>
          </w:p>
        </w:tc>
        <w:tc>
          <w:tcPr>
            <w:tcW w:w="1000" w:type="dxa"/>
            <w:tcBorders>
              <w:bottom w:val="single" w:sz="4" w:space="0" w:color="auto"/>
            </w:tcBorders>
            <w:shd w:val="clear" w:color="auto" w:fill="00B050"/>
            <w:vAlign w:val="center"/>
          </w:tcPr>
          <w:p w14:paraId="06FA591E" w14:textId="77777777" w:rsidR="00C5630B" w:rsidRPr="00286917" w:rsidRDefault="00C5630B" w:rsidP="00C613C9">
            <w:pPr>
              <w:jc w:val="center"/>
              <w:rPr>
                <w:sz w:val="18"/>
                <w:szCs w:val="18"/>
              </w:rPr>
            </w:pPr>
            <w:r>
              <w:rPr>
                <w:sz w:val="18"/>
                <w:szCs w:val="18"/>
              </w:rPr>
              <w:t>Mar 2015</w:t>
            </w:r>
          </w:p>
        </w:tc>
        <w:tc>
          <w:tcPr>
            <w:tcW w:w="900" w:type="dxa"/>
            <w:shd w:val="clear" w:color="auto" w:fill="auto"/>
            <w:vAlign w:val="center"/>
          </w:tcPr>
          <w:p w14:paraId="4D397D42" w14:textId="77777777" w:rsidR="00C5630B" w:rsidRPr="00286917" w:rsidRDefault="00C5630B" w:rsidP="00C613C9">
            <w:pPr>
              <w:jc w:val="center"/>
              <w:rPr>
                <w:sz w:val="18"/>
                <w:szCs w:val="18"/>
              </w:rPr>
            </w:pPr>
            <w:r>
              <w:rPr>
                <w:sz w:val="18"/>
                <w:szCs w:val="18"/>
              </w:rPr>
              <w:t>24/03/15</w:t>
            </w:r>
          </w:p>
        </w:tc>
        <w:tc>
          <w:tcPr>
            <w:tcW w:w="1000" w:type="dxa"/>
            <w:shd w:val="clear" w:color="auto" w:fill="auto"/>
            <w:vAlign w:val="center"/>
          </w:tcPr>
          <w:p w14:paraId="31873102" w14:textId="77777777" w:rsidR="00C5630B" w:rsidRDefault="00C5630B" w:rsidP="00C613C9">
            <w:pPr>
              <w:jc w:val="center"/>
              <w:rPr>
                <w:sz w:val="18"/>
                <w:szCs w:val="18"/>
              </w:rPr>
            </w:pPr>
            <w:r>
              <w:rPr>
                <w:sz w:val="18"/>
                <w:szCs w:val="18"/>
              </w:rPr>
              <w:t>Jun 2015</w:t>
            </w:r>
          </w:p>
        </w:tc>
        <w:tc>
          <w:tcPr>
            <w:tcW w:w="1000" w:type="dxa"/>
            <w:shd w:val="clear" w:color="auto" w:fill="auto"/>
            <w:vAlign w:val="center"/>
          </w:tcPr>
          <w:p w14:paraId="2A6FE003" w14:textId="77777777" w:rsidR="00C5630B" w:rsidRPr="00286917" w:rsidRDefault="00C5630B" w:rsidP="00C613C9">
            <w:pPr>
              <w:jc w:val="center"/>
              <w:rPr>
                <w:sz w:val="18"/>
                <w:szCs w:val="18"/>
              </w:rPr>
            </w:pPr>
          </w:p>
        </w:tc>
        <w:tc>
          <w:tcPr>
            <w:tcW w:w="1000" w:type="dxa"/>
            <w:shd w:val="clear" w:color="auto" w:fill="auto"/>
            <w:vAlign w:val="center"/>
          </w:tcPr>
          <w:p w14:paraId="20F1951B" w14:textId="77777777" w:rsidR="00C5630B" w:rsidRPr="00286917" w:rsidRDefault="00C5630B" w:rsidP="00C613C9">
            <w:pPr>
              <w:jc w:val="center"/>
              <w:rPr>
                <w:sz w:val="18"/>
                <w:szCs w:val="18"/>
              </w:rPr>
            </w:pPr>
          </w:p>
        </w:tc>
        <w:tc>
          <w:tcPr>
            <w:tcW w:w="800" w:type="dxa"/>
            <w:shd w:val="clear" w:color="auto" w:fill="auto"/>
            <w:vAlign w:val="center"/>
          </w:tcPr>
          <w:p w14:paraId="6EF1E142" w14:textId="77777777" w:rsidR="00C5630B" w:rsidRPr="00286917" w:rsidRDefault="00C5630B" w:rsidP="00C613C9">
            <w:pPr>
              <w:jc w:val="center"/>
              <w:rPr>
                <w:sz w:val="18"/>
                <w:szCs w:val="18"/>
              </w:rPr>
            </w:pPr>
          </w:p>
        </w:tc>
        <w:tc>
          <w:tcPr>
            <w:tcW w:w="500" w:type="dxa"/>
            <w:shd w:val="clear" w:color="auto" w:fill="auto"/>
            <w:vAlign w:val="center"/>
          </w:tcPr>
          <w:p w14:paraId="505B8082" w14:textId="77777777" w:rsidR="00C5630B" w:rsidRPr="00286917" w:rsidRDefault="00C5630B" w:rsidP="00C613C9">
            <w:pPr>
              <w:jc w:val="center"/>
              <w:rPr>
                <w:sz w:val="18"/>
                <w:szCs w:val="18"/>
              </w:rPr>
            </w:pPr>
          </w:p>
        </w:tc>
        <w:tc>
          <w:tcPr>
            <w:tcW w:w="500" w:type="dxa"/>
            <w:shd w:val="clear" w:color="auto" w:fill="auto"/>
            <w:vAlign w:val="center"/>
          </w:tcPr>
          <w:p w14:paraId="615DEBD8" w14:textId="77777777" w:rsidR="00C5630B" w:rsidRPr="00286917" w:rsidRDefault="00C5630B" w:rsidP="00C613C9">
            <w:pPr>
              <w:jc w:val="center"/>
              <w:rPr>
                <w:sz w:val="18"/>
                <w:szCs w:val="18"/>
              </w:rPr>
            </w:pPr>
          </w:p>
        </w:tc>
        <w:tc>
          <w:tcPr>
            <w:tcW w:w="500" w:type="dxa"/>
            <w:shd w:val="clear" w:color="auto" w:fill="auto"/>
            <w:vAlign w:val="center"/>
          </w:tcPr>
          <w:p w14:paraId="6B2D9788" w14:textId="77777777" w:rsidR="00C5630B" w:rsidRPr="00286917" w:rsidRDefault="00C5630B" w:rsidP="00C613C9">
            <w:pPr>
              <w:jc w:val="center"/>
              <w:rPr>
                <w:sz w:val="18"/>
                <w:szCs w:val="18"/>
              </w:rPr>
            </w:pPr>
          </w:p>
        </w:tc>
        <w:tc>
          <w:tcPr>
            <w:tcW w:w="500" w:type="dxa"/>
            <w:shd w:val="clear" w:color="auto" w:fill="auto"/>
            <w:vAlign w:val="center"/>
          </w:tcPr>
          <w:p w14:paraId="4F1B22FC" w14:textId="77777777" w:rsidR="00C5630B" w:rsidRPr="00286917" w:rsidRDefault="00C5630B" w:rsidP="00C613C9">
            <w:pPr>
              <w:jc w:val="center"/>
              <w:rPr>
                <w:sz w:val="18"/>
                <w:szCs w:val="18"/>
              </w:rPr>
            </w:pPr>
          </w:p>
        </w:tc>
      </w:tr>
      <w:tr w:rsidR="00C5630B" w:rsidRPr="008B4DDE" w14:paraId="245F649F" w14:textId="77777777" w:rsidTr="00C613C9">
        <w:trPr>
          <w:trHeight w:val="454"/>
        </w:trPr>
        <w:tc>
          <w:tcPr>
            <w:tcW w:w="2157" w:type="dxa"/>
            <w:tcMar>
              <w:left w:w="85" w:type="dxa"/>
              <w:right w:w="85" w:type="dxa"/>
            </w:tcMar>
            <w:vAlign w:val="center"/>
          </w:tcPr>
          <w:p w14:paraId="004BB8A0" w14:textId="77777777" w:rsidR="00C5630B" w:rsidRPr="00286917" w:rsidRDefault="00C5630B" w:rsidP="00C613C9">
            <w:pPr>
              <w:jc w:val="both"/>
              <w:rPr>
                <w:sz w:val="18"/>
                <w:szCs w:val="18"/>
              </w:rPr>
            </w:pPr>
            <w:r>
              <w:rPr>
                <w:sz w:val="18"/>
                <w:szCs w:val="18"/>
              </w:rPr>
              <w:t xml:space="preserve">IT02 RMH Environment </w:t>
            </w:r>
          </w:p>
        </w:tc>
        <w:tc>
          <w:tcPr>
            <w:tcW w:w="600" w:type="dxa"/>
            <w:vAlign w:val="center"/>
          </w:tcPr>
          <w:p w14:paraId="73F68F30" w14:textId="77777777" w:rsidR="00C5630B" w:rsidRPr="00286917" w:rsidRDefault="00C5630B" w:rsidP="00C613C9">
            <w:pPr>
              <w:jc w:val="center"/>
              <w:rPr>
                <w:sz w:val="18"/>
                <w:szCs w:val="18"/>
              </w:rPr>
            </w:pPr>
            <w:r>
              <w:rPr>
                <w:sz w:val="18"/>
                <w:szCs w:val="18"/>
              </w:rPr>
              <w:t>IT</w:t>
            </w:r>
          </w:p>
        </w:tc>
        <w:tc>
          <w:tcPr>
            <w:tcW w:w="500" w:type="dxa"/>
            <w:vAlign w:val="center"/>
          </w:tcPr>
          <w:p w14:paraId="54E02610" w14:textId="77777777" w:rsidR="00C5630B" w:rsidRPr="00286917" w:rsidRDefault="00C5630B" w:rsidP="00C613C9">
            <w:pPr>
              <w:jc w:val="center"/>
              <w:rPr>
                <w:rFonts w:cs="Arial"/>
                <w:sz w:val="18"/>
                <w:szCs w:val="18"/>
              </w:rPr>
            </w:pPr>
          </w:p>
        </w:tc>
        <w:tc>
          <w:tcPr>
            <w:tcW w:w="500" w:type="dxa"/>
            <w:vAlign w:val="center"/>
          </w:tcPr>
          <w:p w14:paraId="3621252E" w14:textId="77777777" w:rsidR="00C5630B" w:rsidRPr="00286917" w:rsidRDefault="00C5630B" w:rsidP="00C613C9">
            <w:pPr>
              <w:jc w:val="center"/>
              <w:rPr>
                <w:rFonts w:cs="Arial"/>
                <w:sz w:val="18"/>
                <w:szCs w:val="18"/>
              </w:rPr>
            </w:pPr>
          </w:p>
        </w:tc>
        <w:tc>
          <w:tcPr>
            <w:tcW w:w="500" w:type="dxa"/>
            <w:vAlign w:val="center"/>
          </w:tcPr>
          <w:p w14:paraId="309C28BC" w14:textId="77777777" w:rsidR="00C5630B" w:rsidRPr="00286917" w:rsidRDefault="00C5630B" w:rsidP="00C613C9">
            <w:pPr>
              <w:jc w:val="center"/>
              <w:rPr>
                <w:rFonts w:cs="Arial"/>
                <w:sz w:val="18"/>
                <w:szCs w:val="18"/>
              </w:rPr>
            </w:pPr>
            <w:r>
              <w:rPr>
                <w:rFonts w:cs="Arial"/>
                <w:sz w:val="18"/>
                <w:szCs w:val="18"/>
              </w:rPr>
              <w:t>40</w:t>
            </w:r>
          </w:p>
        </w:tc>
        <w:tc>
          <w:tcPr>
            <w:tcW w:w="500" w:type="dxa"/>
            <w:vAlign w:val="center"/>
          </w:tcPr>
          <w:p w14:paraId="71D371A9"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57BC5788" w14:textId="77777777" w:rsidR="00C5630B" w:rsidRDefault="00C5630B" w:rsidP="00C613C9">
            <w:pPr>
              <w:ind w:left="-113" w:right="-85"/>
              <w:jc w:val="center"/>
              <w:rPr>
                <w:sz w:val="18"/>
                <w:szCs w:val="18"/>
              </w:rPr>
            </w:pPr>
            <w:r>
              <w:rPr>
                <w:sz w:val="18"/>
                <w:szCs w:val="18"/>
              </w:rPr>
              <w:t>Not Started</w:t>
            </w:r>
          </w:p>
        </w:tc>
        <w:tc>
          <w:tcPr>
            <w:tcW w:w="1100" w:type="dxa"/>
            <w:vAlign w:val="center"/>
          </w:tcPr>
          <w:p w14:paraId="6F76CEE6" w14:textId="77777777" w:rsidR="00C5630B" w:rsidRDefault="00C5630B" w:rsidP="00C613C9">
            <w:pPr>
              <w:jc w:val="center"/>
              <w:rPr>
                <w:color w:val="000000"/>
                <w:sz w:val="18"/>
                <w:szCs w:val="18"/>
              </w:rPr>
            </w:pPr>
            <w:r>
              <w:rPr>
                <w:color w:val="000000"/>
                <w:sz w:val="18"/>
                <w:szCs w:val="18"/>
              </w:rPr>
              <w:t>Aug 2015</w:t>
            </w:r>
          </w:p>
        </w:tc>
        <w:tc>
          <w:tcPr>
            <w:tcW w:w="1000" w:type="dxa"/>
            <w:tcBorders>
              <w:bottom w:val="single" w:sz="4" w:space="0" w:color="auto"/>
            </w:tcBorders>
            <w:shd w:val="clear" w:color="auto" w:fill="auto"/>
            <w:vAlign w:val="center"/>
          </w:tcPr>
          <w:p w14:paraId="3BEC4D3C" w14:textId="77777777" w:rsidR="00C5630B" w:rsidRPr="00286917" w:rsidRDefault="00C5630B" w:rsidP="00C613C9">
            <w:pPr>
              <w:jc w:val="center"/>
              <w:rPr>
                <w:sz w:val="18"/>
                <w:szCs w:val="18"/>
              </w:rPr>
            </w:pPr>
          </w:p>
        </w:tc>
        <w:tc>
          <w:tcPr>
            <w:tcW w:w="900" w:type="dxa"/>
            <w:shd w:val="clear" w:color="auto" w:fill="auto"/>
            <w:vAlign w:val="center"/>
          </w:tcPr>
          <w:p w14:paraId="735BBE0D" w14:textId="77777777" w:rsidR="00C5630B" w:rsidRPr="00286917" w:rsidRDefault="00C5630B" w:rsidP="00C613C9">
            <w:pPr>
              <w:jc w:val="center"/>
              <w:rPr>
                <w:sz w:val="18"/>
                <w:szCs w:val="18"/>
              </w:rPr>
            </w:pPr>
          </w:p>
        </w:tc>
        <w:tc>
          <w:tcPr>
            <w:tcW w:w="1000" w:type="dxa"/>
            <w:shd w:val="clear" w:color="auto" w:fill="auto"/>
            <w:vAlign w:val="center"/>
          </w:tcPr>
          <w:p w14:paraId="2196EEF6" w14:textId="77777777" w:rsidR="00C5630B" w:rsidRDefault="00C5630B" w:rsidP="00C613C9">
            <w:pPr>
              <w:jc w:val="center"/>
              <w:rPr>
                <w:sz w:val="18"/>
                <w:szCs w:val="18"/>
              </w:rPr>
            </w:pPr>
            <w:r>
              <w:rPr>
                <w:sz w:val="18"/>
                <w:szCs w:val="18"/>
              </w:rPr>
              <w:t>Nov 2015</w:t>
            </w:r>
          </w:p>
        </w:tc>
        <w:tc>
          <w:tcPr>
            <w:tcW w:w="1000" w:type="dxa"/>
            <w:tcBorders>
              <w:bottom w:val="single" w:sz="4" w:space="0" w:color="auto"/>
            </w:tcBorders>
            <w:shd w:val="clear" w:color="auto" w:fill="auto"/>
            <w:vAlign w:val="center"/>
          </w:tcPr>
          <w:p w14:paraId="365A1EF9" w14:textId="77777777" w:rsidR="00C5630B" w:rsidRPr="00286917" w:rsidRDefault="00C5630B" w:rsidP="00C613C9">
            <w:pPr>
              <w:jc w:val="center"/>
              <w:rPr>
                <w:sz w:val="18"/>
                <w:szCs w:val="18"/>
              </w:rPr>
            </w:pPr>
          </w:p>
        </w:tc>
        <w:tc>
          <w:tcPr>
            <w:tcW w:w="1000" w:type="dxa"/>
            <w:shd w:val="clear" w:color="auto" w:fill="auto"/>
            <w:vAlign w:val="center"/>
          </w:tcPr>
          <w:p w14:paraId="3A62F480" w14:textId="77777777" w:rsidR="00C5630B" w:rsidRPr="00286917" w:rsidRDefault="00C5630B" w:rsidP="00C613C9">
            <w:pPr>
              <w:jc w:val="center"/>
              <w:rPr>
                <w:sz w:val="18"/>
                <w:szCs w:val="18"/>
              </w:rPr>
            </w:pPr>
          </w:p>
        </w:tc>
        <w:tc>
          <w:tcPr>
            <w:tcW w:w="800" w:type="dxa"/>
            <w:shd w:val="clear" w:color="auto" w:fill="auto"/>
            <w:vAlign w:val="center"/>
          </w:tcPr>
          <w:p w14:paraId="014A9544" w14:textId="77777777" w:rsidR="00C5630B" w:rsidRPr="00286917" w:rsidRDefault="00C5630B" w:rsidP="00C613C9">
            <w:pPr>
              <w:jc w:val="center"/>
              <w:rPr>
                <w:sz w:val="18"/>
                <w:szCs w:val="18"/>
              </w:rPr>
            </w:pPr>
          </w:p>
        </w:tc>
        <w:tc>
          <w:tcPr>
            <w:tcW w:w="500" w:type="dxa"/>
            <w:shd w:val="clear" w:color="auto" w:fill="auto"/>
            <w:vAlign w:val="center"/>
          </w:tcPr>
          <w:p w14:paraId="254CFF1D" w14:textId="77777777" w:rsidR="00C5630B" w:rsidRPr="00286917" w:rsidRDefault="00C5630B" w:rsidP="00C613C9">
            <w:pPr>
              <w:jc w:val="center"/>
              <w:rPr>
                <w:sz w:val="18"/>
                <w:szCs w:val="18"/>
              </w:rPr>
            </w:pPr>
          </w:p>
        </w:tc>
        <w:tc>
          <w:tcPr>
            <w:tcW w:w="500" w:type="dxa"/>
            <w:shd w:val="clear" w:color="auto" w:fill="auto"/>
            <w:vAlign w:val="center"/>
          </w:tcPr>
          <w:p w14:paraId="15E3B1DD" w14:textId="77777777" w:rsidR="00C5630B" w:rsidRPr="00286917" w:rsidRDefault="00C5630B" w:rsidP="00C613C9">
            <w:pPr>
              <w:jc w:val="center"/>
              <w:rPr>
                <w:sz w:val="18"/>
                <w:szCs w:val="18"/>
              </w:rPr>
            </w:pPr>
          </w:p>
        </w:tc>
        <w:tc>
          <w:tcPr>
            <w:tcW w:w="500" w:type="dxa"/>
            <w:shd w:val="clear" w:color="auto" w:fill="auto"/>
            <w:vAlign w:val="center"/>
          </w:tcPr>
          <w:p w14:paraId="5B2B1E59" w14:textId="77777777" w:rsidR="00C5630B" w:rsidRPr="00286917" w:rsidRDefault="00C5630B" w:rsidP="00C613C9">
            <w:pPr>
              <w:jc w:val="center"/>
              <w:rPr>
                <w:sz w:val="18"/>
                <w:szCs w:val="18"/>
              </w:rPr>
            </w:pPr>
          </w:p>
        </w:tc>
        <w:tc>
          <w:tcPr>
            <w:tcW w:w="500" w:type="dxa"/>
            <w:shd w:val="clear" w:color="auto" w:fill="auto"/>
            <w:vAlign w:val="center"/>
          </w:tcPr>
          <w:p w14:paraId="2038213A" w14:textId="77777777" w:rsidR="00C5630B" w:rsidRPr="00286917" w:rsidRDefault="00C5630B" w:rsidP="00C613C9">
            <w:pPr>
              <w:jc w:val="center"/>
              <w:rPr>
                <w:sz w:val="18"/>
                <w:szCs w:val="18"/>
              </w:rPr>
            </w:pPr>
          </w:p>
        </w:tc>
      </w:tr>
      <w:tr w:rsidR="00C5630B" w:rsidRPr="008B4DDE" w14:paraId="4A30FC8D" w14:textId="77777777" w:rsidTr="00C613C9">
        <w:trPr>
          <w:trHeight w:val="454"/>
        </w:trPr>
        <w:tc>
          <w:tcPr>
            <w:tcW w:w="2157" w:type="dxa"/>
            <w:tcMar>
              <w:left w:w="85" w:type="dxa"/>
              <w:right w:w="85" w:type="dxa"/>
            </w:tcMar>
            <w:vAlign w:val="center"/>
          </w:tcPr>
          <w:p w14:paraId="7AA3E43A" w14:textId="77777777" w:rsidR="00C5630B" w:rsidRPr="00286917" w:rsidRDefault="00C5630B" w:rsidP="00C613C9">
            <w:pPr>
              <w:jc w:val="both"/>
              <w:rPr>
                <w:sz w:val="18"/>
                <w:szCs w:val="18"/>
              </w:rPr>
            </w:pPr>
            <w:r w:rsidRPr="00286917">
              <w:rPr>
                <w:sz w:val="18"/>
                <w:szCs w:val="18"/>
              </w:rPr>
              <w:t>Annual Assurance Statement</w:t>
            </w:r>
          </w:p>
        </w:tc>
        <w:tc>
          <w:tcPr>
            <w:tcW w:w="600" w:type="dxa"/>
            <w:vAlign w:val="center"/>
          </w:tcPr>
          <w:p w14:paraId="7C77754F" w14:textId="77777777" w:rsidR="00C5630B" w:rsidRPr="00286917" w:rsidRDefault="00C5630B" w:rsidP="00C613C9">
            <w:pPr>
              <w:jc w:val="center"/>
              <w:rPr>
                <w:sz w:val="18"/>
                <w:szCs w:val="18"/>
              </w:rPr>
            </w:pPr>
            <w:r w:rsidRPr="00286917">
              <w:rPr>
                <w:sz w:val="18"/>
                <w:szCs w:val="18"/>
              </w:rPr>
              <w:t>CD</w:t>
            </w:r>
          </w:p>
        </w:tc>
        <w:tc>
          <w:tcPr>
            <w:tcW w:w="500" w:type="dxa"/>
            <w:vAlign w:val="center"/>
          </w:tcPr>
          <w:p w14:paraId="0DDC5BA7" w14:textId="77777777" w:rsidR="00C5630B" w:rsidRPr="00286917" w:rsidRDefault="00C5630B" w:rsidP="00C613C9">
            <w:pPr>
              <w:jc w:val="center"/>
              <w:rPr>
                <w:rFonts w:cs="Arial"/>
                <w:sz w:val="18"/>
                <w:szCs w:val="18"/>
              </w:rPr>
            </w:pPr>
          </w:p>
        </w:tc>
        <w:tc>
          <w:tcPr>
            <w:tcW w:w="500" w:type="dxa"/>
            <w:vAlign w:val="center"/>
          </w:tcPr>
          <w:p w14:paraId="59B4C432" w14:textId="77777777" w:rsidR="00C5630B" w:rsidRPr="00286917" w:rsidRDefault="00C5630B" w:rsidP="00C613C9">
            <w:pPr>
              <w:jc w:val="center"/>
              <w:rPr>
                <w:rFonts w:cs="Arial"/>
                <w:sz w:val="18"/>
                <w:szCs w:val="18"/>
              </w:rPr>
            </w:pPr>
            <w:r w:rsidRPr="00286917">
              <w:rPr>
                <w:rFonts w:cs="Arial"/>
                <w:sz w:val="18"/>
                <w:szCs w:val="18"/>
              </w:rPr>
              <w:t>5</w:t>
            </w:r>
          </w:p>
        </w:tc>
        <w:tc>
          <w:tcPr>
            <w:tcW w:w="500" w:type="dxa"/>
            <w:vAlign w:val="center"/>
          </w:tcPr>
          <w:p w14:paraId="06D7AAA7" w14:textId="77777777" w:rsidR="00C5630B" w:rsidRPr="00286917" w:rsidRDefault="00C5630B" w:rsidP="00C613C9">
            <w:pPr>
              <w:jc w:val="center"/>
              <w:rPr>
                <w:rFonts w:cs="Arial"/>
                <w:sz w:val="18"/>
                <w:szCs w:val="18"/>
              </w:rPr>
            </w:pPr>
          </w:p>
        </w:tc>
        <w:tc>
          <w:tcPr>
            <w:tcW w:w="500" w:type="dxa"/>
            <w:vAlign w:val="center"/>
          </w:tcPr>
          <w:p w14:paraId="1ABA7F25" w14:textId="77777777" w:rsidR="00C5630B" w:rsidRPr="00286917" w:rsidRDefault="00C5630B" w:rsidP="00C613C9">
            <w:pPr>
              <w:jc w:val="center"/>
              <w:rPr>
                <w:rFonts w:cs="Arial"/>
                <w:sz w:val="18"/>
                <w:szCs w:val="18"/>
              </w:rPr>
            </w:pPr>
          </w:p>
        </w:tc>
        <w:tc>
          <w:tcPr>
            <w:tcW w:w="1100" w:type="dxa"/>
            <w:tcMar>
              <w:left w:w="113" w:type="dxa"/>
              <w:right w:w="85" w:type="dxa"/>
            </w:tcMar>
            <w:vAlign w:val="center"/>
          </w:tcPr>
          <w:p w14:paraId="7FAC63F0" w14:textId="77777777" w:rsidR="00C5630B" w:rsidRPr="00286917" w:rsidRDefault="00C5630B" w:rsidP="00C613C9">
            <w:pPr>
              <w:ind w:left="-113" w:right="-85"/>
              <w:jc w:val="center"/>
              <w:rPr>
                <w:sz w:val="18"/>
                <w:szCs w:val="18"/>
              </w:rPr>
            </w:pPr>
            <w:r>
              <w:rPr>
                <w:sz w:val="18"/>
                <w:szCs w:val="18"/>
              </w:rPr>
              <w:t>Planning</w:t>
            </w:r>
          </w:p>
        </w:tc>
        <w:tc>
          <w:tcPr>
            <w:tcW w:w="1100" w:type="dxa"/>
            <w:vAlign w:val="center"/>
          </w:tcPr>
          <w:p w14:paraId="1382E28E" w14:textId="77777777" w:rsidR="00C5630B" w:rsidRPr="00286917" w:rsidRDefault="00C5630B" w:rsidP="00C613C9">
            <w:pPr>
              <w:jc w:val="center"/>
              <w:rPr>
                <w:color w:val="000000"/>
                <w:sz w:val="18"/>
                <w:szCs w:val="18"/>
              </w:rPr>
            </w:pPr>
            <w:r>
              <w:rPr>
                <w:color w:val="000000"/>
                <w:sz w:val="18"/>
                <w:szCs w:val="18"/>
              </w:rPr>
              <w:t>N/A</w:t>
            </w:r>
          </w:p>
        </w:tc>
        <w:tc>
          <w:tcPr>
            <w:tcW w:w="1000" w:type="dxa"/>
            <w:tcBorders>
              <w:bottom w:val="single" w:sz="4" w:space="0" w:color="auto"/>
            </w:tcBorders>
            <w:shd w:val="clear" w:color="auto" w:fill="auto"/>
            <w:vAlign w:val="center"/>
          </w:tcPr>
          <w:p w14:paraId="1F3A1883" w14:textId="77777777" w:rsidR="00C5630B" w:rsidRPr="00286917" w:rsidRDefault="00C5630B" w:rsidP="00C613C9">
            <w:pPr>
              <w:jc w:val="center"/>
              <w:rPr>
                <w:sz w:val="18"/>
                <w:szCs w:val="18"/>
              </w:rPr>
            </w:pPr>
            <w:r>
              <w:rPr>
                <w:sz w:val="18"/>
                <w:szCs w:val="18"/>
              </w:rPr>
              <w:t>N/A</w:t>
            </w:r>
          </w:p>
        </w:tc>
        <w:tc>
          <w:tcPr>
            <w:tcW w:w="900" w:type="dxa"/>
            <w:shd w:val="clear" w:color="auto" w:fill="auto"/>
            <w:vAlign w:val="center"/>
          </w:tcPr>
          <w:p w14:paraId="12CB128A" w14:textId="77777777" w:rsidR="00C5630B" w:rsidRPr="00286917" w:rsidRDefault="00C5630B" w:rsidP="00C613C9">
            <w:pPr>
              <w:jc w:val="center"/>
              <w:rPr>
                <w:sz w:val="18"/>
                <w:szCs w:val="18"/>
              </w:rPr>
            </w:pPr>
            <w:r>
              <w:rPr>
                <w:sz w:val="18"/>
                <w:szCs w:val="18"/>
              </w:rPr>
              <w:t>N/A</w:t>
            </w:r>
          </w:p>
        </w:tc>
        <w:tc>
          <w:tcPr>
            <w:tcW w:w="1000" w:type="dxa"/>
            <w:shd w:val="clear" w:color="auto" w:fill="auto"/>
            <w:vAlign w:val="center"/>
          </w:tcPr>
          <w:p w14:paraId="1392ED69" w14:textId="77777777" w:rsidR="00C5630B" w:rsidRPr="00286917" w:rsidRDefault="00C5630B" w:rsidP="00C613C9">
            <w:pPr>
              <w:jc w:val="center"/>
              <w:rPr>
                <w:sz w:val="18"/>
                <w:szCs w:val="18"/>
              </w:rPr>
            </w:pPr>
            <w:r>
              <w:rPr>
                <w:sz w:val="18"/>
                <w:szCs w:val="18"/>
              </w:rPr>
              <w:t>Apr 2015</w:t>
            </w:r>
          </w:p>
        </w:tc>
        <w:tc>
          <w:tcPr>
            <w:tcW w:w="1000" w:type="dxa"/>
            <w:shd w:val="clear" w:color="auto" w:fill="00B050"/>
            <w:vAlign w:val="center"/>
          </w:tcPr>
          <w:p w14:paraId="06AA8E3E" w14:textId="77777777" w:rsidR="00C5630B" w:rsidRPr="00286917" w:rsidRDefault="00C5630B" w:rsidP="00C613C9">
            <w:pPr>
              <w:jc w:val="center"/>
              <w:rPr>
                <w:sz w:val="18"/>
                <w:szCs w:val="18"/>
              </w:rPr>
            </w:pPr>
            <w:r>
              <w:rPr>
                <w:sz w:val="18"/>
                <w:szCs w:val="18"/>
              </w:rPr>
              <w:t>Apr 2015</w:t>
            </w:r>
          </w:p>
        </w:tc>
        <w:tc>
          <w:tcPr>
            <w:tcW w:w="1000" w:type="dxa"/>
            <w:shd w:val="clear" w:color="auto" w:fill="auto"/>
            <w:vAlign w:val="center"/>
          </w:tcPr>
          <w:p w14:paraId="581FA3BC" w14:textId="77777777" w:rsidR="00C5630B" w:rsidRPr="00286917" w:rsidRDefault="00C5630B" w:rsidP="00C613C9">
            <w:pPr>
              <w:jc w:val="center"/>
              <w:rPr>
                <w:sz w:val="18"/>
                <w:szCs w:val="18"/>
              </w:rPr>
            </w:pPr>
            <w:r>
              <w:rPr>
                <w:sz w:val="18"/>
                <w:szCs w:val="18"/>
              </w:rPr>
              <w:t>N/A</w:t>
            </w:r>
          </w:p>
        </w:tc>
        <w:tc>
          <w:tcPr>
            <w:tcW w:w="800" w:type="dxa"/>
            <w:shd w:val="clear" w:color="auto" w:fill="auto"/>
            <w:vAlign w:val="center"/>
          </w:tcPr>
          <w:p w14:paraId="50D93A83" w14:textId="77777777" w:rsidR="00C5630B" w:rsidRPr="00286917" w:rsidRDefault="00C5630B" w:rsidP="00C613C9">
            <w:pPr>
              <w:jc w:val="center"/>
              <w:rPr>
                <w:sz w:val="18"/>
                <w:szCs w:val="18"/>
              </w:rPr>
            </w:pPr>
            <w:r>
              <w:rPr>
                <w:sz w:val="18"/>
                <w:szCs w:val="18"/>
              </w:rPr>
              <w:t>N/A</w:t>
            </w:r>
          </w:p>
        </w:tc>
        <w:tc>
          <w:tcPr>
            <w:tcW w:w="500" w:type="dxa"/>
            <w:shd w:val="clear" w:color="auto" w:fill="auto"/>
            <w:vAlign w:val="center"/>
          </w:tcPr>
          <w:p w14:paraId="38A69DEA" w14:textId="77777777" w:rsidR="00C5630B" w:rsidRPr="00286917" w:rsidRDefault="00C5630B" w:rsidP="00C613C9">
            <w:pPr>
              <w:jc w:val="center"/>
              <w:rPr>
                <w:sz w:val="18"/>
                <w:szCs w:val="18"/>
              </w:rPr>
            </w:pPr>
            <w:r>
              <w:rPr>
                <w:sz w:val="18"/>
                <w:szCs w:val="18"/>
              </w:rPr>
              <w:t>-</w:t>
            </w:r>
          </w:p>
        </w:tc>
        <w:tc>
          <w:tcPr>
            <w:tcW w:w="500" w:type="dxa"/>
            <w:shd w:val="clear" w:color="auto" w:fill="auto"/>
            <w:vAlign w:val="center"/>
          </w:tcPr>
          <w:p w14:paraId="6B04EA2E" w14:textId="77777777" w:rsidR="00C5630B" w:rsidRPr="00286917" w:rsidRDefault="00C5630B" w:rsidP="00C613C9">
            <w:pPr>
              <w:jc w:val="center"/>
              <w:rPr>
                <w:sz w:val="18"/>
                <w:szCs w:val="18"/>
              </w:rPr>
            </w:pPr>
            <w:r>
              <w:rPr>
                <w:sz w:val="18"/>
                <w:szCs w:val="18"/>
              </w:rPr>
              <w:t>-</w:t>
            </w:r>
          </w:p>
        </w:tc>
        <w:tc>
          <w:tcPr>
            <w:tcW w:w="500" w:type="dxa"/>
            <w:shd w:val="clear" w:color="auto" w:fill="auto"/>
            <w:vAlign w:val="center"/>
          </w:tcPr>
          <w:p w14:paraId="3698CE30" w14:textId="77777777" w:rsidR="00C5630B" w:rsidRPr="00286917" w:rsidRDefault="00C5630B" w:rsidP="00C613C9">
            <w:pPr>
              <w:jc w:val="center"/>
              <w:rPr>
                <w:sz w:val="18"/>
                <w:szCs w:val="18"/>
              </w:rPr>
            </w:pPr>
            <w:r>
              <w:rPr>
                <w:sz w:val="18"/>
                <w:szCs w:val="18"/>
              </w:rPr>
              <w:t>-</w:t>
            </w:r>
          </w:p>
        </w:tc>
        <w:tc>
          <w:tcPr>
            <w:tcW w:w="500" w:type="dxa"/>
            <w:shd w:val="clear" w:color="auto" w:fill="auto"/>
            <w:vAlign w:val="center"/>
          </w:tcPr>
          <w:p w14:paraId="1F2ADB6F" w14:textId="77777777" w:rsidR="00C5630B" w:rsidRPr="00286917" w:rsidRDefault="00C5630B" w:rsidP="00C613C9">
            <w:pPr>
              <w:jc w:val="center"/>
              <w:rPr>
                <w:sz w:val="18"/>
                <w:szCs w:val="18"/>
              </w:rPr>
            </w:pPr>
            <w:r>
              <w:rPr>
                <w:sz w:val="18"/>
                <w:szCs w:val="18"/>
              </w:rPr>
              <w:t>-</w:t>
            </w:r>
          </w:p>
        </w:tc>
      </w:tr>
      <w:tr w:rsidR="00C5630B" w:rsidRPr="006B155F" w14:paraId="2B535BC5" w14:textId="77777777" w:rsidTr="00C613C9">
        <w:tc>
          <w:tcPr>
            <w:tcW w:w="2157" w:type="dxa"/>
            <w:shd w:val="clear" w:color="auto" w:fill="004E73"/>
            <w:tcMar>
              <w:left w:w="85" w:type="dxa"/>
              <w:right w:w="85" w:type="dxa"/>
            </w:tcMar>
            <w:vAlign w:val="center"/>
          </w:tcPr>
          <w:p w14:paraId="54559526" w14:textId="77777777" w:rsidR="00C5630B" w:rsidRPr="00286917" w:rsidRDefault="00C5630B" w:rsidP="00C613C9">
            <w:pPr>
              <w:spacing w:after="120"/>
              <w:jc w:val="both"/>
              <w:rPr>
                <w:b/>
              </w:rPr>
            </w:pPr>
            <w:r w:rsidRPr="00286917">
              <w:rPr>
                <w:b/>
                <w:sz w:val="22"/>
                <w:szCs w:val="22"/>
              </w:rPr>
              <w:t xml:space="preserve">Total </w:t>
            </w:r>
          </w:p>
        </w:tc>
        <w:tc>
          <w:tcPr>
            <w:tcW w:w="600" w:type="dxa"/>
            <w:shd w:val="clear" w:color="auto" w:fill="004E73"/>
            <w:vAlign w:val="center"/>
          </w:tcPr>
          <w:p w14:paraId="7247AA2B" w14:textId="77777777" w:rsidR="00C5630B" w:rsidRPr="00286917" w:rsidRDefault="00C5630B" w:rsidP="00C613C9">
            <w:pPr>
              <w:spacing w:after="120"/>
              <w:jc w:val="center"/>
              <w:rPr>
                <w:b/>
              </w:rPr>
            </w:pPr>
          </w:p>
        </w:tc>
        <w:tc>
          <w:tcPr>
            <w:tcW w:w="500" w:type="dxa"/>
            <w:shd w:val="clear" w:color="auto" w:fill="004E73"/>
            <w:vAlign w:val="center"/>
          </w:tcPr>
          <w:p w14:paraId="42582BE2" w14:textId="77777777" w:rsidR="00C5630B" w:rsidRPr="00FB4F4D" w:rsidRDefault="00C5630B" w:rsidP="00C613C9">
            <w:pPr>
              <w:spacing w:after="120"/>
              <w:jc w:val="center"/>
              <w:rPr>
                <w:b/>
              </w:rPr>
            </w:pPr>
            <w:r>
              <w:rPr>
                <w:b/>
              </w:rPr>
              <w:t>85</w:t>
            </w:r>
          </w:p>
        </w:tc>
        <w:tc>
          <w:tcPr>
            <w:tcW w:w="500" w:type="dxa"/>
            <w:shd w:val="clear" w:color="auto" w:fill="004E73"/>
            <w:vAlign w:val="center"/>
          </w:tcPr>
          <w:p w14:paraId="4B98451B" w14:textId="77777777" w:rsidR="00C5630B" w:rsidRPr="00FB4F4D" w:rsidRDefault="00C5630B" w:rsidP="00C613C9">
            <w:pPr>
              <w:spacing w:after="120"/>
              <w:jc w:val="center"/>
              <w:rPr>
                <w:b/>
              </w:rPr>
            </w:pPr>
            <w:r>
              <w:rPr>
                <w:b/>
              </w:rPr>
              <w:t>60</w:t>
            </w:r>
          </w:p>
        </w:tc>
        <w:tc>
          <w:tcPr>
            <w:tcW w:w="500" w:type="dxa"/>
            <w:shd w:val="clear" w:color="auto" w:fill="004E73"/>
            <w:vAlign w:val="center"/>
          </w:tcPr>
          <w:p w14:paraId="2BA00C01" w14:textId="77777777" w:rsidR="00C5630B" w:rsidRPr="00FB4F4D" w:rsidRDefault="00C5630B" w:rsidP="00C613C9">
            <w:pPr>
              <w:spacing w:after="120"/>
              <w:jc w:val="center"/>
              <w:rPr>
                <w:b/>
                <w:highlight w:val="yellow"/>
              </w:rPr>
            </w:pPr>
            <w:r>
              <w:rPr>
                <w:b/>
                <w:sz w:val="22"/>
                <w:szCs w:val="22"/>
              </w:rPr>
              <w:t>90</w:t>
            </w:r>
          </w:p>
        </w:tc>
        <w:tc>
          <w:tcPr>
            <w:tcW w:w="500" w:type="dxa"/>
            <w:shd w:val="clear" w:color="auto" w:fill="004E73"/>
            <w:vAlign w:val="center"/>
          </w:tcPr>
          <w:p w14:paraId="35F94B1F" w14:textId="77777777" w:rsidR="00C5630B" w:rsidRPr="00FB4F4D" w:rsidRDefault="00C5630B" w:rsidP="00C613C9">
            <w:pPr>
              <w:spacing w:after="120"/>
              <w:jc w:val="center"/>
              <w:rPr>
                <w:b/>
              </w:rPr>
            </w:pPr>
            <w:r>
              <w:rPr>
                <w:b/>
                <w:sz w:val="22"/>
                <w:szCs w:val="22"/>
              </w:rPr>
              <w:t>50</w:t>
            </w:r>
          </w:p>
        </w:tc>
        <w:tc>
          <w:tcPr>
            <w:tcW w:w="1100" w:type="dxa"/>
            <w:shd w:val="clear" w:color="auto" w:fill="004E73"/>
            <w:tcMar>
              <w:left w:w="113" w:type="dxa"/>
              <w:right w:w="85" w:type="dxa"/>
            </w:tcMar>
            <w:vAlign w:val="center"/>
          </w:tcPr>
          <w:p w14:paraId="37C3A60D" w14:textId="77777777" w:rsidR="00C5630B" w:rsidRPr="00286917" w:rsidRDefault="00C5630B" w:rsidP="00C613C9">
            <w:pPr>
              <w:spacing w:after="120"/>
              <w:jc w:val="center"/>
              <w:rPr>
                <w:b/>
              </w:rPr>
            </w:pPr>
          </w:p>
        </w:tc>
        <w:tc>
          <w:tcPr>
            <w:tcW w:w="1100" w:type="dxa"/>
            <w:shd w:val="clear" w:color="auto" w:fill="004E73"/>
          </w:tcPr>
          <w:p w14:paraId="67C606A1" w14:textId="77777777" w:rsidR="00C5630B" w:rsidRPr="00286917" w:rsidRDefault="00C5630B" w:rsidP="00C613C9">
            <w:pPr>
              <w:spacing w:after="120"/>
              <w:jc w:val="center"/>
              <w:rPr>
                <w:b/>
              </w:rPr>
            </w:pPr>
          </w:p>
        </w:tc>
        <w:tc>
          <w:tcPr>
            <w:tcW w:w="1000" w:type="dxa"/>
            <w:shd w:val="clear" w:color="auto" w:fill="004E73"/>
          </w:tcPr>
          <w:p w14:paraId="32F93A63" w14:textId="77777777" w:rsidR="00C5630B" w:rsidRPr="00286917" w:rsidRDefault="00C5630B" w:rsidP="00C613C9">
            <w:pPr>
              <w:spacing w:after="120"/>
              <w:jc w:val="center"/>
              <w:rPr>
                <w:b/>
              </w:rPr>
            </w:pPr>
          </w:p>
        </w:tc>
        <w:tc>
          <w:tcPr>
            <w:tcW w:w="900" w:type="dxa"/>
            <w:shd w:val="clear" w:color="auto" w:fill="004E73"/>
          </w:tcPr>
          <w:p w14:paraId="1E41B106" w14:textId="77777777" w:rsidR="00C5630B" w:rsidRPr="00286917" w:rsidRDefault="00C5630B" w:rsidP="00C613C9">
            <w:pPr>
              <w:spacing w:after="120"/>
              <w:jc w:val="center"/>
              <w:rPr>
                <w:b/>
              </w:rPr>
            </w:pPr>
          </w:p>
        </w:tc>
        <w:tc>
          <w:tcPr>
            <w:tcW w:w="1000" w:type="dxa"/>
            <w:shd w:val="clear" w:color="auto" w:fill="004E73"/>
          </w:tcPr>
          <w:p w14:paraId="5930EA7A" w14:textId="77777777" w:rsidR="00C5630B" w:rsidRPr="00286917" w:rsidRDefault="00C5630B" w:rsidP="00C613C9">
            <w:pPr>
              <w:spacing w:after="120"/>
              <w:jc w:val="center"/>
              <w:rPr>
                <w:b/>
              </w:rPr>
            </w:pPr>
          </w:p>
        </w:tc>
        <w:tc>
          <w:tcPr>
            <w:tcW w:w="1000" w:type="dxa"/>
            <w:shd w:val="clear" w:color="auto" w:fill="004E73"/>
          </w:tcPr>
          <w:p w14:paraId="44A0261C" w14:textId="77777777" w:rsidR="00C5630B" w:rsidRPr="00286917" w:rsidRDefault="00C5630B" w:rsidP="00C613C9">
            <w:pPr>
              <w:spacing w:after="120"/>
              <w:jc w:val="center"/>
              <w:rPr>
                <w:b/>
              </w:rPr>
            </w:pPr>
          </w:p>
        </w:tc>
        <w:tc>
          <w:tcPr>
            <w:tcW w:w="1000" w:type="dxa"/>
            <w:shd w:val="clear" w:color="auto" w:fill="004E73"/>
          </w:tcPr>
          <w:p w14:paraId="4EE2C734" w14:textId="77777777" w:rsidR="00C5630B" w:rsidRPr="00286917" w:rsidRDefault="00C5630B" w:rsidP="00C613C9">
            <w:pPr>
              <w:spacing w:after="120"/>
              <w:jc w:val="center"/>
              <w:rPr>
                <w:b/>
              </w:rPr>
            </w:pPr>
          </w:p>
        </w:tc>
        <w:tc>
          <w:tcPr>
            <w:tcW w:w="800" w:type="dxa"/>
            <w:shd w:val="clear" w:color="auto" w:fill="004E73"/>
          </w:tcPr>
          <w:p w14:paraId="6D00F738" w14:textId="77777777" w:rsidR="00C5630B" w:rsidRPr="00286917" w:rsidRDefault="00C5630B" w:rsidP="00C613C9">
            <w:pPr>
              <w:spacing w:after="120"/>
              <w:jc w:val="center"/>
              <w:rPr>
                <w:b/>
              </w:rPr>
            </w:pPr>
          </w:p>
        </w:tc>
        <w:tc>
          <w:tcPr>
            <w:tcW w:w="500" w:type="dxa"/>
            <w:shd w:val="clear" w:color="auto" w:fill="004E73"/>
          </w:tcPr>
          <w:p w14:paraId="59191DAC" w14:textId="77777777" w:rsidR="00C5630B" w:rsidRPr="00286917" w:rsidRDefault="00C5630B" w:rsidP="00C613C9">
            <w:pPr>
              <w:spacing w:after="120"/>
              <w:jc w:val="center"/>
              <w:rPr>
                <w:b/>
              </w:rPr>
            </w:pPr>
          </w:p>
        </w:tc>
        <w:tc>
          <w:tcPr>
            <w:tcW w:w="500" w:type="dxa"/>
            <w:shd w:val="clear" w:color="auto" w:fill="004E73"/>
          </w:tcPr>
          <w:p w14:paraId="339432C4" w14:textId="77777777" w:rsidR="00C5630B" w:rsidRPr="00286917" w:rsidRDefault="00C5630B" w:rsidP="00C613C9">
            <w:pPr>
              <w:spacing w:after="120"/>
              <w:jc w:val="center"/>
              <w:rPr>
                <w:b/>
              </w:rPr>
            </w:pPr>
          </w:p>
        </w:tc>
        <w:tc>
          <w:tcPr>
            <w:tcW w:w="500" w:type="dxa"/>
            <w:shd w:val="clear" w:color="auto" w:fill="004E73"/>
          </w:tcPr>
          <w:p w14:paraId="576C5687" w14:textId="77777777" w:rsidR="00C5630B" w:rsidRPr="00286917" w:rsidRDefault="00C5630B" w:rsidP="00C613C9">
            <w:pPr>
              <w:spacing w:after="120"/>
              <w:jc w:val="center"/>
              <w:rPr>
                <w:b/>
              </w:rPr>
            </w:pPr>
          </w:p>
        </w:tc>
        <w:tc>
          <w:tcPr>
            <w:tcW w:w="500" w:type="dxa"/>
            <w:shd w:val="clear" w:color="auto" w:fill="004E73"/>
          </w:tcPr>
          <w:p w14:paraId="72406443" w14:textId="77777777" w:rsidR="00C5630B" w:rsidRPr="00286917" w:rsidRDefault="00C5630B" w:rsidP="00C613C9">
            <w:pPr>
              <w:spacing w:after="120"/>
              <w:jc w:val="center"/>
              <w:rPr>
                <w:b/>
              </w:rPr>
            </w:pPr>
          </w:p>
        </w:tc>
      </w:tr>
      <w:tr w:rsidR="00C5630B" w:rsidRPr="00824DE2" w14:paraId="76A870AE" w14:textId="77777777" w:rsidTr="00C613C9">
        <w:trPr>
          <w:tblHeader/>
        </w:trPr>
        <w:tc>
          <w:tcPr>
            <w:tcW w:w="2157" w:type="dxa"/>
            <w:shd w:val="clear" w:color="auto" w:fill="004E73"/>
            <w:vAlign w:val="center"/>
          </w:tcPr>
          <w:p w14:paraId="37F470F4" w14:textId="77777777" w:rsidR="00C5630B" w:rsidRPr="00286917" w:rsidRDefault="00C5630B" w:rsidP="00C613C9">
            <w:pPr>
              <w:pStyle w:val="TableHeading"/>
              <w:jc w:val="center"/>
            </w:pPr>
            <w:r w:rsidRPr="00286917">
              <w:rPr>
                <w:sz w:val="22"/>
                <w:szCs w:val="22"/>
              </w:rPr>
              <w:t>Audit Title</w:t>
            </w:r>
          </w:p>
        </w:tc>
        <w:tc>
          <w:tcPr>
            <w:tcW w:w="600" w:type="dxa"/>
            <w:shd w:val="clear" w:color="auto" w:fill="004E73"/>
            <w:vAlign w:val="center"/>
          </w:tcPr>
          <w:p w14:paraId="379E190F" w14:textId="77777777" w:rsidR="00C5630B" w:rsidRPr="00286917" w:rsidRDefault="00C5630B" w:rsidP="00C613C9">
            <w:pPr>
              <w:pStyle w:val="TableHeading"/>
              <w:jc w:val="center"/>
            </w:pPr>
            <w:r w:rsidRPr="00286917">
              <w:rPr>
                <w:sz w:val="22"/>
                <w:szCs w:val="22"/>
              </w:rPr>
              <w:t>IA</w:t>
            </w:r>
          </w:p>
        </w:tc>
        <w:tc>
          <w:tcPr>
            <w:tcW w:w="500" w:type="dxa"/>
            <w:shd w:val="clear" w:color="auto" w:fill="004E73"/>
            <w:vAlign w:val="center"/>
          </w:tcPr>
          <w:p w14:paraId="473414D0" w14:textId="77777777" w:rsidR="00C5630B" w:rsidRPr="00286917" w:rsidRDefault="00C5630B" w:rsidP="00C613C9">
            <w:pPr>
              <w:pStyle w:val="TableHeading"/>
              <w:jc w:val="center"/>
            </w:pPr>
            <w:r w:rsidRPr="00286917">
              <w:rPr>
                <w:sz w:val="22"/>
                <w:szCs w:val="22"/>
              </w:rPr>
              <w:t>Q1</w:t>
            </w:r>
          </w:p>
        </w:tc>
        <w:tc>
          <w:tcPr>
            <w:tcW w:w="500" w:type="dxa"/>
            <w:shd w:val="clear" w:color="auto" w:fill="004E73"/>
            <w:vAlign w:val="center"/>
          </w:tcPr>
          <w:p w14:paraId="340F4A87" w14:textId="77777777" w:rsidR="00C5630B" w:rsidRPr="00286917" w:rsidRDefault="00C5630B" w:rsidP="00C613C9">
            <w:pPr>
              <w:pStyle w:val="TableHeading"/>
              <w:jc w:val="center"/>
            </w:pPr>
            <w:r w:rsidRPr="00286917">
              <w:rPr>
                <w:sz w:val="22"/>
                <w:szCs w:val="22"/>
              </w:rPr>
              <w:t>Q2</w:t>
            </w:r>
          </w:p>
        </w:tc>
        <w:tc>
          <w:tcPr>
            <w:tcW w:w="500" w:type="dxa"/>
            <w:shd w:val="clear" w:color="auto" w:fill="004E73"/>
            <w:vAlign w:val="center"/>
          </w:tcPr>
          <w:p w14:paraId="49AAE426" w14:textId="77777777" w:rsidR="00C5630B" w:rsidRPr="00286917" w:rsidRDefault="00C5630B" w:rsidP="00C613C9">
            <w:pPr>
              <w:pStyle w:val="TableHeading"/>
              <w:jc w:val="center"/>
            </w:pPr>
            <w:r w:rsidRPr="00286917">
              <w:rPr>
                <w:sz w:val="22"/>
                <w:szCs w:val="22"/>
              </w:rPr>
              <w:t>Q3</w:t>
            </w:r>
          </w:p>
        </w:tc>
        <w:tc>
          <w:tcPr>
            <w:tcW w:w="500" w:type="dxa"/>
            <w:shd w:val="clear" w:color="auto" w:fill="004E73"/>
            <w:vAlign w:val="center"/>
          </w:tcPr>
          <w:p w14:paraId="3BFF6E1B" w14:textId="77777777" w:rsidR="00C5630B" w:rsidRPr="00286917" w:rsidRDefault="00C5630B" w:rsidP="00C613C9">
            <w:pPr>
              <w:pStyle w:val="TableHeading"/>
              <w:jc w:val="center"/>
            </w:pPr>
            <w:r w:rsidRPr="00286917">
              <w:rPr>
                <w:sz w:val="22"/>
                <w:szCs w:val="22"/>
              </w:rPr>
              <w:t>Q4</w:t>
            </w:r>
          </w:p>
        </w:tc>
        <w:tc>
          <w:tcPr>
            <w:tcW w:w="1100" w:type="dxa"/>
            <w:shd w:val="clear" w:color="auto" w:fill="004E73"/>
            <w:tcMar>
              <w:left w:w="113" w:type="dxa"/>
              <w:right w:w="85" w:type="dxa"/>
            </w:tcMar>
            <w:vAlign w:val="center"/>
          </w:tcPr>
          <w:p w14:paraId="512FD5A7" w14:textId="77777777" w:rsidR="00C5630B" w:rsidRPr="00286917" w:rsidRDefault="00C5630B" w:rsidP="00C613C9">
            <w:pPr>
              <w:pStyle w:val="TableHeading"/>
              <w:jc w:val="center"/>
            </w:pPr>
            <w:r w:rsidRPr="00286917">
              <w:rPr>
                <w:sz w:val="22"/>
                <w:szCs w:val="22"/>
              </w:rPr>
              <w:t>Current Status</w:t>
            </w:r>
            <w:r w:rsidRPr="00286917">
              <w:rPr>
                <w:rFonts w:ascii="Arial Bold" w:hAnsi="Arial Bold"/>
                <w:sz w:val="22"/>
                <w:szCs w:val="22"/>
                <w:vertAlign w:val="superscript"/>
              </w:rPr>
              <w:t>1</w:t>
            </w:r>
          </w:p>
        </w:tc>
        <w:tc>
          <w:tcPr>
            <w:tcW w:w="1100" w:type="dxa"/>
            <w:tcBorders>
              <w:bottom w:val="single" w:sz="4" w:space="0" w:color="auto"/>
            </w:tcBorders>
            <w:shd w:val="clear" w:color="auto" w:fill="004E73"/>
          </w:tcPr>
          <w:p w14:paraId="33244B53" w14:textId="77777777" w:rsidR="00C5630B" w:rsidRPr="00286917" w:rsidRDefault="00C5630B" w:rsidP="00C613C9">
            <w:pPr>
              <w:pStyle w:val="TableHeading"/>
              <w:jc w:val="center"/>
            </w:pPr>
            <w:r w:rsidRPr="00286917">
              <w:rPr>
                <w:sz w:val="22"/>
                <w:szCs w:val="22"/>
              </w:rPr>
              <w:t xml:space="preserve">Target Final Draft </w:t>
            </w:r>
            <w:proofErr w:type="spellStart"/>
            <w:r w:rsidRPr="00286917">
              <w:rPr>
                <w:sz w:val="22"/>
                <w:szCs w:val="22"/>
              </w:rPr>
              <w:t>ToR</w:t>
            </w:r>
            <w:proofErr w:type="spellEnd"/>
            <w:r w:rsidRPr="00286917">
              <w:rPr>
                <w:sz w:val="22"/>
                <w:szCs w:val="22"/>
              </w:rPr>
              <w:t>*</w:t>
            </w:r>
          </w:p>
        </w:tc>
        <w:tc>
          <w:tcPr>
            <w:tcW w:w="1000" w:type="dxa"/>
            <w:tcBorders>
              <w:bottom w:val="single" w:sz="4" w:space="0" w:color="auto"/>
            </w:tcBorders>
            <w:shd w:val="clear" w:color="auto" w:fill="004E73"/>
          </w:tcPr>
          <w:p w14:paraId="126A78F6" w14:textId="77777777" w:rsidR="00C5630B" w:rsidRPr="00286917" w:rsidRDefault="00C5630B" w:rsidP="00C613C9">
            <w:pPr>
              <w:pStyle w:val="TableHeading"/>
              <w:jc w:val="center"/>
            </w:pPr>
            <w:r w:rsidRPr="00286917">
              <w:rPr>
                <w:sz w:val="22"/>
                <w:szCs w:val="22"/>
              </w:rPr>
              <w:t xml:space="preserve">Actual Final Draft </w:t>
            </w:r>
            <w:proofErr w:type="spellStart"/>
            <w:r w:rsidRPr="00286917">
              <w:rPr>
                <w:sz w:val="22"/>
                <w:szCs w:val="22"/>
              </w:rPr>
              <w:t>ToR</w:t>
            </w:r>
            <w:proofErr w:type="spellEnd"/>
            <w:r w:rsidRPr="00286917">
              <w:rPr>
                <w:sz w:val="22"/>
                <w:szCs w:val="22"/>
              </w:rPr>
              <w:t>*</w:t>
            </w:r>
          </w:p>
        </w:tc>
        <w:tc>
          <w:tcPr>
            <w:tcW w:w="900" w:type="dxa"/>
            <w:tcBorders>
              <w:bottom w:val="single" w:sz="4" w:space="0" w:color="auto"/>
            </w:tcBorders>
            <w:shd w:val="clear" w:color="auto" w:fill="004E73"/>
          </w:tcPr>
          <w:p w14:paraId="19AF25A0" w14:textId="77777777" w:rsidR="00C5630B" w:rsidRPr="00286917" w:rsidRDefault="00C5630B" w:rsidP="00C613C9">
            <w:pPr>
              <w:pStyle w:val="TableHeading"/>
              <w:jc w:val="center"/>
            </w:pPr>
            <w:r w:rsidRPr="00286917">
              <w:rPr>
                <w:sz w:val="22"/>
                <w:szCs w:val="22"/>
              </w:rPr>
              <w:t xml:space="preserve">Final </w:t>
            </w:r>
            <w:proofErr w:type="spellStart"/>
            <w:r w:rsidRPr="00286917">
              <w:rPr>
                <w:sz w:val="22"/>
                <w:szCs w:val="22"/>
              </w:rPr>
              <w:t>ToR</w:t>
            </w:r>
            <w:proofErr w:type="spellEnd"/>
          </w:p>
        </w:tc>
        <w:tc>
          <w:tcPr>
            <w:tcW w:w="1000" w:type="dxa"/>
            <w:tcBorders>
              <w:bottom w:val="single" w:sz="4" w:space="0" w:color="auto"/>
            </w:tcBorders>
            <w:shd w:val="clear" w:color="auto" w:fill="004E73"/>
          </w:tcPr>
          <w:p w14:paraId="6F431DB3" w14:textId="77777777" w:rsidR="00C5630B" w:rsidRPr="00286917" w:rsidRDefault="00C5630B" w:rsidP="00C613C9">
            <w:pPr>
              <w:pStyle w:val="TableHeading"/>
              <w:jc w:val="center"/>
            </w:pPr>
            <w:r w:rsidRPr="00286917">
              <w:rPr>
                <w:sz w:val="22"/>
                <w:szCs w:val="22"/>
              </w:rPr>
              <w:t>Target Final Draft Report*</w:t>
            </w:r>
          </w:p>
        </w:tc>
        <w:tc>
          <w:tcPr>
            <w:tcW w:w="1000" w:type="dxa"/>
            <w:tcBorders>
              <w:bottom w:val="single" w:sz="4" w:space="0" w:color="auto"/>
            </w:tcBorders>
            <w:shd w:val="clear" w:color="auto" w:fill="004E73"/>
          </w:tcPr>
          <w:p w14:paraId="7CD74D2A" w14:textId="77777777" w:rsidR="00C5630B" w:rsidRPr="00286917" w:rsidRDefault="00C5630B" w:rsidP="00C613C9">
            <w:pPr>
              <w:pStyle w:val="TableHeading"/>
              <w:jc w:val="center"/>
            </w:pPr>
            <w:r w:rsidRPr="00286917">
              <w:rPr>
                <w:sz w:val="22"/>
                <w:szCs w:val="22"/>
              </w:rPr>
              <w:t>Actual Final Draft Report*</w:t>
            </w:r>
          </w:p>
        </w:tc>
        <w:tc>
          <w:tcPr>
            <w:tcW w:w="1000" w:type="dxa"/>
            <w:tcBorders>
              <w:bottom w:val="single" w:sz="4" w:space="0" w:color="auto"/>
            </w:tcBorders>
            <w:shd w:val="clear" w:color="auto" w:fill="004E73"/>
          </w:tcPr>
          <w:p w14:paraId="6AB84F19" w14:textId="77777777" w:rsidR="00C5630B" w:rsidRPr="00286917" w:rsidRDefault="00C5630B" w:rsidP="00C613C9">
            <w:pPr>
              <w:pStyle w:val="TableHeading"/>
              <w:jc w:val="center"/>
            </w:pPr>
            <w:r w:rsidRPr="00286917">
              <w:rPr>
                <w:sz w:val="22"/>
                <w:szCs w:val="22"/>
              </w:rPr>
              <w:t>Final Report</w:t>
            </w:r>
          </w:p>
        </w:tc>
        <w:tc>
          <w:tcPr>
            <w:tcW w:w="800" w:type="dxa"/>
            <w:tcBorders>
              <w:bottom w:val="single" w:sz="4" w:space="0" w:color="auto"/>
            </w:tcBorders>
            <w:shd w:val="clear" w:color="auto" w:fill="004E73"/>
            <w:vAlign w:val="center"/>
          </w:tcPr>
          <w:p w14:paraId="3BBF6240" w14:textId="77777777" w:rsidR="00C5630B" w:rsidRPr="00286917" w:rsidRDefault="00C5630B" w:rsidP="00C613C9">
            <w:pPr>
              <w:pStyle w:val="TableHeading"/>
              <w:jc w:val="center"/>
            </w:pPr>
            <w:r>
              <w:rPr>
                <w:sz w:val="22"/>
                <w:szCs w:val="22"/>
              </w:rPr>
              <w:t>E/IR</w:t>
            </w:r>
            <w:r w:rsidRPr="00286917">
              <w:rPr>
                <w:sz w:val="22"/>
                <w:szCs w:val="22"/>
              </w:rPr>
              <w:t xml:space="preserve">/ </w:t>
            </w:r>
            <w:r>
              <w:rPr>
                <w:sz w:val="22"/>
                <w:szCs w:val="22"/>
              </w:rPr>
              <w:t>S</w:t>
            </w:r>
            <w:r w:rsidRPr="00286917">
              <w:rPr>
                <w:sz w:val="22"/>
                <w:szCs w:val="22"/>
              </w:rPr>
              <w:t>IR/U</w:t>
            </w:r>
            <w:r w:rsidRPr="00286917">
              <w:rPr>
                <w:rFonts w:ascii="Arial Bold" w:hAnsi="Arial Bold"/>
                <w:sz w:val="22"/>
                <w:szCs w:val="22"/>
                <w:vertAlign w:val="superscript"/>
              </w:rPr>
              <w:t>2</w:t>
            </w:r>
          </w:p>
        </w:tc>
        <w:tc>
          <w:tcPr>
            <w:tcW w:w="500" w:type="dxa"/>
            <w:tcBorders>
              <w:bottom w:val="single" w:sz="4" w:space="0" w:color="auto"/>
            </w:tcBorders>
            <w:shd w:val="clear" w:color="auto" w:fill="004E73"/>
            <w:vAlign w:val="center"/>
          </w:tcPr>
          <w:p w14:paraId="382907DE" w14:textId="77777777" w:rsidR="00C5630B" w:rsidRPr="00286917" w:rsidRDefault="00C5630B" w:rsidP="00C613C9">
            <w:pPr>
              <w:pStyle w:val="TableHeading"/>
              <w:jc w:val="center"/>
            </w:pPr>
            <w:r w:rsidRPr="00286917">
              <w:rPr>
                <w:sz w:val="22"/>
                <w:szCs w:val="22"/>
              </w:rPr>
              <w:t>C</w:t>
            </w:r>
          </w:p>
        </w:tc>
        <w:tc>
          <w:tcPr>
            <w:tcW w:w="500" w:type="dxa"/>
            <w:tcBorders>
              <w:bottom w:val="single" w:sz="4" w:space="0" w:color="auto"/>
            </w:tcBorders>
            <w:shd w:val="clear" w:color="auto" w:fill="004E73"/>
            <w:vAlign w:val="center"/>
          </w:tcPr>
          <w:p w14:paraId="191FA897" w14:textId="77777777" w:rsidR="00C5630B" w:rsidRPr="00286917" w:rsidRDefault="00C5630B" w:rsidP="00C613C9">
            <w:pPr>
              <w:pStyle w:val="TableHeading"/>
              <w:jc w:val="center"/>
            </w:pPr>
            <w:r w:rsidRPr="00286917">
              <w:rPr>
                <w:sz w:val="22"/>
                <w:szCs w:val="22"/>
              </w:rPr>
              <w:t>H</w:t>
            </w:r>
          </w:p>
        </w:tc>
        <w:tc>
          <w:tcPr>
            <w:tcW w:w="500" w:type="dxa"/>
            <w:tcBorders>
              <w:bottom w:val="single" w:sz="4" w:space="0" w:color="auto"/>
            </w:tcBorders>
            <w:shd w:val="clear" w:color="auto" w:fill="004E73"/>
            <w:vAlign w:val="center"/>
          </w:tcPr>
          <w:p w14:paraId="6E9373A2" w14:textId="77777777" w:rsidR="00C5630B" w:rsidRPr="00286917" w:rsidRDefault="00C5630B" w:rsidP="00C613C9">
            <w:pPr>
              <w:pStyle w:val="TableHeading"/>
              <w:jc w:val="center"/>
            </w:pPr>
            <w:r w:rsidRPr="00286917">
              <w:rPr>
                <w:sz w:val="22"/>
                <w:szCs w:val="22"/>
              </w:rPr>
              <w:t>M</w:t>
            </w:r>
          </w:p>
        </w:tc>
        <w:tc>
          <w:tcPr>
            <w:tcW w:w="500" w:type="dxa"/>
            <w:tcBorders>
              <w:bottom w:val="single" w:sz="4" w:space="0" w:color="auto"/>
            </w:tcBorders>
            <w:shd w:val="clear" w:color="auto" w:fill="004E73"/>
            <w:vAlign w:val="center"/>
          </w:tcPr>
          <w:p w14:paraId="29C7F255" w14:textId="77777777" w:rsidR="00C5630B" w:rsidRPr="00286917" w:rsidRDefault="00C5630B" w:rsidP="00C613C9">
            <w:pPr>
              <w:pStyle w:val="TableHeading"/>
              <w:jc w:val="center"/>
            </w:pPr>
            <w:r w:rsidRPr="00286917">
              <w:rPr>
                <w:sz w:val="22"/>
                <w:szCs w:val="22"/>
              </w:rPr>
              <w:t>L</w:t>
            </w:r>
          </w:p>
        </w:tc>
      </w:tr>
    </w:tbl>
    <w:p w14:paraId="36F7C031" w14:textId="77777777" w:rsidR="00C5630B" w:rsidRPr="00AC56A5" w:rsidRDefault="00C5630B" w:rsidP="00C5630B">
      <w:pPr>
        <w:rPr>
          <w:rFonts w:cs="Arial"/>
          <w:szCs w:val="24"/>
        </w:rPr>
      </w:pPr>
    </w:p>
    <w:p w14:paraId="5994F0BD" w14:textId="77777777" w:rsidR="00C5630B" w:rsidRDefault="00C5630B" w:rsidP="00356245">
      <w:pPr>
        <w:jc w:val="center"/>
        <w:rPr>
          <w:rFonts w:ascii="Calibri" w:hAnsi="Calibri" w:cs="Calibri"/>
          <w:b/>
          <w:sz w:val="28"/>
          <w:szCs w:val="28"/>
        </w:rPr>
      </w:pPr>
    </w:p>
    <w:sectPr w:rsidR="00C5630B" w:rsidSect="00D97FCD">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F6F5" w14:textId="77777777" w:rsidR="00D100D7" w:rsidRDefault="00D100D7">
      <w:r>
        <w:separator/>
      </w:r>
    </w:p>
  </w:endnote>
  <w:endnote w:type="continuationSeparator" w:id="0">
    <w:p w14:paraId="3AFD80C8" w14:textId="77777777" w:rsidR="00D100D7" w:rsidRDefault="00D1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Bold">
    <w:altName w:val="Times New Roman"/>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473CD" w14:textId="77777777" w:rsidR="00D100D7" w:rsidRDefault="00D100D7">
      <w:r>
        <w:separator/>
      </w:r>
    </w:p>
  </w:footnote>
  <w:footnote w:type="continuationSeparator" w:id="0">
    <w:p w14:paraId="2576515F" w14:textId="77777777" w:rsidR="00D100D7" w:rsidRDefault="00D1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01C0C" w14:textId="77777777" w:rsidR="00B62931" w:rsidRDefault="00AF3507">
    <w:pPr>
      <w:pStyle w:val="Header"/>
    </w:pPr>
    <w:r>
      <w:t xml:space="preserve">TPSPB Board Meeting 3 June </w:t>
    </w:r>
    <w:proofErr w:type="gramStart"/>
    <w:r>
      <w:t>2015 :</w:t>
    </w:r>
    <w:proofErr w:type="gramEnd"/>
    <w:r>
      <w:t xml:space="preserve"> Agenda item 5</w:t>
    </w:r>
  </w:p>
  <w:p w14:paraId="5B10E707" w14:textId="77777777" w:rsidR="00B62931" w:rsidRDefault="00B62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309"/>
    <w:multiLevelType w:val="hybridMultilevel"/>
    <w:tmpl w:val="F01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705C5"/>
    <w:multiLevelType w:val="hybridMultilevel"/>
    <w:tmpl w:val="75F813FA"/>
    <w:lvl w:ilvl="0" w:tplc="A5E48AA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0C4026"/>
    <w:multiLevelType w:val="hybridMultilevel"/>
    <w:tmpl w:val="6046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E53C4F"/>
    <w:multiLevelType w:val="hybridMultilevel"/>
    <w:tmpl w:val="C5725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2115127"/>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4C47ED"/>
    <w:multiLevelType w:val="hybridMultilevel"/>
    <w:tmpl w:val="5524A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4073CA"/>
    <w:multiLevelType w:val="hybridMultilevel"/>
    <w:tmpl w:val="D2F6C1FA"/>
    <w:lvl w:ilvl="0" w:tplc="27C4128C">
      <w:start w:val="1"/>
      <w:numFmt w:val="bullet"/>
      <w:lvlText w:val="•"/>
      <w:lvlJc w:val="left"/>
      <w:pPr>
        <w:tabs>
          <w:tab w:val="num" w:pos="720"/>
        </w:tabs>
        <w:ind w:left="720" w:hanging="360"/>
      </w:pPr>
      <w:rPr>
        <w:rFonts w:ascii="Arial" w:hAnsi="Arial" w:hint="default"/>
      </w:rPr>
    </w:lvl>
    <w:lvl w:ilvl="1" w:tplc="CCC2AA5E" w:tentative="1">
      <w:start w:val="1"/>
      <w:numFmt w:val="bullet"/>
      <w:lvlText w:val="•"/>
      <w:lvlJc w:val="left"/>
      <w:pPr>
        <w:tabs>
          <w:tab w:val="num" w:pos="1440"/>
        </w:tabs>
        <w:ind w:left="1440" w:hanging="360"/>
      </w:pPr>
      <w:rPr>
        <w:rFonts w:ascii="Arial" w:hAnsi="Arial" w:hint="default"/>
      </w:rPr>
    </w:lvl>
    <w:lvl w:ilvl="2" w:tplc="62AE01CC" w:tentative="1">
      <w:start w:val="1"/>
      <w:numFmt w:val="bullet"/>
      <w:lvlText w:val="•"/>
      <w:lvlJc w:val="left"/>
      <w:pPr>
        <w:tabs>
          <w:tab w:val="num" w:pos="2160"/>
        </w:tabs>
        <w:ind w:left="2160" w:hanging="360"/>
      </w:pPr>
      <w:rPr>
        <w:rFonts w:ascii="Arial" w:hAnsi="Arial" w:hint="default"/>
      </w:rPr>
    </w:lvl>
    <w:lvl w:ilvl="3" w:tplc="5C7EE67C" w:tentative="1">
      <w:start w:val="1"/>
      <w:numFmt w:val="bullet"/>
      <w:lvlText w:val="•"/>
      <w:lvlJc w:val="left"/>
      <w:pPr>
        <w:tabs>
          <w:tab w:val="num" w:pos="2880"/>
        </w:tabs>
        <w:ind w:left="2880" w:hanging="360"/>
      </w:pPr>
      <w:rPr>
        <w:rFonts w:ascii="Arial" w:hAnsi="Arial" w:hint="default"/>
      </w:rPr>
    </w:lvl>
    <w:lvl w:ilvl="4" w:tplc="D5F0CE8C" w:tentative="1">
      <w:start w:val="1"/>
      <w:numFmt w:val="bullet"/>
      <w:lvlText w:val="•"/>
      <w:lvlJc w:val="left"/>
      <w:pPr>
        <w:tabs>
          <w:tab w:val="num" w:pos="3600"/>
        </w:tabs>
        <w:ind w:left="3600" w:hanging="360"/>
      </w:pPr>
      <w:rPr>
        <w:rFonts w:ascii="Arial" w:hAnsi="Arial" w:hint="default"/>
      </w:rPr>
    </w:lvl>
    <w:lvl w:ilvl="5" w:tplc="694AB266" w:tentative="1">
      <w:start w:val="1"/>
      <w:numFmt w:val="bullet"/>
      <w:lvlText w:val="•"/>
      <w:lvlJc w:val="left"/>
      <w:pPr>
        <w:tabs>
          <w:tab w:val="num" w:pos="4320"/>
        </w:tabs>
        <w:ind w:left="4320" w:hanging="360"/>
      </w:pPr>
      <w:rPr>
        <w:rFonts w:ascii="Arial" w:hAnsi="Arial" w:hint="default"/>
      </w:rPr>
    </w:lvl>
    <w:lvl w:ilvl="6" w:tplc="78B07094" w:tentative="1">
      <w:start w:val="1"/>
      <w:numFmt w:val="bullet"/>
      <w:lvlText w:val="•"/>
      <w:lvlJc w:val="left"/>
      <w:pPr>
        <w:tabs>
          <w:tab w:val="num" w:pos="5040"/>
        </w:tabs>
        <w:ind w:left="5040" w:hanging="360"/>
      </w:pPr>
      <w:rPr>
        <w:rFonts w:ascii="Arial" w:hAnsi="Arial" w:hint="default"/>
      </w:rPr>
    </w:lvl>
    <w:lvl w:ilvl="7" w:tplc="38F80CAA" w:tentative="1">
      <w:start w:val="1"/>
      <w:numFmt w:val="bullet"/>
      <w:lvlText w:val="•"/>
      <w:lvlJc w:val="left"/>
      <w:pPr>
        <w:tabs>
          <w:tab w:val="num" w:pos="5760"/>
        </w:tabs>
        <w:ind w:left="5760" w:hanging="360"/>
      </w:pPr>
      <w:rPr>
        <w:rFonts w:ascii="Arial" w:hAnsi="Arial" w:hint="default"/>
      </w:rPr>
    </w:lvl>
    <w:lvl w:ilvl="8" w:tplc="42669022" w:tentative="1">
      <w:start w:val="1"/>
      <w:numFmt w:val="bullet"/>
      <w:lvlText w:val="•"/>
      <w:lvlJc w:val="left"/>
      <w:pPr>
        <w:tabs>
          <w:tab w:val="num" w:pos="6480"/>
        </w:tabs>
        <w:ind w:left="6480" w:hanging="360"/>
      </w:pPr>
      <w:rPr>
        <w:rFonts w:ascii="Arial" w:hAnsi="Arial" w:hint="default"/>
      </w:rPr>
    </w:lvl>
  </w:abstractNum>
  <w:abstractNum w:abstractNumId="14">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
  </w:num>
  <w:num w:numId="3">
    <w:abstractNumId w:val="14"/>
  </w:num>
  <w:num w:numId="4">
    <w:abstractNumId w:val="2"/>
  </w:num>
  <w:num w:numId="5">
    <w:abstractNumId w:val="6"/>
  </w:num>
  <w:num w:numId="6">
    <w:abstractNumId w:val="9"/>
  </w:num>
  <w:num w:numId="7">
    <w:abstractNumId w:val="7"/>
  </w:num>
  <w:num w:numId="8">
    <w:abstractNumId w:val="1"/>
  </w:num>
  <w:num w:numId="9">
    <w:abstractNumId w:val="4"/>
  </w:num>
  <w:num w:numId="10">
    <w:abstractNumId w:val="12"/>
  </w:num>
  <w:num w:numId="11">
    <w:abstractNumId w:val="13"/>
  </w:num>
  <w:num w:numId="12">
    <w:abstractNumId w:val="10"/>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0089"/>
    <w:rsid w:val="00011F78"/>
    <w:rsid w:val="00015EC6"/>
    <w:rsid w:val="00022DB6"/>
    <w:rsid w:val="000247E1"/>
    <w:rsid w:val="00041864"/>
    <w:rsid w:val="0004776A"/>
    <w:rsid w:val="00057F28"/>
    <w:rsid w:val="00060377"/>
    <w:rsid w:val="00061004"/>
    <w:rsid w:val="000833EF"/>
    <w:rsid w:val="000A0C1B"/>
    <w:rsid w:val="000A3CCB"/>
    <w:rsid w:val="000A7B4B"/>
    <w:rsid w:val="000B1468"/>
    <w:rsid w:val="000D62D8"/>
    <w:rsid w:val="000F302B"/>
    <w:rsid w:val="000F4E59"/>
    <w:rsid w:val="00116F59"/>
    <w:rsid w:val="00117BDE"/>
    <w:rsid w:val="00123ACB"/>
    <w:rsid w:val="001362FD"/>
    <w:rsid w:val="001366BB"/>
    <w:rsid w:val="001372F2"/>
    <w:rsid w:val="00153F85"/>
    <w:rsid w:val="00176043"/>
    <w:rsid w:val="00180A06"/>
    <w:rsid w:val="00182783"/>
    <w:rsid w:val="00195F8E"/>
    <w:rsid w:val="001A54FA"/>
    <w:rsid w:val="001B05C8"/>
    <w:rsid w:val="001B0DDF"/>
    <w:rsid w:val="001B6DF9"/>
    <w:rsid w:val="001C1651"/>
    <w:rsid w:val="001C699E"/>
    <w:rsid w:val="001D55BC"/>
    <w:rsid w:val="001D5890"/>
    <w:rsid w:val="001D7FB3"/>
    <w:rsid w:val="002009C2"/>
    <w:rsid w:val="00202C41"/>
    <w:rsid w:val="00205FB9"/>
    <w:rsid w:val="00211C37"/>
    <w:rsid w:val="00212D24"/>
    <w:rsid w:val="00217581"/>
    <w:rsid w:val="00223723"/>
    <w:rsid w:val="002335B0"/>
    <w:rsid w:val="002338A1"/>
    <w:rsid w:val="0024290E"/>
    <w:rsid w:val="00242D2E"/>
    <w:rsid w:val="0024599B"/>
    <w:rsid w:val="00261949"/>
    <w:rsid w:val="00266064"/>
    <w:rsid w:val="00267EE0"/>
    <w:rsid w:val="002749B8"/>
    <w:rsid w:val="0027611C"/>
    <w:rsid w:val="00283203"/>
    <w:rsid w:val="002840D0"/>
    <w:rsid w:val="00295EFC"/>
    <w:rsid w:val="002A66BE"/>
    <w:rsid w:val="002B651E"/>
    <w:rsid w:val="002D2A7A"/>
    <w:rsid w:val="002E28FA"/>
    <w:rsid w:val="002F6007"/>
    <w:rsid w:val="00306F7F"/>
    <w:rsid w:val="00310708"/>
    <w:rsid w:val="00311C8A"/>
    <w:rsid w:val="00312BD3"/>
    <w:rsid w:val="00322AAE"/>
    <w:rsid w:val="00342B5C"/>
    <w:rsid w:val="00347A3B"/>
    <w:rsid w:val="003503BE"/>
    <w:rsid w:val="00356245"/>
    <w:rsid w:val="00367EEB"/>
    <w:rsid w:val="00370895"/>
    <w:rsid w:val="00375273"/>
    <w:rsid w:val="00392AE9"/>
    <w:rsid w:val="003A2F92"/>
    <w:rsid w:val="003B3240"/>
    <w:rsid w:val="003B78F9"/>
    <w:rsid w:val="003D74A2"/>
    <w:rsid w:val="003D7A13"/>
    <w:rsid w:val="003E064F"/>
    <w:rsid w:val="003E1B86"/>
    <w:rsid w:val="003F1643"/>
    <w:rsid w:val="003F3C61"/>
    <w:rsid w:val="003F771B"/>
    <w:rsid w:val="00402829"/>
    <w:rsid w:val="00430DC5"/>
    <w:rsid w:val="00433910"/>
    <w:rsid w:val="0045014A"/>
    <w:rsid w:val="00450D89"/>
    <w:rsid w:val="004533A7"/>
    <w:rsid w:val="0045765A"/>
    <w:rsid w:val="00460505"/>
    <w:rsid w:val="00463122"/>
    <w:rsid w:val="00471ABD"/>
    <w:rsid w:val="00480E77"/>
    <w:rsid w:val="0048366B"/>
    <w:rsid w:val="00484C39"/>
    <w:rsid w:val="004955D9"/>
    <w:rsid w:val="004B17C9"/>
    <w:rsid w:val="004C4A2B"/>
    <w:rsid w:val="004E633C"/>
    <w:rsid w:val="004F3191"/>
    <w:rsid w:val="00511CA5"/>
    <w:rsid w:val="005150CE"/>
    <w:rsid w:val="00522588"/>
    <w:rsid w:val="005248A4"/>
    <w:rsid w:val="00530814"/>
    <w:rsid w:val="00533406"/>
    <w:rsid w:val="00537911"/>
    <w:rsid w:val="005435BD"/>
    <w:rsid w:val="00545301"/>
    <w:rsid w:val="00553534"/>
    <w:rsid w:val="00565333"/>
    <w:rsid w:val="00571387"/>
    <w:rsid w:val="00580DCC"/>
    <w:rsid w:val="00591B39"/>
    <w:rsid w:val="00592809"/>
    <w:rsid w:val="00593F22"/>
    <w:rsid w:val="005B1CC3"/>
    <w:rsid w:val="005B5A07"/>
    <w:rsid w:val="005C1372"/>
    <w:rsid w:val="005F7B8B"/>
    <w:rsid w:val="00604D9F"/>
    <w:rsid w:val="00606BB2"/>
    <w:rsid w:val="00607A4B"/>
    <w:rsid w:val="00617765"/>
    <w:rsid w:val="00622379"/>
    <w:rsid w:val="0062704E"/>
    <w:rsid w:val="00632A7A"/>
    <w:rsid w:val="00634682"/>
    <w:rsid w:val="0063507E"/>
    <w:rsid w:val="006363E9"/>
    <w:rsid w:val="006545A6"/>
    <w:rsid w:val="006858D6"/>
    <w:rsid w:val="00687908"/>
    <w:rsid w:val="006910A2"/>
    <w:rsid w:val="00695F57"/>
    <w:rsid w:val="006A0189"/>
    <w:rsid w:val="006A1127"/>
    <w:rsid w:val="006A2F72"/>
    <w:rsid w:val="006A3278"/>
    <w:rsid w:val="006D3EBD"/>
    <w:rsid w:val="006E6F0B"/>
    <w:rsid w:val="006E6FB4"/>
    <w:rsid w:val="007104E4"/>
    <w:rsid w:val="00720DAA"/>
    <w:rsid w:val="007442BB"/>
    <w:rsid w:val="007463C5"/>
    <w:rsid w:val="00746846"/>
    <w:rsid w:val="007509C7"/>
    <w:rsid w:val="007510C3"/>
    <w:rsid w:val="007516D1"/>
    <w:rsid w:val="0076458E"/>
    <w:rsid w:val="00767063"/>
    <w:rsid w:val="00772C48"/>
    <w:rsid w:val="00773FF3"/>
    <w:rsid w:val="00793F0F"/>
    <w:rsid w:val="007940AE"/>
    <w:rsid w:val="007A10F9"/>
    <w:rsid w:val="007A4C02"/>
    <w:rsid w:val="007B476F"/>
    <w:rsid w:val="007B49CD"/>
    <w:rsid w:val="007B593B"/>
    <w:rsid w:val="007B5A46"/>
    <w:rsid w:val="007C1BC2"/>
    <w:rsid w:val="007D0DBA"/>
    <w:rsid w:val="007D4DB0"/>
    <w:rsid w:val="007E3DC2"/>
    <w:rsid w:val="007F073B"/>
    <w:rsid w:val="00805C72"/>
    <w:rsid w:val="00805CEA"/>
    <w:rsid w:val="00806F15"/>
    <w:rsid w:val="00821A7C"/>
    <w:rsid w:val="00831225"/>
    <w:rsid w:val="008321E7"/>
    <w:rsid w:val="008428AB"/>
    <w:rsid w:val="00863664"/>
    <w:rsid w:val="0088151C"/>
    <w:rsid w:val="008817AB"/>
    <w:rsid w:val="008843A4"/>
    <w:rsid w:val="008B1C49"/>
    <w:rsid w:val="008B67CC"/>
    <w:rsid w:val="008B746D"/>
    <w:rsid w:val="008C2748"/>
    <w:rsid w:val="008D1228"/>
    <w:rsid w:val="008E07A8"/>
    <w:rsid w:val="008E3BDA"/>
    <w:rsid w:val="008E5853"/>
    <w:rsid w:val="008F452F"/>
    <w:rsid w:val="00905ADC"/>
    <w:rsid w:val="00906C33"/>
    <w:rsid w:val="009173AF"/>
    <w:rsid w:val="00932946"/>
    <w:rsid w:val="009424FA"/>
    <w:rsid w:val="009426CB"/>
    <w:rsid w:val="0095214C"/>
    <w:rsid w:val="009559DC"/>
    <w:rsid w:val="00963073"/>
    <w:rsid w:val="0097315A"/>
    <w:rsid w:val="00984EAD"/>
    <w:rsid w:val="009961F8"/>
    <w:rsid w:val="009A3F0A"/>
    <w:rsid w:val="009A64D1"/>
    <w:rsid w:val="009B2692"/>
    <w:rsid w:val="009B287D"/>
    <w:rsid w:val="009B3EFE"/>
    <w:rsid w:val="009B493A"/>
    <w:rsid w:val="009B4FCC"/>
    <w:rsid w:val="009D3D73"/>
    <w:rsid w:val="009E73AD"/>
    <w:rsid w:val="009F5357"/>
    <w:rsid w:val="009F74DD"/>
    <w:rsid w:val="009F7653"/>
    <w:rsid w:val="00A00569"/>
    <w:rsid w:val="00A0392C"/>
    <w:rsid w:val="00A12D3A"/>
    <w:rsid w:val="00A135C6"/>
    <w:rsid w:val="00A21E85"/>
    <w:rsid w:val="00A25800"/>
    <w:rsid w:val="00A26D11"/>
    <w:rsid w:val="00A2712A"/>
    <w:rsid w:val="00A3306B"/>
    <w:rsid w:val="00A36044"/>
    <w:rsid w:val="00A366A9"/>
    <w:rsid w:val="00A43ED1"/>
    <w:rsid w:val="00A46912"/>
    <w:rsid w:val="00A64099"/>
    <w:rsid w:val="00A96425"/>
    <w:rsid w:val="00AB3B3C"/>
    <w:rsid w:val="00AB6016"/>
    <w:rsid w:val="00AC2A37"/>
    <w:rsid w:val="00AD0E50"/>
    <w:rsid w:val="00AD632D"/>
    <w:rsid w:val="00AD7A0B"/>
    <w:rsid w:val="00AF0554"/>
    <w:rsid w:val="00AF1C07"/>
    <w:rsid w:val="00AF3507"/>
    <w:rsid w:val="00AF737F"/>
    <w:rsid w:val="00B006DF"/>
    <w:rsid w:val="00B05ECD"/>
    <w:rsid w:val="00B06172"/>
    <w:rsid w:val="00B16A24"/>
    <w:rsid w:val="00B16A8C"/>
    <w:rsid w:val="00B240CF"/>
    <w:rsid w:val="00B275C1"/>
    <w:rsid w:val="00B62931"/>
    <w:rsid w:val="00B6522B"/>
    <w:rsid w:val="00B65709"/>
    <w:rsid w:val="00B65BD8"/>
    <w:rsid w:val="00B67DF2"/>
    <w:rsid w:val="00B8232C"/>
    <w:rsid w:val="00B85BF7"/>
    <w:rsid w:val="00B939CC"/>
    <w:rsid w:val="00BA52B9"/>
    <w:rsid w:val="00BC547B"/>
    <w:rsid w:val="00BC7D86"/>
    <w:rsid w:val="00BD4B6C"/>
    <w:rsid w:val="00BF06D2"/>
    <w:rsid w:val="00BF55F6"/>
    <w:rsid w:val="00C37933"/>
    <w:rsid w:val="00C408C7"/>
    <w:rsid w:val="00C463F2"/>
    <w:rsid w:val="00C47EEA"/>
    <w:rsid w:val="00C519D0"/>
    <w:rsid w:val="00C5630B"/>
    <w:rsid w:val="00C70ACB"/>
    <w:rsid w:val="00C74109"/>
    <w:rsid w:val="00C74AC6"/>
    <w:rsid w:val="00C75969"/>
    <w:rsid w:val="00C91809"/>
    <w:rsid w:val="00CA4FEC"/>
    <w:rsid w:val="00CB62A2"/>
    <w:rsid w:val="00CD7921"/>
    <w:rsid w:val="00CE084B"/>
    <w:rsid w:val="00CE4249"/>
    <w:rsid w:val="00CF626D"/>
    <w:rsid w:val="00D02D57"/>
    <w:rsid w:val="00D100D7"/>
    <w:rsid w:val="00D118D6"/>
    <w:rsid w:val="00D20266"/>
    <w:rsid w:val="00D20C29"/>
    <w:rsid w:val="00D31A61"/>
    <w:rsid w:val="00D33842"/>
    <w:rsid w:val="00D47915"/>
    <w:rsid w:val="00D57D6E"/>
    <w:rsid w:val="00D61F5A"/>
    <w:rsid w:val="00D656C2"/>
    <w:rsid w:val="00D74FAA"/>
    <w:rsid w:val="00D76097"/>
    <w:rsid w:val="00D901A6"/>
    <w:rsid w:val="00D914BD"/>
    <w:rsid w:val="00D97D60"/>
    <w:rsid w:val="00D97FCD"/>
    <w:rsid w:val="00DA6823"/>
    <w:rsid w:val="00DB1DC4"/>
    <w:rsid w:val="00DB4C12"/>
    <w:rsid w:val="00DB7A9E"/>
    <w:rsid w:val="00DC6BD2"/>
    <w:rsid w:val="00DD1A10"/>
    <w:rsid w:val="00DD5F52"/>
    <w:rsid w:val="00DD742A"/>
    <w:rsid w:val="00E0081E"/>
    <w:rsid w:val="00E02094"/>
    <w:rsid w:val="00E05A7C"/>
    <w:rsid w:val="00E10F4C"/>
    <w:rsid w:val="00E115AB"/>
    <w:rsid w:val="00E1714C"/>
    <w:rsid w:val="00E2419F"/>
    <w:rsid w:val="00E2665A"/>
    <w:rsid w:val="00E366D6"/>
    <w:rsid w:val="00E46593"/>
    <w:rsid w:val="00E63D8B"/>
    <w:rsid w:val="00E74849"/>
    <w:rsid w:val="00E749AF"/>
    <w:rsid w:val="00E81F4B"/>
    <w:rsid w:val="00E920C0"/>
    <w:rsid w:val="00E97659"/>
    <w:rsid w:val="00EA11BE"/>
    <w:rsid w:val="00EB7ACE"/>
    <w:rsid w:val="00EC644A"/>
    <w:rsid w:val="00EC6A3F"/>
    <w:rsid w:val="00EE4F35"/>
    <w:rsid w:val="00EE7286"/>
    <w:rsid w:val="00F118C4"/>
    <w:rsid w:val="00F11DAF"/>
    <w:rsid w:val="00F22F63"/>
    <w:rsid w:val="00F30554"/>
    <w:rsid w:val="00F348D2"/>
    <w:rsid w:val="00F4325D"/>
    <w:rsid w:val="00F4485F"/>
    <w:rsid w:val="00F44B6A"/>
    <w:rsid w:val="00F50E92"/>
    <w:rsid w:val="00F521C7"/>
    <w:rsid w:val="00F569A2"/>
    <w:rsid w:val="00F60108"/>
    <w:rsid w:val="00F60BF8"/>
    <w:rsid w:val="00F64863"/>
    <w:rsid w:val="00F846C2"/>
    <w:rsid w:val="00F902F2"/>
    <w:rsid w:val="00F960C1"/>
    <w:rsid w:val="00FA0331"/>
    <w:rsid w:val="00FA4C3D"/>
    <w:rsid w:val="00FB0768"/>
    <w:rsid w:val="00FB7CE1"/>
    <w:rsid w:val="00FC0359"/>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HKPH4XM4QHZ4-9-11207</_dlc_DocId>
    <_dlc_DocIdUrl xmlns="b8cb3cbd-ce5c-4a72-9da4-9013f91c5903">
      <Url>http://workplaces/sites/ttg/d/_layouts/DocIdRedir.aspx?ID=HKPH4XM4QHZ4-9-11207</Url>
      <Description>HKPH4XM4QHZ4-9-11207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46cf5e9a6bdda7885d3ea30a06f096c1">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84a9e59cad19928108f7ee55d43d7b21"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9D045-B0F2-4F2E-B883-F8A801916E75}"/>
</file>

<file path=customXml/itemProps2.xml><?xml version="1.0" encoding="utf-8"?>
<ds:datastoreItem xmlns:ds="http://schemas.openxmlformats.org/officeDocument/2006/customXml" ds:itemID="{323EFAE5-661B-4E04-A512-C73AC9E9CE24}"/>
</file>

<file path=customXml/itemProps3.xml><?xml version="1.0" encoding="utf-8"?>
<ds:datastoreItem xmlns:ds="http://schemas.openxmlformats.org/officeDocument/2006/customXml" ds:itemID="{E7B320AD-6A30-474B-A38D-9DD98722032F}"/>
</file>

<file path=customXml/itemProps4.xml><?xml version="1.0" encoding="utf-8"?>
<ds:datastoreItem xmlns:ds="http://schemas.openxmlformats.org/officeDocument/2006/customXml" ds:itemID="{E9258687-9CB4-44C9-9ACD-FC79EB696553}"/>
</file>

<file path=customXml/itemProps5.xml><?xml version="1.0" encoding="utf-8"?>
<ds:datastoreItem xmlns:ds="http://schemas.openxmlformats.org/officeDocument/2006/customXml" ds:itemID="{FC0D9850-2C08-4D99-8D09-C93EFF2DF2FE}"/>
</file>

<file path=docProps/app.xml><?xml version="1.0" encoding="utf-8"?>
<Properties xmlns="http://schemas.openxmlformats.org/officeDocument/2006/extended-properties" xmlns:vt="http://schemas.openxmlformats.org/officeDocument/2006/docPropsVTypes">
  <Template>CE16F477</Template>
  <TotalTime>5</TotalTime>
  <Pages>7</Pages>
  <Words>2419</Words>
  <Characters>12925</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vt:lpstr>
    </vt:vector>
  </TitlesOfParts>
  <Company>Employment Benefits</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WILLIAMS, Sue (CIOG)</dc:creator>
  <cp:lastModifiedBy>CAMMACK, Karen</cp:lastModifiedBy>
  <cp:revision>4</cp:revision>
  <dcterms:created xsi:type="dcterms:W3CDTF">2015-06-22T10:23:00Z</dcterms:created>
  <dcterms:modified xsi:type="dcterms:W3CDTF">2015-06-22T13:21:00Z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3;#Unclassified|0884c477-2e62-47ea-b19c-5af6e91124c5</vt:lpwstr>
  </property>
  <property fmtid="{D5CDD505-2E9C-101B-9397-08002B2CF9AE}" pid="9" name="_dlc_DocIdItemGuid">
    <vt:lpwstr>7dba0e63-92dd-47b9-934c-4119753ce629</vt:lpwstr>
  </property>
</Properties>
</file>