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CBD54" w14:textId="77777777" w:rsidR="00AF1C07" w:rsidRPr="00D73078" w:rsidRDefault="00D73078" w:rsidP="00327FA8">
      <w:pPr>
        <w:pStyle w:val="DeptBullets"/>
        <w:numPr>
          <w:ilvl w:val="0"/>
          <w:numId w:val="0"/>
        </w:numPr>
        <w:spacing w:after="0"/>
        <w:rPr>
          <w:b/>
        </w:rPr>
      </w:pPr>
      <w:bookmarkStart w:id="0" w:name="_GoBack"/>
      <w:bookmarkEnd w:id="0"/>
      <w:r w:rsidRPr="00D73078">
        <w:rPr>
          <w:b/>
        </w:rPr>
        <w:t xml:space="preserve">Engagement </w:t>
      </w:r>
      <w:r w:rsidR="008A30E4">
        <w:rPr>
          <w:b/>
        </w:rPr>
        <w:t>November 2015</w:t>
      </w:r>
      <w:r w:rsidRPr="00D73078">
        <w:rPr>
          <w:b/>
        </w:rPr>
        <w:t xml:space="preserve"> – </w:t>
      </w:r>
      <w:r w:rsidR="008A30E4">
        <w:rPr>
          <w:b/>
        </w:rPr>
        <w:t>January 2016</w:t>
      </w:r>
    </w:p>
    <w:p w14:paraId="5E7813BC" w14:textId="77777777" w:rsidR="00A51A34" w:rsidRDefault="00A51A34" w:rsidP="00327FA8">
      <w:pPr>
        <w:pStyle w:val="DeptBullets"/>
        <w:numPr>
          <w:ilvl w:val="0"/>
          <w:numId w:val="0"/>
        </w:numPr>
        <w:spacing w:after="0"/>
        <w:rPr>
          <w:u w:val="single"/>
        </w:rPr>
      </w:pPr>
    </w:p>
    <w:p w14:paraId="3F99F36E" w14:textId="77777777" w:rsidR="00EA3463" w:rsidRPr="00EA3463" w:rsidRDefault="00B60C22" w:rsidP="00327FA8">
      <w:pPr>
        <w:pStyle w:val="DeptBullets"/>
        <w:numPr>
          <w:ilvl w:val="0"/>
          <w:numId w:val="0"/>
        </w:numPr>
        <w:spacing w:after="0"/>
        <w:rPr>
          <w:u w:val="single"/>
        </w:rPr>
      </w:pPr>
      <w:r>
        <w:rPr>
          <w:u w:val="single"/>
        </w:rPr>
        <w:t>Quarterly u</w:t>
      </w:r>
      <w:r w:rsidR="00EA3463" w:rsidRPr="00EA3463">
        <w:rPr>
          <w:u w:val="single"/>
        </w:rPr>
        <w:t>pdate</w:t>
      </w:r>
    </w:p>
    <w:p w14:paraId="101C9E87" w14:textId="77777777" w:rsidR="00A51A34" w:rsidRDefault="00A51A34" w:rsidP="00327FA8">
      <w:pPr>
        <w:pStyle w:val="DeptBullets"/>
        <w:numPr>
          <w:ilvl w:val="0"/>
          <w:numId w:val="0"/>
        </w:numPr>
        <w:spacing w:after="0"/>
      </w:pPr>
    </w:p>
    <w:p w14:paraId="34FA532C" w14:textId="77777777" w:rsidR="008A30E4" w:rsidRDefault="008A30E4" w:rsidP="008A30E4">
      <w:pPr>
        <w:rPr>
          <w:rFonts w:cs="Arial"/>
          <w:color w:val="000000" w:themeColor="text1"/>
          <w:szCs w:val="24"/>
        </w:rPr>
      </w:pPr>
      <w:r>
        <w:rPr>
          <w:rFonts w:cs="Arial"/>
          <w:color w:val="000000" w:themeColor="text1"/>
          <w:szCs w:val="24"/>
        </w:rPr>
        <w:t xml:space="preserve">TPS engagement for the current year has been agreed and </w:t>
      </w:r>
      <w:r w:rsidR="009B3A70">
        <w:rPr>
          <w:rFonts w:cs="Arial"/>
          <w:color w:val="000000" w:themeColor="text1"/>
          <w:szCs w:val="24"/>
        </w:rPr>
        <w:t>approved</w:t>
      </w:r>
      <w:r>
        <w:rPr>
          <w:rFonts w:cs="Arial"/>
          <w:color w:val="000000" w:themeColor="text1"/>
          <w:szCs w:val="24"/>
        </w:rPr>
        <w:t xml:space="preserve"> by the contract management team.  The main focus will be to undertake an in-depth review of the content and functionality of the TPS website.  This will be fully informed by employer and employee user feedback.</w:t>
      </w:r>
    </w:p>
    <w:p w14:paraId="02558652" w14:textId="77777777" w:rsidR="008A30E4" w:rsidRDefault="008A30E4" w:rsidP="008A30E4">
      <w:pPr>
        <w:rPr>
          <w:rFonts w:cs="Arial"/>
          <w:color w:val="000000" w:themeColor="text1"/>
          <w:szCs w:val="24"/>
        </w:rPr>
      </w:pPr>
    </w:p>
    <w:p w14:paraId="260EA845" w14:textId="77777777" w:rsidR="00294B22" w:rsidRDefault="00294B22" w:rsidP="00294B22">
      <w:pPr>
        <w:rPr>
          <w:rFonts w:cs="Arial"/>
          <w:color w:val="000000" w:themeColor="text1"/>
          <w:szCs w:val="24"/>
        </w:rPr>
      </w:pPr>
      <w:r>
        <w:rPr>
          <w:rFonts w:cs="Arial"/>
          <w:color w:val="000000" w:themeColor="text1"/>
          <w:szCs w:val="24"/>
        </w:rPr>
        <w:t xml:space="preserve">We have </w:t>
      </w:r>
      <w:r w:rsidR="00C03AD1">
        <w:rPr>
          <w:rFonts w:cs="Arial"/>
          <w:color w:val="000000" w:themeColor="text1"/>
          <w:szCs w:val="24"/>
        </w:rPr>
        <w:t>agreed</w:t>
      </w:r>
      <w:r>
        <w:rPr>
          <w:rFonts w:cs="Arial"/>
          <w:color w:val="000000" w:themeColor="text1"/>
          <w:szCs w:val="24"/>
        </w:rPr>
        <w:t xml:space="preserve"> with </w:t>
      </w:r>
      <w:r w:rsidR="00EF4BDC">
        <w:rPr>
          <w:rFonts w:cs="Arial"/>
          <w:color w:val="000000" w:themeColor="text1"/>
          <w:szCs w:val="24"/>
        </w:rPr>
        <w:t>D</w:t>
      </w:r>
      <w:r>
        <w:rPr>
          <w:rFonts w:cs="Arial"/>
          <w:color w:val="000000" w:themeColor="text1"/>
          <w:szCs w:val="24"/>
        </w:rPr>
        <w:t>epartment colleagues that future Marketing Exemption exercises (to agree projects which actively promote the benefits of the scheme, and their associated costs) will be delivered in line with contract years (Oct</w:t>
      </w:r>
      <w:r w:rsidR="00EF4BDC">
        <w:rPr>
          <w:rFonts w:cs="Arial"/>
          <w:color w:val="000000" w:themeColor="text1"/>
          <w:szCs w:val="24"/>
        </w:rPr>
        <w:t>ober</w:t>
      </w:r>
      <w:r>
        <w:rPr>
          <w:rFonts w:cs="Arial"/>
          <w:color w:val="000000" w:themeColor="text1"/>
          <w:szCs w:val="24"/>
        </w:rPr>
        <w:t>-Sep</w:t>
      </w:r>
      <w:r w:rsidR="00EF4BDC">
        <w:rPr>
          <w:rFonts w:cs="Arial"/>
          <w:color w:val="000000" w:themeColor="text1"/>
          <w:szCs w:val="24"/>
        </w:rPr>
        <w:t>tember</w:t>
      </w:r>
      <w:r>
        <w:rPr>
          <w:rFonts w:cs="Arial"/>
          <w:color w:val="000000" w:themeColor="text1"/>
          <w:szCs w:val="24"/>
        </w:rPr>
        <w:t>) rather than in line with financial years, which has previously been the case.  This will allow more efficient communications planning.</w:t>
      </w:r>
    </w:p>
    <w:p w14:paraId="1B5A268E" w14:textId="77777777" w:rsidR="00294B22" w:rsidRDefault="00294B22" w:rsidP="008A30E4">
      <w:pPr>
        <w:rPr>
          <w:rFonts w:cs="Arial"/>
          <w:color w:val="000000" w:themeColor="text1"/>
          <w:szCs w:val="24"/>
        </w:rPr>
      </w:pPr>
    </w:p>
    <w:p w14:paraId="6C85C4A3" w14:textId="77777777" w:rsidR="009B3A70" w:rsidRDefault="00C03AD1" w:rsidP="008A30E4">
      <w:pPr>
        <w:rPr>
          <w:rFonts w:cs="Arial"/>
          <w:color w:val="000000" w:themeColor="text1"/>
          <w:szCs w:val="24"/>
        </w:rPr>
      </w:pPr>
      <w:r>
        <w:rPr>
          <w:rFonts w:cs="Arial"/>
          <w:color w:val="000000" w:themeColor="text1"/>
          <w:szCs w:val="24"/>
        </w:rPr>
        <w:t>Building on the much improved processes to receive timely</w:t>
      </w:r>
      <w:r w:rsidR="009B3A70">
        <w:rPr>
          <w:rFonts w:cs="Arial"/>
          <w:color w:val="000000" w:themeColor="text1"/>
          <w:szCs w:val="24"/>
        </w:rPr>
        <w:t xml:space="preserve"> member data from employers through the Annual Service Return exercise, a</w:t>
      </w:r>
      <w:r w:rsidR="00BA5EC9">
        <w:rPr>
          <w:rFonts w:cs="Arial"/>
          <w:color w:val="000000" w:themeColor="text1"/>
          <w:szCs w:val="24"/>
        </w:rPr>
        <w:t>ctivity</w:t>
      </w:r>
      <w:r w:rsidR="009B3A70">
        <w:rPr>
          <w:rFonts w:cs="Arial"/>
          <w:color w:val="000000" w:themeColor="text1"/>
          <w:szCs w:val="24"/>
        </w:rPr>
        <w:t xml:space="preserve"> to proactively engage </w:t>
      </w:r>
      <w:r w:rsidR="00294B22">
        <w:rPr>
          <w:rFonts w:cs="Arial"/>
          <w:color w:val="000000" w:themeColor="text1"/>
          <w:szCs w:val="24"/>
        </w:rPr>
        <w:t xml:space="preserve">and support </w:t>
      </w:r>
      <w:r w:rsidR="009B3A70">
        <w:rPr>
          <w:rFonts w:cs="Arial"/>
          <w:color w:val="000000" w:themeColor="text1"/>
          <w:szCs w:val="24"/>
        </w:rPr>
        <w:t xml:space="preserve">employers has been agreed with the </w:t>
      </w:r>
      <w:r w:rsidR="00EF4BDC">
        <w:rPr>
          <w:rFonts w:cs="Arial"/>
          <w:color w:val="000000" w:themeColor="text1"/>
          <w:szCs w:val="24"/>
        </w:rPr>
        <w:t>D</w:t>
      </w:r>
      <w:r w:rsidR="009B3A70">
        <w:rPr>
          <w:rFonts w:cs="Arial"/>
          <w:color w:val="000000" w:themeColor="text1"/>
          <w:szCs w:val="24"/>
        </w:rPr>
        <w:t>epartment</w:t>
      </w:r>
      <w:r w:rsidR="00294B22">
        <w:rPr>
          <w:rFonts w:cs="Arial"/>
          <w:color w:val="000000" w:themeColor="text1"/>
          <w:szCs w:val="24"/>
        </w:rPr>
        <w:t xml:space="preserve">.  The communications will </w:t>
      </w:r>
      <w:r w:rsidR="009B3A70">
        <w:rPr>
          <w:rFonts w:cs="Arial"/>
          <w:color w:val="000000" w:themeColor="text1"/>
          <w:szCs w:val="24"/>
        </w:rPr>
        <w:t>more clearly define the process and potential consequences for members (a lack of current service and salary data) and employers (ultimately, they will be reported to the Pensions Regulator) should they fail to provide accurate and timely data.  The first phase of engagement</w:t>
      </w:r>
      <w:r w:rsidR="00F84D72">
        <w:rPr>
          <w:rFonts w:cs="Arial"/>
          <w:color w:val="000000" w:themeColor="text1"/>
          <w:szCs w:val="24"/>
        </w:rPr>
        <w:t xml:space="preserve"> will take place in</w:t>
      </w:r>
      <w:r w:rsidR="00AB345C">
        <w:rPr>
          <w:rFonts w:cs="Arial"/>
          <w:color w:val="000000" w:themeColor="text1"/>
          <w:szCs w:val="24"/>
        </w:rPr>
        <w:t xml:space="preserve"> </w:t>
      </w:r>
      <w:r w:rsidR="00AA55EF">
        <w:rPr>
          <w:rFonts w:cs="Arial"/>
          <w:color w:val="000000" w:themeColor="text1"/>
          <w:szCs w:val="24"/>
        </w:rPr>
        <w:t>March</w:t>
      </w:r>
      <w:r w:rsidR="00F84D72">
        <w:rPr>
          <w:rFonts w:cs="Arial"/>
          <w:color w:val="000000" w:themeColor="text1"/>
          <w:szCs w:val="24"/>
        </w:rPr>
        <w:t>.</w:t>
      </w:r>
      <w:r w:rsidR="009B3A70">
        <w:rPr>
          <w:rFonts w:cs="Arial"/>
          <w:color w:val="000000" w:themeColor="text1"/>
          <w:szCs w:val="24"/>
        </w:rPr>
        <w:t xml:space="preserve"> </w:t>
      </w:r>
    </w:p>
    <w:p w14:paraId="62D5A41D" w14:textId="77777777" w:rsidR="009B3A70" w:rsidRDefault="009B3A70" w:rsidP="008A30E4">
      <w:pPr>
        <w:rPr>
          <w:rFonts w:cs="Arial"/>
          <w:color w:val="000000" w:themeColor="text1"/>
          <w:szCs w:val="24"/>
        </w:rPr>
      </w:pPr>
    </w:p>
    <w:p w14:paraId="3905D2F6" w14:textId="77777777" w:rsidR="00294B22" w:rsidRDefault="005D45D0" w:rsidP="008A30E4">
      <w:pPr>
        <w:rPr>
          <w:rFonts w:cs="Arial"/>
          <w:color w:val="000000" w:themeColor="text1"/>
          <w:szCs w:val="24"/>
        </w:rPr>
      </w:pPr>
      <w:r>
        <w:rPr>
          <w:rFonts w:cs="Arial"/>
          <w:color w:val="000000" w:themeColor="text1"/>
          <w:szCs w:val="24"/>
        </w:rPr>
        <w:t>A</w:t>
      </w:r>
      <w:r w:rsidR="009B3A70">
        <w:rPr>
          <w:rFonts w:cs="Arial"/>
          <w:color w:val="000000" w:themeColor="text1"/>
          <w:szCs w:val="24"/>
        </w:rPr>
        <w:t xml:space="preserve"> bespoke section on taxation and the potential impact on scheme members of </w:t>
      </w:r>
      <w:r w:rsidR="00D146E8">
        <w:rPr>
          <w:rFonts w:cs="Arial"/>
          <w:color w:val="000000" w:themeColor="text1"/>
          <w:szCs w:val="24"/>
        </w:rPr>
        <w:t xml:space="preserve">HMRC </w:t>
      </w:r>
      <w:r w:rsidR="009B3A70">
        <w:rPr>
          <w:rFonts w:cs="Arial"/>
          <w:color w:val="000000" w:themeColor="text1"/>
          <w:szCs w:val="24"/>
        </w:rPr>
        <w:t xml:space="preserve">changes </w:t>
      </w:r>
      <w:r w:rsidR="00D146E8">
        <w:rPr>
          <w:rFonts w:cs="Arial"/>
          <w:color w:val="000000" w:themeColor="text1"/>
          <w:szCs w:val="24"/>
        </w:rPr>
        <w:t>to</w:t>
      </w:r>
      <w:r w:rsidR="009B3A70">
        <w:rPr>
          <w:rFonts w:cs="Arial"/>
          <w:color w:val="000000" w:themeColor="text1"/>
          <w:szCs w:val="24"/>
        </w:rPr>
        <w:t xml:space="preserve"> Annual Allowance and Lifetime Allowance provision</w:t>
      </w:r>
      <w:r>
        <w:rPr>
          <w:rFonts w:cs="Arial"/>
          <w:color w:val="000000" w:themeColor="text1"/>
          <w:szCs w:val="24"/>
        </w:rPr>
        <w:t xml:space="preserve"> went live on the TPS website in </w:t>
      </w:r>
      <w:r w:rsidR="00F74F2F">
        <w:rPr>
          <w:rFonts w:cs="Arial"/>
          <w:color w:val="000000" w:themeColor="text1"/>
          <w:szCs w:val="24"/>
        </w:rPr>
        <w:t>December</w:t>
      </w:r>
      <w:r w:rsidR="009B3A70">
        <w:rPr>
          <w:rFonts w:cs="Arial"/>
          <w:color w:val="000000" w:themeColor="text1"/>
          <w:szCs w:val="24"/>
        </w:rPr>
        <w:t xml:space="preserve">.  </w:t>
      </w:r>
      <w:r w:rsidR="00D146E8">
        <w:rPr>
          <w:rFonts w:cs="Arial"/>
          <w:color w:val="000000" w:themeColor="text1"/>
          <w:szCs w:val="24"/>
        </w:rPr>
        <w:t>Material includes</w:t>
      </w:r>
      <w:r w:rsidR="00F11A9A" w:rsidRPr="00F11A9A">
        <w:t xml:space="preserve"> </w:t>
      </w:r>
      <w:r w:rsidR="00F11A9A">
        <w:t xml:space="preserve">briefing notes to help members and their financial advisors to understand these changes.  </w:t>
      </w:r>
      <w:r>
        <w:rPr>
          <w:rFonts w:cs="Arial"/>
          <w:color w:val="000000" w:themeColor="text1"/>
          <w:szCs w:val="24"/>
        </w:rPr>
        <w:t>Before publication t</w:t>
      </w:r>
      <w:r w:rsidR="009B3A70">
        <w:rPr>
          <w:rFonts w:cs="Arial"/>
          <w:color w:val="000000" w:themeColor="text1"/>
          <w:szCs w:val="24"/>
        </w:rPr>
        <w:t>he pages were subject to</w:t>
      </w:r>
      <w:r>
        <w:rPr>
          <w:rFonts w:cs="Arial"/>
          <w:color w:val="000000" w:themeColor="text1"/>
          <w:szCs w:val="24"/>
        </w:rPr>
        <w:t xml:space="preserve"> review and</w:t>
      </w:r>
      <w:r w:rsidR="009B3A70">
        <w:rPr>
          <w:rFonts w:cs="Arial"/>
          <w:color w:val="000000" w:themeColor="text1"/>
          <w:szCs w:val="24"/>
        </w:rPr>
        <w:t xml:space="preserve"> critical assessment by employer member representatives (via TPARG </w:t>
      </w:r>
      <w:r w:rsidR="00294B22">
        <w:rPr>
          <w:rFonts w:cs="Arial"/>
          <w:color w:val="000000" w:themeColor="text1"/>
          <w:szCs w:val="24"/>
        </w:rPr>
        <w:t>members</w:t>
      </w:r>
      <w:r w:rsidR="009B3A70">
        <w:rPr>
          <w:rFonts w:cs="Arial"/>
          <w:color w:val="000000" w:themeColor="text1"/>
          <w:szCs w:val="24"/>
        </w:rPr>
        <w:t xml:space="preserve">) and </w:t>
      </w:r>
      <w:r w:rsidR="00294B22">
        <w:rPr>
          <w:rFonts w:cs="Arial"/>
          <w:color w:val="000000" w:themeColor="text1"/>
          <w:szCs w:val="24"/>
        </w:rPr>
        <w:t xml:space="preserve">they </w:t>
      </w:r>
      <w:r w:rsidR="009B3A70">
        <w:rPr>
          <w:rFonts w:cs="Arial"/>
          <w:color w:val="000000" w:themeColor="text1"/>
          <w:szCs w:val="24"/>
        </w:rPr>
        <w:t>have proved popular with users.</w:t>
      </w:r>
      <w:r w:rsidR="004373AD">
        <w:rPr>
          <w:rFonts w:cs="Arial"/>
          <w:color w:val="000000" w:themeColor="text1"/>
          <w:szCs w:val="24"/>
        </w:rPr>
        <w:t xml:space="preserve">  </w:t>
      </w:r>
    </w:p>
    <w:p w14:paraId="2F7B0CD2" w14:textId="77777777" w:rsidR="00294B22" w:rsidRDefault="00294B22" w:rsidP="008A30E4">
      <w:pPr>
        <w:rPr>
          <w:rFonts w:cs="Arial"/>
          <w:color w:val="000000" w:themeColor="text1"/>
          <w:szCs w:val="24"/>
        </w:rPr>
      </w:pPr>
    </w:p>
    <w:p w14:paraId="1EA7ABE2" w14:textId="77777777" w:rsidR="009B3A70" w:rsidRDefault="004373AD" w:rsidP="008A30E4">
      <w:pPr>
        <w:rPr>
          <w:rFonts w:cs="Arial"/>
          <w:color w:val="000000" w:themeColor="text1"/>
          <w:szCs w:val="24"/>
        </w:rPr>
      </w:pPr>
      <w:r>
        <w:rPr>
          <w:rFonts w:cs="Arial"/>
          <w:color w:val="000000" w:themeColor="text1"/>
          <w:szCs w:val="24"/>
        </w:rPr>
        <w:t>High earning members (i.e. those most likely to be affected) have been subject to a campaign to draw their attention to the issues and</w:t>
      </w:r>
      <w:r w:rsidR="00D5170F">
        <w:rPr>
          <w:rFonts w:cs="Arial"/>
          <w:color w:val="000000" w:themeColor="text1"/>
          <w:szCs w:val="24"/>
        </w:rPr>
        <w:t xml:space="preserve"> to direct them to </w:t>
      </w:r>
      <w:r>
        <w:rPr>
          <w:rFonts w:cs="Arial"/>
          <w:color w:val="000000" w:themeColor="text1"/>
          <w:szCs w:val="24"/>
        </w:rPr>
        <w:t>the published information.</w:t>
      </w:r>
    </w:p>
    <w:p w14:paraId="2179BD8B" w14:textId="77777777" w:rsidR="00642F97" w:rsidRDefault="00642F97" w:rsidP="008A30E4">
      <w:pPr>
        <w:rPr>
          <w:rFonts w:cs="Arial"/>
          <w:color w:val="000000" w:themeColor="text1"/>
          <w:szCs w:val="24"/>
        </w:rPr>
      </w:pPr>
    </w:p>
    <w:p w14:paraId="56693910" w14:textId="77777777" w:rsidR="00B2586B" w:rsidRPr="00B2586B" w:rsidRDefault="00642F97" w:rsidP="00B2586B">
      <w:pPr>
        <w:rPr>
          <w:szCs w:val="24"/>
        </w:rPr>
      </w:pPr>
      <w:r>
        <w:rPr>
          <w:rFonts w:cs="Arial"/>
          <w:color w:val="000000" w:themeColor="text1"/>
          <w:szCs w:val="24"/>
        </w:rPr>
        <w:t>The scheme has been approached by the Education Support Partnership (formerly the Teacher Support Network) to ask if literature promoting the benefits of the charity can be incl</w:t>
      </w:r>
      <w:r w:rsidR="00741A64">
        <w:rPr>
          <w:rFonts w:cs="Arial"/>
          <w:color w:val="000000" w:themeColor="text1"/>
          <w:szCs w:val="24"/>
        </w:rPr>
        <w:t>uded in the distribution of scheme member P60s.  This is currently under consideration, but is likely to be declined</w:t>
      </w:r>
      <w:r w:rsidR="00B2586B">
        <w:rPr>
          <w:rFonts w:cs="Arial"/>
          <w:color w:val="000000" w:themeColor="text1"/>
          <w:szCs w:val="24"/>
        </w:rPr>
        <w:t xml:space="preserve"> as the Department should not be</w:t>
      </w:r>
      <w:r w:rsidR="00B2586B">
        <w:rPr>
          <w:szCs w:val="24"/>
        </w:rPr>
        <w:t xml:space="preserve"> perceived to endorse one charitable organisation in preference to other similarly worthwhile causes.  In addition, it is not feasible to </w:t>
      </w:r>
      <w:r w:rsidR="00B2586B" w:rsidRPr="00B2586B">
        <w:rPr>
          <w:szCs w:val="24"/>
        </w:rPr>
        <w:t xml:space="preserve">consider offering a promotional facility more widely as this would involve implementing a governance infrastructure to embed assurance and due diligence procedures for which the </w:t>
      </w:r>
      <w:r w:rsidR="00B2586B">
        <w:rPr>
          <w:szCs w:val="24"/>
        </w:rPr>
        <w:t>team</w:t>
      </w:r>
      <w:r w:rsidR="00B2586B" w:rsidRPr="00B2586B">
        <w:rPr>
          <w:szCs w:val="24"/>
        </w:rPr>
        <w:t xml:space="preserve"> </w:t>
      </w:r>
      <w:r w:rsidR="00B2586B">
        <w:rPr>
          <w:szCs w:val="24"/>
        </w:rPr>
        <w:t xml:space="preserve">is not </w:t>
      </w:r>
      <w:r w:rsidR="00B2586B" w:rsidRPr="00B2586B">
        <w:rPr>
          <w:szCs w:val="24"/>
        </w:rPr>
        <w:t>resourced.</w:t>
      </w:r>
    </w:p>
    <w:p w14:paraId="1DBF042A" w14:textId="77777777" w:rsidR="006C5500" w:rsidRDefault="006C5500" w:rsidP="008A30E4">
      <w:pPr>
        <w:rPr>
          <w:rFonts w:cs="Arial"/>
          <w:color w:val="000000" w:themeColor="text1"/>
          <w:szCs w:val="24"/>
        </w:rPr>
      </w:pPr>
    </w:p>
    <w:p w14:paraId="440F8192" w14:textId="77777777" w:rsidR="006C5500" w:rsidRDefault="006C5500" w:rsidP="006C5500">
      <w:pPr>
        <w:pStyle w:val="DeptBullets"/>
        <w:numPr>
          <w:ilvl w:val="0"/>
          <w:numId w:val="0"/>
        </w:numPr>
        <w:spacing w:after="0"/>
      </w:pPr>
      <w:r>
        <w:t xml:space="preserve">To enhance awareness of the transition of Annual Benefit Statements moving from hard mailing to online only, the scheme has agreed with the </w:t>
      </w:r>
      <w:r w:rsidR="00EF4BDC">
        <w:t>D</w:t>
      </w:r>
      <w:r>
        <w:t xml:space="preserve">epartment that TPS communications on this key topic will be included in the </w:t>
      </w:r>
      <w:r w:rsidR="00EF4BDC">
        <w:t>D</w:t>
      </w:r>
      <w:r>
        <w:t xml:space="preserve">epartmental communications.  This will include re-Tweeting links to scheme announcements </w:t>
      </w:r>
      <w:r>
        <w:lastRenderedPageBreak/>
        <w:t xml:space="preserve">and postings on Facebook, as well as the inclusion of scheme notices to employers through the </w:t>
      </w:r>
      <w:r w:rsidR="00EF4BDC">
        <w:t>D</w:t>
      </w:r>
      <w:r>
        <w:t>epartment’s termly schools email.</w:t>
      </w:r>
    </w:p>
    <w:p w14:paraId="21EA8E5D" w14:textId="77777777" w:rsidR="006C5500" w:rsidRDefault="006C5500" w:rsidP="006C5500">
      <w:pPr>
        <w:pStyle w:val="DeptBullets"/>
        <w:numPr>
          <w:ilvl w:val="0"/>
          <w:numId w:val="0"/>
        </w:numPr>
        <w:spacing w:after="0"/>
      </w:pPr>
    </w:p>
    <w:p w14:paraId="3E6454D6" w14:textId="77777777" w:rsidR="006C5500" w:rsidRDefault="00BA5EC9" w:rsidP="006C5500">
      <w:pPr>
        <w:pStyle w:val="DeptBullets"/>
        <w:numPr>
          <w:ilvl w:val="0"/>
          <w:numId w:val="0"/>
        </w:numPr>
        <w:spacing w:after="0"/>
      </w:pPr>
      <w:r>
        <w:t>S</w:t>
      </w:r>
      <w:r w:rsidR="006C5500">
        <w:t>cheme</w:t>
      </w:r>
      <w:r>
        <w:t xml:space="preserve"> communications</w:t>
      </w:r>
      <w:r w:rsidR="006C5500">
        <w:t xml:space="preserve"> will also be shared with the </w:t>
      </w:r>
      <w:r w:rsidR="00EF4BDC">
        <w:t>D</w:t>
      </w:r>
      <w:r w:rsidR="006C5500">
        <w:t xml:space="preserve">epartment’s </w:t>
      </w:r>
      <w:r>
        <w:t>campaign</w:t>
      </w:r>
      <w:r w:rsidR="006C5500">
        <w:t xml:space="preserve"> team, highlighting key themes which we would like to be included in future </w:t>
      </w:r>
      <w:r w:rsidR="00EF4BDC">
        <w:t>D</w:t>
      </w:r>
      <w:r w:rsidR="006C5500">
        <w:t>epartment communications.</w:t>
      </w:r>
    </w:p>
    <w:p w14:paraId="2A17616C" w14:textId="77777777" w:rsidR="006C5500" w:rsidRDefault="006C5500" w:rsidP="006C5500">
      <w:pPr>
        <w:pStyle w:val="DeptBullets"/>
        <w:numPr>
          <w:ilvl w:val="0"/>
          <w:numId w:val="0"/>
        </w:numPr>
        <w:spacing w:after="0"/>
      </w:pPr>
    </w:p>
    <w:p w14:paraId="5E01313E" w14:textId="77777777" w:rsidR="006C5500" w:rsidRDefault="006C5500" w:rsidP="006C5500">
      <w:pPr>
        <w:pStyle w:val="DeptBullets"/>
        <w:numPr>
          <w:ilvl w:val="0"/>
          <w:numId w:val="0"/>
        </w:numPr>
        <w:spacing w:after="0"/>
      </w:pPr>
      <w:r>
        <w:t xml:space="preserve">As a result of this closer engagement with the </w:t>
      </w:r>
      <w:r w:rsidR="00EF4BDC">
        <w:t>D</w:t>
      </w:r>
      <w:r>
        <w:t>epartment’s c</w:t>
      </w:r>
      <w:r w:rsidR="00BA5EC9">
        <w:t>ampaign</w:t>
      </w:r>
      <w:r>
        <w:t xml:space="preserve">s team, we will be provided with the opportunity to feed into a wider communications review that the </w:t>
      </w:r>
      <w:r w:rsidR="00EF4BDC">
        <w:t>D</w:t>
      </w:r>
      <w:r>
        <w:t>epartment is undertaking, which should provide options to promote scheme activity in future.</w:t>
      </w:r>
    </w:p>
    <w:p w14:paraId="6ECAFC86" w14:textId="77777777" w:rsidR="00D73078" w:rsidRDefault="00D73078" w:rsidP="00327FA8">
      <w:pPr>
        <w:pStyle w:val="DeptBullets"/>
        <w:numPr>
          <w:ilvl w:val="0"/>
          <w:numId w:val="0"/>
        </w:numPr>
        <w:spacing w:after="0"/>
      </w:pPr>
    </w:p>
    <w:tbl>
      <w:tblPr>
        <w:tblStyle w:val="TableGrid"/>
        <w:tblW w:w="0" w:type="auto"/>
        <w:tblInd w:w="108" w:type="dxa"/>
        <w:tblLook w:val="04A0" w:firstRow="1" w:lastRow="0" w:firstColumn="1" w:lastColumn="0" w:noHBand="0" w:noVBand="1"/>
      </w:tblPr>
      <w:tblGrid>
        <w:gridCol w:w="7230"/>
        <w:gridCol w:w="1134"/>
      </w:tblGrid>
      <w:tr w:rsidR="00D73078" w:rsidRPr="009758AE" w14:paraId="37CB5F42" w14:textId="77777777" w:rsidTr="0025657D">
        <w:tc>
          <w:tcPr>
            <w:tcW w:w="7230" w:type="dxa"/>
          </w:tcPr>
          <w:p w14:paraId="7C469B2F" w14:textId="77777777" w:rsidR="00D73078" w:rsidRPr="00A553F5" w:rsidRDefault="00D73078" w:rsidP="00327FA8">
            <w:pPr>
              <w:rPr>
                <w:rFonts w:cs="Arial"/>
                <w:b/>
                <w:color w:val="000000"/>
                <w:szCs w:val="24"/>
                <w:lang w:eastAsia="en-GB"/>
              </w:rPr>
            </w:pPr>
            <w:r w:rsidRPr="00A553F5">
              <w:rPr>
                <w:rFonts w:cs="Arial"/>
                <w:b/>
                <w:color w:val="000000"/>
                <w:szCs w:val="24"/>
                <w:lang w:eastAsia="en-GB"/>
              </w:rPr>
              <w:t xml:space="preserve">Member </w:t>
            </w:r>
            <w:r w:rsidR="00EF5BA6" w:rsidRPr="00A553F5">
              <w:rPr>
                <w:rFonts w:cs="Arial"/>
                <w:b/>
                <w:color w:val="000000"/>
                <w:szCs w:val="24"/>
                <w:lang w:eastAsia="en-GB"/>
              </w:rPr>
              <w:t xml:space="preserve">engagement and </w:t>
            </w:r>
            <w:r w:rsidRPr="00A553F5">
              <w:rPr>
                <w:rFonts w:cs="Arial"/>
                <w:b/>
                <w:color w:val="000000"/>
                <w:szCs w:val="24"/>
                <w:lang w:eastAsia="en-GB"/>
              </w:rPr>
              <w:t>Campaigns</w:t>
            </w:r>
          </w:p>
          <w:p w14:paraId="3BBC59AD"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43C92893" w14:textId="2DDE25B0" w:rsidR="00D73078" w:rsidRPr="009758AE" w:rsidRDefault="00D81153" w:rsidP="00327FA8">
            <w:pPr>
              <w:rPr>
                <w:rFonts w:ascii="Trebuchet MS" w:hAnsi="Trebuchet MS" w:cs="Calibri"/>
                <w:color w:val="FFC000"/>
                <w:sz w:val="22"/>
                <w:szCs w:val="22"/>
              </w:rPr>
            </w:pPr>
            <w:r>
              <w:rPr>
                <w:b/>
                <w:noProof/>
                <w:lang w:eastAsia="en-GB"/>
              </w:rPr>
              <mc:AlternateContent>
                <mc:Choice Requires="wps">
                  <w:drawing>
                    <wp:anchor distT="4294967295" distB="4294967295" distL="114300" distR="114300" simplePos="0" relativeHeight="251658240" behindDoc="0" locked="0" layoutInCell="1" allowOverlap="1" wp14:anchorId="34C33391" wp14:editId="670B0C27">
                      <wp:simplePos x="0" y="0"/>
                      <wp:positionH relativeFrom="column">
                        <wp:posOffset>45720</wp:posOffset>
                      </wp:positionH>
                      <wp:positionV relativeFrom="paragraph">
                        <wp:posOffset>146684</wp:posOffset>
                      </wp:positionV>
                      <wp:extent cx="495300" cy="0"/>
                      <wp:effectExtent l="0" t="76200" r="19050" b="952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270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pt;margin-top:11.55pt;width:3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" strokecolor="black [3200]" strokeweight="1pt">
                      <v:stroke endarrow="block"/>
                      <v:shadow color="#7f7f7f [1601]" offset="1pt"/>
                    </v:shape>
                  </w:pict>
                </mc:Fallback>
              </mc:AlternateContent>
            </w:r>
          </w:p>
          <w:p w14:paraId="17266A5E" w14:textId="77777777" w:rsidR="00D73078" w:rsidRPr="009758AE" w:rsidRDefault="00D73078" w:rsidP="00327FA8">
            <w:pPr>
              <w:rPr>
                <w:rFonts w:ascii="Trebuchet MS" w:hAnsi="Trebuchet MS" w:cs="Calibri"/>
                <w:color w:val="FFC000"/>
                <w:sz w:val="22"/>
                <w:szCs w:val="22"/>
              </w:rPr>
            </w:pPr>
          </w:p>
        </w:tc>
      </w:tr>
    </w:tbl>
    <w:p w14:paraId="101228EB" w14:textId="77777777" w:rsidR="00052415" w:rsidRDefault="00052415" w:rsidP="00327FA8">
      <w:pPr>
        <w:pStyle w:val="DeptBullets"/>
        <w:numPr>
          <w:ilvl w:val="0"/>
          <w:numId w:val="0"/>
        </w:numPr>
        <w:spacing w:after="0"/>
      </w:pPr>
    </w:p>
    <w:p w14:paraId="23B86CDB" w14:textId="77777777" w:rsidR="00532531" w:rsidRDefault="00FA57BB" w:rsidP="00327FA8">
      <w:pPr>
        <w:pStyle w:val="DeptBullets"/>
        <w:numPr>
          <w:ilvl w:val="0"/>
          <w:numId w:val="0"/>
        </w:numPr>
        <w:spacing w:after="0"/>
      </w:pPr>
      <w:r>
        <w:t>Although short of the annual target, website visitor numbers totalled 2.92m</w:t>
      </w:r>
      <w:r w:rsidR="00D028B3">
        <w:t xml:space="preserve"> in 2015.  In </w:t>
      </w:r>
      <w:r>
        <w:t>reality</w:t>
      </w:r>
      <w:r w:rsidR="00D028B3">
        <w:t xml:space="preserve"> the </w:t>
      </w:r>
      <w:r w:rsidR="00E5016E">
        <w:t xml:space="preserve">notional </w:t>
      </w:r>
      <w:r w:rsidR="00D028B3">
        <w:t>target was based on the previous year which</w:t>
      </w:r>
      <w:r w:rsidR="00532531">
        <w:t xml:space="preserve"> was boosted by an exceptionally high level of </w:t>
      </w:r>
      <w:r w:rsidR="00D028B3">
        <w:t>communications around scheme reform</w:t>
      </w:r>
      <w:r w:rsidR="001C0A03">
        <w:t xml:space="preserve">.  </w:t>
      </w:r>
    </w:p>
    <w:p w14:paraId="7534CAD9" w14:textId="77777777" w:rsidR="00532531" w:rsidRDefault="00532531" w:rsidP="00327FA8">
      <w:pPr>
        <w:pStyle w:val="DeptBullets"/>
        <w:numPr>
          <w:ilvl w:val="0"/>
          <w:numId w:val="0"/>
        </w:numPr>
        <w:spacing w:after="0"/>
      </w:pPr>
    </w:p>
    <w:p w14:paraId="0556D701" w14:textId="77777777" w:rsidR="00FA57BB" w:rsidRDefault="001C0A03" w:rsidP="00327FA8">
      <w:pPr>
        <w:pStyle w:val="DeptBullets"/>
        <w:numPr>
          <w:ilvl w:val="0"/>
          <w:numId w:val="0"/>
        </w:numPr>
        <w:spacing w:after="0"/>
      </w:pPr>
      <w:r>
        <w:t xml:space="preserve">Following an anticipated drop in visitors during December as a result of the holiday period, numbers have </w:t>
      </w:r>
      <w:r w:rsidR="00BF60FB">
        <w:t xml:space="preserve">recovered </w:t>
      </w:r>
      <w:r>
        <w:t>in Jan</w:t>
      </w:r>
      <w:r w:rsidR="00BF60FB">
        <w:t>ua</w:t>
      </w:r>
      <w:r>
        <w:t>ry.</w:t>
      </w:r>
    </w:p>
    <w:p w14:paraId="6F82F1B1" w14:textId="77777777" w:rsidR="00FA57BB" w:rsidRPr="00FA57BB" w:rsidRDefault="00FA57BB" w:rsidP="00FA57BB">
      <w:pPr>
        <w:widowControl/>
        <w:adjustRightInd/>
        <w:textAlignment w:val="auto"/>
        <w:rPr>
          <w:rFonts w:ascii="Calibri" w:eastAsia="Calibri" w:hAnsi="Calibri" w:cs="Arial"/>
          <w:color w:val="1F497D"/>
          <w:sz w:val="22"/>
          <w:szCs w:val="22"/>
          <w:lang w:eastAsia="en-GB"/>
        </w:rPr>
      </w:pPr>
    </w:p>
    <w:p w14:paraId="0D7EF336" w14:textId="77777777" w:rsidR="00FA57BB" w:rsidRPr="00FA57BB" w:rsidRDefault="00FA57BB" w:rsidP="00FA57BB">
      <w:pPr>
        <w:widowControl/>
        <w:adjustRightInd/>
        <w:textAlignment w:val="auto"/>
        <w:rPr>
          <w:rFonts w:ascii="Calibri" w:eastAsia="Calibri" w:hAnsi="Calibri" w:cs="Arial"/>
          <w:color w:val="1F497D"/>
          <w:sz w:val="22"/>
          <w:szCs w:val="22"/>
          <w:lang w:eastAsia="en-GB"/>
        </w:rPr>
      </w:pPr>
      <w:r w:rsidRPr="00FA57BB">
        <w:rPr>
          <w:rFonts w:ascii="Calibri" w:eastAsia="Calibri" w:hAnsi="Calibri" w:cs="Arial"/>
          <w:noProof/>
          <w:color w:val="1F497D"/>
          <w:sz w:val="22"/>
          <w:szCs w:val="22"/>
          <w:lang w:eastAsia="en-GB"/>
        </w:rPr>
        <w:drawing>
          <wp:inline distT="0" distB="0" distL="0" distR="0" wp14:anchorId="3F9E185E" wp14:editId="2F19AE0F">
            <wp:extent cx="5229225" cy="2609850"/>
            <wp:effectExtent l="0" t="0" r="0" b="0"/>
            <wp:docPr id="3" name="Picture 3" descr="cid:image004.jpg@01D16D74.2902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16D74.2902D36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29225" cy="2609850"/>
                    </a:xfrm>
                    <a:prstGeom prst="rect">
                      <a:avLst/>
                    </a:prstGeom>
                    <a:noFill/>
                    <a:ln>
                      <a:noFill/>
                    </a:ln>
                  </pic:spPr>
                </pic:pic>
              </a:graphicData>
            </a:graphic>
          </wp:inline>
        </w:drawing>
      </w:r>
    </w:p>
    <w:p w14:paraId="5A452546" w14:textId="77777777" w:rsidR="00FA57BB" w:rsidRPr="00FA57BB" w:rsidRDefault="00FA57BB" w:rsidP="00FA57BB">
      <w:pPr>
        <w:widowControl/>
        <w:adjustRightInd/>
        <w:textAlignment w:val="auto"/>
        <w:rPr>
          <w:rFonts w:ascii="Calibri" w:eastAsia="Calibri" w:hAnsi="Calibri" w:cs="Arial"/>
          <w:color w:val="1F497D"/>
          <w:sz w:val="22"/>
          <w:szCs w:val="22"/>
          <w:lang w:eastAsia="en-GB"/>
        </w:rPr>
      </w:pPr>
    </w:p>
    <w:p w14:paraId="29B3D349" w14:textId="77777777" w:rsidR="00FA57BB" w:rsidRPr="00FA57BB" w:rsidRDefault="00FA57BB" w:rsidP="00FA57BB">
      <w:pPr>
        <w:widowControl/>
        <w:adjustRightInd/>
        <w:textAlignment w:val="auto"/>
        <w:rPr>
          <w:rFonts w:ascii="Calibri" w:eastAsia="Calibri" w:hAnsi="Calibri" w:cs="Arial"/>
          <w:color w:val="1F497D"/>
          <w:sz w:val="22"/>
          <w:szCs w:val="22"/>
          <w:lang w:eastAsia="en-GB"/>
        </w:rPr>
      </w:pPr>
    </w:p>
    <w:p w14:paraId="72BD5DB9" w14:textId="77777777" w:rsidR="00FA57BB" w:rsidRPr="00FA57BB" w:rsidRDefault="001C0A03" w:rsidP="00FA57BB">
      <w:pPr>
        <w:widowControl/>
        <w:adjustRightInd/>
        <w:textAlignment w:val="auto"/>
        <w:rPr>
          <w:rFonts w:ascii="Calibri" w:eastAsia="Calibri" w:hAnsi="Calibri" w:cs="Arial"/>
          <w:color w:val="1F497D"/>
          <w:sz w:val="22"/>
          <w:szCs w:val="22"/>
          <w:lang w:eastAsia="en-GB"/>
        </w:rPr>
      </w:pPr>
      <w:r>
        <w:rPr>
          <w:rFonts w:ascii="Calibri" w:hAnsi="Calibri"/>
          <w:noProof/>
          <w:color w:val="1F497D"/>
          <w:sz w:val="22"/>
          <w:szCs w:val="22"/>
          <w:lang w:eastAsia="en-GB"/>
        </w:rPr>
        <w:lastRenderedPageBreak/>
        <w:drawing>
          <wp:inline distT="0" distB="0" distL="0" distR="0" wp14:anchorId="07373C1C" wp14:editId="6D09BCA9">
            <wp:extent cx="5274310" cy="2412337"/>
            <wp:effectExtent l="0" t="0" r="0" b="0"/>
            <wp:docPr id="6" name="Picture 6" descr="cid:image006.jpg@01D16D7E.49F7A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6.jpg@01D16D7E.49F7AB9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274310" cy="2412337"/>
                    </a:xfrm>
                    <a:prstGeom prst="rect">
                      <a:avLst/>
                    </a:prstGeom>
                    <a:noFill/>
                    <a:ln>
                      <a:noFill/>
                    </a:ln>
                  </pic:spPr>
                </pic:pic>
              </a:graphicData>
            </a:graphic>
          </wp:inline>
        </w:drawing>
      </w:r>
    </w:p>
    <w:p w14:paraId="65C189FA" w14:textId="77777777" w:rsidR="00FA57BB" w:rsidRPr="00FA57BB" w:rsidRDefault="00FA57BB" w:rsidP="00FA57BB">
      <w:pPr>
        <w:widowControl/>
        <w:adjustRightInd/>
        <w:textAlignment w:val="auto"/>
        <w:rPr>
          <w:rFonts w:ascii="Calibri" w:eastAsia="Calibri" w:hAnsi="Calibri" w:cs="Arial"/>
          <w:color w:val="1F497D"/>
          <w:sz w:val="22"/>
          <w:szCs w:val="22"/>
          <w:lang w:eastAsia="en-GB"/>
        </w:rPr>
      </w:pPr>
    </w:p>
    <w:p w14:paraId="4CD71AC1" w14:textId="77777777" w:rsidR="00532531" w:rsidRDefault="000225E4" w:rsidP="000225E4">
      <w:pPr>
        <w:pStyle w:val="DeptBullets"/>
        <w:numPr>
          <w:ilvl w:val="0"/>
          <w:numId w:val="0"/>
        </w:numPr>
        <w:spacing w:after="0"/>
      </w:pPr>
      <w:r>
        <w:t>The scheme now has over 1,</w:t>
      </w:r>
      <w:r w:rsidR="00E70CD4">
        <w:t>3</w:t>
      </w:r>
      <w:r>
        <w:t xml:space="preserve">00 Twitter followers and </w:t>
      </w:r>
      <w:r w:rsidR="00F74F2F">
        <w:t xml:space="preserve">92 </w:t>
      </w:r>
      <w:r>
        <w:t>‘likes’ on Facebook.</w:t>
      </w:r>
      <w:r w:rsidR="00E70CD4">
        <w:t xml:space="preserve">  The </w:t>
      </w:r>
      <w:r w:rsidR="00BF60FB">
        <w:t xml:space="preserve">current volume and </w:t>
      </w:r>
      <w:r w:rsidR="00E70CD4">
        <w:t xml:space="preserve">increase </w:t>
      </w:r>
      <w:r w:rsidR="00BF60FB">
        <w:t xml:space="preserve">in numbers </w:t>
      </w:r>
      <w:r w:rsidR="00E70CD4">
        <w:t xml:space="preserve">remain relatively low, but it is accepted that this will be accelerated by increased exposure through central </w:t>
      </w:r>
      <w:r w:rsidR="00EF4BDC">
        <w:t>D</w:t>
      </w:r>
      <w:r w:rsidR="00E70CD4">
        <w:t>epartment communications</w:t>
      </w:r>
      <w:r w:rsidR="00BF60FB">
        <w:t xml:space="preserve"> and ‘word of mouth’ as communications are re-Tweeted</w:t>
      </w:r>
      <w:r w:rsidR="00E70CD4">
        <w:t>.</w:t>
      </w:r>
      <w:r w:rsidR="00B2586B">
        <w:t xml:space="preserve">  </w:t>
      </w:r>
      <w:r w:rsidR="00532531">
        <w:t>Twitter feeds are now including wider educational themes to retain interest with current followers and to broaden the appeal to a wider audience.</w:t>
      </w:r>
    </w:p>
    <w:p w14:paraId="732A3D45" w14:textId="77777777" w:rsidR="000675CF" w:rsidRDefault="000675CF" w:rsidP="00327FA8">
      <w:pPr>
        <w:pStyle w:val="DeptBullets"/>
        <w:numPr>
          <w:ilvl w:val="0"/>
          <w:numId w:val="0"/>
        </w:numPr>
        <w:spacing w:after="0"/>
      </w:pPr>
    </w:p>
    <w:p w14:paraId="367D7422" w14:textId="77777777" w:rsidR="004E45EC" w:rsidRDefault="00075239" w:rsidP="00327FA8">
      <w:pPr>
        <w:pStyle w:val="DeptBullets"/>
        <w:numPr>
          <w:ilvl w:val="0"/>
          <w:numId w:val="0"/>
        </w:numPr>
        <w:spacing w:after="0"/>
      </w:pPr>
      <w:r>
        <w:t xml:space="preserve">My Pension Online </w:t>
      </w:r>
      <w:r w:rsidR="00A14485">
        <w:t xml:space="preserve">(MPO) </w:t>
      </w:r>
      <w:r>
        <w:t>account</w:t>
      </w:r>
      <w:r w:rsidR="00D146E8">
        <w:t xml:space="preserve"> holder numbers continue to increase</w:t>
      </w:r>
      <w:r>
        <w:t>, with</w:t>
      </w:r>
      <w:r w:rsidR="00D146E8">
        <w:t xml:space="preserve"> a total of</w:t>
      </w:r>
      <w:r>
        <w:t xml:space="preserve"> </w:t>
      </w:r>
      <w:r w:rsidR="00F74F2F">
        <w:t xml:space="preserve">405k </w:t>
      </w:r>
      <w:r>
        <w:t>members now registered</w:t>
      </w:r>
      <w:r w:rsidR="00532531">
        <w:t xml:space="preserve">.  This </w:t>
      </w:r>
      <w:r w:rsidR="001C0A03">
        <w:t>remains on target to reach its Outcome target in the current contract year.</w:t>
      </w:r>
      <w:r w:rsidR="004B1BCC">
        <w:t xml:space="preserve">  </w:t>
      </w:r>
    </w:p>
    <w:p w14:paraId="05DCFDC5" w14:textId="77777777" w:rsidR="004B1BCC" w:rsidRDefault="004B1BCC" w:rsidP="00327FA8">
      <w:pPr>
        <w:pStyle w:val="DeptBullets"/>
        <w:numPr>
          <w:ilvl w:val="0"/>
          <w:numId w:val="0"/>
        </w:numPr>
        <w:spacing w:after="0"/>
      </w:pPr>
    </w:p>
    <w:p w14:paraId="0A0011A3" w14:textId="77777777" w:rsidR="00BF60FB" w:rsidRDefault="00BF60FB" w:rsidP="00616BF8">
      <w:pPr>
        <w:pStyle w:val="DeptBullets"/>
        <w:numPr>
          <w:ilvl w:val="0"/>
          <w:numId w:val="0"/>
        </w:numPr>
        <w:spacing w:after="0"/>
      </w:pPr>
      <w:r>
        <w:t xml:space="preserve">Seasonal campaigns aimed at both new entrants and new retirees, and those looking to explore pension options over the holiday period proved successful, </w:t>
      </w:r>
      <w:r w:rsidR="007148B7">
        <w:t>hitting their open rate</w:t>
      </w:r>
      <w:r>
        <w:t xml:space="preserve"> targets.</w:t>
      </w:r>
    </w:p>
    <w:p w14:paraId="3FB14DFE" w14:textId="77777777" w:rsidR="00616BF8" w:rsidRDefault="00616BF8" w:rsidP="00327FA8">
      <w:pPr>
        <w:pStyle w:val="DeptBullets"/>
        <w:numPr>
          <w:ilvl w:val="0"/>
          <w:numId w:val="0"/>
        </w:numPr>
        <w:spacing w:after="0"/>
      </w:pPr>
    </w:p>
    <w:p w14:paraId="1009D075" w14:textId="77777777" w:rsidR="00BF60FB" w:rsidRDefault="00BF60FB" w:rsidP="00BF60FB">
      <w:pPr>
        <w:pStyle w:val="DeptBullets"/>
        <w:numPr>
          <w:ilvl w:val="0"/>
          <w:numId w:val="0"/>
        </w:numPr>
        <w:spacing w:after="0"/>
      </w:pPr>
      <w:r>
        <w:t>In January, key campaigns including messaging on Annual Benefit Statements and to direct members to guidance on changes in tax allowances, were successfully delivered.</w:t>
      </w:r>
    </w:p>
    <w:p w14:paraId="638EE168" w14:textId="77777777" w:rsidR="00B60C22" w:rsidRDefault="00B60C22" w:rsidP="00327FA8">
      <w:pPr>
        <w:pStyle w:val="DeptBullets"/>
        <w:numPr>
          <w:ilvl w:val="0"/>
          <w:numId w:val="0"/>
        </w:numPr>
        <w:spacing w:after="0"/>
      </w:pPr>
    </w:p>
    <w:tbl>
      <w:tblPr>
        <w:tblStyle w:val="TableGrid"/>
        <w:tblW w:w="0" w:type="auto"/>
        <w:tblInd w:w="108" w:type="dxa"/>
        <w:tblLook w:val="04A0" w:firstRow="1" w:lastRow="0" w:firstColumn="1" w:lastColumn="0" w:noHBand="0" w:noVBand="1"/>
      </w:tblPr>
      <w:tblGrid>
        <w:gridCol w:w="7230"/>
        <w:gridCol w:w="1134"/>
      </w:tblGrid>
      <w:tr w:rsidR="00D73078" w:rsidRPr="009758AE" w14:paraId="167A4983" w14:textId="77777777" w:rsidTr="0025657D">
        <w:tc>
          <w:tcPr>
            <w:tcW w:w="7230" w:type="dxa"/>
          </w:tcPr>
          <w:p w14:paraId="7B6A48DD" w14:textId="77777777" w:rsidR="00D73078" w:rsidRPr="007870B9" w:rsidRDefault="00D73078" w:rsidP="00327FA8">
            <w:pPr>
              <w:rPr>
                <w:rFonts w:cs="Arial"/>
                <w:b/>
                <w:color w:val="000000"/>
                <w:szCs w:val="24"/>
                <w:lang w:eastAsia="en-GB"/>
              </w:rPr>
            </w:pPr>
            <w:r w:rsidRPr="007870B9">
              <w:rPr>
                <w:rFonts w:cs="Arial"/>
                <w:b/>
                <w:color w:val="000000"/>
                <w:szCs w:val="24"/>
                <w:lang w:eastAsia="en-GB"/>
              </w:rPr>
              <w:t>Employer engagement and Campaigns</w:t>
            </w:r>
          </w:p>
          <w:p w14:paraId="377A50AE"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6A75E991" w14:textId="77777777" w:rsidR="00D73078" w:rsidRPr="009758AE" w:rsidRDefault="00D73078" w:rsidP="00327FA8">
            <w:pPr>
              <w:rPr>
                <w:rFonts w:ascii="Trebuchet MS" w:hAnsi="Trebuchet MS" w:cs="Calibri"/>
                <w:color w:val="FFC000"/>
                <w:sz w:val="22"/>
                <w:szCs w:val="22"/>
              </w:rPr>
            </w:pPr>
          </w:p>
          <w:p w14:paraId="488E4F05" w14:textId="5EC5B626" w:rsidR="00D73078" w:rsidRPr="009758AE" w:rsidRDefault="00D81153" w:rsidP="00327FA8">
            <w:pPr>
              <w:rPr>
                <w:rFonts w:ascii="Trebuchet MS" w:hAnsi="Trebuchet MS" w:cs="Calibri"/>
                <w:color w:val="FFC000"/>
                <w:sz w:val="22"/>
                <w:szCs w:val="22"/>
              </w:rPr>
            </w:pPr>
            <w:r>
              <w:rPr>
                <w:rFonts w:ascii="Trebuchet MS" w:hAnsi="Trebuchet MS" w:cs="Calibri"/>
                <w:noProof/>
                <w:color w:val="FFC000"/>
                <w:sz w:val="22"/>
                <w:szCs w:val="22"/>
                <w:lang w:eastAsia="en-GB"/>
              </w:rPr>
              <mc:AlternateContent>
                <mc:Choice Requires="wps">
                  <w:drawing>
                    <wp:anchor distT="4294967295" distB="4294967295" distL="114300" distR="114300" simplePos="0" relativeHeight="251659264" behindDoc="0" locked="0" layoutInCell="1" allowOverlap="1" wp14:anchorId="29978BF8" wp14:editId="190E9062">
                      <wp:simplePos x="0" y="0"/>
                      <wp:positionH relativeFrom="column">
                        <wp:posOffset>49530</wp:posOffset>
                      </wp:positionH>
                      <wp:positionV relativeFrom="paragraph">
                        <wp:posOffset>8889</wp:posOffset>
                      </wp:positionV>
                      <wp:extent cx="434340" cy="0"/>
                      <wp:effectExtent l="0" t="76200" r="22860" b="952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9pt;margin-top:.7pt;width:34.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">
                      <v:stroke endarrow="block"/>
                    </v:shape>
                  </w:pict>
                </mc:Fallback>
              </mc:AlternateContent>
            </w:r>
          </w:p>
        </w:tc>
      </w:tr>
    </w:tbl>
    <w:p w14:paraId="6C62E022" w14:textId="77777777" w:rsidR="00B6048F" w:rsidRDefault="00B6048F" w:rsidP="00327FA8">
      <w:pPr>
        <w:pStyle w:val="DeptBullets"/>
        <w:numPr>
          <w:ilvl w:val="0"/>
          <w:numId w:val="0"/>
        </w:numPr>
        <w:spacing w:after="0"/>
        <w:rPr>
          <w:rFonts w:cs="Arial"/>
          <w:szCs w:val="24"/>
        </w:rPr>
      </w:pPr>
    </w:p>
    <w:p w14:paraId="283D6560" w14:textId="77777777" w:rsidR="00B6048F" w:rsidRDefault="00BE1095" w:rsidP="00327FA8">
      <w:pPr>
        <w:pStyle w:val="DeptBullets"/>
        <w:numPr>
          <w:ilvl w:val="0"/>
          <w:numId w:val="0"/>
        </w:numPr>
        <w:spacing w:after="0"/>
        <w:rPr>
          <w:rFonts w:cs="Arial"/>
          <w:szCs w:val="24"/>
        </w:rPr>
      </w:pPr>
      <w:r>
        <w:rPr>
          <w:rFonts w:cs="Arial"/>
          <w:szCs w:val="24"/>
        </w:rPr>
        <w:t xml:space="preserve">To specifically address </w:t>
      </w:r>
      <w:r w:rsidR="00737573">
        <w:rPr>
          <w:rFonts w:cs="Arial"/>
          <w:szCs w:val="24"/>
        </w:rPr>
        <w:t xml:space="preserve">academy engagement issues, we have </w:t>
      </w:r>
      <w:r w:rsidR="00AB345C">
        <w:rPr>
          <w:rFonts w:cs="Arial"/>
          <w:szCs w:val="24"/>
        </w:rPr>
        <w:t xml:space="preserve">approached </w:t>
      </w:r>
      <w:r w:rsidR="00EF4BDC">
        <w:rPr>
          <w:rFonts w:cs="Arial"/>
          <w:szCs w:val="24"/>
        </w:rPr>
        <w:t>D</w:t>
      </w:r>
      <w:r w:rsidR="00D5170F">
        <w:rPr>
          <w:rFonts w:cs="Arial"/>
          <w:szCs w:val="24"/>
        </w:rPr>
        <w:t xml:space="preserve">epartment </w:t>
      </w:r>
      <w:r w:rsidR="00737573">
        <w:rPr>
          <w:rFonts w:cs="Arial"/>
          <w:szCs w:val="24"/>
        </w:rPr>
        <w:t xml:space="preserve">academies colleagues to have a specific TPS update included in their regular communications to academy employers.  This proved a particularly effective route into academies when delivering </w:t>
      </w:r>
      <w:r w:rsidR="00FB30BD">
        <w:rPr>
          <w:rFonts w:cs="Arial"/>
          <w:szCs w:val="24"/>
        </w:rPr>
        <w:t xml:space="preserve">scheme reform </w:t>
      </w:r>
      <w:r w:rsidR="00737573">
        <w:rPr>
          <w:rFonts w:cs="Arial"/>
          <w:szCs w:val="24"/>
        </w:rPr>
        <w:t>commun</w:t>
      </w:r>
      <w:r w:rsidR="00FB30BD">
        <w:rPr>
          <w:rFonts w:cs="Arial"/>
          <w:szCs w:val="24"/>
        </w:rPr>
        <w:t>ications</w:t>
      </w:r>
      <w:r w:rsidR="00737573">
        <w:rPr>
          <w:rFonts w:cs="Arial"/>
          <w:szCs w:val="24"/>
        </w:rPr>
        <w:t>.</w:t>
      </w:r>
    </w:p>
    <w:p w14:paraId="5666D270" w14:textId="77777777" w:rsidR="00737573" w:rsidRDefault="00737573" w:rsidP="00327FA8">
      <w:pPr>
        <w:pStyle w:val="DeptBullets"/>
        <w:numPr>
          <w:ilvl w:val="0"/>
          <w:numId w:val="0"/>
        </w:numPr>
        <w:spacing w:after="0"/>
        <w:rPr>
          <w:rFonts w:cs="Arial"/>
          <w:szCs w:val="24"/>
        </w:rPr>
      </w:pPr>
    </w:p>
    <w:p w14:paraId="41A4063A" w14:textId="77777777" w:rsidR="001A20D5" w:rsidRDefault="00BF60FB" w:rsidP="00327FA8">
      <w:pPr>
        <w:pStyle w:val="DeptBullets"/>
        <w:numPr>
          <w:ilvl w:val="0"/>
          <w:numId w:val="0"/>
        </w:numPr>
        <w:spacing w:after="0"/>
        <w:rPr>
          <w:rFonts w:cs="Arial"/>
          <w:szCs w:val="24"/>
        </w:rPr>
      </w:pPr>
      <w:r>
        <w:rPr>
          <w:rFonts w:cs="Arial"/>
          <w:szCs w:val="24"/>
        </w:rPr>
        <w:t>Employer campaigns focussing on providing support to new employers were delivered in November</w:t>
      </w:r>
      <w:r w:rsidR="001A20D5">
        <w:rPr>
          <w:rFonts w:cs="Arial"/>
          <w:szCs w:val="24"/>
        </w:rPr>
        <w:t xml:space="preserve"> and January</w:t>
      </w:r>
      <w:r w:rsidR="007212DB">
        <w:rPr>
          <w:rFonts w:cs="Arial"/>
          <w:szCs w:val="24"/>
        </w:rPr>
        <w:t>. T</w:t>
      </w:r>
      <w:r w:rsidR="00AA55EF">
        <w:rPr>
          <w:rFonts w:cs="Arial"/>
          <w:szCs w:val="24"/>
        </w:rPr>
        <w:t xml:space="preserve">he </w:t>
      </w:r>
      <w:r w:rsidR="007212DB">
        <w:rPr>
          <w:rFonts w:cs="Arial"/>
          <w:szCs w:val="24"/>
        </w:rPr>
        <w:t xml:space="preserve">monthly </w:t>
      </w:r>
      <w:r w:rsidR="00AA55EF">
        <w:rPr>
          <w:rFonts w:cs="Arial"/>
          <w:szCs w:val="24"/>
        </w:rPr>
        <w:t>employer bulletin</w:t>
      </w:r>
      <w:r w:rsidR="007212DB">
        <w:rPr>
          <w:rFonts w:cs="Arial"/>
          <w:szCs w:val="24"/>
        </w:rPr>
        <w:t xml:space="preserve"> also</w:t>
      </w:r>
      <w:r w:rsidR="00AA55EF">
        <w:rPr>
          <w:rFonts w:cs="Arial"/>
          <w:szCs w:val="24"/>
        </w:rPr>
        <w:t xml:space="preserve"> provid</w:t>
      </w:r>
      <w:r w:rsidR="007212DB">
        <w:rPr>
          <w:rFonts w:cs="Arial"/>
          <w:szCs w:val="24"/>
        </w:rPr>
        <w:t>es</w:t>
      </w:r>
      <w:r w:rsidR="00AA55EF">
        <w:rPr>
          <w:rFonts w:cs="Arial"/>
          <w:szCs w:val="24"/>
        </w:rPr>
        <w:t xml:space="preserve"> a series of updates, including information on contracting out, ABS, key developments and tax changes</w:t>
      </w:r>
      <w:r w:rsidR="001A20D5">
        <w:rPr>
          <w:rFonts w:cs="Arial"/>
          <w:szCs w:val="24"/>
        </w:rPr>
        <w:t>.  In addition, a follow-up campaign to all employers encouraged them to promote the new scheme flexibilities - providing resources to share with their employees.</w:t>
      </w:r>
    </w:p>
    <w:p w14:paraId="4C8FBC5B" w14:textId="77777777" w:rsidR="001A20D5" w:rsidRDefault="001A20D5" w:rsidP="00327FA8">
      <w:pPr>
        <w:pStyle w:val="DeptBullets"/>
        <w:numPr>
          <w:ilvl w:val="0"/>
          <w:numId w:val="0"/>
        </w:numPr>
        <w:spacing w:after="0"/>
        <w:rPr>
          <w:rFonts w:cs="Arial"/>
          <w:szCs w:val="24"/>
        </w:rPr>
      </w:pPr>
    </w:p>
    <w:p w14:paraId="4139CE5E" w14:textId="77777777" w:rsidR="001A20D5" w:rsidRDefault="001A20D5" w:rsidP="00327FA8">
      <w:pPr>
        <w:pStyle w:val="DeptBullets"/>
        <w:numPr>
          <w:ilvl w:val="0"/>
          <w:numId w:val="0"/>
        </w:numPr>
        <w:spacing w:after="0"/>
        <w:rPr>
          <w:rFonts w:cs="Arial"/>
          <w:szCs w:val="24"/>
        </w:rPr>
      </w:pPr>
      <w:r>
        <w:rPr>
          <w:rFonts w:cs="Arial"/>
          <w:szCs w:val="24"/>
        </w:rPr>
        <w:t xml:space="preserve">A campaign to encourage employer feedback on the TPS website was also </w:t>
      </w:r>
      <w:r>
        <w:rPr>
          <w:rFonts w:cs="Arial"/>
          <w:szCs w:val="24"/>
        </w:rPr>
        <w:lastRenderedPageBreak/>
        <w:t>delivered, the findings will feed into the forthcoming website content review.</w:t>
      </w:r>
    </w:p>
    <w:p w14:paraId="61AEC7C9" w14:textId="77777777" w:rsidR="001A20D5" w:rsidRDefault="001A20D5" w:rsidP="00327FA8">
      <w:pPr>
        <w:pStyle w:val="DeptBullets"/>
        <w:numPr>
          <w:ilvl w:val="0"/>
          <w:numId w:val="0"/>
        </w:numPr>
        <w:spacing w:after="0"/>
        <w:rPr>
          <w:rFonts w:cs="Arial"/>
          <w:szCs w:val="24"/>
        </w:rPr>
      </w:pPr>
    </w:p>
    <w:p w14:paraId="0933497B" w14:textId="77777777" w:rsidR="001A20D5" w:rsidRDefault="001A20D5" w:rsidP="00327FA8">
      <w:pPr>
        <w:pStyle w:val="DeptBullets"/>
        <w:numPr>
          <w:ilvl w:val="0"/>
          <w:numId w:val="0"/>
        </w:numPr>
        <w:spacing w:after="0"/>
        <w:rPr>
          <w:rFonts w:cs="Arial"/>
          <w:szCs w:val="24"/>
        </w:rPr>
      </w:pPr>
      <w:r>
        <w:rPr>
          <w:rFonts w:cs="Arial"/>
          <w:szCs w:val="24"/>
        </w:rPr>
        <w:t xml:space="preserve">Also in response to feedback from employer representatives, the re-employment certificate has been updated to make it easier to identify the period of service which the form relates to. </w:t>
      </w:r>
    </w:p>
    <w:p w14:paraId="0F96B6E6" w14:textId="77777777" w:rsidR="003279E5" w:rsidRDefault="003279E5" w:rsidP="00327FA8">
      <w:pPr>
        <w:pStyle w:val="DeptBullets"/>
        <w:numPr>
          <w:ilvl w:val="0"/>
          <w:numId w:val="0"/>
        </w:numPr>
        <w:spacing w:after="0"/>
        <w:rPr>
          <w:rFonts w:cs="Arial"/>
          <w:szCs w:val="24"/>
        </w:rPr>
      </w:pPr>
    </w:p>
    <w:p w14:paraId="23F34669" w14:textId="77777777" w:rsidR="003279E5" w:rsidRDefault="003279E5" w:rsidP="00327FA8">
      <w:pPr>
        <w:pStyle w:val="DeptBullets"/>
        <w:numPr>
          <w:ilvl w:val="0"/>
          <w:numId w:val="0"/>
        </w:numPr>
        <w:spacing w:after="0"/>
        <w:rPr>
          <w:rFonts w:cs="Arial"/>
          <w:szCs w:val="24"/>
        </w:rPr>
      </w:pPr>
      <w:r>
        <w:rPr>
          <w:rFonts w:cs="Arial"/>
          <w:szCs w:val="24"/>
        </w:rPr>
        <w:t>Feedback has been sought from employers participating in the early stages of the MDC on-boarding process.  This will be used to inform the support and documentation provided in future phases of the project.  Further details and an update of the MDC process are provid</w:t>
      </w:r>
      <w:r w:rsidR="00BA5EC9">
        <w:rPr>
          <w:rFonts w:cs="Arial"/>
          <w:szCs w:val="24"/>
        </w:rPr>
        <w:t>ed in the administration update</w:t>
      </w:r>
      <w:r>
        <w:rPr>
          <w:rFonts w:cs="Arial"/>
          <w:szCs w:val="24"/>
        </w:rPr>
        <w:t>.</w:t>
      </w:r>
    </w:p>
    <w:p w14:paraId="46E0EE1B" w14:textId="77777777" w:rsidR="003279E5" w:rsidRDefault="003279E5" w:rsidP="00327FA8">
      <w:pPr>
        <w:pStyle w:val="DeptBullets"/>
        <w:numPr>
          <w:ilvl w:val="0"/>
          <w:numId w:val="0"/>
        </w:numPr>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D73078" w:rsidRPr="009758AE" w14:paraId="573D649F" w14:textId="77777777" w:rsidTr="00AB345C">
        <w:trPr>
          <w:trHeight w:val="363"/>
        </w:trPr>
        <w:tc>
          <w:tcPr>
            <w:tcW w:w="7230" w:type="dxa"/>
          </w:tcPr>
          <w:p w14:paraId="3E1B51FB" w14:textId="77777777" w:rsidR="00D73078" w:rsidRPr="007870B9" w:rsidRDefault="00D73078" w:rsidP="00327FA8">
            <w:pPr>
              <w:rPr>
                <w:rFonts w:cs="Arial"/>
                <w:b/>
                <w:color w:val="000000"/>
                <w:szCs w:val="24"/>
                <w:lang w:eastAsia="en-GB"/>
              </w:rPr>
            </w:pPr>
            <w:r w:rsidRPr="007870B9">
              <w:rPr>
                <w:rFonts w:cs="Arial"/>
                <w:b/>
                <w:color w:val="000000"/>
                <w:szCs w:val="24"/>
                <w:lang w:eastAsia="en-GB"/>
              </w:rPr>
              <w:t>Seminars/Webinars</w:t>
            </w:r>
          </w:p>
          <w:p w14:paraId="3924F1A9"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5957B450" w14:textId="77777777" w:rsidR="00D73078" w:rsidRPr="009758AE" w:rsidRDefault="00D73078" w:rsidP="00327FA8">
            <w:pPr>
              <w:rPr>
                <w:rFonts w:ascii="Trebuchet MS" w:hAnsi="Trebuchet MS" w:cs="Calibri"/>
                <w:color w:val="FFC000"/>
                <w:sz w:val="22"/>
                <w:szCs w:val="22"/>
              </w:rPr>
            </w:pPr>
          </w:p>
          <w:p w14:paraId="14AD4BB0" w14:textId="46EB1724" w:rsidR="00D73078" w:rsidRPr="009758AE" w:rsidRDefault="00D81153" w:rsidP="00327FA8">
            <w:pPr>
              <w:rPr>
                <w:rFonts w:ascii="Trebuchet MS" w:hAnsi="Trebuchet MS" w:cs="Calibri"/>
                <w:color w:val="FFC000"/>
                <w:sz w:val="22"/>
                <w:szCs w:val="22"/>
              </w:rPr>
            </w:pPr>
            <w:r>
              <w:rPr>
                <w:rFonts w:ascii="Trebuchet MS" w:hAnsi="Trebuchet MS" w:cs="Calibri"/>
                <w:noProof/>
                <w:color w:val="FFC000"/>
                <w:sz w:val="22"/>
                <w:szCs w:val="22"/>
                <w:lang w:eastAsia="en-GB"/>
              </w:rPr>
              <mc:AlternateContent>
                <mc:Choice Requires="wps">
                  <w:drawing>
                    <wp:anchor distT="4294967295" distB="4294967295" distL="114300" distR="114300" simplePos="0" relativeHeight="251660288" behindDoc="0" locked="0" layoutInCell="1" allowOverlap="1" wp14:anchorId="35E16437" wp14:editId="690A3048">
                      <wp:simplePos x="0" y="0"/>
                      <wp:positionH relativeFrom="column">
                        <wp:posOffset>57150</wp:posOffset>
                      </wp:positionH>
                      <wp:positionV relativeFrom="paragraph">
                        <wp:posOffset>-5716</wp:posOffset>
                      </wp:positionV>
                      <wp:extent cx="434340" cy="0"/>
                      <wp:effectExtent l="0" t="76200" r="22860" b="952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45pt;width:34.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">
                      <v:stroke endarrow="block"/>
                    </v:shape>
                  </w:pict>
                </mc:Fallback>
              </mc:AlternateContent>
            </w:r>
          </w:p>
        </w:tc>
      </w:tr>
    </w:tbl>
    <w:p w14:paraId="6949FEC0" w14:textId="77777777" w:rsidR="00D73078" w:rsidRDefault="00D73078" w:rsidP="00327FA8">
      <w:pPr>
        <w:pStyle w:val="DeptBullets"/>
        <w:numPr>
          <w:ilvl w:val="0"/>
          <w:numId w:val="0"/>
        </w:numPr>
        <w:spacing w:after="0"/>
      </w:pPr>
    </w:p>
    <w:p w14:paraId="56BF0788" w14:textId="77777777" w:rsidR="00AA14A0" w:rsidRDefault="00DD2142" w:rsidP="00327FA8">
      <w:pPr>
        <w:pStyle w:val="DeptBullets"/>
        <w:numPr>
          <w:ilvl w:val="0"/>
          <w:numId w:val="0"/>
        </w:numPr>
        <w:spacing w:after="0"/>
      </w:pPr>
      <w:r>
        <w:t>12</w:t>
      </w:r>
      <w:r w:rsidR="00B936EF">
        <w:t xml:space="preserve"> </w:t>
      </w:r>
      <w:r w:rsidR="00AA14A0">
        <w:t xml:space="preserve">employee </w:t>
      </w:r>
      <w:r w:rsidR="00B936EF">
        <w:t>seminars</w:t>
      </w:r>
      <w:r w:rsidR="00D40C3F">
        <w:t xml:space="preserve"> (</w:t>
      </w:r>
      <w:r>
        <w:t>338</w:t>
      </w:r>
      <w:r w:rsidR="00D40C3F">
        <w:t xml:space="preserve"> registrations) </w:t>
      </w:r>
      <w:r w:rsidR="00B936EF">
        <w:t xml:space="preserve">and </w:t>
      </w:r>
      <w:r w:rsidR="004F7F73">
        <w:t>11</w:t>
      </w:r>
      <w:r w:rsidR="00D40C3F">
        <w:t xml:space="preserve"> webinars (</w:t>
      </w:r>
      <w:r w:rsidR="004F7F73">
        <w:t>74</w:t>
      </w:r>
      <w:r w:rsidR="00D40C3F">
        <w:t xml:space="preserve"> registrations) were delivered in the last quarter.  </w:t>
      </w:r>
      <w:r w:rsidR="004F7F73">
        <w:t xml:space="preserve">No webinars were delivered in January as the future of these events is currently under review due to reduced interest and take-up.  </w:t>
      </w:r>
      <w:r w:rsidR="00D40C3F">
        <w:t xml:space="preserve">  </w:t>
      </w:r>
    </w:p>
    <w:p w14:paraId="7990C8F1" w14:textId="77777777" w:rsidR="00FD3A3E" w:rsidRDefault="00FD3A3E" w:rsidP="00327FA8">
      <w:pPr>
        <w:pStyle w:val="DeptBullets"/>
        <w:numPr>
          <w:ilvl w:val="0"/>
          <w:numId w:val="0"/>
        </w:numPr>
        <w:spacing w:after="0"/>
      </w:pPr>
    </w:p>
    <w:p w14:paraId="4279ABE7" w14:textId="77777777" w:rsidR="00FD3A3E" w:rsidRDefault="00FD3A3E" w:rsidP="00FD3A3E">
      <w:pPr>
        <w:pStyle w:val="DeptBullets"/>
        <w:numPr>
          <w:ilvl w:val="0"/>
          <w:numId w:val="0"/>
        </w:numPr>
        <w:spacing w:after="0"/>
      </w:pPr>
      <w:r>
        <w:t xml:space="preserve">As part of that review TP is </w:t>
      </w:r>
      <w:r w:rsidRPr="00642A0C">
        <w:t xml:space="preserve">looking at the Employer Support function and the most appropriate methods of supporting employers with their enquiries and training to ensure they are receiving the most appropriate service. Webinars are a part of this review.  </w:t>
      </w:r>
    </w:p>
    <w:p w14:paraId="50C49B67" w14:textId="77777777" w:rsidR="00FD3A3E" w:rsidRDefault="00FD3A3E" w:rsidP="00FD3A3E">
      <w:pPr>
        <w:pStyle w:val="DeptBullets"/>
        <w:numPr>
          <w:ilvl w:val="0"/>
          <w:numId w:val="0"/>
        </w:numPr>
        <w:spacing w:after="0"/>
      </w:pPr>
    </w:p>
    <w:p w14:paraId="218A9A22" w14:textId="77777777" w:rsidR="00FD3A3E" w:rsidRDefault="00FD3A3E" w:rsidP="00FD3A3E">
      <w:pPr>
        <w:pStyle w:val="DeptBullets"/>
        <w:numPr>
          <w:ilvl w:val="0"/>
          <w:numId w:val="0"/>
        </w:numPr>
        <w:spacing w:after="0"/>
      </w:pPr>
      <w:r w:rsidRPr="00642A0C">
        <w:t>Videos are in development and</w:t>
      </w:r>
      <w:r>
        <w:t xml:space="preserve"> the initial wave will</w:t>
      </w:r>
      <w:r w:rsidRPr="00642A0C">
        <w:t xml:space="preserve"> </w:t>
      </w:r>
      <w:r>
        <w:t>prioritise</w:t>
      </w:r>
      <w:r w:rsidRPr="00642A0C">
        <w:t xml:space="preserve"> subjects including starters and leavers, contributions, A</w:t>
      </w:r>
      <w:r>
        <w:t xml:space="preserve">nnual </w:t>
      </w:r>
      <w:r w:rsidRPr="00642A0C">
        <w:t>S</w:t>
      </w:r>
      <w:r>
        <w:t xml:space="preserve">ervice </w:t>
      </w:r>
      <w:r w:rsidRPr="00642A0C">
        <w:t>R</w:t>
      </w:r>
      <w:r>
        <w:t xml:space="preserve">eturns and retirement.  Future topics will include material aimed at </w:t>
      </w:r>
      <w:r w:rsidRPr="00642A0C">
        <w:t>academies</w:t>
      </w:r>
      <w:r>
        <w:t xml:space="preserve"> and </w:t>
      </w:r>
      <w:r w:rsidRPr="00642A0C">
        <w:t xml:space="preserve">new employers.  </w:t>
      </w:r>
    </w:p>
    <w:p w14:paraId="5D47CA6A" w14:textId="77777777" w:rsidR="00FD3A3E" w:rsidRDefault="00FD3A3E" w:rsidP="00FD3A3E">
      <w:pPr>
        <w:pStyle w:val="DeptBullets"/>
        <w:numPr>
          <w:ilvl w:val="0"/>
          <w:numId w:val="0"/>
        </w:numPr>
        <w:spacing w:after="0"/>
      </w:pPr>
    </w:p>
    <w:p w14:paraId="262D29F6" w14:textId="77777777" w:rsidR="00FD3A3E" w:rsidRDefault="00FD3A3E" w:rsidP="00FD3A3E">
      <w:pPr>
        <w:pStyle w:val="DeptBullets"/>
        <w:numPr>
          <w:ilvl w:val="0"/>
          <w:numId w:val="0"/>
        </w:numPr>
        <w:spacing w:after="0"/>
      </w:pPr>
      <w:r w:rsidRPr="00642A0C">
        <w:t xml:space="preserve">The website review will help to identify if further videos are required.  We will also engage with stakeholders to </w:t>
      </w:r>
      <w:r>
        <w:t>gain a better understanding of their requirements</w:t>
      </w:r>
      <w:r w:rsidRPr="00642A0C">
        <w:t>.</w:t>
      </w:r>
    </w:p>
    <w:p w14:paraId="2DAF99F6" w14:textId="77777777" w:rsidR="00D73078" w:rsidRDefault="00D73078" w:rsidP="00327FA8">
      <w:pPr>
        <w:pStyle w:val="DeptBullets"/>
        <w:numPr>
          <w:ilvl w:val="0"/>
          <w:numId w:val="0"/>
        </w:numPr>
        <w:spacing w:after="0"/>
      </w:pPr>
    </w:p>
    <w:tbl>
      <w:tblPr>
        <w:tblStyle w:val="TableGrid"/>
        <w:tblW w:w="0" w:type="auto"/>
        <w:tblInd w:w="108" w:type="dxa"/>
        <w:tblLook w:val="04A0" w:firstRow="1" w:lastRow="0" w:firstColumn="1" w:lastColumn="0" w:noHBand="0" w:noVBand="1"/>
      </w:tblPr>
      <w:tblGrid>
        <w:gridCol w:w="7230"/>
        <w:gridCol w:w="1134"/>
      </w:tblGrid>
      <w:tr w:rsidR="00D73078" w:rsidRPr="009758AE" w14:paraId="44B0BDE1" w14:textId="77777777" w:rsidTr="00AB345C">
        <w:trPr>
          <w:trHeight w:val="389"/>
        </w:trPr>
        <w:tc>
          <w:tcPr>
            <w:tcW w:w="7230" w:type="dxa"/>
          </w:tcPr>
          <w:p w14:paraId="44B232CE" w14:textId="77777777" w:rsidR="00D73078" w:rsidRPr="007870B9" w:rsidRDefault="00D73078" w:rsidP="00327FA8">
            <w:pPr>
              <w:rPr>
                <w:rFonts w:cs="Arial"/>
                <w:b/>
                <w:color w:val="000000"/>
                <w:szCs w:val="24"/>
                <w:lang w:eastAsia="en-GB"/>
              </w:rPr>
            </w:pPr>
            <w:r w:rsidRPr="007870B9">
              <w:rPr>
                <w:rFonts w:cs="Arial"/>
                <w:b/>
                <w:color w:val="000000"/>
                <w:szCs w:val="24"/>
                <w:lang w:eastAsia="en-GB"/>
              </w:rPr>
              <w:t>Forward look</w:t>
            </w:r>
          </w:p>
          <w:p w14:paraId="0353EAC5"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45624A8D" w14:textId="77777777" w:rsidR="00D73078" w:rsidRPr="009758AE" w:rsidRDefault="00D73078" w:rsidP="00327FA8">
            <w:pPr>
              <w:rPr>
                <w:rFonts w:ascii="Trebuchet MS" w:hAnsi="Trebuchet MS" w:cs="Calibri"/>
                <w:color w:val="FFC000"/>
                <w:sz w:val="22"/>
                <w:szCs w:val="22"/>
              </w:rPr>
            </w:pPr>
          </w:p>
          <w:p w14:paraId="66D2EBE6" w14:textId="66E24B03" w:rsidR="00D73078" w:rsidRPr="009758AE" w:rsidRDefault="00D81153" w:rsidP="00327FA8">
            <w:pPr>
              <w:rPr>
                <w:rFonts w:ascii="Trebuchet MS" w:hAnsi="Trebuchet MS" w:cs="Calibri"/>
                <w:color w:val="FFC000"/>
                <w:sz w:val="22"/>
                <w:szCs w:val="22"/>
              </w:rPr>
            </w:pPr>
            <w:r>
              <w:rPr>
                <w:rFonts w:ascii="Trebuchet MS" w:hAnsi="Trebuchet MS" w:cs="Calibri"/>
                <w:noProof/>
                <w:color w:val="FFC000"/>
                <w:sz w:val="22"/>
                <w:szCs w:val="22"/>
                <w:lang w:eastAsia="en-GB"/>
              </w:rPr>
              <mc:AlternateContent>
                <mc:Choice Requires="wps">
                  <w:drawing>
                    <wp:anchor distT="0" distB="0" distL="114300" distR="114300" simplePos="0" relativeHeight="251661312" behindDoc="0" locked="0" layoutInCell="1" allowOverlap="1" wp14:anchorId="22CE5186" wp14:editId="315D646C">
                      <wp:simplePos x="0" y="0"/>
                      <wp:positionH relativeFrom="column">
                        <wp:posOffset>95250</wp:posOffset>
                      </wp:positionH>
                      <wp:positionV relativeFrom="paragraph">
                        <wp:posOffset>-2540</wp:posOffset>
                      </wp:positionV>
                      <wp:extent cx="434340" cy="7620"/>
                      <wp:effectExtent l="0" t="76200" r="22860" b="876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5pt;margin-top:-.2pt;width:34.2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">
                      <v:stroke endarrow="block"/>
                    </v:shape>
                  </w:pict>
                </mc:Fallback>
              </mc:AlternateContent>
            </w:r>
          </w:p>
        </w:tc>
      </w:tr>
    </w:tbl>
    <w:p w14:paraId="4B714D16" w14:textId="77777777" w:rsidR="00D73078" w:rsidRDefault="00D73078" w:rsidP="00327FA8">
      <w:pPr>
        <w:pStyle w:val="DeptBullets"/>
        <w:numPr>
          <w:ilvl w:val="0"/>
          <w:numId w:val="0"/>
        </w:numPr>
        <w:spacing w:after="0"/>
      </w:pPr>
    </w:p>
    <w:p w14:paraId="54A7117E" w14:textId="77777777" w:rsidR="00D146E8" w:rsidRDefault="00D146E8" w:rsidP="00327FA8">
      <w:pPr>
        <w:pStyle w:val="DeptBullets"/>
        <w:numPr>
          <w:ilvl w:val="0"/>
          <w:numId w:val="0"/>
        </w:numPr>
        <w:spacing w:after="0"/>
      </w:pPr>
      <w:r>
        <w:t>Work will commence on the review of the website content and functionality to improve the member experience.</w:t>
      </w:r>
      <w:r w:rsidR="00D5170F">
        <w:t xml:space="preserve">  A content plan </w:t>
      </w:r>
      <w:r w:rsidR="00BA5EC9">
        <w:t>will be</w:t>
      </w:r>
      <w:r w:rsidR="00616BF8">
        <w:t xml:space="preserve"> developed to support this activity.</w:t>
      </w:r>
    </w:p>
    <w:p w14:paraId="2856FA13" w14:textId="77777777" w:rsidR="00B50B2F" w:rsidRDefault="00B50B2F" w:rsidP="00327FA8">
      <w:pPr>
        <w:pStyle w:val="DeptBullets"/>
        <w:numPr>
          <w:ilvl w:val="0"/>
          <w:numId w:val="0"/>
        </w:numPr>
        <w:spacing w:after="0"/>
      </w:pPr>
    </w:p>
    <w:p w14:paraId="2BC46293" w14:textId="77777777" w:rsidR="00B50B2F" w:rsidRDefault="00B50B2F" w:rsidP="00327FA8">
      <w:pPr>
        <w:pStyle w:val="DeptBullets"/>
        <w:numPr>
          <w:ilvl w:val="0"/>
          <w:numId w:val="0"/>
        </w:numPr>
        <w:spacing w:after="0"/>
      </w:pPr>
      <w:r>
        <w:t xml:space="preserve">Targeted member campaigns relating to </w:t>
      </w:r>
      <w:r w:rsidR="00FB30BD">
        <w:t>scheme f</w:t>
      </w:r>
      <w:r>
        <w:t>lexibilities and re-employment will be delivered in the next quarter, along with continuing communications to members and employers regarding the on</w:t>
      </w:r>
      <w:r w:rsidR="00FB30BD">
        <w:t>-</w:t>
      </w:r>
      <w:r>
        <w:t>lining of Annual Benefit Statements.</w:t>
      </w:r>
    </w:p>
    <w:p w14:paraId="280679AB" w14:textId="77777777" w:rsidR="00B50B2F" w:rsidRDefault="00B50B2F" w:rsidP="00327FA8">
      <w:pPr>
        <w:pStyle w:val="DeptBullets"/>
        <w:numPr>
          <w:ilvl w:val="0"/>
          <w:numId w:val="0"/>
        </w:numPr>
        <w:spacing w:after="0"/>
      </w:pPr>
    </w:p>
    <w:p w14:paraId="1B766DEA" w14:textId="77777777" w:rsidR="00B50B2F" w:rsidRDefault="002B360F" w:rsidP="00B50B2F">
      <w:pPr>
        <w:pStyle w:val="DeptBullets"/>
        <w:numPr>
          <w:ilvl w:val="0"/>
          <w:numId w:val="0"/>
        </w:numPr>
        <w:spacing w:after="0"/>
      </w:pPr>
      <w:r>
        <w:t>A programme of a</w:t>
      </w:r>
      <w:r w:rsidR="00B50B2F">
        <w:t xml:space="preserve">utomated communications aimed at ‘dormant’ member accounts will </w:t>
      </w:r>
      <w:r>
        <w:t xml:space="preserve">be initiated and </w:t>
      </w:r>
      <w:r w:rsidR="00B50B2F">
        <w:t>continue across the year</w:t>
      </w:r>
      <w:r w:rsidR="00BA5EC9">
        <w:t xml:space="preserve"> and t</w:t>
      </w:r>
      <w:r w:rsidR="00B50B2F">
        <w:t>he first stages of the Annual Service Return engagement p</w:t>
      </w:r>
      <w:r w:rsidR="00BA5EC9">
        <w:t xml:space="preserve">rocess </w:t>
      </w:r>
      <w:r w:rsidR="00B50B2F">
        <w:t>will be implemented in February.</w:t>
      </w:r>
    </w:p>
    <w:p w14:paraId="296366DA" w14:textId="77777777" w:rsidR="00B50B2F" w:rsidRDefault="00B50B2F" w:rsidP="00327FA8">
      <w:pPr>
        <w:pStyle w:val="DeptBullets"/>
        <w:numPr>
          <w:ilvl w:val="0"/>
          <w:numId w:val="0"/>
        </w:numPr>
        <w:spacing w:after="0"/>
      </w:pPr>
    </w:p>
    <w:p w14:paraId="656D7F8D" w14:textId="77777777" w:rsidR="00B50B2F" w:rsidRDefault="00B50B2F" w:rsidP="00B50B2F">
      <w:pPr>
        <w:pStyle w:val="DeptBullets"/>
        <w:numPr>
          <w:ilvl w:val="0"/>
          <w:numId w:val="0"/>
        </w:numPr>
        <w:spacing w:after="0"/>
      </w:pPr>
      <w:r>
        <w:t xml:space="preserve">April will see the relaunch on this year’s TPS toolkit campaign – which has proved extremely popular with employers in the past.  The toolkit </w:t>
      </w:r>
      <w:r w:rsidR="007212DB">
        <w:t>provides a series of member resources</w:t>
      </w:r>
      <w:r w:rsidR="00DA18F4">
        <w:t>.</w:t>
      </w:r>
    </w:p>
    <w:sectPr w:rsidR="00B50B2F" w:rsidSect="00B2586B">
      <w:headerReference w:type="default" r:id="rId18"/>
      <w:footerReference w:type="default" r:id="rId19"/>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A4243" w14:textId="77777777" w:rsidR="00BB258C" w:rsidRDefault="00BB258C">
      <w:r>
        <w:separator/>
      </w:r>
    </w:p>
  </w:endnote>
  <w:endnote w:type="continuationSeparator" w:id="0">
    <w:p w14:paraId="08A6BBA0" w14:textId="77777777" w:rsidR="00BB258C" w:rsidRDefault="00B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81516"/>
      <w:docPartObj>
        <w:docPartGallery w:val="Page Numbers (Bottom of Page)"/>
        <w:docPartUnique/>
      </w:docPartObj>
    </w:sdtPr>
    <w:sdtEndPr>
      <w:rPr>
        <w:noProof/>
      </w:rPr>
    </w:sdtEndPr>
    <w:sdtContent>
      <w:p w14:paraId="42D08036" w14:textId="77777777" w:rsidR="00402B87" w:rsidRDefault="00E24E47">
        <w:pPr>
          <w:pStyle w:val="Footer"/>
          <w:jc w:val="center"/>
        </w:pPr>
        <w:r>
          <w:fldChar w:fldCharType="begin"/>
        </w:r>
        <w:r w:rsidR="00402B87">
          <w:instrText xml:space="preserve"> PAGE   \* MERGEFORMAT </w:instrText>
        </w:r>
        <w:r>
          <w:fldChar w:fldCharType="separate"/>
        </w:r>
        <w:r w:rsidR="00D81153">
          <w:rPr>
            <w:noProof/>
          </w:rPr>
          <w:t>1</w:t>
        </w:r>
        <w:r>
          <w:rPr>
            <w:noProof/>
          </w:rPr>
          <w:fldChar w:fldCharType="end"/>
        </w:r>
      </w:p>
    </w:sdtContent>
  </w:sdt>
  <w:p w14:paraId="53D37919" w14:textId="77777777" w:rsidR="00402B87" w:rsidRDefault="00402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A365A" w14:textId="77777777" w:rsidR="00BB258C" w:rsidRDefault="00BB258C">
      <w:r>
        <w:separator/>
      </w:r>
    </w:p>
  </w:footnote>
  <w:footnote w:type="continuationSeparator" w:id="0">
    <w:p w14:paraId="78E56F87" w14:textId="77777777" w:rsidR="00BB258C" w:rsidRDefault="00BB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64F58" w14:textId="77777777" w:rsidR="00402B87" w:rsidRDefault="007C42CC">
    <w:pPr>
      <w:pStyle w:val="Header"/>
    </w:pPr>
    <w:r>
      <w:t>PAPER 9 (Agenda item 7)</w:t>
    </w:r>
    <w:r>
      <w:ptab w:relativeTo="margin" w:alignment="center" w:leader="none"/>
    </w:r>
    <w:r>
      <w:ptab w:relativeTo="margin" w:alignment="right" w:leader="none"/>
    </w:r>
    <w:r>
      <w:t>TPSPB 9 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84316D"/>
    <w:multiLevelType w:val="multilevel"/>
    <w:tmpl w:val="C6F06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7"/>
  </w:num>
  <w:num w:numId="4">
    <w:abstractNumId w:val="0"/>
  </w:num>
  <w:num w:numId="5">
    <w:abstractNumId w:val="3"/>
  </w:num>
  <w:num w:numId="6">
    <w:abstractNumId w:val="6"/>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41"/>
    <w:rsid w:val="00011F78"/>
    <w:rsid w:val="000225E4"/>
    <w:rsid w:val="00022DB6"/>
    <w:rsid w:val="00040188"/>
    <w:rsid w:val="00041864"/>
    <w:rsid w:val="0004336F"/>
    <w:rsid w:val="0004776A"/>
    <w:rsid w:val="00052415"/>
    <w:rsid w:val="000675CF"/>
    <w:rsid w:val="00075239"/>
    <w:rsid w:val="000833EF"/>
    <w:rsid w:val="00090B99"/>
    <w:rsid w:val="000A0C1B"/>
    <w:rsid w:val="000A7D90"/>
    <w:rsid w:val="000B1468"/>
    <w:rsid w:val="000E52A0"/>
    <w:rsid w:val="000F4E59"/>
    <w:rsid w:val="00116F59"/>
    <w:rsid w:val="001362FD"/>
    <w:rsid w:val="001366BB"/>
    <w:rsid w:val="001372F2"/>
    <w:rsid w:val="00153F85"/>
    <w:rsid w:val="00174676"/>
    <w:rsid w:val="0017574C"/>
    <w:rsid w:val="00180A06"/>
    <w:rsid w:val="00182783"/>
    <w:rsid w:val="00195F8E"/>
    <w:rsid w:val="001A20D5"/>
    <w:rsid w:val="001A54FA"/>
    <w:rsid w:val="001B05C8"/>
    <w:rsid w:val="001B46E4"/>
    <w:rsid w:val="001B6DF9"/>
    <w:rsid w:val="001C0A03"/>
    <w:rsid w:val="001D55BC"/>
    <w:rsid w:val="001D7FB3"/>
    <w:rsid w:val="001F2118"/>
    <w:rsid w:val="002009C2"/>
    <w:rsid w:val="00211C37"/>
    <w:rsid w:val="00212D24"/>
    <w:rsid w:val="00214F2C"/>
    <w:rsid w:val="00217581"/>
    <w:rsid w:val="002335B0"/>
    <w:rsid w:val="002338A1"/>
    <w:rsid w:val="00266064"/>
    <w:rsid w:val="0027611C"/>
    <w:rsid w:val="002840D0"/>
    <w:rsid w:val="00294B22"/>
    <w:rsid w:val="00295EFC"/>
    <w:rsid w:val="002B360F"/>
    <w:rsid w:val="002B651E"/>
    <w:rsid w:val="002D2A7A"/>
    <w:rsid w:val="002E28FA"/>
    <w:rsid w:val="00310708"/>
    <w:rsid w:val="00312BD3"/>
    <w:rsid w:val="003219B9"/>
    <w:rsid w:val="003279E5"/>
    <w:rsid w:val="00327FA8"/>
    <w:rsid w:val="00347A3B"/>
    <w:rsid w:val="00367EEB"/>
    <w:rsid w:val="00370895"/>
    <w:rsid w:val="00391549"/>
    <w:rsid w:val="00392AE9"/>
    <w:rsid w:val="003B78F9"/>
    <w:rsid w:val="003D74A2"/>
    <w:rsid w:val="003D7A13"/>
    <w:rsid w:val="003E1B86"/>
    <w:rsid w:val="00402829"/>
    <w:rsid w:val="00402B87"/>
    <w:rsid w:val="00430DC5"/>
    <w:rsid w:val="004331D7"/>
    <w:rsid w:val="004373AD"/>
    <w:rsid w:val="00450D89"/>
    <w:rsid w:val="004533A7"/>
    <w:rsid w:val="00460505"/>
    <w:rsid w:val="00463122"/>
    <w:rsid w:val="00466874"/>
    <w:rsid w:val="00477AEA"/>
    <w:rsid w:val="00480E77"/>
    <w:rsid w:val="00484C39"/>
    <w:rsid w:val="004955D9"/>
    <w:rsid w:val="004B1BCC"/>
    <w:rsid w:val="004B4487"/>
    <w:rsid w:val="004C32E8"/>
    <w:rsid w:val="004E45EC"/>
    <w:rsid w:val="004E633C"/>
    <w:rsid w:val="004F7F73"/>
    <w:rsid w:val="00504D18"/>
    <w:rsid w:val="00511CA5"/>
    <w:rsid w:val="005150CE"/>
    <w:rsid w:val="00530814"/>
    <w:rsid w:val="005323E9"/>
    <w:rsid w:val="00532531"/>
    <w:rsid w:val="00545301"/>
    <w:rsid w:val="00565333"/>
    <w:rsid w:val="00591B39"/>
    <w:rsid w:val="005B1CC3"/>
    <w:rsid w:val="005B5A07"/>
    <w:rsid w:val="005C105B"/>
    <w:rsid w:val="005C1372"/>
    <w:rsid w:val="005C3E92"/>
    <w:rsid w:val="005D2766"/>
    <w:rsid w:val="005D45D0"/>
    <w:rsid w:val="0060005C"/>
    <w:rsid w:val="00607A4B"/>
    <w:rsid w:val="00616BF8"/>
    <w:rsid w:val="006209E9"/>
    <w:rsid w:val="0062704E"/>
    <w:rsid w:val="00634682"/>
    <w:rsid w:val="0063507E"/>
    <w:rsid w:val="006363E9"/>
    <w:rsid w:val="00642F97"/>
    <w:rsid w:val="00655B23"/>
    <w:rsid w:val="00656AF0"/>
    <w:rsid w:val="006858D6"/>
    <w:rsid w:val="0068597D"/>
    <w:rsid w:val="00687908"/>
    <w:rsid w:val="006A0189"/>
    <w:rsid w:val="006A1127"/>
    <w:rsid w:val="006A2F72"/>
    <w:rsid w:val="006A3278"/>
    <w:rsid w:val="006C5500"/>
    <w:rsid w:val="006D1E22"/>
    <w:rsid w:val="006D3EBD"/>
    <w:rsid w:val="006E0DB1"/>
    <w:rsid w:val="006E6F0B"/>
    <w:rsid w:val="00701BFF"/>
    <w:rsid w:val="007104E4"/>
    <w:rsid w:val="007148B7"/>
    <w:rsid w:val="007212DB"/>
    <w:rsid w:val="00737573"/>
    <w:rsid w:val="00741A64"/>
    <w:rsid w:val="007442BB"/>
    <w:rsid w:val="007463C5"/>
    <w:rsid w:val="00746846"/>
    <w:rsid w:val="007510C3"/>
    <w:rsid w:val="0076458E"/>
    <w:rsid w:val="00767062"/>
    <w:rsid w:val="00767063"/>
    <w:rsid w:val="00784D3F"/>
    <w:rsid w:val="007870B9"/>
    <w:rsid w:val="007940AE"/>
    <w:rsid w:val="007A10F9"/>
    <w:rsid w:val="007A4C02"/>
    <w:rsid w:val="007B49CD"/>
    <w:rsid w:val="007B593B"/>
    <w:rsid w:val="007B5A46"/>
    <w:rsid w:val="007C1BC2"/>
    <w:rsid w:val="007C42CC"/>
    <w:rsid w:val="007C5074"/>
    <w:rsid w:val="007D0DBA"/>
    <w:rsid w:val="007D4DB0"/>
    <w:rsid w:val="007F073B"/>
    <w:rsid w:val="00805C72"/>
    <w:rsid w:val="00831225"/>
    <w:rsid w:val="008428AB"/>
    <w:rsid w:val="00863664"/>
    <w:rsid w:val="0088151C"/>
    <w:rsid w:val="008817AB"/>
    <w:rsid w:val="008843A4"/>
    <w:rsid w:val="008955E8"/>
    <w:rsid w:val="008A30E4"/>
    <w:rsid w:val="008B1C49"/>
    <w:rsid w:val="008B5F08"/>
    <w:rsid w:val="008B67CC"/>
    <w:rsid w:val="008D1228"/>
    <w:rsid w:val="008D6BD8"/>
    <w:rsid w:val="008E3BDA"/>
    <w:rsid w:val="008E448D"/>
    <w:rsid w:val="008E5B51"/>
    <w:rsid w:val="008F26FD"/>
    <w:rsid w:val="008F452F"/>
    <w:rsid w:val="00904D28"/>
    <w:rsid w:val="00905ADC"/>
    <w:rsid w:val="00906C33"/>
    <w:rsid w:val="009173AF"/>
    <w:rsid w:val="00932946"/>
    <w:rsid w:val="009424FA"/>
    <w:rsid w:val="009426CB"/>
    <w:rsid w:val="00963073"/>
    <w:rsid w:val="0097315A"/>
    <w:rsid w:val="00994889"/>
    <w:rsid w:val="009A3F0A"/>
    <w:rsid w:val="009B3A70"/>
    <w:rsid w:val="009B3EFE"/>
    <w:rsid w:val="009B493A"/>
    <w:rsid w:val="009D3D73"/>
    <w:rsid w:val="009E73AD"/>
    <w:rsid w:val="009F5357"/>
    <w:rsid w:val="009F7653"/>
    <w:rsid w:val="00A00569"/>
    <w:rsid w:val="00A14485"/>
    <w:rsid w:val="00A21E85"/>
    <w:rsid w:val="00A259C2"/>
    <w:rsid w:val="00A2712A"/>
    <w:rsid w:val="00A3306B"/>
    <w:rsid w:val="00A36044"/>
    <w:rsid w:val="00A366A9"/>
    <w:rsid w:val="00A43433"/>
    <w:rsid w:val="00A46912"/>
    <w:rsid w:val="00A51193"/>
    <w:rsid w:val="00A51A34"/>
    <w:rsid w:val="00A553F5"/>
    <w:rsid w:val="00A64099"/>
    <w:rsid w:val="00A71702"/>
    <w:rsid w:val="00A94D45"/>
    <w:rsid w:val="00A96425"/>
    <w:rsid w:val="00AA14A0"/>
    <w:rsid w:val="00AA55EF"/>
    <w:rsid w:val="00AB345C"/>
    <w:rsid w:val="00AB6016"/>
    <w:rsid w:val="00AC2A37"/>
    <w:rsid w:val="00AD0E50"/>
    <w:rsid w:val="00AD632D"/>
    <w:rsid w:val="00AF0554"/>
    <w:rsid w:val="00AF1C07"/>
    <w:rsid w:val="00AF737F"/>
    <w:rsid w:val="00B006DF"/>
    <w:rsid w:val="00B05ECD"/>
    <w:rsid w:val="00B06172"/>
    <w:rsid w:val="00B16A24"/>
    <w:rsid w:val="00B16A8C"/>
    <w:rsid w:val="00B2586B"/>
    <w:rsid w:val="00B275C1"/>
    <w:rsid w:val="00B50B2F"/>
    <w:rsid w:val="00B6048F"/>
    <w:rsid w:val="00B60C22"/>
    <w:rsid w:val="00B6522B"/>
    <w:rsid w:val="00B65709"/>
    <w:rsid w:val="00B67DF2"/>
    <w:rsid w:val="00B74FC9"/>
    <w:rsid w:val="00B85BF7"/>
    <w:rsid w:val="00B936EF"/>
    <w:rsid w:val="00B939CC"/>
    <w:rsid w:val="00BA5EC9"/>
    <w:rsid w:val="00BB258C"/>
    <w:rsid w:val="00BB5E38"/>
    <w:rsid w:val="00BC547B"/>
    <w:rsid w:val="00BD4B6C"/>
    <w:rsid w:val="00BD5914"/>
    <w:rsid w:val="00BE1095"/>
    <w:rsid w:val="00BF60FB"/>
    <w:rsid w:val="00C03AD1"/>
    <w:rsid w:val="00C37933"/>
    <w:rsid w:val="00C408C7"/>
    <w:rsid w:val="00C47EEA"/>
    <w:rsid w:val="00C519D0"/>
    <w:rsid w:val="00C661E6"/>
    <w:rsid w:val="00C67091"/>
    <w:rsid w:val="00C70ACB"/>
    <w:rsid w:val="00C92C2C"/>
    <w:rsid w:val="00CA4FEC"/>
    <w:rsid w:val="00CD7921"/>
    <w:rsid w:val="00CE084B"/>
    <w:rsid w:val="00CF5FB5"/>
    <w:rsid w:val="00D028B3"/>
    <w:rsid w:val="00D02D57"/>
    <w:rsid w:val="00D118D6"/>
    <w:rsid w:val="00D146E8"/>
    <w:rsid w:val="00D20266"/>
    <w:rsid w:val="00D20C29"/>
    <w:rsid w:val="00D33842"/>
    <w:rsid w:val="00D40C3F"/>
    <w:rsid w:val="00D47915"/>
    <w:rsid w:val="00D5074F"/>
    <w:rsid w:val="00D5170F"/>
    <w:rsid w:val="00D57D6E"/>
    <w:rsid w:val="00D61F5A"/>
    <w:rsid w:val="00D656C2"/>
    <w:rsid w:val="00D73078"/>
    <w:rsid w:val="00D81153"/>
    <w:rsid w:val="00D82E41"/>
    <w:rsid w:val="00DA18F4"/>
    <w:rsid w:val="00DA437B"/>
    <w:rsid w:val="00DB4C12"/>
    <w:rsid w:val="00DC423E"/>
    <w:rsid w:val="00DD2142"/>
    <w:rsid w:val="00DD4072"/>
    <w:rsid w:val="00E0081E"/>
    <w:rsid w:val="00E02094"/>
    <w:rsid w:val="00E10F4C"/>
    <w:rsid w:val="00E15B34"/>
    <w:rsid w:val="00E2419F"/>
    <w:rsid w:val="00E24E47"/>
    <w:rsid w:val="00E366D6"/>
    <w:rsid w:val="00E5016E"/>
    <w:rsid w:val="00E618C6"/>
    <w:rsid w:val="00E63D8B"/>
    <w:rsid w:val="00E70CD4"/>
    <w:rsid w:val="00E81F4B"/>
    <w:rsid w:val="00EA11BE"/>
    <w:rsid w:val="00EA3463"/>
    <w:rsid w:val="00EC644A"/>
    <w:rsid w:val="00EC6A3F"/>
    <w:rsid w:val="00EE2403"/>
    <w:rsid w:val="00EF4BDC"/>
    <w:rsid w:val="00EF5BA6"/>
    <w:rsid w:val="00F01526"/>
    <w:rsid w:val="00F11A9A"/>
    <w:rsid w:val="00F30554"/>
    <w:rsid w:val="00F348D2"/>
    <w:rsid w:val="00F4485F"/>
    <w:rsid w:val="00F44B6A"/>
    <w:rsid w:val="00F521C7"/>
    <w:rsid w:val="00F60BF8"/>
    <w:rsid w:val="00F64863"/>
    <w:rsid w:val="00F74F2F"/>
    <w:rsid w:val="00F84D72"/>
    <w:rsid w:val="00F960C1"/>
    <w:rsid w:val="00FA0331"/>
    <w:rsid w:val="00FA57BB"/>
    <w:rsid w:val="00FB30BD"/>
    <w:rsid w:val="00FC049C"/>
    <w:rsid w:val="00FC1C0E"/>
    <w:rsid w:val="00FC56F7"/>
    <w:rsid w:val="00FC5ED8"/>
    <w:rsid w:val="00FD3A3E"/>
    <w:rsid w:val="00FD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14:docId w14:val="27D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07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D7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5E38"/>
    <w:rPr>
      <w:sz w:val="16"/>
      <w:szCs w:val="16"/>
    </w:rPr>
  </w:style>
  <w:style w:type="paragraph" w:styleId="CommentText">
    <w:name w:val="annotation text"/>
    <w:basedOn w:val="Normal"/>
    <w:link w:val="CommentTextChar"/>
    <w:rsid w:val="00BB5E38"/>
    <w:rPr>
      <w:sz w:val="20"/>
    </w:rPr>
  </w:style>
  <w:style w:type="character" w:customStyle="1" w:styleId="CommentTextChar">
    <w:name w:val="Comment Text Char"/>
    <w:basedOn w:val="DefaultParagraphFont"/>
    <w:link w:val="CommentText"/>
    <w:rsid w:val="00BB5E38"/>
    <w:rPr>
      <w:rFonts w:ascii="Arial" w:hAnsi="Arial"/>
      <w:lang w:eastAsia="en-US"/>
    </w:rPr>
  </w:style>
  <w:style w:type="paragraph" w:styleId="CommentSubject">
    <w:name w:val="annotation subject"/>
    <w:basedOn w:val="CommentText"/>
    <w:next w:val="CommentText"/>
    <w:link w:val="CommentSubjectChar"/>
    <w:rsid w:val="00BB5E38"/>
    <w:rPr>
      <w:b/>
      <w:bCs/>
    </w:rPr>
  </w:style>
  <w:style w:type="character" w:customStyle="1" w:styleId="CommentSubjectChar">
    <w:name w:val="Comment Subject Char"/>
    <w:basedOn w:val="CommentTextChar"/>
    <w:link w:val="CommentSubject"/>
    <w:rsid w:val="00BB5E38"/>
    <w:rPr>
      <w:rFonts w:ascii="Arial" w:hAnsi="Arial"/>
      <w:b/>
      <w:bCs/>
      <w:lang w:eastAsia="en-US"/>
    </w:rPr>
  </w:style>
  <w:style w:type="paragraph" w:styleId="BalloonText">
    <w:name w:val="Balloon Text"/>
    <w:basedOn w:val="Normal"/>
    <w:link w:val="BalloonTextChar"/>
    <w:rsid w:val="00BB5E38"/>
    <w:rPr>
      <w:rFonts w:ascii="Tahoma" w:hAnsi="Tahoma" w:cs="Tahoma"/>
      <w:sz w:val="16"/>
      <w:szCs w:val="16"/>
    </w:rPr>
  </w:style>
  <w:style w:type="character" w:customStyle="1" w:styleId="BalloonTextChar">
    <w:name w:val="Balloon Text Char"/>
    <w:basedOn w:val="DefaultParagraphFont"/>
    <w:link w:val="BalloonText"/>
    <w:rsid w:val="00BB5E38"/>
    <w:rPr>
      <w:rFonts w:ascii="Tahoma" w:hAnsi="Tahoma" w:cs="Tahoma"/>
      <w:sz w:val="16"/>
      <w:szCs w:val="16"/>
      <w:lang w:eastAsia="en-US"/>
    </w:rPr>
  </w:style>
  <w:style w:type="paragraph" w:styleId="Revision">
    <w:name w:val="Revision"/>
    <w:hidden/>
    <w:uiPriority w:val="99"/>
    <w:semiHidden/>
    <w:rsid w:val="00174676"/>
    <w:rPr>
      <w:rFonts w:ascii="Arial" w:hAnsi="Arial"/>
      <w:sz w:val="24"/>
      <w:lang w:eastAsia="en-US"/>
    </w:rPr>
  </w:style>
  <w:style w:type="character" w:customStyle="1" w:styleId="FooterChar">
    <w:name w:val="Footer Char"/>
    <w:basedOn w:val="DefaultParagraphFont"/>
    <w:link w:val="Footer"/>
    <w:uiPriority w:val="99"/>
    <w:rsid w:val="00402B87"/>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07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D7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5E38"/>
    <w:rPr>
      <w:sz w:val="16"/>
      <w:szCs w:val="16"/>
    </w:rPr>
  </w:style>
  <w:style w:type="paragraph" w:styleId="CommentText">
    <w:name w:val="annotation text"/>
    <w:basedOn w:val="Normal"/>
    <w:link w:val="CommentTextChar"/>
    <w:rsid w:val="00BB5E38"/>
    <w:rPr>
      <w:sz w:val="20"/>
    </w:rPr>
  </w:style>
  <w:style w:type="character" w:customStyle="1" w:styleId="CommentTextChar">
    <w:name w:val="Comment Text Char"/>
    <w:basedOn w:val="DefaultParagraphFont"/>
    <w:link w:val="CommentText"/>
    <w:rsid w:val="00BB5E38"/>
    <w:rPr>
      <w:rFonts w:ascii="Arial" w:hAnsi="Arial"/>
      <w:lang w:eastAsia="en-US"/>
    </w:rPr>
  </w:style>
  <w:style w:type="paragraph" w:styleId="CommentSubject">
    <w:name w:val="annotation subject"/>
    <w:basedOn w:val="CommentText"/>
    <w:next w:val="CommentText"/>
    <w:link w:val="CommentSubjectChar"/>
    <w:rsid w:val="00BB5E38"/>
    <w:rPr>
      <w:b/>
      <w:bCs/>
    </w:rPr>
  </w:style>
  <w:style w:type="character" w:customStyle="1" w:styleId="CommentSubjectChar">
    <w:name w:val="Comment Subject Char"/>
    <w:basedOn w:val="CommentTextChar"/>
    <w:link w:val="CommentSubject"/>
    <w:rsid w:val="00BB5E38"/>
    <w:rPr>
      <w:rFonts w:ascii="Arial" w:hAnsi="Arial"/>
      <w:b/>
      <w:bCs/>
      <w:lang w:eastAsia="en-US"/>
    </w:rPr>
  </w:style>
  <w:style w:type="paragraph" w:styleId="BalloonText">
    <w:name w:val="Balloon Text"/>
    <w:basedOn w:val="Normal"/>
    <w:link w:val="BalloonTextChar"/>
    <w:rsid w:val="00BB5E38"/>
    <w:rPr>
      <w:rFonts w:ascii="Tahoma" w:hAnsi="Tahoma" w:cs="Tahoma"/>
      <w:sz w:val="16"/>
      <w:szCs w:val="16"/>
    </w:rPr>
  </w:style>
  <w:style w:type="character" w:customStyle="1" w:styleId="BalloonTextChar">
    <w:name w:val="Balloon Text Char"/>
    <w:basedOn w:val="DefaultParagraphFont"/>
    <w:link w:val="BalloonText"/>
    <w:rsid w:val="00BB5E38"/>
    <w:rPr>
      <w:rFonts w:ascii="Tahoma" w:hAnsi="Tahoma" w:cs="Tahoma"/>
      <w:sz w:val="16"/>
      <w:szCs w:val="16"/>
      <w:lang w:eastAsia="en-US"/>
    </w:rPr>
  </w:style>
  <w:style w:type="paragraph" w:styleId="Revision">
    <w:name w:val="Revision"/>
    <w:hidden/>
    <w:uiPriority w:val="99"/>
    <w:semiHidden/>
    <w:rsid w:val="00174676"/>
    <w:rPr>
      <w:rFonts w:ascii="Arial" w:hAnsi="Arial"/>
      <w:sz w:val="24"/>
      <w:lang w:eastAsia="en-US"/>
    </w:rPr>
  </w:style>
  <w:style w:type="character" w:customStyle="1" w:styleId="FooterChar">
    <w:name w:val="Footer Char"/>
    <w:basedOn w:val="DefaultParagraphFont"/>
    <w:link w:val="Footer"/>
    <w:uiPriority w:val="99"/>
    <w:rsid w:val="00402B8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4817">
      <w:bodyDiv w:val="1"/>
      <w:marLeft w:val="0"/>
      <w:marRight w:val="0"/>
      <w:marTop w:val="0"/>
      <w:marBottom w:val="0"/>
      <w:divBdr>
        <w:top w:val="none" w:sz="0" w:space="0" w:color="auto"/>
        <w:left w:val="none" w:sz="0" w:space="0" w:color="auto"/>
        <w:bottom w:val="none" w:sz="0" w:space="0" w:color="auto"/>
        <w:right w:val="none" w:sz="0" w:space="0" w:color="auto"/>
      </w:divBdr>
    </w:div>
    <w:div w:id="1995184227">
      <w:bodyDiv w:val="1"/>
      <w:marLeft w:val="0"/>
      <w:marRight w:val="0"/>
      <w:marTop w:val="0"/>
      <w:marBottom w:val="0"/>
      <w:divBdr>
        <w:top w:val="none" w:sz="0" w:space="0" w:color="auto"/>
        <w:left w:val="none" w:sz="0" w:space="0" w:color="auto"/>
        <w:bottom w:val="none" w:sz="0" w:space="0" w:color="auto"/>
        <w:right w:val="none" w:sz="0" w:space="0" w:color="auto"/>
      </w:divBdr>
    </w:div>
    <w:div w:id="2037731090">
      <w:bodyDiv w:val="1"/>
      <w:marLeft w:val="0"/>
      <w:marRight w:val="0"/>
      <w:marTop w:val="0"/>
      <w:marBottom w:val="0"/>
      <w:divBdr>
        <w:top w:val="none" w:sz="0" w:space="0" w:color="auto"/>
        <w:left w:val="none" w:sz="0" w:space="0" w:color="auto"/>
        <w:bottom w:val="none" w:sz="0" w:space="0" w:color="auto"/>
        <w:right w:val="none" w:sz="0" w:space="0" w:color="auto"/>
      </w:divBdr>
    </w:div>
    <w:div w:id="2048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cid:image001.jpg@01D16D80.987745D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4.jpg@01D16D74.2902D36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HKPH4XM4QHZ4-1883831546-2329</_dlc_DocId>
    <_dlc_DocIdUrl xmlns="b8cb3cbd-ce5c-4a72-9da4-9013f91c5903">
      <Url>http://workplaces/sites/ttg/d/_layouts/DocIdRedir.aspx?ID=HKPH4XM4QHZ4-1883831546-2329</Url>
      <Description>HKPH4XM4QHZ4-1883831546-2329</Description>
    </_dlc_DocIdUrl>
  </documentManagement>
</p:properti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2741AE071A82164A951099DAC91C981E" ma:contentTypeVersion="10" ma:contentTypeDescription="For any briefing which is not in relation to a department policy. Records retained for 10 years." ma:contentTypeScope="" ma:versionID="abd293a70f62aa9918e800bccf3177c6">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f1ed8ca4c01d447e78761025de8a1810"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BF90-8498-4A9B-B138-4920C5221B38}"/>
</file>

<file path=customXml/itemProps2.xml><?xml version="1.0" encoding="utf-8"?>
<ds:datastoreItem xmlns:ds="http://schemas.openxmlformats.org/officeDocument/2006/customXml" ds:itemID="{C0B4F40A-FBFA-40BD-9EE0-2130854887E0}"/>
</file>

<file path=customXml/itemProps3.xml><?xml version="1.0" encoding="utf-8"?>
<ds:datastoreItem xmlns:ds="http://schemas.openxmlformats.org/officeDocument/2006/customXml" ds:itemID="{BFFD5136-F125-44AF-B549-F38CC57A8DCB}"/>
</file>

<file path=customXml/itemProps4.xml><?xml version="1.0" encoding="utf-8"?>
<ds:datastoreItem xmlns:ds="http://schemas.openxmlformats.org/officeDocument/2006/customXml" ds:itemID="{31324A1A-987A-4E5C-BED1-0F95BB2D535A}"/>
</file>

<file path=customXml/itemProps5.xml><?xml version="1.0" encoding="utf-8"?>
<ds:datastoreItem xmlns:ds="http://schemas.openxmlformats.org/officeDocument/2006/customXml" ds:itemID="{2F36EB68-3F08-4D92-B797-3B9A04691772}"/>
</file>

<file path=customXml/itemProps6.xml><?xml version="1.0" encoding="utf-8"?>
<ds:datastoreItem xmlns:ds="http://schemas.openxmlformats.org/officeDocument/2006/customXml" ds:itemID="{E935E3A1-942F-4B1E-8D6A-76A3A049310F}"/>
</file>

<file path=docProps/app.xml><?xml version="1.0" encoding="utf-8"?>
<Properties xmlns="http://schemas.openxmlformats.org/officeDocument/2006/extended-properties" xmlns:vt="http://schemas.openxmlformats.org/officeDocument/2006/docPropsVTypes">
  <Template>AE6D303C</Template>
  <TotalTime>1</TotalTime>
  <Pages>4</Pages>
  <Words>1200</Words>
  <Characters>6842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v3 JR QA and amends</vt:lpstr>
    </vt:vector>
  </TitlesOfParts>
  <Company>Employee Benefits</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v4 JR QA and TP amends</dc:title>
  <dc:creator>LEES, Richard</dc:creator>
  <cp:lastModifiedBy>CAMMACK, Karen</cp:lastModifiedBy>
  <cp:revision>2</cp:revision>
  <cp:lastPrinted>2016-03-01T10:44:00Z</cp:lastPrinted>
  <dcterms:created xsi:type="dcterms:W3CDTF">2016-03-01T15:49:00Z</dcterms:created>
  <dcterms:modified xsi:type="dcterms:W3CDTF">2016-03-01T15:49:00Z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0x0101007F645D6FBA204A029FECB8BFC6578C39005279853530254253B886E13194843F8A003AA4A7828D8545A79A93568014812349002741AE071A82164A951099DAC91C981E</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030b6f41-c8d7-4614-8319-dbcafdad884d</vt:lpwstr>
  </property>
</Properties>
</file>