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384"/>
        <w:gridCol w:w="4536"/>
        <w:gridCol w:w="4253"/>
        <w:gridCol w:w="4110"/>
      </w:tblGrid>
      <w:tr w:rsidR="00B7137F" w:rsidRPr="00D10338" w14:paraId="7DA4161C" w14:textId="77777777" w:rsidTr="0013530E">
        <w:trPr>
          <w:tblHeader/>
        </w:trPr>
        <w:tc>
          <w:tcPr>
            <w:tcW w:w="1384" w:type="dxa"/>
            <w:shd w:val="clear" w:color="auto" w:fill="D9D9D9" w:themeFill="background1" w:themeFillShade="D9"/>
          </w:tcPr>
          <w:p w14:paraId="7DA41618" w14:textId="0B10777B" w:rsidR="00C70B80" w:rsidRPr="00D10338" w:rsidRDefault="009E1FAB" w:rsidP="0038186C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DA41619" w14:textId="77777777" w:rsidR="00C70B80" w:rsidRPr="00D10338" w:rsidRDefault="00C70B80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D10338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DA4161A" w14:textId="2B74B623" w:rsidR="00C70B80" w:rsidRPr="00D10338" w:rsidRDefault="00C70B80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D10338">
              <w:rPr>
                <w:b/>
                <w:sz w:val="22"/>
                <w:szCs w:val="22"/>
              </w:rPr>
              <w:t>Progress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DA4161B" w14:textId="1C5F543D" w:rsidR="00C70B80" w:rsidRPr="00D10338" w:rsidRDefault="00293433" w:rsidP="00D10338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D10338">
              <w:rPr>
                <w:b/>
                <w:sz w:val="22"/>
                <w:szCs w:val="22"/>
              </w:rPr>
              <w:t xml:space="preserve">Further </w:t>
            </w:r>
            <w:r w:rsidR="00D10338" w:rsidRPr="00D10338">
              <w:rPr>
                <w:b/>
                <w:sz w:val="22"/>
                <w:szCs w:val="22"/>
              </w:rPr>
              <w:t>Update</w:t>
            </w:r>
          </w:p>
        </w:tc>
      </w:tr>
      <w:tr w:rsidR="0017644C" w:rsidRPr="00D10338" w14:paraId="33FF8C86" w14:textId="77777777" w:rsidTr="0013530E">
        <w:tc>
          <w:tcPr>
            <w:tcW w:w="14283" w:type="dxa"/>
            <w:gridSpan w:val="4"/>
            <w:shd w:val="clear" w:color="auto" w:fill="D9D9D9" w:themeFill="background1" w:themeFillShade="D9"/>
          </w:tcPr>
          <w:p w14:paraId="5CD02965" w14:textId="77777777" w:rsidR="0017644C" w:rsidRDefault="0017644C" w:rsidP="0038186C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1A55CB">
              <w:rPr>
                <w:b/>
                <w:sz w:val="22"/>
                <w:szCs w:val="22"/>
              </w:rPr>
              <w:t>Actions from February 15</w:t>
            </w:r>
          </w:p>
          <w:p w14:paraId="1DC89B6E" w14:textId="36A46C01" w:rsidR="0038186C" w:rsidRDefault="0038186C" w:rsidP="0038186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</w:tr>
      <w:tr w:rsidR="003B4FBD" w:rsidRPr="00D10338" w14:paraId="7DA41623" w14:textId="77777777" w:rsidTr="0013530E">
        <w:tc>
          <w:tcPr>
            <w:tcW w:w="1384" w:type="dxa"/>
          </w:tcPr>
          <w:p w14:paraId="204A2AD6" w14:textId="77777777" w:rsidR="00C70B80" w:rsidRPr="00D10338" w:rsidRDefault="00C70B80" w:rsidP="00C949A3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001/100215</w:t>
            </w:r>
          </w:p>
          <w:p w14:paraId="7DA4161D" w14:textId="585A118F" w:rsidR="00B96F14" w:rsidRPr="00D10338" w:rsidRDefault="00B96F14" w:rsidP="00C949A3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002/100215</w:t>
            </w:r>
          </w:p>
        </w:tc>
        <w:tc>
          <w:tcPr>
            <w:tcW w:w="4536" w:type="dxa"/>
          </w:tcPr>
          <w:p w14:paraId="62D88B20" w14:textId="36564B34" w:rsidR="0042181C" w:rsidRPr="00D10338" w:rsidRDefault="00C70B80" w:rsidP="0042181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Board members to complete Skills Matrix by 27/2/15</w:t>
            </w:r>
            <w:r w:rsidR="004D337C" w:rsidRPr="00D10338">
              <w:rPr>
                <w:sz w:val="22"/>
                <w:szCs w:val="22"/>
              </w:rPr>
              <w:t>.</w:t>
            </w:r>
          </w:p>
          <w:p w14:paraId="7DA4161F" w14:textId="278FEB86" w:rsidR="00492444" w:rsidRPr="00D10338" w:rsidRDefault="00B96F14" w:rsidP="0042181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Secretariat to conduct skills gap analysis</w:t>
            </w:r>
            <w:r w:rsidR="004D337C" w:rsidRPr="00D10338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14:paraId="3FACBE81" w14:textId="4EA83865" w:rsidR="00293433" w:rsidRDefault="00B96F14" w:rsidP="00B96F1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Initial m</w:t>
            </w:r>
            <w:r w:rsidR="00293433" w:rsidRPr="00D10338">
              <w:rPr>
                <w:sz w:val="22"/>
                <w:szCs w:val="22"/>
              </w:rPr>
              <w:t>atrix(</w:t>
            </w:r>
            <w:r w:rsidR="00382F0D">
              <w:rPr>
                <w:sz w:val="22"/>
                <w:szCs w:val="22"/>
              </w:rPr>
              <w:t>e</w:t>
            </w:r>
            <w:r w:rsidR="006E58D5" w:rsidRPr="00D10338">
              <w:rPr>
                <w:sz w:val="22"/>
                <w:szCs w:val="22"/>
              </w:rPr>
              <w:t>s</w:t>
            </w:r>
            <w:r w:rsidR="00293433" w:rsidRPr="00D10338">
              <w:rPr>
                <w:sz w:val="22"/>
                <w:szCs w:val="22"/>
              </w:rPr>
              <w:t>) received 12/3</w:t>
            </w:r>
            <w:r w:rsidR="0042181C" w:rsidRPr="00D10338">
              <w:rPr>
                <w:sz w:val="22"/>
                <w:szCs w:val="22"/>
              </w:rPr>
              <w:t>/15</w:t>
            </w:r>
            <w:r w:rsidR="00A84BA0" w:rsidRPr="00D10338">
              <w:rPr>
                <w:sz w:val="22"/>
                <w:szCs w:val="22"/>
              </w:rPr>
              <w:t>.</w:t>
            </w:r>
          </w:p>
          <w:p w14:paraId="4CFD7609" w14:textId="32A60412" w:rsidR="002D7248" w:rsidRDefault="002D7248" w:rsidP="00B96F1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LNA completed</w:t>
            </w:r>
          </w:p>
          <w:p w14:paraId="5274B818" w14:textId="2EAAF324" w:rsidR="002D7248" w:rsidRDefault="002D7248" w:rsidP="00B96F1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 iteration completed 31/10/15</w:t>
            </w:r>
          </w:p>
          <w:p w14:paraId="7DA41621" w14:textId="38D0E906" w:rsidR="002214E8" w:rsidRPr="00D10338" w:rsidRDefault="002D7248" w:rsidP="0038186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LNA updated </w:t>
            </w:r>
            <w:r w:rsidR="00CA4255">
              <w:rPr>
                <w:sz w:val="22"/>
                <w:szCs w:val="22"/>
              </w:rPr>
              <w:t xml:space="preserve">– further learning needs to be </w:t>
            </w:r>
            <w:r w:rsidR="00E00893">
              <w:rPr>
                <w:sz w:val="22"/>
                <w:szCs w:val="22"/>
              </w:rPr>
              <w:t>considered</w:t>
            </w:r>
            <w:r w:rsidR="00CA4255">
              <w:rPr>
                <w:sz w:val="22"/>
                <w:szCs w:val="22"/>
              </w:rPr>
              <w:t xml:space="preserve"> individually.</w:t>
            </w:r>
          </w:p>
        </w:tc>
        <w:tc>
          <w:tcPr>
            <w:tcW w:w="4110" w:type="dxa"/>
          </w:tcPr>
          <w:p w14:paraId="1D3C7D79" w14:textId="77777777" w:rsidR="00A71E0F" w:rsidRDefault="008365D1" w:rsidP="008365D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of skills matrix template on-going. Additional learning activities identified to meet skills/knowledge gaps </w:t>
            </w:r>
            <w:r w:rsidR="002D7248" w:rsidRPr="002D7248">
              <w:rPr>
                <w:sz w:val="22"/>
                <w:szCs w:val="22"/>
              </w:rPr>
              <w:t xml:space="preserve">e.g. </w:t>
            </w:r>
            <w:r w:rsidR="002A54F4">
              <w:rPr>
                <w:sz w:val="22"/>
                <w:szCs w:val="22"/>
              </w:rPr>
              <w:t xml:space="preserve">GAD presenting at 9 March </w:t>
            </w:r>
            <w:r>
              <w:rPr>
                <w:sz w:val="22"/>
                <w:szCs w:val="22"/>
              </w:rPr>
              <w:t xml:space="preserve">16 </w:t>
            </w:r>
            <w:r w:rsidR="002A54F4">
              <w:rPr>
                <w:sz w:val="22"/>
                <w:szCs w:val="22"/>
              </w:rPr>
              <w:t>meeting.</w:t>
            </w:r>
          </w:p>
          <w:p w14:paraId="7DA41622" w14:textId="727C3129" w:rsidR="002A54F4" w:rsidRPr="002D7248" w:rsidRDefault="00A71E0F" w:rsidP="008365D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71E0F">
              <w:rPr>
                <w:b/>
                <w:sz w:val="22"/>
                <w:szCs w:val="22"/>
              </w:rPr>
              <w:t>ON-GOING</w:t>
            </w:r>
          </w:p>
        </w:tc>
      </w:tr>
      <w:tr w:rsidR="0017644C" w:rsidRPr="00D10338" w14:paraId="58CBB768" w14:textId="77777777" w:rsidTr="0013530E">
        <w:trPr>
          <w:trHeight w:val="58"/>
        </w:trPr>
        <w:tc>
          <w:tcPr>
            <w:tcW w:w="14283" w:type="dxa"/>
            <w:gridSpan w:val="4"/>
            <w:shd w:val="clear" w:color="auto" w:fill="D9D9D9" w:themeFill="background1" w:themeFillShade="D9"/>
          </w:tcPr>
          <w:p w14:paraId="4525DE3E" w14:textId="53A513E1" w:rsidR="0017644C" w:rsidRPr="00D10338" w:rsidRDefault="0017644C" w:rsidP="000D2872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A55CB">
              <w:rPr>
                <w:b/>
                <w:sz w:val="22"/>
                <w:szCs w:val="22"/>
              </w:rPr>
              <w:t>Actions from June 2015</w:t>
            </w:r>
          </w:p>
        </w:tc>
      </w:tr>
      <w:tr w:rsidR="004D337C" w:rsidRPr="00D10338" w14:paraId="7DA41657" w14:textId="77777777" w:rsidTr="0013530E">
        <w:tc>
          <w:tcPr>
            <w:tcW w:w="1384" w:type="dxa"/>
          </w:tcPr>
          <w:p w14:paraId="45EE185F" w14:textId="6C6BE83A" w:rsidR="004D337C" w:rsidRDefault="003B2466" w:rsidP="00C949A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002/030615</w:t>
            </w:r>
          </w:p>
          <w:p w14:paraId="17DFEC5C" w14:textId="77777777" w:rsidR="00E00893" w:rsidRDefault="00E00893" w:rsidP="00C949A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47B4569F" w14:textId="77777777" w:rsidR="00E00893" w:rsidRPr="002A54F4" w:rsidRDefault="00E00893" w:rsidP="00C949A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2A54F4">
              <w:rPr>
                <w:sz w:val="18"/>
                <w:szCs w:val="18"/>
              </w:rPr>
              <w:t xml:space="preserve">Link to </w:t>
            </w:r>
          </w:p>
          <w:p w14:paraId="7DA41650" w14:textId="5D02F29C" w:rsidR="00E00893" w:rsidRPr="00D10338" w:rsidRDefault="00E00893" w:rsidP="00382F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2A54F4">
              <w:rPr>
                <w:sz w:val="18"/>
                <w:szCs w:val="18"/>
              </w:rPr>
              <w:t>002/</w:t>
            </w:r>
            <w:r w:rsidR="00382F0D">
              <w:rPr>
                <w:sz w:val="18"/>
                <w:szCs w:val="18"/>
              </w:rPr>
              <w:t>0212</w:t>
            </w:r>
            <w:r w:rsidRPr="002A54F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</w:tcPr>
          <w:p w14:paraId="7DA41651" w14:textId="6F745A15" w:rsidR="004D337C" w:rsidRPr="00D10338" w:rsidRDefault="003B2466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TP to provide an update following each TPAF/TPARG meeting</w:t>
            </w:r>
            <w:r w:rsidR="00E00893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14:paraId="7BAE0B79" w14:textId="5A86AFE4" w:rsidR="002D7248" w:rsidRDefault="002D7248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Contract manager </w:t>
            </w:r>
            <w:r w:rsidR="00382F0D">
              <w:rPr>
                <w:sz w:val="22"/>
                <w:szCs w:val="22"/>
              </w:rPr>
              <w:t xml:space="preserve">will </w:t>
            </w:r>
            <w:r w:rsidR="00E00893">
              <w:rPr>
                <w:sz w:val="22"/>
                <w:szCs w:val="22"/>
              </w:rPr>
              <w:t xml:space="preserve">draft an update </w:t>
            </w:r>
            <w:r>
              <w:rPr>
                <w:sz w:val="22"/>
                <w:szCs w:val="22"/>
              </w:rPr>
              <w:t>report following each meeting.</w:t>
            </w:r>
          </w:p>
          <w:p w14:paraId="7DA41654" w14:textId="1E9D956F" w:rsidR="004D337C" w:rsidRPr="00D10338" w:rsidRDefault="002D7248" w:rsidP="002D724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</w:tcPr>
          <w:p w14:paraId="1AE8C239" w14:textId="3DFD1A99" w:rsidR="008A755C" w:rsidRDefault="002D7248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 2/12/15 meeting – report to be supplemented by action log and </w:t>
            </w:r>
            <w:r w:rsidR="00E00893">
              <w:rPr>
                <w:sz w:val="22"/>
                <w:szCs w:val="22"/>
              </w:rPr>
              <w:t>outcomes report</w:t>
            </w:r>
            <w:r w:rsidR="00F156EF">
              <w:rPr>
                <w:sz w:val="22"/>
                <w:szCs w:val="22"/>
              </w:rPr>
              <w:t xml:space="preserve"> from</w:t>
            </w:r>
            <w:r>
              <w:rPr>
                <w:sz w:val="22"/>
                <w:szCs w:val="22"/>
              </w:rPr>
              <w:t xml:space="preserve"> each meeting.</w:t>
            </w:r>
          </w:p>
          <w:p w14:paraId="73E7F949" w14:textId="479FC8A5" w:rsidR="002D7248" w:rsidRDefault="00210A7E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NB: both forums to be re-structured in early 2016, all outcome paperwork will be circulated</w:t>
            </w:r>
            <w:r w:rsidR="002D7248">
              <w:rPr>
                <w:sz w:val="22"/>
                <w:szCs w:val="22"/>
              </w:rPr>
              <w:t>.</w:t>
            </w:r>
          </w:p>
          <w:p w14:paraId="7DA41656" w14:textId="2369BDC0" w:rsidR="008B2AEA" w:rsidRPr="00D10338" w:rsidRDefault="008B2AEA" w:rsidP="00D8092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b/>
                <w:sz w:val="22"/>
                <w:szCs w:val="22"/>
              </w:rPr>
              <w:t>COMPLETE</w:t>
            </w:r>
            <w:r w:rsidR="00C949A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8041C" w:rsidRPr="00D10338" w14:paraId="3F5346ED" w14:textId="77777777" w:rsidTr="0013530E">
        <w:tc>
          <w:tcPr>
            <w:tcW w:w="1384" w:type="dxa"/>
          </w:tcPr>
          <w:p w14:paraId="18907AC4" w14:textId="77777777" w:rsidR="00A8041C" w:rsidRDefault="00A8041C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011/030615</w:t>
            </w:r>
          </w:p>
          <w:p w14:paraId="59DB3C6D" w14:textId="5522276F" w:rsidR="002A54F4" w:rsidRPr="002A54F4" w:rsidRDefault="002A54F4" w:rsidP="002A54F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AAA0806" w14:textId="42706078" w:rsidR="00A8041C" w:rsidRPr="00D10338" w:rsidRDefault="00A8041C" w:rsidP="0013246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TP’s Engagement Paper</w:t>
            </w:r>
            <w:r w:rsidR="00132469">
              <w:rPr>
                <w:sz w:val="22"/>
                <w:szCs w:val="22"/>
              </w:rPr>
              <w:t xml:space="preserve"> (re implementing the tPR’s Code of Practice within TP) </w:t>
            </w:r>
            <w:r>
              <w:rPr>
                <w:sz w:val="22"/>
                <w:szCs w:val="22"/>
              </w:rPr>
              <w:t>to be circulated</w:t>
            </w:r>
            <w:r w:rsidR="00A54BDC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14:paraId="7802B3A1" w14:textId="595A4C59" w:rsidR="00A8041C" w:rsidRDefault="00A8041C" w:rsidP="0013246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 to</w:t>
            </w:r>
            <w:r w:rsidR="00132469">
              <w:rPr>
                <w:sz w:val="22"/>
                <w:szCs w:val="22"/>
              </w:rPr>
              <w:t xml:space="preserve"> complete discussions</w:t>
            </w:r>
            <w:r w:rsidR="002A5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with tPR </w:t>
            </w:r>
            <w:r w:rsidR="00132469">
              <w:rPr>
                <w:sz w:val="22"/>
                <w:szCs w:val="22"/>
              </w:rPr>
              <w:t>in December 2015, thereafter to share with the</w:t>
            </w:r>
            <w:r>
              <w:rPr>
                <w:sz w:val="22"/>
                <w:szCs w:val="22"/>
              </w:rPr>
              <w:t xml:space="preserve"> Board.</w:t>
            </w:r>
          </w:p>
        </w:tc>
        <w:tc>
          <w:tcPr>
            <w:tcW w:w="4110" w:type="dxa"/>
          </w:tcPr>
          <w:p w14:paraId="75F76AA8" w14:textId="790D4489" w:rsidR="00A8041C" w:rsidRDefault="00A8041C" w:rsidP="002D724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Paper circulated on </w:t>
            </w:r>
            <w:r w:rsidR="00C9130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December </w:t>
            </w:r>
            <w:r w:rsidR="0013246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15</w:t>
            </w:r>
            <w:r w:rsidR="00C91300">
              <w:rPr>
                <w:sz w:val="22"/>
                <w:szCs w:val="22"/>
              </w:rPr>
              <w:t xml:space="preserve"> (with 2 December</w:t>
            </w:r>
            <w:r w:rsidR="00CE2785">
              <w:rPr>
                <w:sz w:val="22"/>
                <w:szCs w:val="22"/>
              </w:rPr>
              <w:t xml:space="preserve"> 2015</w:t>
            </w:r>
            <w:r w:rsidR="00C91300">
              <w:rPr>
                <w:sz w:val="22"/>
                <w:szCs w:val="22"/>
              </w:rPr>
              <w:t xml:space="preserve"> minutes)</w:t>
            </w:r>
          </w:p>
          <w:p w14:paraId="1AB22572" w14:textId="4C3059F2" w:rsidR="00A8041C" w:rsidRPr="00A8041C" w:rsidRDefault="00A8041C" w:rsidP="002D724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A8041C">
              <w:rPr>
                <w:b/>
                <w:sz w:val="22"/>
                <w:szCs w:val="22"/>
              </w:rPr>
              <w:t>COMPLETE</w:t>
            </w:r>
          </w:p>
        </w:tc>
      </w:tr>
      <w:tr w:rsidR="0017644C" w:rsidRPr="00D10338" w14:paraId="31402578" w14:textId="77777777" w:rsidTr="0013530E">
        <w:tc>
          <w:tcPr>
            <w:tcW w:w="14283" w:type="dxa"/>
            <w:gridSpan w:val="4"/>
            <w:shd w:val="clear" w:color="auto" w:fill="D9D9D9" w:themeFill="background1" w:themeFillShade="D9"/>
          </w:tcPr>
          <w:p w14:paraId="6E007DAF" w14:textId="77777777" w:rsidR="0017644C" w:rsidRDefault="0017644C" w:rsidP="0097384B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17644C">
              <w:rPr>
                <w:b/>
                <w:sz w:val="22"/>
                <w:szCs w:val="22"/>
              </w:rPr>
              <w:t xml:space="preserve">Actions from September </w:t>
            </w:r>
            <w:r w:rsidR="00210A7E">
              <w:rPr>
                <w:b/>
                <w:sz w:val="22"/>
                <w:szCs w:val="22"/>
              </w:rPr>
              <w:t>20</w:t>
            </w:r>
            <w:r w:rsidRPr="0017644C">
              <w:rPr>
                <w:b/>
                <w:sz w:val="22"/>
                <w:szCs w:val="22"/>
              </w:rPr>
              <w:t>15</w:t>
            </w:r>
          </w:p>
          <w:p w14:paraId="51CC9A16" w14:textId="49C38CE1" w:rsidR="00210A7E" w:rsidRDefault="00210A7E" w:rsidP="0097384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</w:tr>
      <w:tr w:rsidR="00896CF3" w:rsidRPr="00D10338" w14:paraId="45E08CB8" w14:textId="77777777" w:rsidTr="0013530E">
        <w:tc>
          <w:tcPr>
            <w:tcW w:w="1384" w:type="dxa"/>
          </w:tcPr>
          <w:p w14:paraId="4EAB346C" w14:textId="77777777" w:rsidR="00896CF3" w:rsidRDefault="00896CF3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001/090915</w:t>
            </w:r>
          </w:p>
          <w:p w14:paraId="2D7D561A" w14:textId="4D67A1E8" w:rsidR="00210A7E" w:rsidRPr="00210A7E" w:rsidRDefault="00473BE5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 to AP 005/021215</w:t>
            </w:r>
          </w:p>
        </w:tc>
        <w:tc>
          <w:tcPr>
            <w:tcW w:w="4536" w:type="dxa"/>
          </w:tcPr>
          <w:p w14:paraId="3C5CFFC2" w14:textId="57E13AF5" w:rsidR="00896CF3" w:rsidRPr="00D10338" w:rsidRDefault="00896CF3" w:rsidP="00210A7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 and employer representatives to meet separately to consider the role of the Board</w:t>
            </w:r>
            <w:r w:rsidR="00457083">
              <w:rPr>
                <w:sz w:val="22"/>
                <w:szCs w:val="22"/>
              </w:rPr>
              <w:t xml:space="preserve"> and </w:t>
            </w:r>
            <w:r w:rsidR="006E58D5">
              <w:rPr>
                <w:sz w:val="22"/>
                <w:szCs w:val="22"/>
              </w:rPr>
              <w:t>suggestions</w:t>
            </w:r>
            <w:r w:rsidR="00457083">
              <w:rPr>
                <w:sz w:val="22"/>
                <w:szCs w:val="22"/>
              </w:rPr>
              <w:t xml:space="preserve"> for improvements</w:t>
            </w:r>
          </w:p>
        </w:tc>
        <w:tc>
          <w:tcPr>
            <w:tcW w:w="4253" w:type="dxa"/>
          </w:tcPr>
          <w:p w14:paraId="56CC86EC" w14:textId="67F019AC" w:rsidR="00457083" w:rsidRPr="00D10338" w:rsidRDefault="002D7248" w:rsidP="002D724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reports submitted to 02/12/15 meeting for consideration. </w:t>
            </w:r>
          </w:p>
        </w:tc>
        <w:tc>
          <w:tcPr>
            <w:tcW w:w="4110" w:type="dxa"/>
          </w:tcPr>
          <w:p w14:paraId="2EF046A4" w14:textId="33A23B3E" w:rsidR="00457083" w:rsidRDefault="002D7248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Further meeting</w:t>
            </w:r>
            <w:r w:rsidR="00210A7E">
              <w:rPr>
                <w:sz w:val="22"/>
                <w:szCs w:val="22"/>
              </w:rPr>
              <w:t xml:space="preserve"> of 8 Board members on 16/02/16</w:t>
            </w:r>
            <w:r w:rsidR="00473BE5">
              <w:rPr>
                <w:sz w:val="22"/>
                <w:szCs w:val="22"/>
              </w:rPr>
              <w:t>.</w:t>
            </w:r>
          </w:p>
          <w:p w14:paraId="7F60F694" w14:textId="4956F9D6" w:rsidR="0017644C" w:rsidRPr="00D10338" w:rsidRDefault="00C91300" w:rsidP="00C9130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March - Agenda item 8</w:t>
            </w:r>
            <w:r w:rsidR="002D724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96CF3" w:rsidRPr="00D10338" w14:paraId="40568F7E" w14:textId="77777777" w:rsidTr="0013530E">
        <w:tc>
          <w:tcPr>
            <w:tcW w:w="1384" w:type="dxa"/>
          </w:tcPr>
          <w:p w14:paraId="7327B78D" w14:textId="48380B9F" w:rsidR="00896CF3" w:rsidRPr="00D10338" w:rsidRDefault="00457083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002/090915</w:t>
            </w:r>
          </w:p>
        </w:tc>
        <w:tc>
          <w:tcPr>
            <w:tcW w:w="4536" w:type="dxa"/>
          </w:tcPr>
          <w:p w14:paraId="55B9A3C4" w14:textId="5EAEE834" w:rsidR="0017644C" w:rsidRPr="00D10338" w:rsidRDefault="00457083" w:rsidP="00E0089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to consider</w:t>
            </w:r>
            <w:r w:rsidR="008365D1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 “mock up” of the report it will need to produce for the ARC for end of scheme year (March 2016)</w:t>
            </w:r>
          </w:p>
        </w:tc>
        <w:tc>
          <w:tcPr>
            <w:tcW w:w="4253" w:type="dxa"/>
          </w:tcPr>
          <w:p w14:paraId="4DCC86AC" w14:textId="20A27F19" w:rsidR="00896CF3" w:rsidRPr="00D10338" w:rsidRDefault="00457083" w:rsidP="008365D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Details/</w:t>
            </w:r>
            <w:r w:rsidR="006A1C24">
              <w:rPr>
                <w:sz w:val="22"/>
                <w:szCs w:val="22"/>
              </w:rPr>
              <w:t>timetable</w:t>
            </w:r>
            <w:r>
              <w:rPr>
                <w:sz w:val="22"/>
                <w:szCs w:val="22"/>
              </w:rPr>
              <w:t xml:space="preserve"> yet to be agreed</w:t>
            </w:r>
            <w:r w:rsidR="00382F0D">
              <w:rPr>
                <w:sz w:val="22"/>
                <w:szCs w:val="22"/>
              </w:rPr>
              <w:t xml:space="preserve">.  DfE corporate finance working with TP to </w:t>
            </w:r>
            <w:r w:rsidR="008365D1">
              <w:rPr>
                <w:sz w:val="22"/>
                <w:szCs w:val="22"/>
              </w:rPr>
              <w:t>produce</w:t>
            </w:r>
            <w:r w:rsidR="00382F0D">
              <w:rPr>
                <w:sz w:val="22"/>
                <w:szCs w:val="22"/>
              </w:rPr>
              <w:t xml:space="preserve"> a timetable of milestones. </w:t>
            </w:r>
          </w:p>
        </w:tc>
        <w:tc>
          <w:tcPr>
            <w:tcW w:w="4110" w:type="dxa"/>
          </w:tcPr>
          <w:p w14:paraId="28BB7005" w14:textId="43F792A2" w:rsidR="00457083" w:rsidRDefault="00382F0D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382F0D">
              <w:rPr>
                <w:sz w:val="22"/>
                <w:szCs w:val="22"/>
              </w:rPr>
              <w:t>SJ to present a paper for discussion</w:t>
            </w:r>
            <w:r w:rsidR="00A71E0F">
              <w:rPr>
                <w:sz w:val="22"/>
                <w:szCs w:val="22"/>
              </w:rPr>
              <w:t xml:space="preserve"> compiled by finance project board,</w:t>
            </w:r>
            <w:r w:rsidRPr="00382F0D">
              <w:rPr>
                <w:sz w:val="22"/>
                <w:szCs w:val="22"/>
              </w:rPr>
              <w:t xml:space="preserve"> on 9/3</w:t>
            </w:r>
            <w:r w:rsidR="00E471DF">
              <w:rPr>
                <w:sz w:val="22"/>
                <w:szCs w:val="22"/>
              </w:rPr>
              <w:t>/16</w:t>
            </w:r>
            <w:r w:rsidR="008365D1">
              <w:rPr>
                <w:sz w:val="22"/>
                <w:szCs w:val="22"/>
              </w:rPr>
              <w:t>.</w:t>
            </w:r>
          </w:p>
          <w:p w14:paraId="3A57409D" w14:textId="377C1776" w:rsidR="0038186C" w:rsidRPr="00D13861" w:rsidRDefault="00C91300" w:rsidP="009E1FAB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March – agenda item 8</w:t>
            </w:r>
          </w:p>
        </w:tc>
      </w:tr>
      <w:tr w:rsidR="006135A0" w:rsidRPr="00D10338" w14:paraId="49642AD0" w14:textId="77777777" w:rsidTr="0013530E">
        <w:tc>
          <w:tcPr>
            <w:tcW w:w="1384" w:type="dxa"/>
          </w:tcPr>
          <w:p w14:paraId="2A5E7276" w14:textId="71E96277" w:rsidR="006135A0" w:rsidRPr="00D10338" w:rsidRDefault="00D1386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005/090915</w:t>
            </w:r>
          </w:p>
        </w:tc>
        <w:tc>
          <w:tcPr>
            <w:tcW w:w="4536" w:type="dxa"/>
          </w:tcPr>
          <w:p w14:paraId="0459E48C" w14:textId="67A041A0" w:rsidR="006135A0" w:rsidRPr="00D10338" w:rsidRDefault="00D13861" w:rsidP="00D1386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Secretariat to prepare timetable of key stakeholder events</w:t>
            </w:r>
          </w:p>
        </w:tc>
        <w:tc>
          <w:tcPr>
            <w:tcW w:w="4253" w:type="dxa"/>
          </w:tcPr>
          <w:p w14:paraId="4B716267" w14:textId="77777777" w:rsidR="00D80FEF" w:rsidRDefault="006A1C24" w:rsidP="00D80FE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Outline</w:t>
            </w:r>
            <w:r w:rsidR="00D13861">
              <w:rPr>
                <w:sz w:val="22"/>
                <w:szCs w:val="22"/>
              </w:rPr>
              <w:t xml:space="preserve"> timetable prepared</w:t>
            </w:r>
            <w:r w:rsidR="00CA4255">
              <w:rPr>
                <w:sz w:val="22"/>
                <w:szCs w:val="22"/>
              </w:rPr>
              <w:t xml:space="preserve"> for 02/12/15</w:t>
            </w:r>
            <w:r w:rsidR="00D13861">
              <w:rPr>
                <w:sz w:val="22"/>
                <w:szCs w:val="22"/>
              </w:rPr>
              <w:t xml:space="preserve"> </w:t>
            </w:r>
            <w:r w:rsidR="00CA4255">
              <w:rPr>
                <w:sz w:val="22"/>
                <w:szCs w:val="22"/>
              </w:rPr>
              <w:t xml:space="preserve">– feedback indicated a “two-part” list </w:t>
            </w:r>
            <w:r w:rsidR="00D80FEF">
              <w:rPr>
                <w:sz w:val="22"/>
                <w:szCs w:val="22"/>
              </w:rPr>
              <w:t>capturing</w:t>
            </w:r>
            <w:r w:rsidR="00CA4255">
              <w:rPr>
                <w:sz w:val="22"/>
                <w:szCs w:val="22"/>
              </w:rPr>
              <w:t xml:space="preserve"> details of external and internal</w:t>
            </w:r>
            <w:r w:rsidR="00D80FEF">
              <w:rPr>
                <w:sz w:val="22"/>
                <w:szCs w:val="22"/>
              </w:rPr>
              <w:t xml:space="preserve"> events, and listing</w:t>
            </w:r>
            <w:r w:rsidR="00CA4255">
              <w:rPr>
                <w:sz w:val="22"/>
                <w:szCs w:val="22"/>
              </w:rPr>
              <w:t xml:space="preserve"> group members </w:t>
            </w:r>
            <w:r w:rsidR="00D80FEF">
              <w:rPr>
                <w:sz w:val="22"/>
                <w:szCs w:val="22"/>
              </w:rPr>
              <w:t xml:space="preserve">would </w:t>
            </w:r>
            <w:r w:rsidR="00D80FEF">
              <w:rPr>
                <w:sz w:val="22"/>
                <w:szCs w:val="22"/>
              </w:rPr>
              <w:lastRenderedPageBreak/>
              <w:t xml:space="preserve">be more useful.  </w:t>
            </w:r>
          </w:p>
          <w:p w14:paraId="358D986B" w14:textId="77777777" w:rsidR="00D80FEF" w:rsidRDefault="00D80FEF" w:rsidP="00D80FE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07A193DF" w14:textId="57D8DC70" w:rsidR="006135A0" w:rsidRPr="00D10338" w:rsidRDefault="00D80FEF" w:rsidP="00D80FE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members may be able to contribute details</w:t>
            </w:r>
            <w:r w:rsidR="00CA4255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14:paraId="4659CB51" w14:textId="6E524D30" w:rsidR="008365D1" w:rsidRDefault="008365D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Draft internal and external calendar circulated 1</w:t>
            </w:r>
            <w:r w:rsidR="00A71E0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/02/16.  Final details</w:t>
            </w:r>
            <w:r w:rsidR="00A71E0F">
              <w:rPr>
                <w:sz w:val="22"/>
                <w:szCs w:val="22"/>
              </w:rPr>
              <w:t xml:space="preserve"> (e.g. HE/FE</w:t>
            </w:r>
            <w:r w:rsidR="00210A7E">
              <w:rPr>
                <w:sz w:val="22"/>
                <w:szCs w:val="22"/>
              </w:rPr>
              <w:t>,</w:t>
            </w:r>
            <w:r w:rsidR="00A71E0F">
              <w:rPr>
                <w:sz w:val="22"/>
                <w:szCs w:val="22"/>
              </w:rPr>
              <w:t xml:space="preserve"> TPAF/TPARG)</w:t>
            </w:r>
            <w:r>
              <w:rPr>
                <w:sz w:val="22"/>
                <w:szCs w:val="22"/>
              </w:rPr>
              <w:t xml:space="preserve"> awaited and an updated version will then be circulated </w:t>
            </w:r>
            <w:r>
              <w:rPr>
                <w:sz w:val="22"/>
                <w:szCs w:val="22"/>
              </w:rPr>
              <w:lastRenderedPageBreak/>
              <w:t>and u</w:t>
            </w:r>
            <w:r w:rsidR="00D80FEF">
              <w:rPr>
                <w:sz w:val="22"/>
                <w:szCs w:val="22"/>
              </w:rPr>
              <w:t>ploaded to website.</w:t>
            </w:r>
            <w:r w:rsidR="0038186C">
              <w:rPr>
                <w:sz w:val="22"/>
                <w:szCs w:val="22"/>
              </w:rPr>
              <w:t xml:space="preserve"> </w:t>
            </w:r>
          </w:p>
          <w:p w14:paraId="4FB19B15" w14:textId="490773B9" w:rsidR="00D80FEF" w:rsidRDefault="00D80FEF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On-going review and refresh with formal</w:t>
            </w:r>
            <w:r w:rsidR="0038186C">
              <w:rPr>
                <w:sz w:val="22"/>
                <w:szCs w:val="22"/>
              </w:rPr>
              <w:t xml:space="preserve"> annual</w:t>
            </w:r>
            <w:r>
              <w:rPr>
                <w:sz w:val="22"/>
                <w:szCs w:val="22"/>
              </w:rPr>
              <w:t xml:space="preserve"> updat</w:t>
            </w:r>
            <w:r w:rsidR="0038186C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(</w:t>
            </w:r>
            <w:r w:rsidR="008365D1">
              <w:rPr>
                <w:sz w:val="22"/>
                <w:szCs w:val="22"/>
              </w:rPr>
              <w:t>each spring).</w:t>
            </w:r>
          </w:p>
          <w:p w14:paraId="0BC123A7" w14:textId="77777777" w:rsidR="00E471DF" w:rsidRDefault="00E471DF" w:rsidP="009E1FAB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23B59A4E" w14:textId="77777777" w:rsidR="00210A7E" w:rsidRDefault="00D80FEF" w:rsidP="00E471DF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D80FEF">
              <w:rPr>
                <w:b/>
                <w:sz w:val="22"/>
                <w:szCs w:val="22"/>
              </w:rPr>
              <w:t>COMPLETE</w:t>
            </w:r>
          </w:p>
          <w:p w14:paraId="5CB290A6" w14:textId="0B816622" w:rsidR="00E471DF" w:rsidRPr="00D13861" w:rsidRDefault="00E471DF" w:rsidP="00E471DF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</w:tc>
      </w:tr>
      <w:tr w:rsidR="006135A0" w:rsidRPr="00D10338" w14:paraId="1478EFEB" w14:textId="77777777" w:rsidTr="0013530E">
        <w:tc>
          <w:tcPr>
            <w:tcW w:w="1384" w:type="dxa"/>
          </w:tcPr>
          <w:p w14:paraId="2385EEBB" w14:textId="529062EE" w:rsidR="006135A0" w:rsidRPr="00D10338" w:rsidRDefault="00D1386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006/090915</w:t>
            </w:r>
          </w:p>
        </w:tc>
        <w:tc>
          <w:tcPr>
            <w:tcW w:w="4536" w:type="dxa"/>
          </w:tcPr>
          <w:p w14:paraId="642446C9" w14:textId="77854AB3" w:rsidR="006135A0" w:rsidRPr="00D10338" w:rsidRDefault="00D1386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members to consider issue of flyer and feedback to DW.  Officials and TP to consider points raised.</w:t>
            </w:r>
          </w:p>
        </w:tc>
        <w:tc>
          <w:tcPr>
            <w:tcW w:w="4253" w:type="dxa"/>
          </w:tcPr>
          <w:p w14:paraId="227582DD" w14:textId="418BD404" w:rsidR="006135A0" w:rsidRDefault="00D13861" w:rsidP="00D1386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Subsequent to 9/9 officials received a similar request to include a volunteering request. </w:t>
            </w:r>
          </w:p>
          <w:p w14:paraId="5EBC7877" w14:textId="051AED8A" w:rsidR="00D13861" w:rsidRPr="00D10338" w:rsidRDefault="00D13861" w:rsidP="00D1386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Officials will work with TP and the Board to establish a policy for such requests.</w:t>
            </w:r>
          </w:p>
        </w:tc>
        <w:tc>
          <w:tcPr>
            <w:tcW w:w="4110" w:type="dxa"/>
          </w:tcPr>
          <w:p w14:paraId="4E9EEFCB" w14:textId="77777777" w:rsidR="00CE2785" w:rsidRDefault="00382F0D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Secretariat to review DPA requirements</w:t>
            </w:r>
            <w:r w:rsidR="0013530E">
              <w:rPr>
                <w:sz w:val="22"/>
                <w:szCs w:val="22"/>
              </w:rPr>
              <w:t xml:space="preserve"> and seek expert advice</w:t>
            </w:r>
            <w:r w:rsidR="00A71E0F">
              <w:rPr>
                <w:sz w:val="22"/>
                <w:szCs w:val="22"/>
              </w:rPr>
              <w:t>.  Proposal paper under consideration by S Baker; will be shared with TPSPB when review complete</w:t>
            </w:r>
            <w:r w:rsidR="0013530E">
              <w:rPr>
                <w:sz w:val="22"/>
                <w:szCs w:val="22"/>
              </w:rPr>
              <w:t>.</w:t>
            </w:r>
            <w:r w:rsidR="00A71E0F">
              <w:rPr>
                <w:sz w:val="22"/>
                <w:szCs w:val="22"/>
              </w:rPr>
              <w:t xml:space="preserve"> </w:t>
            </w:r>
          </w:p>
          <w:p w14:paraId="15717106" w14:textId="426223AD" w:rsidR="006A1C24" w:rsidRDefault="0013530E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7F665933" w14:textId="2C51866E" w:rsidR="00210A7E" w:rsidRPr="006A1C24" w:rsidRDefault="006A1C24" w:rsidP="00CE2785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6A1C24">
              <w:rPr>
                <w:b/>
                <w:sz w:val="22"/>
                <w:szCs w:val="22"/>
              </w:rPr>
              <w:t>ON-GOING</w:t>
            </w:r>
          </w:p>
        </w:tc>
      </w:tr>
      <w:tr w:rsidR="006135A0" w:rsidRPr="00D10338" w14:paraId="54863E62" w14:textId="77777777" w:rsidTr="0013530E">
        <w:tc>
          <w:tcPr>
            <w:tcW w:w="1384" w:type="dxa"/>
          </w:tcPr>
          <w:p w14:paraId="7E98BD8B" w14:textId="03C38E69" w:rsidR="006135A0" w:rsidRPr="00D10338" w:rsidRDefault="00D1386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007/090915</w:t>
            </w:r>
          </w:p>
        </w:tc>
        <w:tc>
          <w:tcPr>
            <w:tcW w:w="4536" w:type="dxa"/>
          </w:tcPr>
          <w:p w14:paraId="44AC8005" w14:textId="7E399546" w:rsidR="006135A0" w:rsidRPr="00D10338" w:rsidRDefault="006E58D5" w:rsidP="006C538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Secretariat</w:t>
            </w:r>
            <w:r w:rsidR="006C5388">
              <w:rPr>
                <w:sz w:val="22"/>
                <w:szCs w:val="22"/>
              </w:rPr>
              <w:t xml:space="preserve"> to circulate agreed press Q&amp;A in respect of the alleged fraud incident.</w:t>
            </w:r>
          </w:p>
        </w:tc>
        <w:tc>
          <w:tcPr>
            <w:tcW w:w="4253" w:type="dxa"/>
          </w:tcPr>
          <w:p w14:paraId="28B829B1" w14:textId="43305EA8" w:rsidR="00132469" w:rsidRPr="00D10338" w:rsidRDefault="006E58D5" w:rsidP="00210A7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Q&amp;A have been prepared and agreed by TP and DfE Press Offices, to be used when the case concludes. </w:t>
            </w:r>
          </w:p>
        </w:tc>
        <w:tc>
          <w:tcPr>
            <w:tcW w:w="4110" w:type="dxa"/>
          </w:tcPr>
          <w:p w14:paraId="52E8A6C7" w14:textId="679FD077" w:rsidR="00D77BF7" w:rsidRDefault="00CA4255" w:rsidP="006C538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Q&amp;A circulated</w:t>
            </w:r>
            <w:r w:rsidR="00ED4024">
              <w:rPr>
                <w:sz w:val="22"/>
                <w:szCs w:val="22"/>
              </w:rPr>
              <w:t xml:space="preserve"> on </w:t>
            </w:r>
            <w:r w:rsidR="00C91300"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  <w:t>December 2015</w:t>
            </w:r>
            <w:r w:rsidR="00C91300">
              <w:rPr>
                <w:sz w:val="22"/>
                <w:szCs w:val="22"/>
              </w:rPr>
              <w:t xml:space="preserve"> (with </w:t>
            </w:r>
            <w:r w:rsidR="00ED4024">
              <w:rPr>
                <w:sz w:val="22"/>
                <w:szCs w:val="22"/>
              </w:rPr>
              <w:t>2 December</w:t>
            </w:r>
            <w:r w:rsidR="0013530E">
              <w:rPr>
                <w:sz w:val="22"/>
                <w:szCs w:val="22"/>
              </w:rPr>
              <w:t xml:space="preserve"> 201</w:t>
            </w:r>
            <w:r w:rsidR="00CE2785">
              <w:rPr>
                <w:sz w:val="22"/>
                <w:szCs w:val="22"/>
              </w:rPr>
              <w:t>5</w:t>
            </w:r>
            <w:r w:rsidR="00ED4024">
              <w:rPr>
                <w:sz w:val="22"/>
                <w:szCs w:val="22"/>
              </w:rPr>
              <w:t xml:space="preserve"> </w:t>
            </w:r>
            <w:r w:rsidR="00C91300">
              <w:rPr>
                <w:sz w:val="22"/>
                <w:szCs w:val="22"/>
              </w:rPr>
              <w:t>minutes)</w:t>
            </w:r>
          </w:p>
          <w:p w14:paraId="4CB67503" w14:textId="77777777" w:rsidR="00E471DF" w:rsidRDefault="00E471DF" w:rsidP="006C538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22FB749E" w14:textId="77777777" w:rsidR="00CE2785" w:rsidRDefault="00CA4255" w:rsidP="00E471DF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COMPLETE</w:t>
            </w:r>
          </w:p>
          <w:p w14:paraId="3C243807" w14:textId="0EB3CE3B" w:rsidR="00E471DF" w:rsidRPr="006C5388" w:rsidRDefault="00E471DF" w:rsidP="00E471DF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</w:tc>
      </w:tr>
      <w:tr w:rsidR="006135A0" w:rsidRPr="00D10338" w14:paraId="121F736C" w14:textId="77777777" w:rsidTr="0013530E">
        <w:tc>
          <w:tcPr>
            <w:tcW w:w="1384" w:type="dxa"/>
          </w:tcPr>
          <w:p w14:paraId="0088BFD2" w14:textId="646DDEEE" w:rsidR="006135A0" w:rsidRPr="00D10338" w:rsidRDefault="006C5388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009/090915</w:t>
            </w:r>
          </w:p>
        </w:tc>
        <w:tc>
          <w:tcPr>
            <w:tcW w:w="4536" w:type="dxa"/>
          </w:tcPr>
          <w:p w14:paraId="19338986" w14:textId="2F59DA5A" w:rsidR="006135A0" w:rsidRPr="00D10338" w:rsidRDefault="006C5388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circulate TP’s plan of action in respect of actions to meet the requirements to reconcile GMP records</w:t>
            </w:r>
            <w:r w:rsidR="00893FAE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14:paraId="48C64B84" w14:textId="77777777" w:rsidR="006135A0" w:rsidRDefault="006C5388" w:rsidP="006A1C2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GMP update included in the Admin report for this quarter.  Key policy decisions still awaited from HMT/HMRC</w:t>
            </w:r>
            <w:r w:rsidR="006A1C2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A commercial </w:t>
            </w:r>
            <w:r w:rsidR="0042334B">
              <w:rPr>
                <w:sz w:val="22"/>
                <w:szCs w:val="22"/>
              </w:rPr>
              <w:t>proposition</w:t>
            </w:r>
            <w:r>
              <w:rPr>
                <w:sz w:val="22"/>
                <w:szCs w:val="22"/>
              </w:rPr>
              <w:t xml:space="preserve"> is being put in place to manag</w:t>
            </w:r>
            <w:r w:rsidR="0042334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this issue.</w:t>
            </w:r>
          </w:p>
          <w:p w14:paraId="692F8FED" w14:textId="46F567F4" w:rsidR="00E471DF" w:rsidRPr="00D10338" w:rsidRDefault="00E471DF" w:rsidP="006A1C2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1BD1AAAF" w14:textId="402AE5FF" w:rsidR="00ED4024" w:rsidRDefault="00777693" w:rsidP="006A1C2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GMP </w:t>
            </w:r>
            <w:r w:rsidR="00210A7E">
              <w:rPr>
                <w:sz w:val="22"/>
                <w:szCs w:val="22"/>
              </w:rPr>
              <w:t>presentation</w:t>
            </w:r>
            <w:r w:rsidR="00E471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scheduled for 9 March</w:t>
            </w:r>
            <w:r w:rsidR="00E471DF">
              <w:rPr>
                <w:sz w:val="22"/>
                <w:szCs w:val="22"/>
              </w:rPr>
              <w:t xml:space="preserve"> 2016</w:t>
            </w:r>
            <w:r>
              <w:rPr>
                <w:sz w:val="22"/>
                <w:szCs w:val="22"/>
              </w:rPr>
              <w:t xml:space="preserve"> Board meeting.</w:t>
            </w:r>
          </w:p>
          <w:p w14:paraId="558DACA7" w14:textId="77777777" w:rsidR="00ED4024" w:rsidRDefault="00ED4024" w:rsidP="006A1C2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2CE0C85E" w14:textId="77777777" w:rsidR="00ED4024" w:rsidRDefault="00ED4024" w:rsidP="006A1C2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60B16FEB" w14:textId="2F355A95" w:rsidR="00ED4024" w:rsidRPr="00ED4024" w:rsidRDefault="00ED4024" w:rsidP="006A1C24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ED4024">
              <w:rPr>
                <w:b/>
                <w:sz w:val="22"/>
                <w:szCs w:val="22"/>
              </w:rPr>
              <w:t>09 March - Agenda item 4</w:t>
            </w:r>
          </w:p>
        </w:tc>
      </w:tr>
      <w:tr w:rsidR="003D04A9" w:rsidRPr="00D10338" w14:paraId="66439B53" w14:textId="77777777" w:rsidTr="0013530E">
        <w:tc>
          <w:tcPr>
            <w:tcW w:w="1384" w:type="dxa"/>
          </w:tcPr>
          <w:p w14:paraId="16F7D742" w14:textId="77777777" w:rsidR="003D04A9" w:rsidRDefault="003D04A9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013/090915</w:t>
            </w:r>
          </w:p>
          <w:p w14:paraId="3E07C7CF" w14:textId="318220CA" w:rsidR="006A1C24" w:rsidRPr="00ED4024" w:rsidRDefault="006A1C24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ED4024">
              <w:rPr>
                <w:sz w:val="18"/>
                <w:szCs w:val="18"/>
              </w:rPr>
              <w:t>Linked to 011/030615</w:t>
            </w:r>
          </w:p>
        </w:tc>
        <w:tc>
          <w:tcPr>
            <w:tcW w:w="4536" w:type="dxa"/>
          </w:tcPr>
          <w:p w14:paraId="4B891D4D" w14:textId="730D9EF0" w:rsidR="003D04A9" w:rsidRPr="00D10338" w:rsidRDefault="00ED4024" w:rsidP="0013530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TP’s Code of Practice </w:t>
            </w:r>
            <w:r w:rsidR="0013530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ngagement </w:t>
            </w:r>
            <w:r w:rsidR="0013530E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lan to be shared with Board once completed for review</w:t>
            </w:r>
            <w:r w:rsidR="009F7B77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14:paraId="3007C9A1" w14:textId="06EC2B3C" w:rsidR="003D04A9" w:rsidRDefault="003D04A9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 </w:t>
            </w:r>
            <w:r w:rsidR="0017644C">
              <w:rPr>
                <w:sz w:val="22"/>
                <w:szCs w:val="22"/>
              </w:rPr>
              <w:t>participated in</w:t>
            </w:r>
            <w:r>
              <w:rPr>
                <w:sz w:val="22"/>
                <w:szCs w:val="22"/>
              </w:rPr>
              <w:t xml:space="preserve"> reviewing TP’s </w:t>
            </w:r>
            <w:r w:rsidR="006E58D5">
              <w:rPr>
                <w:sz w:val="22"/>
                <w:szCs w:val="22"/>
              </w:rPr>
              <w:t>Engagement</w:t>
            </w:r>
            <w:r>
              <w:rPr>
                <w:sz w:val="22"/>
                <w:szCs w:val="22"/>
              </w:rPr>
              <w:t xml:space="preserve"> Document.  The Chair </w:t>
            </w:r>
            <w:r w:rsidR="0017644C">
              <w:rPr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 xml:space="preserve"> included on the distribution list.</w:t>
            </w:r>
          </w:p>
          <w:p w14:paraId="09F0AFE4" w14:textId="164A218A" w:rsidR="003D04A9" w:rsidRDefault="00A71E0F" w:rsidP="0017644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document will be circulated to the Board once</w:t>
            </w:r>
            <w:r w:rsidR="003D04A9">
              <w:rPr>
                <w:sz w:val="22"/>
                <w:szCs w:val="22"/>
              </w:rPr>
              <w:t xml:space="preserve"> finalised</w:t>
            </w:r>
            <w:r>
              <w:rPr>
                <w:sz w:val="22"/>
                <w:szCs w:val="22"/>
              </w:rPr>
              <w:t>.</w:t>
            </w:r>
          </w:p>
          <w:p w14:paraId="6635E94A" w14:textId="2608D443" w:rsidR="009F7B77" w:rsidRPr="00D10338" w:rsidRDefault="009F7B77" w:rsidP="0038186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 arranged a meeting with tPR to set out the engagement paper and discuss sanctions.</w:t>
            </w:r>
          </w:p>
        </w:tc>
        <w:tc>
          <w:tcPr>
            <w:tcW w:w="4110" w:type="dxa"/>
          </w:tcPr>
          <w:p w14:paraId="2D435884" w14:textId="77777777" w:rsidR="0013530E" w:rsidRDefault="00ED4024" w:rsidP="003D04A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 distributed 08/12/15</w:t>
            </w:r>
          </w:p>
          <w:p w14:paraId="3678E01E" w14:textId="515145A0" w:rsidR="00ED4024" w:rsidRDefault="00ED4024" w:rsidP="003D04A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(with 2 December </w:t>
            </w:r>
            <w:r w:rsidR="0013530E">
              <w:rPr>
                <w:sz w:val="22"/>
                <w:szCs w:val="22"/>
              </w:rPr>
              <w:t>201</w:t>
            </w:r>
            <w:r w:rsidR="00CE2785">
              <w:rPr>
                <w:sz w:val="22"/>
                <w:szCs w:val="22"/>
              </w:rPr>
              <w:t>5</w:t>
            </w:r>
            <w:r w:rsidR="001353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minutes)</w:t>
            </w:r>
          </w:p>
          <w:p w14:paraId="082DD076" w14:textId="77777777" w:rsidR="00A71E0F" w:rsidRDefault="00A71E0F" w:rsidP="003D04A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5C4DE3CC" w14:textId="344CA520" w:rsidR="009F7B77" w:rsidRDefault="00A71E0F" w:rsidP="003D04A9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TP now have </w:t>
            </w:r>
            <w:r w:rsidR="00210A7E">
              <w:rPr>
                <w:sz w:val="22"/>
                <w:szCs w:val="22"/>
              </w:rPr>
              <w:t xml:space="preserve">monthly </w:t>
            </w:r>
            <w:r>
              <w:rPr>
                <w:sz w:val="22"/>
                <w:szCs w:val="22"/>
              </w:rPr>
              <w:t>meetings with the Regulator.</w:t>
            </w:r>
          </w:p>
          <w:p w14:paraId="44B3BDA3" w14:textId="77777777" w:rsidR="009F7B77" w:rsidRDefault="009F7B77" w:rsidP="003D04A9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6023A661" w14:textId="77777777" w:rsidR="009F7B77" w:rsidRDefault="009F7B77" w:rsidP="003D04A9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183D8D7B" w14:textId="77777777" w:rsidR="00E471DF" w:rsidRDefault="00ED4024" w:rsidP="00E471DF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COMPLETE</w:t>
            </w:r>
          </w:p>
          <w:p w14:paraId="3D439F50" w14:textId="08ED7210" w:rsidR="00E471DF" w:rsidRPr="00D10338" w:rsidRDefault="00E471DF" w:rsidP="00E471D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</w:tr>
      <w:tr w:rsidR="00DC3ABA" w:rsidRPr="00DC3ABA" w14:paraId="355E9F74" w14:textId="77777777" w:rsidTr="0013530E">
        <w:tc>
          <w:tcPr>
            <w:tcW w:w="14283" w:type="dxa"/>
            <w:gridSpan w:val="4"/>
            <w:shd w:val="clear" w:color="auto" w:fill="D9D9D9" w:themeFill="background1" w:themeFillShade="D9"/>
          </w:tcPr>
          <w:p w14:paraId="33B8032D" w14:textId="27E8827E" w:rsidR="00DC3ABA" w:rsidRPr="00DC3ABA" w:rsidRDefault="00DC3ABA" w:rsidP="003D04A9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DC3ABA">
              <w:rPr>
                <w:b/>
                <w:sz w:val="22"/>
                <w:szCs w:val="22"/>
              </w:rPr>
              <w:lastRenderedPageBreak/>
              <w:t>Actions from 2 December 15</w:t>
            </w:r>
          </w:p>
        </w:tc>
      </w:tr>
      <w:tr w:rsidR="003D04A9" w:rsidRPr="00D10338" w14:paraId="4DDFAB01" w14:textId="77777777" w:rsidTr="0013530E">
        <w:tc>
          <w:tcPr>
            <w:tcW w:w="1384" w:type="dxa"/>
          </w:tcPr>
          <w:p w14:paraId="45B0469B" w14:textId="33DEDFB0" w:rsidR="003D04A9" w:rsidRPr="00D10338" w:rsidRDefault="00CA4255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001/021215</w:t>
            </w:r>
          </w:p>
        </w:tc>
        <w:tc>
          <w:tcPr>
            <w:tcW w:w="4536" w:type="dxa"/>
          </w:tcPr>
          <w:p w14:paraId="169183E0" w14:textId="3E718C70" w:rsidR="003D04A9" w:rsidRPr="00D10338" w:rsidRDefault="002A54F4" w:rsidP="002A54F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Minutes from p</w:t>
            </w:r>
            <w:r w:rsidR="00CA4255">
              <w:rPr>
                <w:sz w:val="22"/>
                <w:szCs w:val="22"/>
              </w:rPr>
              <w:t>revious meeting to be included in subsequent meeting papers</w:t>
            </w:r>
            <w:r w:rsidR="0013530E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14:paraId="677CDA80" w14:textId="3694489E" w:rsidR="003D04A9" w:rsidRPr="00D10338" w:rsidRDefault="00CA4255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be included from March 16 onwards</w:t>
            </w:r>
          </w:p>
        </w:tc>
        <w:tc>
          <w:tcPr>
            <w:tcW w:w="4110" w:type="dxa"/>
          </w:tcPr>
          <w:p w14:paraId="71B2B7A1" w14:textId="77777777" w:rsidR="00CA4255" w:rsidRPr="00CA4255" w:rsidRDefault="00CA4255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41A20C0B" w14:textId="77777777" w:rsidR="003D04A9" w:rsidRDefault="00CA4255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CA4255">
              <w:rPr>
                <w:b/>
                <w:sz w:val="22"/>
                <w:szCs w:val="22"/>
              </w:rPr>
              <w:t>COMPLETE</w:t>
            </w:r>
          </w:p>
          <w:p w14:paraId="3BD74E32" w14:textId="2ED36F1F" w:rsidR="00CE2785" w:rsidRPr="00CA4255" w:rsidRDefault="00CE2785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</w:tc>
      </w:tr>
      <w:tr w:rsidR="00CA4255" w:rsidRPr="00D10338" w14:paraId="436238C1" w14:textId="77777777" w:rsidTr="0013530E">
        <w:tc>
          <w:tcPr>
            <w:tcW w:w="1384" w:type="dxa"/>
          </w:tcPr>
          <w:p w14:paraId="466A8BE2" w14:textId="69C3B19A" w:rsidR="00CA4255" w:rsidRDefault="00A8041C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002/120215</w:t>
            </w:r>
          </w:p>
          <w:p w14:paraId="6B4C50C6" w14:textId="77777777" w:rsidR="00CB5F21" w:rsidRPr="00F156EF" w:rsidRDefault="00CB5F2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F156EF">
              <w:rPr>
                <w:sz w:val="18"/>
                <w:szCs w:val="18"/>
              </w:rPr>
              <w:t xml:space="preserve">Link to </w:t>
            </w:r>
          </w:p>
          <w:p w14:paraId="13815829" w14:textId="77777777" w:rsidR="00CB5F21" w:rsidRPr="00F156EF" w:rsidRDefault="00CB5F21" w:rsidP="00CB5F2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F156EF">
              <w:rPr>
                <w:sz w:val="18"/>
                <w:szCs w:val="18"/>
              </w:rPr>
              <w:t>002/030615</w:t>
            </w:r>
          </w:p>
          <w:p w14:paraId="1625393C" w14:textId="1BB0DE49" w:rsidR="00CB5F21" w:rsidRPr="00D10338" w:rsidRDefault="00CB5F2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D116B5F" w14:textId="141D11A6" w:rsidR="00CA4255" w:rsidRPr="00D10338" w:rsidRDefault="00A8041C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Circulate action log and outcomes report along with Contract Manager TPAF/TPARG meeting update</w:t>
            </w:r>
            <w:r w:rsidR="00D80FEF">
              <w:rPr>
                <w:sz w:val="22"/>
                <w:szCs w:val="22"/>
              </w:rPr>
              <w:t>, following each meeting.</w:t>
            </w:r>
          </w:p>
        </w:tc>
        <w:tc>
          <w:tcPr>
            <w:tcW w:w="4253" w:type="dxa"/>
          </w:tcPr>
          <w:p w14:paraId="1050D450" w14:textId="3A3AB970" w:rsidR="00CA4255" w:rsidRPr="00D10338" w:rsidRDefault="00A8041C" w:rsidP="00D80FE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be circulated from first meeting in 2016 onwards. </w:t>
            </w:r>
          </w:p>
        </w:tc>
        <w:tc>
          <w:tcPr>
            <w:tcW w:w="4110" w:type="dxa"/>
          </w:tcPr>
          <w:p w14:paraId="22FB6C51" w14:textId="4C7B379F" w:rsidR="00A8041C" w:rsidRDefault="0039766D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N.B: </w:t>
            </w:r>
            <w:r w:rsidR="00D80FEF">
              <w:rPr>
                <w:sz w:val="22"/>
                <w:szCs w:val="22"/>
              </w:rPr>
              <w:t>T</w:t>
            </w:r>
            <w:r w:rsidR="00CB5F21">
              <w:rPr>
                <w:sz w:val="22"/>
                <w:szCs w:val="22"/>
              </w:rPr>
              <w:t>here are plans to review</w:t>
            </w:r>
            <w:r w:rsidR="00E76AD7">
              <w:rPr>
                <w:sz w:val="22"/>
                <w:szCs w:val="22"/>
              </w:rPr>
              <w:t xml:space="preserve">/revise the </w:t>
            </w:r>
            <w:r w:rsidR="00CB5F21">
              <w:rPr>
                <w:sz w:val="22"/>
                <w:szCs w:val="22"/>
              </w:rPr>
              <w:t>structure</w:t>
            </w:r>
            <w:r w:rsidR="00D80FEF">
              <w:rPr>
                <w:sz w:val="22"/>
                <w:szCs w:val="22"/>
              </w:rPr>
              <w:t xml:space="preserve"> </w:t>
            </w:r>
            <w:r w:rsidR="00E76AD7">
              <w:rPr>
                <w:sz w:val="22"/>
                <w:szCs w:val="22"/>
              </w:rPr>
              <w:t xml:space="preserve">and remit </w:t>
            </w:r>
            <w:r w:rsidR="00CB5F21">
              <w:rPr>
                <w:sz w:val="22"/>
                <w:szCs w:val="22"/>
              </w:rPr>
              <w:t xml:space="preserve">of </w:t>
            </w:r>
            <w:r w:rsidR="00E76AD7">
              <w:rPr>
                <w:sz w:val="22"/>
                <w:szCs w:val="22"/>
              </w:rPr>
              <w:t>both groups</w:t>
            </w:r>
            <w:r w:rsidR="00D80FEF">
              <w:rPr>
                <w:sz w:val="22"/>
                <w:szCs w:val="22"/>
              </w:rPr>
              <w:t>;</w:t>
            </w:r>
            <w:r w:rsidR="00A71E0F">
              <w:rPr>
                <w:sz w:val="22"/>
                <w:szCs w:val="22"/>
              </w:rPr>
              <w:t xml:space="preserve"> </w:t>
            </w:r>
            <w:r w:rsidR="00E76AD7">
              <w:rPr>
                <w:sz w:val="22"/>
                <w:szCs w:val="22"/>
              </w:rPr>
              <w:t>meetings</w:t>
            </w:r>
            <w:r w:rsidR="00CB5F21">
              <w:rPr>
                <w:sz w:val="22"/>
                <w:szCs w:val="22"/>
              </w:rPr>
              <w:t xml:space="preserve"> </w:t>
            </w:r>
            <w:r w:rsidR="00A71E0F">
              <w:rPr>
                <w:sz w:val="22"/>
                <w:szCs w:val="22"/>
              </w:rPr>
              <w:t xml:space="preserve">to be held </w:t>
            </w:r>
            <w:r w:rsidR="00CB5F21">
              <w:rPr>
                <w:sz w:val="22"/>
                <w:szCs w:val="22"/>
              </w:rPr>
              <w:t>on separate dates</w:t>
            </w:r>
            <w:r w:rsidR="00D80FEF">
              <w:rPr>
                <w:sz w:val="22"/>
                <w:szCs w:val="22"/>
              </w:rPr>
              <w:t xml:space="preserve"> </w:t>
            </w:r>
            <w:r w:rsidR="00E76AD7">
              <w:rPr>
                <w:sz w:val="22"/>
                <w:szCs w:val="22"/>
              </w:rPr>
              <w:t xml:space="preserve">to underscore the differences between the groups. </w:t>
            </w:r>
            <w:r w:rsidR="00D80FEF">
              <w:rPr>
                <w:sz w:val="22"/>
                <w:szCs w:val="22"/>
              </w:rPr>
              <w:t>Once advised the dates will be added to the stakeholder event calendar.</w:t>
            </w:r>
          </w:p>
          <w:p w14:paraId="07EDA867" w14:textId="68FE5C8A" w:rsidR="00A8041C" w:rsidRPr="00A8041C" w:rsidRDefault="00A8041C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A8041C">
              <w:rPr>
                <w:b/>
                <w:sz w:val="22"/>
                <w:szCs w:val="22"/>
              </w:rPr>
              <w:t>COMPLETE</w:t>
            </w:r>
          </w:p>
        </w:tc>
      </w:tr>
      <w:tr w:rsidR="00CA4255" w:rsidRPr="00D10338" w14:paraId="48F30271" w14:textId="77777777" w:rsidTr="0013530E">
        <w:tc>
          <w:tcPr>
            <w:tcW w:w="1384" w:type="dxa"/>
          </w:tcPr>
          <w:p w14:paraId="73F0DA63" w14:textId="77777777" w:rsidR="00CA4255" w:rsidRDefault="00A8041C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003/021215</w:t>
            </w:r>
          </w:p>
          <w:p w14:paraId="63A912AD" w14:textId="10B2D87F" w:rsidR="00F156EF" w:rsidRDefault="00F156EF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F156EF">
              <w:rPr>
                <w:sz w:val="18"/>
                <w:szCs w:val="18"/>
              </w:rPr>
              <w:t>Link to 005/090915</w:t>
            </w:r>
          </w:p>
          <w:p w14:paraId="754A30B2" w14:textId="1EC8671A" w:rsidR="00F156EF" w:rsidRPr="00D10338" w:rsidRDefault="00F156EF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A3B252F" w14:textId="618452F2" w:rsidR="00CA4255" w:rsidRPr="00D10338" w:rsidRDefault="00A8041C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TPAF and TPARG dates to be added to stakeholder timetable.</w:t>
            </w:r>
          </w:p>
        </w:tc>
        <w:tc>
          <w:tcPr>
            <w:tcW w:w="4253" w:type="dxa"/>
          </w:tcPr>
          <w:p w14:paraId="0A0E53F8" w14:textId="09A7D749" w:rsidR="00CA4255" w:rsidRPr="00D10338" w:rsidRDefault="00F156EF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actioned</w:t>
            </w:r>
          </w:p>
        </w:tc>
        <w:tc>
          <w:tcPr>
            <w:tcW w:w="4110" w:type="dxa"/>
          </w:tcPr>
          <w:p w14:paraId="396C9CB0" w14:textId="73BF378E" w:rsidR="002529E4" w:rsidRDefault="00F156EF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F156EF">
              <w:rPr>
                <w:sz w:val="22"/>
                <w:szCs w:val="22"/>
              </w:rPr>
              <w:t>Dates included into stakeholder event calendar</w:t>
            </w:r>
            <w:r>
              <w:rPr>
                <w:sz w:val="22"/>
                <w:szCs w:val="22"/>
              </w:rPr>
              <w:t>. See</w:t>
            </w:r>
            <w:r w:rsidR="00777693">
              <w:rPr>
                <w:sz w:val="22"/>
                <w:szCs w:val="22"/>
              </w:rPr>
              <w:t xml:space="preserve"> AP</w:t>
            </w:r>
            <w:r>
              <w:rPr>
                <w:sz w:val="22"/>
                <w:szCs w:val="22"/>
              </w:rPr>
              <w:t xml:space="preserve"> 002/030615 and  </w:t>
            </w:r>
            <w:r w:rsidR="00777693">
              <w:rPr>
                <w:sz w:val="22"/>
                <w:szCs w:val="22"/>
              </w:rPr>
              <w:t>AP 02/0212</w:t>
            </w:r>
            <w:r>
              <w:rPr>
                <w:sz w:val="22"/>
                <w:szCs w:val="22"/>
              </w:rPr>
              <w:t xml:space="preserve">15 above. </w:t>
            </w:r>
          </w:p>
          <w:p w14:paraId="62B8070A" w14:textId="35C5F2D0" w:rsidR="00CA4255" w:rsidRPr="00D10338" w:rsidRDefault="00F156EF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8041C">
              <w:rPr>
                <w:b/>
                <w:sz w:val="22"/>
                <w:szCs w:val="22"/>
              </w:rPr>
              <w:t>COMPLETE</w:t>
            </w:r>
          </w:p>
        </w:tc>
      </w:tr>
      <w:tr w:rsidR="00CA4255" w:rsidRPr="00D10338" w14:paraId="28C239EC" w14:textId="77777777" w:rsidTr="0013530E">
        <w:tc>
          <w:tcPr>
            <w:tcW w:w="1384" w:type="dxa"/>
          </w:tcPr>
          <w:p w14:paraId="6908DF99" w14:textId="303566CA" w:rsidR="00CA4255" w:rsidRPr="00D10338" w:rsidRDefault="00A8041C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004/021215</w:t>
            </w:r>
          </w:p>
        </w:tc>
        <w:tc>
          <w:tcPr>
            <w:tcW w:w="4536" w:type="dxa"/>
          </w:tcPr>
          <w:p w14:paraId="1476E5D9" w14:textId="79D87C22" w:rsidR="00CA4255" w:rsidRPr="00D10338" w:rsidRDefault="00A8041C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Suggestions made by member group to improve general TPSPB working practices to be adopted</w:t>
            </w:r>
          </w:p>
        </w:tc>
        <w:tc>
          <w:tcPr>
            <w:tcW w:w="4253" w:type="dxa"/>
          </w:tcPr>
          <w:p w14:paraId="6E19A119" w14:textId="43C9EE85" w:rsidR="00CA4255" w:rsidRDefault="00156C2A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-B</w:t>
            </w:r>
            <w:r w:rsidR="00DC3ABA">
              <w:rPr>
                <w:sz w:val="22"/>
                <w:szCs w:val="22"/>
              </w:rPr>
              <w:t xml:space="preserve">oard members able to </w:t>
            </w:r>
            <w:r>
              <w:rPr>
                <w:sz w:val="22"/>
                <w:szCs w:val="22"/>
              </w:rPr>
              <w:t>input to agenda</w:t>
            </w:r>
          </w:p>
          <w:p w14:paraId="5CC08249" w14:textId="77777777" w:rsidR="00156C2A" w:rsidRDefault="00156C2A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-Minutes to be included with Board papers for subsequent meeting</w:t>
            </w:r>
          </w:p>
          <w:p w14:paraId="305C7393" w14:textId="566A4DD7" w:rsidR="00DC3ABA" w:rsidRPr="00D10338" w:rsidRDefault="00DC3ABA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-clearer labelling of Board papers</w:t>
            </w:r>
          </w:p>
        </w:tc>
        <w:tc>
          <w:tcPr>
            <w:tcW w:w="4110" w:type="dxa"/>
          </w:tcPr>
          <w:p w14:paraId="6552221B" w14:textId="56D46DD7" w:rsidR="00F156EF" w:rsidRPr="00156C2A" w:rsidRDefault="00156C2A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156C2A">
              <w:rPr>
                <w:sz w:val="22"/>
                <w:szCs w:val="22"/>
              </w:rPr>
              <w:t>Implemented</w:t>
            </w:r>
          </w:p>
          <w:p w14:paraId="2E86A939" w14:textId="77777777" w:rsidR="00156C2A" w:rsidRDefault="00156C2A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43482632" w14:textId="77777777" w:rsidR="00130DD7" w:rsidRDefault="00130DD7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65CA9BA7" w14:textId="1D65CC0F" w:rsidR="00F156EF" w:rsidRPr="00F156EF" w:rsidRDefault="00F156EF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F156EF">
              <w:rPr>
                <w:b/>
                <w:sz w:val="22"/>
                <w:szCs w:val="22"/>
              </w:rPr>
              <w:t>COMPLETE</w:t>
            </w:r>
          </w:p>
        </w:tc>
      </w:tr>
      <w:tr w:rsidR="00CA4255" w:rsidRPr="00D10338" w14:paraId="45405C72" w14:textId="77777777" w:rsidTr="0013530E">
        <w:tc>
          <w:tcPr>
            <w:tcW w:w="1384" w:type="dxa"/>
          </w:tcPr>
          <w:p w14:paraId="4642ABE3" w14:textId="68462D5F" w:rsidR="00CA4255" w:rsidRPr="00D10338" w:rsidRDefault="00A8041C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005/021215</w:t>
            </w:r>
          </w:p>
        </w:tc>
        <w:tc>
          <w:tcPr>
            <w:tcW w:w="4536" w:type="dxa"/>
          </w:tcPr>
          <w:p w14:paraId="06C8EAF3" w14:textId="3E425D1D" w:rsidR="00CA4255" w:rsidRPr="00D10338" w:rsidRDefault="00A8041C" w:rsidP="00130DD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Further discussions on the role of the Board to take place in March.</w:t>
            </w:r>
          </w:p>
        </w:tc>
        <w:tc>
          <w:tcPr>
            <w:tcW w:w="4253" w:type="dxa"/>
          </w:tcPr>
          <w:p w14:paraId="63CE6D95" w14:textId="52C61768" w:rsidR="00130DD7" w:rsidRDefault="00130DD7" w:rsidP="00130DD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Board members should embrace </w:t>
            </w:r>
            <w:r w:rsidR="00B90BCF">
              <w:rPr>
                <w:sz w:val="22"/>
                <w:szCs w:val="22"/>
              </w:rPr>
              <w:t>the opportunity</w:t>
            </w:r>
            <w:r>
              <w:rPr>
                <w:sz w:val="22"/>
                <w:szCs w:val="22"/>
              </w:rPr>
              <w:t xml:space="preserve"> to attend stakeholder events.</w:t>
            </w:r>
          </w:p>
          <w:p w14:paraId="64EA2AB1" w14:textId="25256D85" w:rsidR="00CA4255" w:rsidRPr="00D10338" w:rsidRDefault="00130DD7" w:rsidP="00130DD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internal auditor’s report due to be published at the end of January</w:t>
            </w:r>
            <w:r w:rsidR="0013530E">
              <w:rPr>
                <w:sz w:val="22"/>
                <w:szCs w:val="22"/>
              </w:rPr>
              <w:t xml:space="preserve"> will include feedback provided by Board members on their role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14:paraId="3B7AFDE9" w14:textId="77777777" w:rsidR="00CA4255" w:rsidRDefault="00CA4255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166BDE9F" w14:textId="77777777" w:rsidR="00130DD7" w:rsidRDefault="00130DD7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6599F339" w14:textId="77777777" w:rsidR="0013530E" w:rsidRDefault="0013530E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27E75013" w14:textId="77777777" w:rsidR="0013530E" w:rsidRDefault="0013530E" w:rsidP="00893FAE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0B5C0E36" w14:textId="77777777" w:rsidR="0013530E" w:rsidRDefault="0013530E" w:rsidP="00893FAE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0674ADE8" w14:textId="04EC4D58" w:rsidR="00130DD7" w:rsidRPr="00130DD7" w:rsidRDefault="00130DD7" w:rsidP="00893FAE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130DD7">
              <w:rPr>
                <w:b/>
                <w:sz w:val="22"/>
                <w:szCs w:val="22"/>
              </w:rPr>
              <w:t>9 March - Agenda item 8</w:t>
            </w:r>
          </w:p>
        </w:tc>
      </w:tr>
      <w:tr w:rsidR="00CA4255" w:rsidRPr="00D10338" w14:paraId="7961F602" w14:textId="77777777" w:rsidTr="0013530E">
        <w:tc>
          <w:tcPr>
            <w:tcW w:w="1384" w:type="dxa"/>
          </w:tcPr>
          <w:p w14:paraId="51275FF9" w14:textId="06E753DD" w:rsidR="00CA4255" w:rsidRPr="00D10338" w:rsidRDefault="00A8041C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006/021215</w:t>
            </w:r>
          </w:p>
        </w:tc>
        <w:tc>
          <w:tcPr>
            <w:tcW w:w="4536" w:type="dxa"/>
          </w:tcPr>
          <w:p w14:paraId="6E99B623" w14:textId="45694D17" w:rsidR="00CA4255" w:rsidRPr="00D10338" w:rsidRDefault="00A8041C" w:rsidP="00D77BF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TP/DfE to draft a response to the note prepared by the employers group on issues/questions raised at </w:t>
            </w:r>
            <w:r w:rsidR="00D77BF7">
              <w:rPr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 27/11/15.</w:t>
            </w:r>
          </w:p>
        </w:tc>
        <w:tc>
          <w:tcPr>
            <w:tcW w:w="4253" w:type="dxa"/>
          </w:tcPr>
          <w:p w14:paraId="19ED3F06" w14:textId="5AE5C31C" w:rsidR="00CA4255" w:rsidRPr="00D10338" w:rsidRDefault="00CA4255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1EA552B4" w14:textId="0E45414A" w:rsidR="00CA4255" w:rsidRDefault="00130DD7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Circulated </w:t>
            </w:r>
            <w:r w:rsidR="00777693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/01/16</w:t>
            </w:r>
            <w:r w:rsidR="00777693">
              <w:rPr>
                <w:sz w:val="22"/>
                <w:szCs w:val="22"/>
              </w:rPr>
              <w:t xml:space="preserve"> and 21/01/16 (IT issues)</w:t>
            </w:r>
          </w:p>
          <w:p w14:paraId="3D9788A5" w14:textId="30B7CF44" w:rsidR="00130DD7" w:rsidRPr="00130DD7" w:rsidRDefault="00130DD7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130DD7">
              <w:rPr>
                <w:b/>
                <w:sz w:val="22"/>
                <w:szCs w:val="22"/>
              </w:rPr>
              <w:t>COMPLETE</w:t>
            </w:r>
          </w:p>
        </w:tc>
      </w:tr>
      <w:tr w:rsidR="00CA4255" w:rsidRPr="00D10338" w14:paraId="58731D91" w14:textId="77777777" w:rsidTr="0013530E">
        <w:tc>
          <w:tcPr>
            <w:tcW w:w="1384" w:type="dxa"/>
          </w:tcPr>
          <w:p w14:paraId="3E27A349" w14:textId="476288A0" w:rsidR="00CA4255" w:rsidRPr="00D10338" w:rsidRDefault="00A8041C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007/021215</w:t>
            </w:r>
          </w:p>
        </w:tc>
        <w:tc>
          <w:tcPr>
            <w:tcW w:w="4536" w:type="dxa"/>
          </w:tcPr>
          <w:p w14:paraId="11B00B67" w14:textId="69CB3800" w:rsidR="00CA4255" w:rsidRPr="00D10338" w:rsidRDefault="006C1D0D" w:rsidP="0038186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DfE to consider how best to develop a process that takes into account the role of the </w:t>
            </w:r>
            <w:r w:rsidR="0038186C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oard in respect of significant changes to the administration of the scheme.</w:t>
            </w:r>
          </w:p>
        </w:tc>
        <w:tc>
          <w:tcPr>
            <w:tcW w:w="4253" w:type="dxa"/>
          </w:tcPr>
          <w:p w14:paraId="29B226C4" w14:textId="71677696" w:rsidR="00CA4255" w:rsidRPr="00D10338" w:rsidRDefault="0038186C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Contract manager preparing a discussion document for consideration at the </w:t>
            </w:r>
            <w:r w:rsidR="002529E4">
              <w:rPr>
                <w:sz w:val="22"/>
                <w:szCs w:val="22"/>
              </w:rPr>
              <w:t xml:space="preserve">Board member </w:t>
            </w:r>
            <w:r>
              <w:rPr>
                <w:sz w:val="22"/>
                <w:szCs w:val="22"/>
              </w:rPr>
              <w:t>meeting on 16/02</w:t>
            </w:r>
            <w:r w:rsidR="002529E4">
              <w:rPr>
                <w:sz w:val="22"/>
                <w:szCs w:val="22"/>
              </w:rPr>
              <w:t>/16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14:paraId="16973DFF" w14:textId="77777777" w:rsidR="00CA4255" w:rsidRDefault="00CA4255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43320E64" w14:textId="77777777" w:rsidR="00130DD7" w:rsidRDefault="00130DD7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39D6F3D4" w14:textId="77777777" w:rsidR="00D77BF7" w:rsidRDefault="00D77BF7" w:rsidP="0038186C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3285F775" w14:textId="7FACEF20" w:rsidR="00130DD7" w:rsidRPr="00130DD7" w:rsidRDefault="00D77BF7" w:rsidP="00D77BF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 </w:t>
            </w:r>
            <w:r w:rsidR="002529E4">
              <w:rPr>
                <w:b/>
                <w:sz w:val="22"/>
                <w:szCs w:val="22"/>
              </w:rPr>
              <w:t>March – Agenda item 8</w:t>
            </w:r>
          </w:p>
        </w:tc>
      </w:tr>
      <w:tr w:rsidR="00CA4255" w:rsidRPr="00D10338" w14:paraId="6C7D8831" w14:textId="77777777" w:rsidTr="0013530E">
        <w:tc>
          <w:tcPr>
            <w:tcW w:w="1384" w:type="dxa"/>
          </w:tcPr>
          <w:p w14:paraId="53422A40" w14:textId="62523370" w:rsidR="00CA4255" w:rsidRPr="00D10338" w:rsidRDefault="006C1D0D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008/021215</w:t>
            </w:r>
          </w:p>
        </w:tc>
        <w:tc>
          <w:tcPr>
            <w:tcW w:w="4536" w:type="dxa"/>
          </w:tcPr>
          <w:p w14:paraId="2C5BCCA4" w14:textId="1CD53441" w:rsidR="00CA4255" w:rsidRPr="00D10338" w:rsidRDefault="00EE043B" w:rsidP="00EE043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agenda/report to flag which issues are contractual and thus outside the remit of the Board</w:t>
            </w:r>
          </w:p>
        </w:tc>
        <w:tc>
          <w:tcPr>
            <w:tcW w:w="4253" w:type="dxa"/>
          </w:tcPr>
          <w:p w14:paraId="58C67EED" w14:textId="068D681D" w:rsidR="00CA4255" w:rsidRPr="00D10338" w:rsidRDefault="0038186C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 to be adopted.</w:t>
            </w:r>
          </w:p>
        </w:tc>
        <w:tc>
          <w:tcPr>
            <w:tcW w:w="4110" w:type="dxa"/>
          </w:tcPr>
          <w:p w14:paraId="62E6C158" w14:textId="77777777" w:rsidR="00130DD7" w:rsidRDefault="00130DD7" w:rsidP="00130DD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49942A8E" w14:textId="77777777" w:rsidR="00130DD7" w:rsidRDefault="00130DD7" w:rsidP="00130DD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520031A6" w14:textId="09D328F9" w:rsidR="00CA4255" w:rsidRPr="00130DD7" w:rsidRDefault="0038186C" w:rsidP="0013530E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COMPLETE</w:t>
            </w:r>
          </w:p>
        </w:tc>
      </w:tr>
      <w:tr w:rsidR="00CA4255" w:rsidRPr="00D10338" w14:paraId="328EE6F3" w14:textId="77777777" w:rsidTr="0013530E">
        <w:tc>
          <w:tcPr>
            <w:tcW w:w="1384" w:type="dxa"/>
          </w:tcPr>
          <w:p w14:paraId="50FC06C9" w14:textId="77777777" w:rsidR="00CA4255" w:rsidRDefault="00EE043B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009/021215</w:t>
            </w:r>
          </w:p>
          <w:p w14:paraId="26DEA64E" w14:textId="44695783" w:rsidR="0038186C" w:rsidRPr="0038186C" w:rsidRDefault="0038186C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38186C">
              <w:rPr>
                <w:sz w:val="18"/>
                <w:szCs w:val="18"/>
              </w:rPr>
              <w:t>Link to 010/090915</w:t>
            </w:r>
          </w:p>
        </w:tc>
        <w:tc>
          <w:tcPr>
            <w:tcW w:w="4536" w:type="dxa"/>
          </w:tcPr>
          <w:p w14:paraId="469EC465" w14:textId="6C9ABE60" w:rsidR="00CA4255" w:rsidRPr="00D10338" w:rsidRDefault="00EE043B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 to consider how best to meet the Board’s request for (rolling) 3 years of comparable data on the IDRP/complaints report.</w:t>
            </w:r>
          </w:p>
        </w:tc>
        <w:tc>
          <w:tcPr>
            <w:tcW w:w="4253" w:type="dxa"/>
          </w:tcPr>
          <w:p w14:paraId="53E12A29" w14:textId="45FB6F91" w:rsidR="00CA4255" w:rsidRPr="00D10338" w:rsidRDefault="00D77BF7" w:rsidP="00D77BF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</w:t>
            </w:r>
            <w:r w:rsidR="0038186C">
              <w:rPr>
                <w:sz w:val="22"/>
                <w:szCs w:val="22"/>
              </w:rPr>
              <w:t xml:space="preserve"> report author</w:t>
            </w:r>
            <w:r>
              <w:rPr>
                <w:sz w:val="22"/>
                <w:szCs w:val="22"/>
              </w:rPr>
              <w:t xml:space="preserve"> contacted</w:t>
            </w:r>
            <w:r w:rsidR="0038186C">
              <w:rPr>
                <w:sz w:val="22"/>
                <w:szCs w:val="22"/>
              </w:rPr>
              <w:t xml:space="preserve"> </w:t>
            </w:r>
            <w:r w:rsidR="00CA06A9">
              <w:rPr>
                <w:sz w:val="22"/>
                <w:szCs w:val="22"/>
              </w:rPr>
              <w:t>14/01/15</w:t>
            </w:r>
            <w:r w:rsidR="00A54BDC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14:paraId="18DE3F65" w14:textId="2E11AE4C" w:rsidR="00CA4255" w:rsidRDefault="0038186C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 to include some changes to the report for March</w:t>
            </w:r>
            <w:r w:rsidR="00E471DF">
              <w:rPr>
                <w:sz w:val="22"/>
                <w:szCs w:val="22"/>
              </w:rPr>
              <w:t xml:space="preserve"> 2016</w:t>
            </w:r>
            <w:r>
              <w:rPr>
                <w:sz w:val="22"/>
                <w:szCs w:val="22"/>
              </w:rPr>
              <w:t xml:space="preserve"> Board.</w:t>
            </w:r>
          </w:p>
          <w:p w14:paraId="7C6A3C02" w14:textId="77777777" w:rsidR="009E1FAB" w:rsidRDefault="009E1FAB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001B4E13" w14:textId="79E2C570" w:rsidR="0038186C" w:rsidRPr="0038186C" w:rsidRDefault="0069247B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COMPLETE</w:t>
            </w:r>
          </w:p>
        </w:tc>
      </w:tr>
      <w:tr w:rsidR="00CA4255" w:rsidRPr="00D10338" w14:paraId="526ADD07" w14:textId="77777777" w:rsidTr="0013530E">
        <w:tc>
          <w:tcPr>
            <w:tcW w:w="1384" w:type="dxa"/>
          </w:tcPr>
          <w:p w14:paraId="2F3ECD06" w14:textId="2132D771" w:rsidR="00CA4255" w:rsidRPr="00D10338" w:rsidRDefault="00EE043B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010/021215</w:t>
            </w:r>
          </w:p>
        </w:tc>
        <w:tc>
          <w:tcPr>
            <w:tcW w:w="4536" w:type="dxa"/>
          </w:tcPr>
          <w:p w14:paraId="174C31C1" w14:textId="390911DB" w:rsidR="00CA4255" w:rsidRPr="00D10338" w:rsidRDefault="00EE043B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authors requested to include information on the 0.8% administration charge to the “costs to the scheme” section. In particular where this relates to an over or under recovery.</w:t>
            </w:r>
          </w:p>
        </w:tc>
        <w:tc>
          <w:tcPr>
            <w:tcW w:w="4253" w:type="dxa"/>
          </w:tcPr>
          <w:p w14:paraId="611D7308" w14:textId="030FBF82" w:rsidR="00CA4255" w:rsidRPr="00D10338" w:rsidRDefault="00CA06A9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Feedback to report authors </w:t>
            </w:r>
          </w:p>
        </w:tc>
        <w:tc>
          <w:tcPr>
            <w:tcW w:w="4110" w:type="dxa"/>
          </w:tcPr>
          <w:p w14:paraId="061354D3" w14:textId="718DCA80" w:rsidR="00CA4255" w:rsidRDefault="00D77BF7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March’s Finance, Risk and Audit report to include clearer information.</w:t>
            </w:r>
          </w:p>
          <w:p w14:paraId="42551B02" w14:textId="77777777" w:rsidR="00D77BF7" w:rsidRDefault="00D77BF7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679E8250" w14:textId="77777777" w:rsidR="00D77BF7" w:rsidRDefault="00D77BF7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41D2E368" w14:textId="55F9F737" w:rsidR="00D77BF7" w:rsidRPr="00D77BF7" w:rsidRDefault="00D77BF7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D77BF7">
              <w:rPr>
                <w:b/>
                <w:sz w:val="22"/>
                <w:szCs w:val="22"/>
              </w:rPr>
              <w:t>COMPLETE</w:t>
            </w:r>
          </w:p>
        </w:tc>
      </w:tr>
      <w:tr w:rsidR="00CA4255" w:rsidRPr="00D10338" w14:paraId="409EFC90" w14:textId="77777777" w:rsidTr="0013530E">
        <w:tc>
          <w:tcPr>
            <w:tcW w:w="1384" w:type="dxa"/>
          </w:tcPr>
          <w:p w14:paraId="5954DAC0" w14:textId="2EA9C772" w:rsidR="00CA4255" w:rsidRPr="00D10338" w:rsidRDefault="00EE043B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011/021215</w:t>
            </w:r>
          </w:p>
        </w:tc>
        <w:tc>
          <w:tcPr>
            <w:tcW w:w="4536" w:type="dxa"/>
          </w:tcPr>
          <w:p w14:paraId="2758E047" w14:textId="0E639FE6" w:rsidR="00CA4255" w:rsidRPr="00D10338" w:rsidRDefault="00EE043B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DfE contract manager to share the list of those suppliers under consideration to support monthly data collection to allow sectors to cross reference.</w:t>
            </w:r>
          </w:p>
        </w:tc>
        <w:tc>
          <w:tcPr>
            <w:tcW w:w="4253" w:type="dxa"/>
          </w:tcPr>
          <w:p w14:paraId="17A0D1A5" w14:textId="77777777" w:rsidR="00CA4255" w:rsidRPr="00D10338" w:rsidRDefault="00CA4255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557A65C0" w14:textId="41A29E5E" w:rsidR="00CA4255" w:rsidRDefault="00CA06A9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 circulated by email 18/12/15</w:t>
            </w:r>
          </w:p>
          <w:p w14:paraId="7FCDB140" w14:textId="77777777" w:rsidR="00CA06A9" w:rsidRDefault="00CA06A9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0F977638" w14:textId="076CCE1C" w:rsidR="00C52173" w:rsidRPr="00CA06A9" w:rsidRDefault="00CA06A9" w:rsidP="0038186C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CA06A9">
              <w:rPr>
                <w:b/>
                <w:sz w:val="22"/>
                <w:szCs w:val="22"/>
              </w:rPr>
              <w:t>COMPLETE</w:t>
            </w:r>
          </w:p>
        </w:tc>
      </w:tr>
      <w:tr w:rsidR="00CA4255" w:rsidRPr="00D10338" w14:paraId="47BB4600" w14:textId="77777777" w:rsidTr="0013530E">
        <w:tc>
          <w:tcPr>
            <w:tcW w:w="1384" w:type="dxa"/>
          </w:tcPr>
          <w:p w14:paraId="2E4BFF53" w14:textId="539E6D23" w:rsidR="00CA4255" w:rsidRPr="00D10338" w:rsidRDefault="00EE043B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012/021215</w:t>
            </w:r>
          </w:p>
        </w:tc>
        <w:tc>
          <w:tcPr>
            <w:tcW w:w="4536" w:type="dxa"/>
          </w:tcPr>
          <w:p w14:paraId="348ED2EB" w14:textId="4E9F2BE5" w:rsidR="00162CF1" w:rsidRPr="00D10338" w:rsidRDefault="00EE043B" w:rsidP="0038186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 and DfE to consider how best to capture qualitative and quantitative data to feed into consideration / decision making re MDC</w:t>
            </w:r>
            <w:r w:rsidR="00162CF1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14:paraId="663E4AF3" w14:textId="654305E0" w:rsidR="00CA4255" w:rsidRPr="007255A3" w:rsidRDefault="007255A3" w:rsidP="00B83E3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7255A3">
              <w:rPr>
                <w:sz w:val="22"/>
                <w:szCs w:val="22"/>
              </w:rPr>
              <w:t xml:space="preserve">TP have discussed with DfE and introduced a formal feedback process into the project which gives all organisations participating in MDC the opportunity to provide feedback. This has been </w:t>
            </w:r>
            <w:r w:rsidR="00B83E37">
              <w:rPr>
                <w:sz w:val="22"/>
                <w:szCs w:val="22"/>
              </w:rPr>
              <w:t>applied</w:t>
            </w:r>
            <w:r w:rsidRPr="007255A3">
              <w:rPr>
                <w:sz w:val="22"/>
                <w:szCs w:val="22"/>
              </w:rPr>
              <w:t xml:space="preserve"> retrospective for those who have already boarded with MDC and will be standard for organisations who transfer to MDC in the future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14:paraId="18A71FA2" w14:textId="775863C9" w:rsidR="007255A3" w:rsidRDefault="00D77BF7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Administration</w:t>
            </w:r>
            <w:r w:rsidR="007255A3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B83E37">
              <w:rPr>
                <w:sz w:val="22"/>
                <w:szCs w:val="22"/>
              </w:rPr>
              <w:t>R</w:t>
            </w:r>
            <w:r w:rsidR="007255A3">
              <w:rPr>
                <w:sz w:val="22"/>
                <w:szCs w:val="22"/>
              </w:rPr>
              <w:t>eport</w:t>
            </w:r>
            <w:r w:rsidR="00B83E37">
              <w:rPr>
                <w:sz w:val="22"/>
                <w:szCs w:val="22"/>
              </w:rPr>
              <w:t xml:space="preserve"> will include an update.</w:t>
            </w:r>
          </w:p>
          <w:p w14:paraId="5E7537B5" w14:textId="77777777" w:rsidR="007255A3" w:rsidRDefault="007255A3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51E6FAE3" w14:textId="77777777" w:rsidR="007255A3" w:rsidRDefault="007255A3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2533B207" w14:textId="77777777" w:rsidR="007255A3" w:rsidRDefault="007255A3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4B418F08" w14:textId="77777777" w:rsidR="007255A3" w:rsidRDefault="007255A3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3828484B" w14:textId="77777777" w:rsidR="009E1FAB" w:rsidRDefault="009E1FAB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6C31B4C2" w14:textId="77777777" w:rsidR="00A54BDC" w:rsidRDefault="00A54BDC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7ECE3459" w14:textId="2D19139A" w:rsidR="007255A3" w:rsidRPr="007255A3" w:rsidRDefault="007255A3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7255A3">
              <w:rPr>
                <w:b/>
                <w:sz w:val="22"/>
                <w:szCs w:val="22"/>
              </w:rPr>
              <w:t>COMPLETE</w:t>
            </w:r>
          </w:p>
        </w:tc>
      </w:tr>
      <w:tr w:rsidR="00CA4255" w:rsidRPr="00D10338" w14:paraId="1BE9BE86" w14:textId="77777777" w:rsidTr="0013530E">
        <w:tc>
          <w:tcPr>
            <w:tcW w:w="1384" w:type="dxa"/>
          </w:tcPr>
          <w:p w14:paraId="767937A7" w14:textId="2D9C4525" w:rsidR="00CA4255" w:rsidRPr="00D10338" w:rsidRDefault="00EE043B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013/021215</w:t>
            </w:r>
          </w:p>
        </w:tc>
        <w:tc>
          <w:tcPr>
            <w:tcW w:w="4536" w:type="dxa"/>
          </w:tcPr>
          <w:p w14:paraId="2358F0B7" w14:textId="4A002E68" w:rsidR="00CA4255" w:rsidRPr="00D10338" w:rsidRDefault="00EE043B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TP to share the outcome of the </w:t>
            </w:r>
            <w:r w:rsidR="00B90BCF">
              <w:rPr>
                <w:sz w:val="22"/>
                <w:szCs w:val="22"/>
              </w:rPr>
              <w:t>review</w:t>
            </w:r>
            <w:r>
              <w:rPr>
                <w:sz w:val="22"/>
                <w:szCs w:val="22"/>
              </w:rPr>
              <w:t xml:space="preserve"> following implementation of </w:t>
            </w:r>
            <w:r w:rsidR="00B90BCF">
              <w:rPr>
                <w:sz w:val="22"/>
                <w:szCs w:val="22"/>
              </w:rPr>
              <w:t>recommendations</w:t>
            </w:r>
            <w:r>
              <w:rPr>
                <w:sz w:val="22"/>
                <w:szCs w:val="22"/>
              </w:rPr>
              <w:t xml:space="preserve"> to improve processes following the recent alleged fraud incident.</w:t>
            </w:r>
          </w:p>
        </w:tc>
        <w:tc>
          <w:tcPr>
            <w:tcW w:w="4253" w:type="dxa"/>
          </w:tcPr>
          <w:p w14:paraId="2617574D" w14:textId="3390948B" w:rsidR="00CA4255" w:rsidRPr="00D10338" w:rsidRDefault="00CA4255" w:rsidP="0061316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20100382" w14:textId="293D558D" w:rsidR="0061316F" w:rsidRDefault="0013530E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Administration update for 9 March 2016 Board m</w:t>
            </w:r>
            <w:r w:rsidR="0061316F">
              <w:rPr>
                <w:sz w:val="22"/>
                <w:szCs w:val="22"/>
              </w:rPr>
              <w:t>eeting cover</w:t>
            </w:r>
            <w:r w:rsidR="004B0AA0">
              <w:rPr>
                <w:sz w:val="22"/>
                <w:szCs w:val="22"/>
              </w:rPr>
              <w:t>s</w:t>
            </w:r>
            <w:r w:rsidR="0061316F">
              <w:rPr>
                <w:sz w:val="22"/>
                <w:szCs w:val="22"/>
              </w:rPr>
              <w:t xml:space="preserve"> the key points.</w:t>
            </w:r>
            <w:r w:rsidR="00B83E37">
              <w:rPr>
                <w:sz w:val="22"/>
                <w:szCs w:val="22"/>
              </w:rPr>
              <w:t xml:space="preserve">  Outcome of the review included as Appendix to the Administration Report.</w:t>
            </w:r>
          </w:p>
          <w:p w14:paraId="3107BBD8" w14:textId="77777777" w:rsidR="002529E4" w:rsidRDefault="002529E4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687CEF00" w14:textId="0ECB3EB6" w:rsidR="00CA4255" w:rsidRPr="0061316F" w:rsidRDefault="00C409A8" w:rsidP="005903D6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COMPLETE</w:t>
            </w:r>
          </w:p>
        </w:tc>
      </w:tr>
    </w:tbl>
    <w:p w14:paraId="2B2A8DCB" w14:textId="2163445B" w:rsidR="003D04A9" w:rsidRDefault="003D04A9" w:rsidP="00D77BF7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sectPr w:rsidR="003D04A9" w:rsidSect="0013530E">
      <w:headerReference w:type="default" r:id="rId14"/>
      <w:footerReference w:type="default" r:id="rId15"/>
      <w:pgSz w:w="16838" w:h="11906" w:orient="landscape"/>
      <w:pgMar w:top="1560" w:right="1418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4167D" w14:textId="77777777" w:rsidR="005153A0" w:rsidRDefault="005153A0">
      <w:r>
        <w:separator/>
      </w:r>
    </w:p>
  </w:endnote>
  <w:endnote w:type="continuationSeparator" w:id="0">
    <w:p w14:paraId="7DA4167E" w14:textId="77777777" w:rsidR="005153A0" w:rsidRDefault="0051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329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CC48A9" w14:textId="0FFDFE2E" w:rsidR="0097384B" w:rsidRDefault="009738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A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51A0EE" w14:textId="77777777" w:rsidR="0097384B" w:rsidRDefault="009738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4167B" w14:textId="77777777" w:rsidR="005153A0" w:rsidRDefault="005153A0">
      <w:r>
        <w:separator/>
      </w:r>
    </w:p>
  </w:footnote>
  <w:footnote w:type="continuationSeparator" w:id="0">
    <w:p w14:paraId="7DA4167C" w14:textId="77777777" w:rsidR="005153A0" w:rsidRDefault="00515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530F1" w14:textId="047987E2" w:rsidR="000D2872" w:rsidRDefault="002D7248">
    <w:pPr>
      <w:pStyle w:val="Header"/>
    </w:pPr>
    <w:r>
      <w:t xml:space="preserve">Paper </w:t>
    </w:r>
    <w:r w:rsidR="002A54F4">
      <w:t xml:space="preserve">4 </w:t>
    </w:r>
    <w:r>
      <w:t>(</w:t>
    </w:r>
    <w:r w:rsidR="00C8309F">
      <w:t>Agenda item 2)</w:t>
    </w:r>
    <w:r>
      <w:t xml:space="preserve">                                                                                     </w:t>
    </w:r>
    <w:r w:rsidR="00C8309F">
      <w:t xml:space="preserve">                            </w:t>
    </w:r>
    <w:r>
      <w:t xml:space="preserve"> </w:t>
    </w:r>
    <w:r w:rsidR="0065082B">
      <w:t>T</w:t>
    </w:r>
    <w:r w:rsidR="000D2872">
      <w:t xml:space="preserve">PSPB Meeting </w:t>
    </w:r>
    <w:r>
      <w:t>9 March 2016</w:t>
    </w:r>
    <w:r w:rsidR="00C8309F">
      <w:t xml:space="preserve"> </w:t>
    </w:r>
  </w:p>
  <w:p w14:paraId="0401081A" w14:textId="77777777" w:rsidR="000D2872" w:rsidRDefault="000D2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7437FAB"/>
    <w:multiLevelType w:val="hybridMultilevel"/>
    <w:tmpl w:val="BC80ED44"/>
    <w:lvl w:ilvl="0" w:tplc="DEF62B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2F"/>
    <w:rsid w:val="00011F78"/>
    <w:rsid w:val="00022DB6"/>
    <w:rsid w:val="000304D7"/>
    <w:rsid w:val="00041864"/>
    <w:rsid w:val="0004776A"/>
    <w:rsid w:val="000833EF"/>
    <w:rsid w:val="000A0C1B"/>
    <w:rsid w:val="000B1468"/>
    <w:rsid w:val="000D2872"/>
    <w:rsid w:val="000D53AC"/>
    <w:rsid w:val="000F4E59"/>
    <w:rsid w:val="00116F59"/>
    <w:rsid w:val="00130DD7"/>
    <w:rsid w:val="00132469"/>
    <w:rsid w:val="001348AD"/>
    <w:rsid w:val="0013530E"/>
    <w:rsid w:val="001362FD"/>
    <w:rsid w:val="001366BB"/>
    <w:rsid w:val="001372F2"/>
    <w:rsid w:val="00153F85"/>
    <w:rsid w:val="00156C2A"/>
    <w:rsid w:val="00162CF1"/>
    <w:rsid w:val="00172858"/>
    <w:rsid w:val="0017644C"/>
    <w:rsid w:val="00180A06"/>
    <w:rsid w:val="00182783"/>
    <w:rsid w:val="00185BCA"/>
    <w:rsid w:val="00195F8E"/>
    <w:rsid w:val="001A54FA"/>
    <w:rsid w:val="001A55CB"/>
    <w:rsid w:val="001B05C8"/>
    <w:rsid w:val="001B28EE"/>
    <w:rsid w:val="001B6DF9"/>
    <w:rsid w:val="001D073A"/>
    <w:rsid w:val="001D2DBA"/>
    <w:rsid w:val="001D55BC"/>
    <w:rsid w:val="001D7FB3"/>
    <w:rsid w:val="002009C2"/>
    <w:rsid w:val="0020277F"/>
    <w:rsid w:val="00204409"/>
    <w:rsid w:val="00210A7E"/>
    <w:rsid w:val="00211C37"/>
    <w:rsid w:val="00211E23"/>
    <w:rsid w:val="00212D24"/>
    <w:rsid w:val="00217581"/>
    <w:rsid w:val="002214E8"/>
    <w:rsid w:val="00230461"/>
    <w:rsid w:val="002335B0"/>
    <w:rsid w:val="002338A1"/>
    <w:rsid w:val="00244374"/>
    <w:rsid w:val="002529E4"/>
    <w:rsid w:val="00261CC8"/>
    <w:rsid w:val="00266064"/>
    <w:rsid w:val="00267F26"/>
    <w:rsid w:val="0027611C"/>
    <w:rsid w:val="002840D0"/>
    <w:rsid w:val="00293433"/>
    <w:rsid w:val="00295EFC"/>
    <w:rsid w:val="002A54F4"/>
    <w:rsid w:val="002B651E"/>
    <w:rsid w:val="002D2A7A"/>
    <w:rsid w:val="002D7248"/>
    <w:rsid w:val="002E28FA"/>
    <w:rsid w:val="002E510A"/>
    <w:rsid w:val="00310708"/>
    <w:rsid w:val="00312BD3"/>
    <w:rsid w:val="00336359"/>
    <w:rsid w:val="00336524"/>
    <w:rsid w:val="00347A3B"/>
    <w:rsid w:val="00367EEB"/>
    <w:rsid w:val="00370895"/>
    <w:rsid w:val="00373040"/>
    <w:rsid w:val="00377FBE"/>
    <w:rsid w:val="0038186C"/>
    <w:rsid w:val="00382F0D"/>
    <w:rsid w:val="003868AE"/>
    <w:rsid w:val="00392AE9"/>
    <w:rsid w:val="0039766D"/>
    <w:rsid w:val="003A1EB0"/>
    <w:rsid w:val="003B2466"/>
    <w:rsid w:val="003B4FBD"/>
    <w:rsid w:val="003B78F9"/>
    <w:rsid w:val="003D04A9"/>
    <w:rsid w:val="003D74A2"/>
    <w:rsid w:val="003D7A13"/>
    <w:rsid w:val="003E1B86"/>
    <w:rsid w:val="003F024F"/>
    <w:rsid w:val="00402829"/>
    <w:rsid w:val="00406917"/>
    <w:rsid w:val="0042181C"/>
    <w:rsid w:val="0042334B"/>
    <w:rsid w:val="00430DC5"/>
    <w:rsid w:val="00436913"/>
    <w:rsid w:val="00441C9B"/>
    <w:rsid w:val="00450D89"/>
    <w:rsid w:val="00453337"/>
    <w:rsid w:val="004533A7"/>
    <w:rsid w:val="00457083"/>
    <w:rsid w:val="00460505"/>
    <w:rsid w:val="00463122"/>
    <w:rsid w:val="00473BE5"/>
    <w:rsid w:val="00480E77"/>
    <w:rsid w:val="00484C39"/>
    <w:rsid w:val="00492444"/>
    <w:rsid w:val="00494490"/>
    <w:rsid w:val="004955D9"/>
    <w:rsid w:val="004A49D7"/>
    <w:rsid w:val="004B0AA0"/>
    <w:rsid w:val="004C5612"/>
    <w:rsid w:val="004D337C"/>
    <w:rsid w:val="004E4DF5"/>
    <w:rsid w:val="004E633C"/>
    <w:rsid w:val="004F1A53"/>
    <w:rsid w:val="004F6E0A"/>
    <w:rsid w:val="00511CA5"/>
    <w:rsid w:val="005150CE"/>
    <w:rsid w:val="005153A0"/>
    <w:rsid w:val="00530814"/>
    <w:rsid w:val="005371A1"/>
    <w:rsid w:val="00545301"/>
    <w:rsid w:val="00565333"/>
    <w:rsid w:val="005664F2"/>
    <w:rsid w:val="00591B39"/>
    <w:rsid w:val="005A1568"/>
    <w:rsid w:val="005B1CC3"/>
    <w:rsid w:val="005B5A07"/>
    <w:rsid w:val="005C1372"/>
    <w:rsid w:val="005C6460"/>
    <w:rsid w:val="00607A4B"/>
    <w:rsid w:val="0061316F"/>
    <w:rsid w:val="006135A0"/>
    <w:rsid w:val="00614C9E"/>
    <w:rsid w:val="00625F4A"/>
    <w:rsid w:val="0062704E"/>
    <w:rsid w:val="00630C15"/>
    <w:rsid w:val="00634682"/>
    <w:rsid w:val="0063507E"/>
    <w:rsid w:val="006363E9"/>
    <w:rsid w:val="0065082B"/>
    <w:rsid w:val="00680861"/>
    <w:rsid w:val="006858D6"/>
    <w:rsid w:val="00687908"/>
    <w:rsid w:val="0069247B"/>
    <w:rsid w:val="006A0189"/>
    <w:rsid w:val="006A1127"/>
    <w:rsid w:val="006A1C24"/>
    <w:rsid w:val="006A2F72"/>
    <w:rsid w:val="006A3278"/>
    <w:rsid w:val="006B3CEC"/>
    <w:rsid w:val="006C1D0D"/>
    <w:rsid w:val="006C5388"/>
    <w:rsid w:val="006D3EBD"/>
    <w:rsid w:val="006E58D5"/>
    <w:rsid w:val="006E6F0B"/>
    <w:rsid w:val="006F40C1"/>
    <w:rsid w:val="007104E4"/>
    <w:rsid w:val="007255A3"/>
    <w:rsid w:val="007442BB"/>
    <w:rsid w:val="007463C5"/>
    <w:rsid w:val="00746846"/>
    <w:rsid w:val="007510C3"/>
    <w:rsid w:val="007543E3"/>
    <w:rsid w:val="0076458E"/>
    <w:rsid w:val="00767063"/>
    <w:rsid w:val="00771766"/>
    <w:rsid w:val="0077769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E46E9"/>
    <w:rsid w:val="007F073B"/>
    <w:rsid w:val="007F15FD"/>
    <w:rsid w:val="007F46B8"/>
    <w:rsid w:val="007F7427"/>
    <w:rsid w:val="008029ED"/>
    <w:rsid w:val="0080412F"/>
    <w:rsid w:val="00805C72"/>
    <w:rsid w:val="00831225"/>
    <w:rsid w:val="008325E8"/>
    <w:rsid w:val="008365D1"/>
    <w:rsid w:val="008428AB"/>
    <w:rsid w:val="00863664"/>
    <w:rsid w:val="0088151C"/>
    <w:rsid w:val="008817AB"/>
    <w:rsid w:val="008843A4"/>
    <w:rsid w:val="00893FAE"/>
    <w:rsid w:val="00896CF3"/>
    <w:rsid w:val="008A755C"/>
    <w:rsid w:val="008B1C49"/>
    <w:rsid w:val="008B2AEA"/>
    <w:rsid w:val="008B67CC"/>
    <w:rsid w:val="008C5ADE"/>
    <w:rsid w:val="008D1228"/>
    <w:rsid w:val="008E3BDA"/>
    <w:rsid w:val="008F452F"/>
    <w:rsid w:val="00905ADC"/>
    <w:rsid w:val="00906C33"/>
    <w:rsid w:val="009173AF"/>
    <w:rsid w:val="00932946"/>
    <w:rsid w:val="009332A7"/>
    <w:rsid w:val="009424FA"/>
    <w:rsid w:val="009426CB"/>
    <w:rsid w:val="00963073"/>
    <w:rsid w:val="00971AD4"/>
    <w:rsid w:val="0097315A"/>
    <w:rsid w:val="0097384B"/>
    <w:rsid w:val="009A3F0A"/>
    <w:rsid w:val="009B3EFE"/>
    <w:rsid w:val="009B493A"/>
    <w:rsid w:val="009D3D73"/>
    <w:rsid w:val="009E1FAB"/>
    <w:rsid w:val="009E6E4F"/>
    <w:rsid w:val="009E73AD"/>
    <w:rsid w:val="009F12C0"/>
    <w:rsid w:val="009F261D"/>
    <w:rsid w:val="009F5357"/>
    <w:rsid w:val="009F7653"/>
    <w:rsid w:val="009F7B77"/>
    <w:rsid w:val="00A00569"/>
    <w:rsid w:val="00A04B8F"/>
    <w:rsid w:val="00A21E85"/>
    <w:rsid w:val="00A2712A"/>
    <w:rsid w:val="00A3306B"/>
    <w:rsid w:val="00A36044"/>
    <w:rsid w:val="00A366A9"/>
    <w:rsid w:val="00A46912"/>
    <w:rsid w:val="00A54BDC"/>
    <w:rsid w:val="00A62E06"/>
    <w:rsid w:val="00A64099"/>
    <w:rsid w:val="00A71E0F"/>
    <w:rsid w:val="00A8041C"/>
    <w:rsid w:val="00A84BA0"/>
    <w:rsid w:val="00A96425"/>
    <w:rsid w:val="00AA6C2A"/>
    <w:rsid w:val="00AB3C8E"/>
    <w:rsid w:val="00AB6016"/>
    <w:rsid w:val="00AC2A37"/>
    <w:rsid w:val="00AD0E50"/>
    <w:rsid w:val="00AD632D"/>
    <w:rsid w:val="00AE1349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463BC"/>
    <w:rsid w:val="00B6522B"/>
    <w:rsid w:val="00B65709"/>
    <w:rsid w:val="00B67DF2"/>
    <w:rsid w:val="00B7137F"/>
    <w:rsid w:val="00B74F70"/>
    <w:rsid w:val="00B83E37"/>
    <w:rsid w:val="00B85BF7"/>
    <w:rsid w:val="00B90BCF"/>
    <w:rsid w:val="00B939CC"/>
    <w:rsid w:val="00B96F14"/>
    <w:rsid w:val="00BC0535"/>
    <w:rsid w:val="00BC547B"/>
    <w:rsid w:val="00BD4B6C"/>
    <w:rsid w:val="00C32A6F"/>
    <w:rsid w:val="00C35EBA"/>
    <w:rsid w:val="00C37933"/>
    <w:rsid w:val="00C408C7"/>
    <w:rsid w:val="00C409A8"/>
    <w:rsid w:val="00C47EEA"/>
    <w:rsid w:val="00C519D0"/>
    <w:rsid w:val="00C52173"/>
    <w:rsid w:val="00C70ACB"/>
    <w:rsid w:val="00C70B80"/>
    <w:rsid w:val="00C73B06"/>
    <w:rsid w:val="00C8309F"/>
    <w:rsid w:val="00C91300"/>
    <w:rsid w:val="00C949A3"/>
    <w:rsid w:val="00CA06A9"/>
    <w:rsid w:val="00CA4255"/>
    <w:rsid w:val="00CA4FEC"/>
    <w:rsid w:val="00CB10CE"/>
    <w:rsid w:val="00CB5F21"/>
    <w:rsid w:val="00CC4FF9"/>
    <w:rsid w:val="00CC6210"/>
    <w:rsid w:val="00CD7921"/>
    <w:rsid w:val="00CE084B"/>
    <w:rsid w:val="00CE2785"/>
    <w:rsid w:val="00D02D57"/>
    <w:rsid w:val="00D06CE5"/>
    <w:rsid w:val="00D10338"/>
    <w:rsid w:val="00D118D6"/>
    <w:rsid w:val="00D13861"/>
    <w:rsid w:val="00D20266"/>
    <w:rsid w:val="00D20C29"/>
    <w:rsid w:val="00D33842"/>
    <w:rsid w:val="00D47915"/>
    <w:rsid w:val="00D52269"/>
    <w:rsid w:val="00D57D6E"/>
    <w:rsid w:val="00D61F5A"/>
    <w:rsid w:val="00D656C2"/>
    <w:rsid w:val="00D77BF7"/>
    <w:rsid w:val="00D80925"/>
    <w:rsid w:val="00D80FEF"/>
    <w:rsid w:val="00D84FDC"/>
    <w:rsid w:val="00DB4C12"/>
    <w:rsid w:val="00DC3ABA"/>
    <w:rsid w:val="00DD1F53"/>
    <w:rsid w:val="00DD3F83"/>
    <w:rsid w:val="00DF1209"/>
    <w:rsid w:val="00E0081E"/>
    <w:rsid w:val="00E00893"/>
    <w:rsid w:val="00E02094"/>
    <w:rsid w:val="00E03B50"/>
    <w:rsid w:val="00E10F4C"/>
    <w:rsid w:val="00E2419F"/>
    <w:rsid w:val="00E3291F"/>
    <w:rsid w:val="00E366D6"/>
    <w:rsid w:val="00E471DF"/>
    <w:rsid w:val="00E63D8B"/>
    <w:rsid w:val="00E76AD7"/>
    <w:rsid w:val="00E81F4B"/>
    <w:rsid w:val="00E9156B"/>
    <w:rsid w:val="00EA11BE"/>
    <w:rsid w:val="00EB7EA2"/>
    <w:rsid w:val="00EC644A"/>
    <w:rsid w:val="00EC6A3F"/>
    <w:rsid w:val="00ED4024"/>
    <w:rsid w:val="00EE043B"/>
    <w:rsid w:val="00F156EF"/>
    <w:rsid w:val="00F26E79"/>
    <w:rsid w:val="00F30554"/>
    <w:rsid w:val="00F348D2"/>
    <w:rsid w:val="00F357EA"/>
    <w:rsid w:val="00F4485F"/>
    <w:rsid w:val="00F44B6A"/>
    <w:rsid w:val="00F521C7"/>
    <w:rsid w:val="00F52BCC"/>
    <w:rsid w:val="00F53FEC"/>
    <w:rsid w:val="00F60BF8"/>
    <w:rsid w:val="00F64863"/>
    <w:rsid w:val="00F960C1"/>
    <w:rsid w:val="00FA0331"/>
    <w:rsid w:val="00FA5B51"/>
    <w:rsid w:val="00FC049C"/>
    <w:rsid w:val="00FC1116"/>
    <w:rsid w:val="00FC1C0E"/>
    <w:rsid w:val="00FC5ED8"/>
    <w:rsid w:val="00F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DA41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80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C6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46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2872"/>
    <w:rPr>
      <w:rFonts w:ascii="Arial" w:hAnsi="Arial"/>
      <w:sz w:val="24"/>
      <w:lang w:eastAsia="en-US"/>
    </w:rPr>
  </w:style>
  <w:style w:type="paragraph" w:styleId="CommentText">
    <w:name w:val="annotation text"/>
    <w:basedOn w:val="Normal"/>
    <w:link w:val="CommentTextChar"/>
    <w:rsid w:val="00AA6C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6C2A"/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384B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80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C6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46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2872"/>
    <w:rPr>
      <w:rFonts w:ascii="Arial" w:hAnsi="Arial"/>
      <w:sz w:val="24"/>
      <w:lang w:eastAsia="en-US"/>
    </w:rPr>
  </w:style>
  <w:style w:type="paragraph" w:styleId="CommentText">
    <w:name w:val="annotation text"/>
    <w:basedOn w:val="Normal"/>
    <w:link w:val="CommentTextChar"/>
    <w:rsid w:val="00AA6C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6C2A"/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384B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5</Value>
      <Value>3</Value>
      <Value>2</Value>
    </TaxCatchAll>
    <IWPSubjectTaxHTField0 xmlns="01d2705b-266c-471f-bbad-ca9cc3733704">
      <Terms xmlns="http://schemas.microsoft.com/office/infopath/2007/PartnerControls"/>
    </IWPSubjectTaxHTField0>
    <IWPOrganisationalUnit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IWPOrganisationalUnitTaxHTField0>
    <IWPOwner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IWPOwnerTaxHTField0>
    <IWPRightsProtectiveMarking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SiteTypeTaxHTField0 xmlns="01d2705b-266c-471f-bbad-ca9cc3733704">
      <Terms xmlns="http://schemas.microsoft.com/office/infopath/2007/PartnerControls"/>
    </IWPSiteTypeTaxHTField0>
    <IWPContributor xmlns="01d2705b-266c-471f-bbad-ca9cc3733704">
      <UserInfo>
        <DisplayName/>
        <AccountId xsi:nil="true"/>
        <AccountType/>
      </UserInfo>
    </IWPContributor>
    <IWPFunctionTaxHTField0 xmlns="01d2705b-266c-471f-bbad-ca9cc3733704">
      <Terms xmlns="http://schemas.microsoft.com/office/infopath/2007/PartnerControls"/>
    </IWPFunctionTaxHTField0>
    <Comments xmlns="http://schemas.microsoft.com/sharepoint/v3" xsi:nil="true"/>
    <_dlc_DocId xmlns="b8cb3cbd-ce5c-4a72-9da4-9013f91c5903">HKPH4XM4QHZ4-1883831546-2031</_dlc_DocId>
    <_dlc_DocIdUrl xmlns="b8cb3cbd-ce5c-4a72-9da4-9013f91c5903">
      <Url>http://workplaces/sites/ttg/d/_layouts/DocIdRedir.aspx?ID=HKPH4XM4QHZ4-1883831546-2031</Url>
      <Description>HKPH4XM4QHZ4-1883831546-2031</Description>
    </_dlc_DocIdUrl>
  </documentManagement>
</p:properties>
</file>

<file path=customXml/item4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4812349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ther briefing" ma:contentTypeID="0x0101007F645D6FBA204A029FECB8BFC6578C39005279853530254253B886E13194843F8A003AA4A7828D8545A79A93568014812349002741AE071A82164A951099DAC91C981E" ma:contentTypeVersion="10" ma:contentTypeDescription="For any briefing which is not in relation to a department policy. Records retained for 10 years." ma:contentTypeScope="" ma:versionID="abd293a70f62aa9918e800bccf3177c6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01d2705b-266c-471f-bbad-ca9cc3733704" targetNamespace="http://schemas.microsoft.com/office/2006/metadata/properties" ma:root="true" ma:fieldsID="f1ed8ca4c01d447e78761025de8a1810" ns1:_="" ns2:_="" ns3:_="">
    <xsd:import namespace="http://schemas.microsoft.com/sharepoint/v3"/>
    <xsd:import namespace="b8cb3cbd-ce5c-4a72-9da4-9013f91c5903"/>
    <xsd:import namespace="01d2705b-266c-471f-bbad-ca9cc37337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4e53523-cc22-4b71-94d9-f0f05bc78804}" ma:internalName="TaxCatchAll" ma:showField="CatchAllData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4e53523-cc22-4b71-94d9-f0f05bc78804}" ma:internalName="TaxCatchAllLabel" ma:readOnly="true" ma:showField="CatchAllDataLabel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2705b-266c-471f-bbad-ca9cc3733704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2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3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7E7D-AA68-4135-BAAA-43D350FEF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1248C-5300-4235-9C76-47685CC8ED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E9E00C-154D-48C6-B9AC-C697A10F747B}">
  <ds:schemaRefs>
    <ds:schemaRef ds:uri="b8cb3cbd-ce5c-4a72-9da4-9013f91c5903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01d2705b-266c-471f-bbad-ca9cc373370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7BA983-D9C7-423C-8AA1-FD68A5E1293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5B5F465-6C96-4E27-A031-B6146872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01d2705b-266c-471f-bbad-ca9cc3733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975D7AA-0509-4D54-A77F-C717A57A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B2A429D3</Template>
  <TotalTime>1</TotalTime>
  <Pages>4</Pages>
  <Words>1174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Restricted editing applied prior to publicaton 071015</vt:lpstr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Restricted editing applied prior to publicaton 071015</dc:title>
  <dc:creator>CAMMACK, Karen</dc:creator>
  <cp:lastModifiedBy>CAMMACK, Karen</cp:lastModifiedBy>
  <cp:revision>2</cp:revision>
  <cp:lastPrinted>2015-08-06T09:28:00Z</cp:lastPrinted>
  <dcterms:created xsi:type="dcterms:W3CDTF">2016-03-01T11:09:00Z</dcterms:created>
  <dcterms:modified xsi:type="dcterms:W3CDTF">2016-03-01T11:09:00Z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0x0101007F645D6FBA204A029FECB8BFC6578C39005279853530254253B886E13194843F8A003AA4A7828D8545A79A93568014812349002741AE071A82164A951099DAC91C981E</vt:lpwstr>
  </property>
  <property fmtid="{D5CDD505-2E9C-101B-9397-08002B2CF9AE}" pid="3" name="_dlc_DocIdItemGuid">
    <vt:lpwstr>1b4da915-42eb-4886-856d-14ff3b6003d0</vt:lpwstr>
  </property>
  <property fmtid="{D5CDD505-2E9C-101B-9397-08002B2CF9AE}" pid="4" name="IWPOrganisationalUnit">
    <vt:lpwstr>5;#DfE|cc08a6d4-dfde-4d0f-bd85-069ebcef80d5</vt:lpwstr>
  </property>
  <property fmtid="{D5CDD505-2E9C-101B-9397-08002B2CF9AE}" pid="5" name="IWPOwner">
    <vt:lpwstr>2;#DfE|a484111e-5b24-4ad9-9778-c536c8c88985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3;#Official|0884c477-2e62-47ea-b19c-5af6e91124c5</vt:lpwstr>
  </property>
</Properties>
</file>