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138CF" w14:textId="6B06FE48" w:rsidR="005935FE" w:rsidRDefault="005935FE" w:rsidP="005935FE">
      <w:pPr>
        <w:pStyle w:val="DeptBullets"/>
        <w:numPr>
          <w:ilvl w:val="0"/>
          <w:numId w:val="0"/>
        </w:numPr>
        <w:spacing w:after="0"/>
        <w:rPr>
          <w:rFonts w:cs="Arial"/>
          <w:b/>
          <w:szCs w:val="24"/>
        </w:rPr>
      </w:pPr>
      <w:r w:rsidRPr="005935FE">
        <w:rPr>
          <w:rFonts w:cs="Arial"/>
          <w:b/>
          <w:szCs w:val="24"/>
        </w:rPr>
        <w:t xml:space="preserve">Teachers’ Pension Scheme Pension Board – </w:t>
      </w:r>
      <w:r w:rsidR="00E12618">
        <w:rPr>
          <w:rFonts w:cs="Arial"/>
          <w:b/>
          <w:szCs w:val="24"/>
        </w:rPr>
        <w:t>November, December 2015 and January 2016</w:t>
      </w:r>
    </w:p>
    <w:p w14:paraId="708D2A73" w14:textId="77777777" w:rsidR="00F13537" w:rsidRPr="005935FE" w:rsidRDefault="00F13537" w:rsidP="005935FE">
      <w:pPr>
        <w:pStyle w:val="DeptBullets"/>
        <w:numPr>
          <w:ilvl w:val="0"/>
          <w:numId w:val="0"/>
        </w:numPr>
        <w:spacing w:after="0"/>
        <w:rPr>
          <w:rFonts w:cs="Arial"/>
          <w:b/>
          <w:szCs w:val="24"/>
        </w:rPr>
      </w:pPr>
    </w:p>
    <w:p w14:paraId="72A26207" w14:textId="77777777" w:rsidR="005935FE" w:rsidRPr="005935FE" w:rsidRDefault="005935FE" w:rsidP="005935FE">
      <w:pPr>
        <w:rPr>
          <w:rFonts w:cs="Arial"/>
          <w:b/>
          <w:szCs w:val="24"/>
          <w:u w:val="single"/>
        </w:rPr>
      </w:pPr>
      <w:r w:rsidRPr="005935FE">
        <w:rPr>
          <w:rFonts w:cs="Arial"/>
          <w:szCs w:val="24"/>
        </w:rPr>
        <w:t xml:space="preserve">The purpose of this document is to advise the </w:t>
      </w:r>
      <w:r w:rsidR="00F13537">
        <w:rPr>
          <w:rFonts w:cs="Arial"/>
          <w:szCs w:val="24"/>
        </w:rPr>
        <w:t xml:space="preserve">TPS Pension </w:t>
      </w:r>
      <w:r w:rsidRPr="005935FE">
        <w:rPr>
          <w:rFonts w:cs="Arial"/>
          <w:szCs w:val="24"/>
        </w:rPr>
        <w:t>Board of recent key events relating to the administration of the scheme.</w:t>
      </w:r>
    </w:p>
    <w:p w14:paraId="5A97A818" w14:textId="77777777" w:rsidR="005935FE" w:rsidRPr="005935FE" w:rsidRDefault="005935FE" w:rsidP="005935FE">
      <w:pPr>
        <w:jc w:val="center"/>
        <w:rPr>
          <w:rFonts w:cs="Arial"/>
          <w:b/>
          <w:szCs w:val="24"/>
        </w:rPr>
      </w:pPr>
    </w:p>
    <w:p w14:paraId="07187CCF" w14:textId="77777777" w:rsidR="005935FE" w:rsidRPr="005935FE" w:rsidRDefault="005935FE" w:rsidP="005935FE">
      <w:pPr>
        <w:jc w:val="center"/>
        <w:rPr>
          <w:rFonts w:cs="Arial"/>
          <w:b/>
          <w:szCs w:val="24"/>
        </w:rPr>
      </w:pPr>
      <w:r w:rsidRPr="005935FE">
        <w:rPr>
          <w:rFonts w:cs="Arial"/>
          <w:b/>
          <w:szCs w:val="24"/>
        </w:rPr>
        <w:t>TP Administration Update</w:t>
      </w:r>
    </w:p>
    <w:p w14:paraId="5178CDBE" w14:textId="77777777" w:rsidR="005935FE" w:rsidRPr="005935FE" w:rsidRDefault="005935FE" w:rsidP="005935FE">
      <w:pPr>
        <w:jc w:val="center"/>
        <w:rPr>
          <w:rFonts w:cs="Arial"/>
          <w:b/>
          <w:szCs w:val="24"/>
        </w:rPr>
      </w:pPr>
    </w:p>
    <w:p w14:paraId="0B9AC26B" w14:textId="77777777" w:rsidR="00495B2F" w:rsidRPr="00495B2F" w:rsidRDefault="00495B2F" w:rsidP="005935FE">
      <w:pPr>
        <w:pStyle w:val="DeptBullets"/>
        <w:numPr>
          <w:ilvl w:val="0"/>
          <w:numId w:val="0"/>
        </w:numPr>
        <w:spacing w:after="0"/>
        <w:rPr>
          <w:rFonts w:cs="Arial"/>
          <w:b/>
          <w:szCs w:val="24"/>
        </w:rPr>
      </w:pPr>
      <w:r w:rsidRPr="00495B2F">
        <w:rPr>
          <w:rFonts w:cs="Arial"/>
          <w:b/>
          <w:szCs w:val="24"/>
        </w:rPr>
        <w:t>Guaranteed Minimum Pensions</w:t>
      </w:r>
    </w:p>
    <w:p w14:paraId="3435BE7A" w14:textId="4B213D3D" w:rsidR="005935FE" w:rsidRDefault="00E12618" w:rsidP="005935FE">
      <w:pPr>
        <w:pStyle w:val="DeptBullets"/>
        <w:numPr>
          <w:ilvl w:val="0"/>
          <w:numId w:val="0"/>
        </w:numPr>
        <w:spacing w:after="0"/>
        <w:rPr>
          <w:rFonts w:cs="Arial"/>
          <w:szCs w:val="24"/>
        </w:rPr>
      </w:pPr>
      <w:r>
        <w:rPr>
          <w:rFonts w:cs="Arial"/>
          <w:szCs w:val="24"/>
        </w:rPr>
        <w:t>This quarter saw the creation of the GM</w:t>
      </w:r>
      <w:r w:rsidR="00C86034">
        <w:rPr>
          <w:rFonts w:cs="Arial"/>
          <w:szCs w:val="24"/>
        </w:rPr>
        <w:t>P reconciliation team</w:t>
      </w:r>
      <w:r w:rsidR="00F012A7">
        <w:rPr>
          <w:rFonts w:cs="Arial"/>
          <w:szCs w:val="24"/>
        </w:rPr>
        <w:t>;</w:t>
      </w:r>
      <w:r w:rsidR="00C86034">
        <w:rPr>
          <w:rFonts w:cs="Arial"/>
          <w:szCs w:val="24"/>
        </w:rPr>
        <w:t xml:space="preserve"> 24 staff</w:t>
      </w:r>
      <w:r w:rsidR="00DA06BC" w:rsidRPr="00DA06BC">
        <w:rPr>
          <w:rFonts w:cs="Arial"/>
          <w:color w:val="FF0000"/>
          <w:szCs w:val="24"/>
        </w:rPr>
        <w:t xml:space="preserve"> </w:t>
      </w:r>
      <w:proofErr w:type="gramStart"/>
      <w:r>
        <w:rPr>
          <w:rFonts w:cs="Arial"/>
          <w:szCs w:val="24"/>
        </w:rPr>
        <w:t>are</w:t>
      </w:r>
      <w:proofErr w:type="gramEnd"/>
      <w:r>
        <w:rPr>
          <w:rFonts w:cs="Arial"/>
          <w:szCs w:val="24"/>
        </w:rPr>
        <w:t xml:space="preserve"> in post working on records for deferred members who joined the scheme before 1997. </w:t>
      </w:r>
    </w:p>
    <w:p w14:paraId="0655FADC" w14:textId="77777777" w:rsidR="00E12618" w:rsidRDefault="00E12618" w:rsidP="005935FE">
      <w:pPr>
        <w:pStyle w:val="DeptBullets"/>
        <w:numPr>
          <w:ilvl w:val="0"/>
          <w:numId w:val="0"/>
        </w:numPr>
        <w:spacing w:after="0"/>
        <w:rPr>
          <w:rFonts w:cs="Arial"/>
          <w:szCs w:val="24"/>
        </w:rPr>
      </w:pPr>
    </w:p>
    <w:p w14:paraId="55373A1B" w14:textId="77777777" w:rsidR="00495B2F" w:rsidRPr="00495B2F" w:rsidRDefault="00495B2F" w:rsidP="00DA06BC">
      <w:pPr>
        <w:pStyle w:val="DeptBullets"/>
        <w:numPr>
          <w:ilvl w:val="0"/>
          <w:numId w:val="0"/>
        </w:numPr>
        <w:spacing w:after="0"/>
        <w:rPr>
          <w:rFonts w:cs="Arial"/>
          <w:b/>
          <w:szCs w:val="24"/>
        </w:rPr>
      </w:pPr>
      <w:r w:rsidRPr="00495B2F">
        <w:rPr>
          <w:rFonts w:cs="Arial"/>
          <w:b/>
          <w:szCs w:val="24"/>
        </w:rPr>
        <w:t>Fraud Incident</w:t>
      </w:r>
    </w:p>
    <w:p w14:paraId="3FCC9A3C" w14:textId="42BCFBB2" w:rsidR="00DA06BC" w:rsidRDefault="00DA06BC" w:rsidP="00DA06BC">
      <w:pPr>
        <w:pStyle w:val="DeptBullets"/>
        <w:numPr>
          <w:ilvl w:val="0"/>
          <w:numId w:val="0"/>
        </w:numPr>
        <w:spacing w:after="0"/>
        <w:rPr>
          <w:rFonts w:cs="Arial"/>
          <w:szCs w:val="24"/>
        </w:rPr>
      </w:pPr>
      <w:r w:rsidRPr="00F1700E">
        <w:rPr>
          <w:rFonts w:cs="Arial"/>
          <w:szCs w:val="24"/>
        </w:rPr>
        <w:t xml:space="preserve">The Police investigation </w:t>
      </w:r>
      <w:r>
        <w:rPr>
          <w:rFonts w:cs="Arial"/>
          <w:szCs w:val="24"/>
        </w:rPr>
        <w:t xml:space="preserve">into the fraud incident reported in August </w:t>
      </w:r>
      <w:r w:rsidRPr="00F1700E">
        <w:rPr>
          <w:rFonts w:cs="Arial"/>
          <w:szCs w:val="24"/>
        </w:rPr>
        <w:t xml:space="preserve">continues </w:t>
      </w:r>
      <w:r>
        <w:rPr>
          <w:rFonts w:cs="Arial"/>
          <w:szCs w:val="24"/>
        </w:rPr>
        <w:t>but there is no indication when the case is likely to go to court.  We have good links with the police who understand the importance of notifying us early regarding the court proceedings.  As explained in previous reports, n</w:t>
      </w:r>
      <w:r w:rsidRPr="00F1700E">
        <w:rPr>
          <w:rFonts w:cs="Arial"/>
          <w:szCs w:val="24"/>
        </w:rPr>
        <w:t>o member suffered any detriment and Capita have indemnified the scheme in full.</w:t>
      </w:r>
    </w:p>
    <w:p w14:paraId="2745C3F1" w14:textId="77777777" w:rsidR="00DA06BC" w:rsidRDefault="00DA06BC" w:rsidP="00DA06BC">
      <w:pPr>
        <w:pStyle w:val="DeptBullets"/>
        <w:numPr>
          <w:ilvl w:val="0"/>
          <w:numId w:val="0"/>
        </w:numPr>
        <w:spacing w:after="0"/>
        <w:rPr>
          <w:rFonts w:cs="Arial"/>
          <w:szCs w:val="24"/>
        </w:rPr>
      </w:pPr>
    </w:p>
    <w:p w14:paraId="40F379B8" w14:textId="69CABC33" w:rsidR="00DA06BC" w:rsidRDefault="00495B2F" w:rsidP="005935FE">
      <w:pPr>
        <w:pStyle w:val="DeptBullets"/>
        <w:numPr>
          <w:ilvl w:val="0"/>
          <w:numId w:val="0"/>
        </w:numPr>
        <w:spacing w:after="0"/>
        <w:rPr>
          <w:rFonts w:cs="Arial"/>
          <w:szCs w:val="24"/>
        </w:rPr>
      </w:pPr>
      <w:r>
        <w:rPr>
          <w:rFonts w:cs="Arial"/>
          <w:szCs w:val="24"/>
        </w:rPr>
        <w:t>T</w:t>
      </w:r>
      <w:r w:rsidR="00E12618">
        <w:rPr>
          <w:rFonts w:cs="Arial"/>
          <w:szCs w:val="24"/>
        </w:rPr>
        <w:t xml:space="preserve">he </w:t>
      </w:r>
      <w:r w:rsidR="00EB15F7">
        <w:rPr>
          <w:rFonts w:cs="Arial"/>
          <w:szCs w:val="24"/>
        </w:rPr>
        <w:t xml:space="preserve">recommendations made by Capita’s Group Internal Audit and the Government Internal Audit Agency (GIAA) after the </w:t>
      </w:r>
      <w:r w:rsidR="00DA06BC">
        <w:rPr>
          <w:rFonts w:cs="Arial"/>
          <w:szCs w:val="24"/>
        </w:rPr>
        <w:t>i</w:t>
      </w:r>
      <w:r w:rsidR="00EB15F7">
        <w:rPr>
          <w:rFonts w:cs="Arial"/>
          <w:szCs w:val="24"/>
        </w:rPr>
        <w:t>ncident have been fully implemented</w:t>
      </w:r>
      <w:r w:rsidR="00F012A7">
        <w:rPr>
          <w:rFonts w:cs="Arial"/>
          <w:szCs w:val="24"/>
        </w:rPr>
        <w:t>,</w:t>
      </w:r>
      <w:r w:rsidR="00EB15F7">
        <w:rPr>
          <w:rFonts w:cs="Arial"/>
          <w:szCs w:val="24"/>
        </w:rPr>
        <w:t xml:space="preserve"> with the exception of the proposed control to trawl against staff bank accounts</w:t>
      </w:r>
      <w:r w:rsidR="00F012A7">
        <w:rPr>
          <w:rFonts w:cs="Arial"/>
          <w:szCs w:val="24"/>
        </w:rPr>
        <w:t xml:space="preserve">.  </w:t>
      </w:r>
      <w:r w:rsidR="00EB15F7">
        <w:rPr>
          <w:rFonts w:cs="Arial"/>
          <w:szCs w:val="24"/>
        </w:rPr>
        <w:t>Capita’s view was that</w:t>
      </w:r>
      <w:r>
        <w:rPr>
          <w:rFonts w:cs="Arial"/>
          <w:szCs w:val="24"/>
        </w:rPr>
        <w:t>,</w:t>
      </w:r>
      <w:r w:rsidR="00EB15F7">
        <w:rPr>
          <w:rFonts w:cs="Arial"/>
          <w:szCs w:val="24"/>
        </w:rPr>
        <w:t xml:space="preserve"> after investigation</w:t>
      </w:r>
      <w:r>
        <w:rPr>
          <w:rFonts w:cs="Arial"/>
          <w:szCs w:val="24"/>
        </w:rPr>
        <w:t>,</w:t>
      </w:r>
      <w:r w:rsidR="00EB15F7">
        <w:rPr>
          <w:rFonts w:cs="Arial"/>
          <w:szCs w:val="24"/>
        </w:rPr>
        <w:t xml:space="preserve"> this was not feasible </w:t>
      </w:r>
      <w:r>
        <w:rPr>
          <w:rFonts w:cs="Arial"/>
          <w:szCs w:val="24"/>
        </w:rPr>
        <w:t xml:space="preserve">or necessary </w:t>
      </w:r>
      <w:r w:rsidR="00EB15F7">
        <w:rPr>
          <w:rFonts w:cs="Arial"/>
          <w:szCs w:val="24"/>
        </w:rPr>
        <w:t xml:space="preserve">to implement.  GIAA are content that </w:t>
      </w:r>
      <w:r w:rsidR="00EB15F7" w:rsidRPr="00EB15F7">
        <w:rPr>
          <w:rFonts w:cs="Arial"/>
          <w:szCs w:val="24"/>
        </w:rPr>
        <w:t>other controls reduce the risk to an acceptable level</w:t>
      </w:r>
      <w:r w:rsidR="00DA06BC">
        <w:rPr>
          <w:rFonts w:cs="Arial"/>
          <w:szCs w:val="24"/>
        </w:rPr>
        <w:t>,</w:t>
      </w:r>
      <w:r w:rsidR="00EB15F7">
        <w:rPr>
          <w:rFonts w:cs="Arial"/>
          <w:szCs w:val="24"/>
        </w:rPr>
        <w:t xml:space="preserve"> subject to </w:t>
      </w:r>
      <w:r w:rsidR="00EB15F7" w:rsidRPr="00EB15F7">
        <w:rPr>
          <w:rFonts w:cs="Arial"/>
          <w:szCs w:val="24"/>
        </w:rPr>
        <w:t xml:space="preserve">review </w:t>
      </w:r>
      <w:r w:rsidR="00DA06BC">
        <w:rPr>
          <w:rFonts w:cs="Arial"/>
          <w:szCs w:val="24"/>
        </w:rPr>
        <w:t xml:space="preserve">of the </w:t>
      </w:r>
      <w:r w:rsidR="00EB15F7" w:rsidRPr="00EB15F7">
        <w:rPr>
          <w:rFonts w:cs="Arial"/>
          <w:szCs w:val="24"/>
        </w:rPr>
        <w:t xml:space="preserve">effectiveness of the new operating model in </w:t>
      </w:r>
      <w:r w:rsidR="00DA06BC">
        <w:rPr>
          <w:rFonts w:cs="Arial"/>
          <w:szCs w:val="24"/>
        </w:rPr>
        <w:t>quarter 2 this year.</w:t>
      </w:r>
      <w:r w:rsidR="00B27400">
        <w:rPr>
          <w:rFonts w:cs="Arial"/>
          <w:szCs w:val="24"/>
        </w:rPr>
        <w:t xml:space="preserve">  </w:t>
      </w:r>
      <w:r w:rsidR="00E711FD" w:rsidRPr="008E0007">
        <w:rPr>
          <w:rFonts w:cs="Arial"/>
          <w:szCs w:val="24"/>
          <w:highlight w:val="black"/>
        </w:rPr>
        <w:t>&lt;</w:t>
      </w:r>
      <w:proofErr w:type="gramStart"/>
      <w:r w:rsidR="00E711FD" w:rsidRPr="008E0007">
        <w:rPr>
          <w:rFonts w:cs="Arial"/>
          <w:szCs w:val="24"/>
          <w:highlight w:val="black"/>
        </w:rPr>
        <w:t>redacted</w:t>
      </w:r>
      <w:proofErr w:type="gramEnd"/>
      <w:r w:rsidR="00E711FD" w:rsidRPr="008E0007">
        <w:rPr>
          <w:rFonts w:cs="Arial"/>
          <w:szCs w:val="24"/>
          <w:highlight w:val="black"/>
        </w:rPr>
        <w:t xml:space="preserve">&gt; &lt;redacted&gt; &lt;redacted&gt; &lt;redacted&gt; &lt;redacted&gt; &lt;redacted&gt; &lt;redacted&gt; </w:t>
      </w:r>
      <w:r w:rsidR="00B27400" w:rsidRPr="008E0007">
        <w:rPr>
          <w:rFonts w:cs="Arial"/>
          <w:szCs w:val="24"/>
          <w:highlight w:val="black"/>
        </w:rPr>
        <w:t xml:space="preserve"> </w:t>
      </w:r>
      <w:r w:rsidR="00E711FD" w:rsidRPr="008E0007">
        <w:rPr>
          <w:rFonts w:cs="Arial"/>
          <w:szCs w:val="24"/>
          <w:highlight w:val="black"/>
        </w:rPr>
        <w:t>&lt;redacted&gt; &lt;redacted&gt; &lt;redacted&gt; &lt;redacted&gt;</w:t>
      </w:r>
      <w:r w:rsidR="00F012A7" w:rsidRPr="008E0007">
        <w:rPr>
          <w:rFonts w:cs="Arial"/>
          <w:szCs w:val="24"/>
          <w:highlight w:val="black"/>
        </w:rPr>
        <w:t>.</w:t>
      </w:r>
      <w:bookmarkStart w:id="0" w:name="_GoBack"/>
      <w:bookmarkEnd w:id="0"/>
    </w:p>
    <w:p w14:paraId="0048FDA5" w14:textId="77777777" w:rsidR="00DA06BC" w:rsidRDefault="00DA06BC" w:rsidP="005935FE">
      <w:pPr>
        <w:pStyle w:val="DeptBullets"/>
        <w:numPr>
          <w:ilvl w:val="0"/>
          <w:numId w:val="0"/>
        </w:numPr>
        <w:spacing w:after="0"/>
        <w:rPr>
          <w:rFonts w:cs="Arial"/>
          <w:szCs w:val="24"/>
        </w:rPr>
      </w:pPr>
    </w:p>
    <w:p w14:paraId="2C04C4BF" w14:textId="77777777" w:rsidR="00495B2F" w:rsidRPr="00495B2F" w:rsidRDefault="00495B2F" w:rsidP="00F1700E">
      <w:pPr>
        <w:pStyle w:val="DeptBullets"/>
        <w:numPr>
          <w:ilvl w:val="0"/>
          <w:numId w:val="0"/>
        </w:numPr>
        <w:spacing w:after="0"/>
        <w:rPr>
          <w:rFonts w:cs="Arial"/>
          <w:b/>
          <w:szCs w:val="24"/>
        </w:rPr>
      </w:pPr>
      <w:r w:rsidRPr="00495B2F">
        <w:rPr>
          <w:rFonts w:cs="Arial"/>
          <w:b/>
          <w:szCs w:val="24"/>
        </w:rPr>
        <w:t>Annual Service Returns – Contribution Data</w:t>
      </w:r>
    </w:p>
    <w:p w14:paraId="3723088D" w14:textId="30B3DAEC" w:rsidR="00C43964" w:rsidRDefault="00DA06BC" w:rsidP="00F1700E">
      <w:pPr>
        <w:pStyle w:val="DeptBullets"/>
        <w:numPr>
          <w:ilvl w:val="0"/>
          <w:numId w:val="0"/>
        </w:numPr>
        <w:spacing w:after="0"/>
        <w:rPr>
          <w:rFonts w:cs="Arial"/>
          <w:szCs w:val="24"/>
        </w:rPr>
      </w:pPr>
      <w:r>
        <w:rPr>
          <w:rFonts w:cs="Arial"/>
          <w:szCs w:val="24"/>
        </w:rPr>
        <w:t>The submission rate for</w:t>
      </w:r>
      <w:r w:rsidR="005A1779">
        <w:rPr>
          <w:rFonts w:cs="Arial"/>
          <w:szCs w:val="24"/>
        </w:rPr>
        <w:t xml:space="preserve"> Annual Service Returns for 201</w:t>
      </w:r>
      <w:r w:rsidR="00FD1074">
        <w:rPr>
          <w:rFonts w:cs="Arial"/>
          <w:szCs w:val="24"/>
        </w:rPr>
        <w:t>4/15</w:t>
      </w:r>
      <w:r>
        <w:rPr>
          <w:rFonts w:cs="Arial"/>
          <w:szCs w:val="24"/>
        </w:rPr>
        <w:t xml:space="preserve"> has been much better than in previous years, </w:t>
      </w:r>
      <w:r w:rsidR="00C43964">
        <w:rPr>
          <w:rFonts w:cs="Arial"/>
          <w:szCs w:val="24"/>
        </w:rPr>
        <w:t xml:space="preserve">details relating to </w:t>
      </w:r>
      <w:r w:rsidR="00A5043A">
        <w:rPr>
          <w:rFonts w:cs="Arial"/>
          <w:szCs w:val="24"/>
        </w:rPr>
        <w:t xml:space="preserve">all but 959 members </w:t>
      </w:r>
      <w:r w:rsidR="00C43964">
        <w:rPr>
          <w:rFonts w:cs="Arial"/>
          <w:szCs w:val="24"/>
        </w:rPr>
        <w:t xml:space="preserve">been received, </w:t>
      </w:r>
      <w:r w:rsidR="00A5043A">
        <w:rPr>
          <w:rFonts w:cs="Arial"/>
          <w:szCs w:val="24"/>
        </w:rPr>
        <w:t>compared to 9,675</w:t>
      </w:r>
      <w:r w:rsidR="00C43964">
        <w:rPr>
          <w:rFonts w:cs="Arial"/>
          <w:szCs w:val="24"/>
        </w:rPr>
        <w:t xml:space="preserve"> </w:t>
      </w:r>
      <w:r w:rsidR="00A5043A">
        <w:rPr>
          <w:rFonts w:cs="Arial"/>
          <w:szCs w:val="24"/>
        </w:rPr>
        <w:t xml:space="preserve">outstanding </w:t>
      </w:r>
      <w:r w:rsidR="00C43964">
        <w:rPr>
          <w:rFonts w:cs="Arial"/>
          <w:szCs w:val="24"/>
        </w:rPr>
        <w:t>this time this year.  TP have been working with those employer</w:t>
      </w:r>
      <w:r w:rsidR="00EC7FEA">
        <w:rPr>
          <w:rFonts w:cs="Arial"/>
          <w:szCs w:val="24"/>
        </w:rPr>
        <w:t>s</w:t>
      </w:r>
      <w:r w:rsidR="00C43964">
        <w:rPr>
          <w:rFonts w:cs="Arial"/>
          <w:szCs w:val="24"/>
        </w:rPr>
        <w:t xml:space="preserve"> that are late, helping them to resolve issue</w:t>
      </w:r>
      <w:r w:rsidR="001420B1">
        <w:rPr>
          <w:rFonts w:cs="Arial"/>
          <w:szCs w:val="24"/>
        </w:rPr>
        <w:t>s</w:t>
      </w:r>
      <w:r w:rsidR="00C43964">
        <w:rPr>
          <w:rFonts w:cs="Arial"/>
          <w:szCs w:val="24"/>
        </w:rPr>
        <w:t xml:space="preserve"> and promoting the use of Monthly Data Collection as an alternative.  </w:t>
      </w:r>
    </w:p>
    <w:p w14:paraId="2279FE52" w14:textId="77777777" w:rsidR="00C43964" w:rsidRDefault="00C43964" w:rsidP="00F1700E">
      <w:pPr>
        <w:pStyle w:val="DeptBullets"/>
        <w:numPr>
          <w:ilvl w:val="0"/>
          <w:numId w:val="0"/>
        </w:numPr>
        <w:spacing w:after="0"/>
        <w:rPr>
          <w:rFonts w:cs="Arial"/>
          <w:szCs w:val="24"/>
        </w:rPr>
      </w:pPr>
    </w:p>
    <w:p w14:paraId="6E807EEB" w14:textId="77777777" w:rsidR="00495B2F" w:rsidRPr="00495B2F" w:rsidRDefault="00495B2F" w:rsidP="00F1700E">
      <w:pPr>
        <w:pStyle w:val="DeptBullets"/>
        <w:numPr>
          <w:ilvl w:val="0"/>
          <w:numId w:val="0"/>
        </w:numPr>
        <w:spacing w:after="0"/>
        <w:rPr>
          <w:rFonts w:cs="Arial"/>
          <w:b/>
          <w:szCs w:val="24"/>
        </w:rPr>
      </w:pPr>
      <w:r w:rsidRPr="00495B2F">
        <w:rPr>
          <w:rFonts w:cs="Arial"/>
          <w:b/>
          <w:szCs w:val="24"/>
        </w:rPr>
        <w:t>Death in Service Payments</w:t>
      </w:r>
    </w:p>
    <w:p w14:paraId="4D84B4D8" w14:textId="5291DF27" w:rsidR="005935FE" w:rsidRDefault="00586042" w:rsidP="00F1700E">
      <w:pPr>
        <w:pStyle w:val="DeptBullets"/>
        <w:numPr>
          <w:ilvl w:val="0"/>
          <w:numId w:val="0"/>
        </w:numPr>
        <w:spacing w:after="0"/>
        <w:rPr>
          <w:rFonts w:cs="Arial"/>
          <w:szCs w:val="24"/>
        </w:rPr>
      </w:pPr>
      <w:r>
        <w:rPr>
          <w:rFonts w:cs="Arial"/>
          <w:szCs w:val="24"/>
        </w:rPr>
        <w:t>This quarter TP have taken responsibility for Death in Service payment</w:t>
      </w:r>
      <w:r w:rsidR="00F12C06">
        <w:rPr>
          <w:rFonts w:cs="Arial"/>
          <w:szCs w:val="24"/>
        </w:rPr>
        <w:t>s</w:t>
      </w:r>
      <w:r>
        <w:rPr>
          <w:rFonts w:cs="Arial"/>
          <w:szCs w:val="24"/>
        </w:rPr>
        <w:t xml:space="preserve"> from employers.  Feedback from employers was that they did not have the capacity or capabili</w:t>
      </w:r>
      <w:r w:rsidR="00F12C06">
        <w:rPr>
          <w:rFonts w:cs="Arial"/>
          <w:szCs w:val="24"/>
        </w:rPr>
        <w:t>ty to progress these quickly and</w:t>
      </w:r>
      <w:r w:rsidR="001420B1">
        <w:rPr>
          <w:rFonts w:cs="Arial"/>
          <w:szCs w:val="24"/>
        </w:rPr>
        <w:t xml:space="preserve"> many employers did not realise</w:t>
      </w:r>
      <w:r>
        <w:rPr>
          <w:rFonts w:cs="Arial"/>
          <w:szCs w:val="24"/>
        </w:rPr>
        <w:t xml:space="preserve"> that they had this responsibility at all.</w:t>
      </w:r>
    </w:p>
    <w:p w14:paraId="66922D87" w14:textId="77777777" w:rsidR="00586042" w:rsidRDefault="00586042" w:rsidP="00F1700E">
      <w:pPr>
        <w:pStyle w:val="DeptBullets"/>
        <w:numPr>
          <w:ilvl w:val="0"/>
          <w:numId w:val="0"/>
        </w:numPr>
        <w:spacing w:after="0"/>
        <w:rPr>
          <w:rFonts w:cs="Arial"/>
          <w:szCs w:val="24"/>
        </w:rPr>
      </w:pPr>
    </w:p>
    <w:p w14:paraId="412AB6A8" w14:textId="188A3F0B" w:rsidR="00495B2F" w:rsidRPr="00495B2F" w:rsidRDefault="00495B2F" w:rsidP="00DE20A7">
      <w:pPr>
        <w:rPr>
          <w:rFonts w:cs="Arial"/>
          <w:b/>
          <w:szCs w:val="24"/>
        </w:rPr>
      </w:pPr>
      <w:r w:rsidRPr="00495B2F">
        <w:rPr>
          <w:rFonts w:cs="Arial"/>
          <w:b/>
          <w:szCs w:val="24"/>
        </w:rPr>
        <w:t>Medical Advisers</w:t>
      </w:r>
    </w:p>
    <w:p w14:paraId="7790D0B1" w14:textId="2A70C01B" w:rsidR="00654828" w:rsidRDefault="00962FD4" w:rsidP="00DE20A7">
      <w:pPr>
        <w:rPr>
          <w:rFonts w:cs="Arial"/>
          <w:szCs w:val="24"/>
          <w:lang w:eastAsia="en-GB"/>
        </w:rPr>
      </w:pPr>
      <w:r>
        <w:rPr>
          <w:rFonts w:cs="Arial"/>
          <w:szCs w:val="24"/>
        </w:rPr>
        <w:t>Following</w:t>
      </w:r>
      <w:r w:rsidR="00495B2F">
        <w:rPr>
          <w:rFonts w:cs="Arial"/>
          <w:szCs w:val="24"/>
        </w:rPr>
        <w:t xml:space="preserve"> a</w:t>
      </w:r>
      <w:r>
        <w:rPr>
          <w:rFonts w:cs="Arial"/>
          <w:szCs w:val="24"/>
        </w:rPr>
        <w:t xml:space="preserve"> management buy-out of the medical services </w:t>
      </w:r>
      <w:r w:rsidR="00495B2F">
        <w:rPr>
          <w:rFonts w:cs="Arial"/>
          <w:szCs w:val="24"/>
        </w:rPr>
        <w:t>provider</w:t>
      </w:r>
      <w:r>
        <w:rPr>
          <w:rFonts w:cs="Arial"/>
          <w:szCs w:val="24"/>
        </w:rPr>
        <w:t xml:space="preserve"> advice was sought from procurement specialists in the Department</w:t>
      </w:r>
      <w:r w:rsidR="00F012A7">
        <w:rPr>
          <w:rFonts w:cs="Arial"/>
          <w:szCs w:val="24"/>
        </w:rPr>
        <w:t>,</w:t>
      </w:r>
      <w:r>
        <w:rPr>
          <w:rFonts w:cs="Arial"/>
          <w:szCs w:val="24"/>
        </w:rPr>
        <w:t xml:space="preserve"> and procurement lawyers from Government shared services</w:t>
      </w:r>
      <w:r w:rsidR="00F012A7">
        <w:rPr>
          <w:rFonts w:cs="Arial"/>
          <w:szCs w:val="24"/>
        </w:rPr>
        <w:t>,</w:t>
      </w:r>
      <w:r>
        <w:rPr>
          <w:rFonts w:cs="Arial"/>
          <w:szCs w:val="24"/>
        </w:rPr>
        <w:t xml:space="preserve"> to ensure the risks identified regarding the timing of the management buy-out were understood. Lawyers and procurement specialists were content </w:t>
      </w:r>
      <w:r w:rsidR="00495B2F">
        <w:rPr>
          <w:rFonts w:cs="Arial"/>
          <w:szCs w:val="24"/>
        </w:rPr>
        <w:t>that the validity of the contract could be re</w:t>
      </w:r>
      <w:r w:rsidR="00522C40">
        <w:rPr>
          <w:rFonts w:cs="Arial"/>
          <w:szCs w:val="24"/>
        </w:rPr>
        <w:t>affirmed</w:t>
      </w:r>
      <w:r w:rsidR="00495B2F">
        <w:rPr>
          <w:rFonts w:cs="Arial"/>
          <w:szCs w:val="24"/>
        </w:rPr>
        <w:t xml:space="preserve"> via novation agreement; this</w:t>
      </w:r>
      <w:r>
        <w:rPr>
          <w:rFonts w:cs="Arial"/>
          <w:szCs w:val="24"/>
        </w:rPr>
        <w:t xml:space="preserve"> was signed</w:t>
      </w:r>
      <w:r w:rsidR="007B5B46">
        <w:rPr>
          <w:rFonts w:cs="Arial"/>
          <w:szCs w:val="24"/>
        </w:rPr>
        <w:t xml:space="preserve"> on 10 February by all parties. </w:t>
      </w:r>
      <w:r>
        <w:rPr>
          <w:rFonts w:cs="Arial"/>
          <w:szCs w:val="24"/>
        </w:rPr>
        <w:t xml:space="preserve"> The service remains at a good level and has</w:t>
      </w:r>
      <w:r w:rsidR="00F012A7">
        <w:rPr>
          <w:rFonts w:cs="Arial"/>
          <w:szCs w:val="24"/>
        </w:rPr>
        <w:t xml:space="preserve"> not</w:t>
      </w:r>
      <w:r>
        <w:rPr>
          <w:rFonts w:cs="Arial"/>
          <w:szCs w:val="24"/>
        </w:rPr>
        <w:t xml:space="preserve"> been impacted by any of the changes.</w:t>
      </w:r>
    </w:p>
    <w:p w14:paraId="11ACC6A3" w14:textId="77777777" w:rsidR="00962FD4" w:rsidRDefault="00962FD4" w:rsidP="00DE20A7">
      <w:pPr>
        <w:rPr>
          <w:rFonts w:cs="Arial"/>
          <w:szCs w:val="24"/>
          <w:lang w:eastAsia="en-GB"/>
        </w:rPr>
      </w:pPr>
    </w:p>
    <w:p w14:paraId="771A9FD4" w14:textId="77777777" w:rsidR="005A1779" w:rsidRPr="005935FE" w:rsidRDefault="005A1779" w:rsidP="005935FE">
      <w:pPr>
        <w:jc w:val="center"/>
        <w:rPr>
          <w:rFonts w:cs="Arial"/>
          <w:b/>
          <w:szCs w:val="24"/>
        </w:rPr>
      </w:pPr>
    </w:p>
    <w:tbl>
      <w:tblPr>
        <w:tblStyle w:val="TableGrid"/>
        <w:tblW w:w="0" w:type="auto"/>
        <w:tblInd w:w="108" w:type="dxa"/>
        <w:tblLook w:val="04A0" w:firstRow="1" w:lastRow="0" w:firstColumn="1" w:lastColumn="0" w:noHBand="0" w:noVBand="1"/>
      </w:tblPr>
      <w:tblGrid>
        <w:gridCol w:w="7230"/>
        <w:gridCol w:w="1134"/>
      </w:tblGrid>
      <w:tr w:rsidR="005935FE" w:rsidRPr="005935FE" w14:paraId="3961AE34" w14:textId="77777777" w:rsidTr="00F012A7">
        <w:tc>
          <w:tcPr>
            <w:tcW w:w="7230" w:type="dxa"/>
          </w:tcPr>
          <w:p w14:paraId="69B5D6F9" w14:textId="63426FB0" w:rsidR="005935FE" w:rsidRPr="005935FE" w:rsidRDefault="005935FE" w:rsidP="00256380">
            <w:pPr>
              <w:rPr>
                <w:rFonts w:cs="Arial"/>
                <w:b/>
                <w:szCs w:val="24"/>
              </w:rPr>
            </w:pPr>
            <w:r w:rsidRPr="005935FE">
              <w:rPr>
                <w:rFonts w:cs="Arial"/>
                <w:b/>
                <w:color w:val="000000"/>
                <w:szCs w:val="24"/>
                <w:lang w:eastAsia="en-GB"/>
              </w:rPr>
              <w:t>Customer Satisfaction</w:t>
            </w:r>
            <w:r w:rsidR="00F12C06">
              <w:rPr>
                <w:rFonts w:cs="Arial"/>
                <w:b/>
                <w:color w:val="000000"/>
                <w:szCs w:val="24"/>
                <w:lang w:eastAsia="en-GB"/>
              </w:rPr>
              <w:t xml:space="preserve"> </w:t>
            </w:r>
          </w:p>
        </w:tc>
        <w:tc>
          <w:tcPr>
            <w:tcW w:w="1134" w:type="dxa"/>
            <w:shd w:val="clear" w:color="auto" w:fill="00B050"/>
          </w:tcPr>
          <w:p w14:paraId="000503F3" w14:textId="3B15AD50" w:rsidR="005935FE" w:rsidRPr="00F012A7" w:rsidRDefault="00F012A7" w:rsidP="005935FE">
            <w:pPr>
              <w:rPr>
                <w:rFonts w:cs="Arial"/>
                <w:color w:val="FFFF00"/>
                <w:szCs w:val="24"/>
                <w:highlight w:val="darkGreen"/>
              </w:rPr>
            </w:pPr>
            <w:r w:rsidRPr="00F012A7">
              <w:rPr>
                <w:rFonts w:cs="Arial"/>
                <w:noProof/>
                <w:color w:val="00B050"/>
                <w:szCs w:val="24"/>
                <w:highlight w:val="darkGreen"/>
                <w:lang w:eastAsia="en-GB"/>
              </w:rPr>
              <mc:AlternateContent>
                <mc:Choice Requires="wps">
                  <w:drawing>
                    <wp:anchor distT="0" distB="0" distL="114300" distR="114300" simplePos="0" relativeHeight="251659264" behindDoc="0" locked="0" layoutInCell="1" allowOverlap="1" wp14:anchorId="63A42D9D" wp14:editId="5FE8ECCA">
                      <wp:simplePos x="0" y="0"/>
                      <wp:positionH relativeFrom="column">
                        <wp:posOffset>133350</wp:posOffset>
                      </wp:positionH>
                      <wp:positionV relativeFrom="paragraph">
                        <wp:posOffset>107950</wp:posOffset>
                      </wp:positionV>
                      <wp:extent cx="350520" cy="91440"/>
                      <wp:effectExtent l="38100" t="57150" r="11430" b="80010"/>
                      <wp:wrapNone/>
                      <wp:docPr id="1" name="Straight Arrow Connector 1"/>
                      <wp:cNvGraphicFramePr/>
                      <a:graphic xmlns:a="http://schemas.openxmlformats.org/drawingml/2006/main">
                        <a:graphicData uri="http://schemas.microsoft.com/office/word/2010/wordprocessingShape">
                          <wps:wsp>
                            <wps:cNvCnPr/>
                            <wps:spPr>
                              <a:xfrm flipV="1">
                                <a:off x="0" y="0"/>
                                <a:ext cx="350520" cy="914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0.5pt;margin-top:8.5pt;width:27.6pt;height:7.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" strokecolor="black [3200]" strokeweight="2pt">
                      <v:stroke endarrow="open"/>
                      <v:shadow on="t" color="black" opacity="24903f" origin=",.5" offset="0,.55556mm"/>
                    </v:shape>
                  </w:pict>
                </mc:Fallback>
              </mc:AlternateContent>
            </w:r>
          </w:p>
          <w:p w14:paraId="5B752D8F" w14:textId="623F8D1E" w:rsidR="005935FE" w:rsidRPr="00F012A7" w:rsidRDefault="005935FE" w:rsidP="005935FE">
            <w:pPr>
              <w:rPr>
                <w:rFonts w:cs="Arial"/>
                <w:color w:val="00B050"/>
                <w:szCs w:val="24"/>
                <w:highlight w:val="darkGreen"/>
              </w:rPr>
            </w:pPr>
          </w:p>
        </w:tc>
      </w:tr>
    </w:tbl>
    <w:p w14:paraId="7364CDC4" w14:textId="77777777" w:rsidR="005935FE" w:rsidRDefault="005935FE" w:rsidP="005935FE">
      <w:pPr>
        <w:pStyle w:val="DeptBullets"/>
        <w:numPr>
          <w:ilvl w:val="0"/>
          <w:numId w:val="0"/>
        </w:numPr>
        <w:spacing w:after="0"/>
        <w:rPr>
          <w:rFonts w:cs="Arial"/>
          <w:szCs w:val="24"/>
        </w:rPr>
      </w:pPr>
    </w:p>
    <w:p w14:paraId="3399461F" w14:textId="2FC2A37D" w:rsidR="005935FE" w:rsidRDefault="005935FE" w:rsidP="005935FE">
      <w:pPr>
        <w:pStyle w:val="DeptBullets"/>
        <w:numPr>
          <w:ilvl w:val="0"/>
          <w:numId w:val="0"/>
        </w:numPr>
        <w:spacing w:after="0"/>
        <w:rPr>
          <w:rFonts w:cs="Arial"/>
          <w:szCs w:val="24"/>
        </w:rPr>
      </w:pPr>
      <w:r w:rsidRPr="00FE1B8F">
        <w:rPr>
          <w:rFonts w:cs="Arial"/>
          <w:szCs w:val="24"/>
        </w:rPr>
        <w:t xml:space="preserve">The regime of obtaining </w:t>
      </w:r>
      <w:r w:rsidR="00495B2F">
        <w:rPr>
          <w:rFonts w:cs="Arial"/>
          <w:szCs w:val="24"/>
        </w:rPr>
        <w:t xml:space="preserve">feedback on </w:t>
      </w:r>
      <w:r w:rsidRPr="00FE1B8F">
        <w:rPr>
          <w:rFonts w:cs="Arial"/>
          <w:szCs w:val="24"/>
        </w:rPr>
        <w:t xml:space="preserve">customer satisfaction as members and employer touch the operation continues with </w:t>
      </w:r>
      <w:r w:rsidR="00A5043A">
        <w:rPr>
          <w:rFonts w:cs="Arial"/>
          <w:szCs w:val="24"/>
        </w:rPr>
        <w:t>9,664</w:t>
      </w:r>
      <w:r w:rsidR="000F43AE">
        <w:rPr>
          <w:rFonts w:cs="Arial"/>
          <w:szCs w:val="24"/>
        </w:rPr>
        <w:t xml:space="preserve"> </w:t>
      </w:r>
      <w:r w:rsidR="000F43AE" w:rsidRPr="00FE1B8F">
        <w:rPr>
          <w:rFonts w:cs="Arial"/>
          <w:szCs w:val="24"/>
        </w:rPr>
        <w:t>items</w:t>
      </w:r>
      <w:r w:rsidRPr="00FE1B8F">
        <w:rPr>
          <w:rFonts w:cs="Arial"/>
          <w:szCs w:val="24"/>
        </w:rPr>
        <w:t xml:space="preserve"> of feedback received from members this quarter and </w:t>
      </w:r>
      <w:r w:rsidR="00A5043A">
        <w:rPr>
          <w:rFonts w:cs="Arial"/>
          <w:szCs w:val="24"/>
        </w:rPr>
        <w:t>1,302</w:t>
      </w:r>
      <w:r w:rsidR="000F43AE">
        <w:rPr>
          <w:rFonts w:cs="Arial"/>
          <w:szCs w:val="24"/>
        </w:rPr>
        <w:t xml:space="preserve"> </w:t>
      </w:r>
      <w:r w:rsidRPr="00FE1B8F">
        <w:rPr>
          <w:rFonts w:cs="Arial"/>
          <w:szCs w:val="24"/>
        </w:rPr>
        <w:t>received from employers.</w:t>
      </w:r>
      <w:r w:rsidR="006872B4">
        <w:rPr>
          <w:rFonts w:cs="Arial"/>
          <w:szCs w:val="24"/>
        </w:rPr>
        <w:t xml:space="preserve">  </w:t>
      </w:r>
      <w:r w:rsidRPr="00FE1B8F">
        <w:rPr>
          <w:rFonts w:cs="Arial"/>
          <w:szCs w:val="24"/>
        </w:rPr>
        <w:t>Member feedback is good across all measures</w:t>
      </w:r>
      <w:r w:rsidR="00F012A7">
        <w:rPr>
          <w:rFonts w:cs="Arial"/>
          <w:szCs w:val="24"/>
        </w:rPr>
        <w:t xml:space="preserve"> -</w:t>
      </w:r>
      <w:r w:rsidRPr="00FE1B8F">
        <w:rPr>
          <w:rFonts w:cs="Arial"/>
          <w:szCs w:val="24"/>
        </w:rPr>
        <w:t xml:space="preserve"> the contact centre achieving higher scores than other areas.</w:t>
      </w:r>
      <w:r w:rsidR="00A6626C">
        <w:rPr>
          <w:rFonts w:cs="Arial"/>
          <w:szCs w:val="24"/>
        </w:rPr>
        <w:t xml:space="preserve">  </w:t>
      </w:r>
      <w:r w:rsidR="00495B2F">
        <w:rPr>
          <w:rFonts w:cs="Arial"/>
          <w:szCs w:val="24"/>
        </w:rPr>
        <w:t>F</w:t>
      </w:r>
      <w:r w:rsidRPr="00FE1B8F">
        <w:rPr>
          <w:rFonts w:cs="Arial"/>
          <w:szCs w:val="24"/>
        </w:rPr>
        <w:t>eedback</w:t>
      </w:r>
      <w:r w:rsidR="00495B2F">
        <w:rPr>
          <w:rFonts w:cs="Arial"/>
          <w:szCs w:val="24"/>
        </w:rPr>
        <w:t xml:space="preserve"> from employers shows levels of </w:t>
      </w:r>
      <w:r w:rsidR="00A5043A">
        <w:rPr>
          <w:rFonts w:cs="Arial"/>
          <w:szCs w:val="24"/>
        </w:rPr>
        <w:t>satisfaction</w:t>
      </w:r>
      <w:r w:rsidR="00A5043A" w:rsidRPr="00FE1B8F">
        <w:rPr>
          <w:rFonts w:cs="Arial"/>
          <w:szCs w:val="24"/>
        </w:rPr>
        <w:t xml:space="preserve"> improving</w:t>
      </w:r>
      <w:r w:rsidR="00802EB7">
        <w:rPr>
          <w:rFonts w:cs="Arial"/>
          <w:szCs w:val="24"/>
        </w:rPr>
        <w:t xml:space="preserve"> and is now above target</w:t>
      </w:r>
      <w:r w:rsidRPr="00FE1B8F">
        <w:rPr>
          <w:rFonts w:cs="Arial"/>
          <w:szCs w:val="24"/>
        </w:rPr>
        <w:t xml:space="preserve">.  </w:t>
      </w:r>
    </w:p>
    <w:p w14:paraId="7CC10A0C" w14:textId="77777777" w:rsidR="00A6626C" w:rsidRDefault="00A6626C" w:rsidP="005935FE">
      <w:pPr>
        <w:pStyle w:val="DeptBullets"/>
        <w:numPr>
          <w:ilvl w:val="0"/>
          <w:numId w:val="0"/>
        </w:numPr>
        <w:spacing w:after="0"/>
        <w:rPr>
          <w:rFonts w:cs="Arial"/>
          <w:szCs w:val="24"/>
        </w:rPr>
      </w:pPr>
    </w:p>
    <w:p w14:paraId="14AB5876" w14:textId="41A7AD53" w:rsidR="00A6626C" w:rsidRDefault="00A6626C" w:rsidP="005935FE">
      <w:pPr>
        <w:pStyle w:val="DeptBullets"/>
        <w:numPr>
          <w:ilvl w:val="0"/>
          <w:numId w:val="0"/>
        </w:numPr>
        <w:spacing w:after="0"/>
        <w:rPr>
          <w:rFonts w:cs="Arial"/>
          <w:szCs w:val="24"/>
        </w:rPr>
      </w:pPr>
      <w:r>
        <w:rPr>
          <w:rFonts w:cs="Arial"/>
          <w:szCs w:val="24"/>
        </w:rPr>
        <w:t>TP have improved their procedures for following up on feedback this quarter.  Responsibility for contacting members and employers who have provided comments</w:t>
      </w:r>
      <w:r w:rsidR="00522C40">
        <w:rPr>
          <w:rFonts w:cs="Arial"/>
          <w:szCs w:val="24"/>
        </w:rPr>
        <w:t>,</w:t>
      </w:r>
      <w:r>
        <w:rPr>
          <w:rFonts w:cs="Arial"/>
          <w:szCs w:val="24"/>
        </w:rPr>
        <w:t xml:space="preserve"> and have indicated they are content to be contacted</w:t>
      </w:r>
      <w:r w:rsidR="00522C40">
        <w:rPr>
          <w:rFonts w:cs="Arial"/>
          <w:szCs w:val="24"/>
        </w:rPr>
        <w:t>,</w:t>
      </w:r>
      <w:r>
        <w:rPr>
          <w:rFonts w:cs="Arial"/>
          <w:szCs w:val="24"/>
        </w:rPr>
        <w:t xml:space="preserve"> has been passed to the manager of the team who provided the service</w:t>
      </w:r>
      <w:r w:rsidR="00440B25">
        <w:rPr>
          <w:rFonts w:cs="Arial"/>
          <w:szCs w:val="24"/>
        </w:rPr>
        <w:t>.  This</w:t>
      </w:r>
      <w:r>
        <w:rPr>
          <w:rFonts w:cs="Arial"/>
          <w:szCs w:val="24"/>
        </w:rPr>
        <w:t xml:space="preserve"> </w:t>
      </w:r>
      <w:r w:rsidR="007B5B46">
        <w:rPr>
          <w:rFonts w:cs="Arial"/>
          <w:szCs w:val="24"/>
        </w:rPr>
        <w:t>allows</w:t>
      </w:r>
      <w:r w:rsidR="00440B25">
        <w:rPr>
          <w:rFonts w:cs="Arial"/>
          <w:szCs w:val="24"/>
        </w:rPr>
        <w:t xml:space="preserve"> more feedback to be followed up and reinforces the message that customer satisfaction is a key deliverable</w:t>
      </w:r>
      <w:r w:rsidR="007B5B46">
        <w:rPr>
          <w:rFonts w:cs="Arial"/>
          <w:szCs w:val="24"/>
        </w:rPr>
        <w:t xml:space="preserve"> for all aspects of the operation</w:t>
      </w:r>
      <w:r w:rsidR="00440B25">
        <w:rPr>
          <w:rFonts w:cs="Arial"/>
          <w:szCs w:val="24"/>
        </w:rPr>
        <w:t>.</w:t>
      </w:r>
    </w:p>
    <w:p w14:paraId="6CED4B67" w14:textId="77777777" w:rsidR="005935FE" w:rsidRDefault="005935FE" w:rsidP="005935FE">
      <w:pPr>
        <w:pStyle w:val="DeptBullets"/>
        <w:numPr>
          <w:ilvl w:val="0"/>
          <w:numId w:val="0"/>
        </w:numPr>
        <w:spacing w:after="0"/>
        <w:rPr>
          <w:rFonts w:cs="Arial"/>
          <w:szCs w:val="24"/>
        </w:rPr>
      </w:pPr>
    </w:p>
    <w:tbl>
      <w:tblPr>
        <w:tblStyle w:val="TableGrid"/>
        <w:tblW w:w="0" w:type="auto"/>
        <w:tblInd w:w="108" w:type="dxa"/>
        <w:tblLook w:val="04A0" w:firstRow="1" w:lastRow="0" w:firstColumn="1" w:lastColumn="0" w:noHBand="0" w:noVBand="1"/>
      </w:tblPr>
      <w:tblGrid>
        <w:gridCol w:w="7230"/>
        <w:gridCol w:w="1134"/>
      </w:tblGrid>
      <w:tr w:rsidR="005935FE" w:rsidRPr="005935FE" w14:paraId="5E61EF31" w14:textId="77777777" w:rsidTr="00F012A7">
        <w:tc>
          <w:tcPr>
            <w:tcW w:w="7230" w:type="dxa"/>
          </w:tcPr>
          <w:p w14:paraId="6672A15B" w14:textId="06C3A43C" w:rsidR="005935FE" w:rsidRPr="005935FE" w:rsidRDefault="005935FE" w:rsidP="005935FE">
            <w:pPr>
              <w:rPr>
                <w:rFonts w:cs="Arial"/>
                <w:b/>
                <w:color w:val="000000"/>
                <w:szCs w:val="24"/>
                <w:lang w:eastAsia="en-GB"/>
              </w:rPr>
            </w:pPr>
            <w:r w:rsidRPr="005935FE">
              <w:rPr>
                <w:rFonts w:cs="Arial"/>
                <w:b/>
                <w:color w:val="000000"/>
                <w:szCs w:val="24"/>
                <w:lang w:eastAsia="en-GB"/>
              </w:rPr>
              <w:t>SLAs and KPIs</w:t>
            </w:r>
            <w:r w:rsidR="0004102E">
              <w:rPr>
                <w:rFonts w:cs="Arial"/>
                <w:b/>
                <w:color w:val="000000"/>
                <w:szCs w:val="24"/>
                <w:lang w:eastAsia="en-GB"/>
              </w:rPr>
              <w:t xml:space="preserve"> </w:t>
            </w:r>
          </w:p>
          <w:p w14:paraId="56A51253" w14:textId="77777777" w:rsidR="005935FE" w:rsidRPr="005935FE" w:rsidRDefault="005935FE" w:rsidP="005935FE">
            <w:pPr>
              <w:rPr>
                <w:rFonts w:cs="Arial"/>
                <w:b/>
                <w:szCs w:val="24"/>
              </w:rPr>
            </w:pPr>
          </w:p>
        </w:tc>
        <w:tc>
          <w:tcPr>
            <w:tcW w:w="1134" w:type="dxa"/>
            <w:shd w:val="clear" w:color="auto" w:fill="00B050"/>
          </w:tcPr>
          <w:p w14:paraId="15BCD412" w14:textId="67EA4BD5" w:rsidR="005935FE" w:rsidRPr="005935FE" w:rsidRDefault="00F012A7" w:rsidP="005935FE">
            <w:pPr>
              <w:rPr>
                <w:rFonts w:cs="Arial"/>
                <w:color w:val="FFFF00"/>
                <w:szCs w:val="24"/>
              </w:rPr>
            </w:pPr>
            <w:r>
              <w:rPr>
                <w:rFonts w:cs="Arial"/>
                <w:noProof/>
                <w:color w:val="00B050"/>
                <w:szCs w:val="24"/>
                <w:lang w:eastAsia="en-GB"/>
              </w:rPr>
              <mc:AlternateContent>
                <mc:Choice Requires="wps">
                  <w:drawing>
                    <wp:anchor distT="0" distB="0" distL="114300" distR="114300" simplePos="0" relativeHeight="251661312" behindDoc="0" locked="0" layoutInCell="1" allowOverlap="1" wp14:anchorId="63DC3FFE" wp14:editId="49168FA9">
                      <wp:simplePos x="0" y="0"/>
                      <wp:positionH relativeFrom="column">
                        <wp:posOffset>72390</wp:posOffset>
                      </wp:positionH>
                      <wp:positionV relativeFrom="paragraph">
                        <wp:posOffset>118110</wp:posOffset>
                      </wp:positionV>
                      <wp:extent cx="373380" cy="83820"/>
                      <wp:effectExtent l="38100" t="57150" r="7620" b="87630"/>
                      <wp:wrapNone/>
                      <wp:docPr id="2" name="Straight Arrow Connector 2"/>
                      <wp:cNvGraphicFramePr/>
                      <a:graphic xmlns:a="http://schemas.openxmlformats.org/drawingml/2006/main">
                        <a:graphicData uri="http://schemas.microsoft.com/office/word/2010/wordprocessingShape">
                          <wps:wsp>
                            <wps:cNvCnPr/>
                            <wps:spPr>
                              <a:xfrm flipV="1">
                                <a:off x="0" y="0"/>
                                <a:ext cx="373380" cy="838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5.7pt;margin-top:9.3pt;width:29.4pt;height:6.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" strokecolor="windowText" strokeweight="2pt">
                      <v:stroke endarrow="open"/>
                      <v:shadow on="t" color="black" opacity="24903f" origin=",.5" offset="0,.55556mm"/>
                    </v:shape>
                  </w:pict>
                </mc:Fallback>
              </mc:AlternateContent>
            </w:r>
          </w:p>
          <w:p w14:paraId="082068D2" w14:textId="044F0E75" w:rsidR="005935FE" w:rsidRPr="005935FE" w:rsidRDefault="005935FE" w:rsidP="005935FE">
            <w:pPr>
              <w:rPr>
                <w:rFonts w:cs="Arial"/>
                <w:color w:val="00B050"/>
                <w:szCs w:val="24"/>
              </w:rPr>
            </w:pPr>
          </w:p>
        </w:tc>
      </w:tr>
    </w:tbl>
    <w:p w14:paraId="6E221FC3" w14:textId="77777777" w:rsidR="005935FE" w:rsidRPr="005935FE" w:rsidRDefault="005935FE" w:rsidP="005935FE">
      <w:pPr>
        <w:jc w:val="center"/>
        <w:rPr>
          <w:rFonts w:cs="Arial"/>
          <w:b/>
          <w:szCs w:val="24"/>
        </w:rPr>
      </w:pPr>
    </w:p>
    <w:p w14:paraId="4350AEC0" w14:textId="5033F440" w:rsidR="0004102E" w:rsidRDefault="0004102E" w:rsidP="005935FE">
      <w:pPr>
        <w:pStyle w:val="DeptBullets"/>
        <w:numPr>
          <w:ilvl w:val="0"/>
          <w:numId w:val="0"/>
        </w:numPr>
        <w:spacing w:after="0"/>
        <w:rPr>
          <w:rFonts w:cs="Arial"/>
          <w:szCs w:val="24"/>
        </w:rPr>
      </w:pPr>
      <w:r>
        <w:rPr>
          <w:rFonts w:cs="Arial"/>
          <w:szCs w:val="24"/>
        </w:rPr>
        <w:t>Achievement against Service Level Agreements (SLAs) has been good</w:t>
      </w:r>
      <w:r w:rsidR="00494F0A">
        <w:rPr>
          <w:rFonts w:cs="Arial"/>
          <w:szCs w:val="24"/>
        </w:rPr>
        <w:t xml:space="preserve"> this quarter</w:t>
      </w:r>
      <w:r>
        <w:rPr>
          <w:rFonts w:cs="Arial"/>
          <w:szCs w:val="24"/>
        </w:rPr>
        <w:t>.  Only 35 service credits were applied in January, which m</w:t>
      </w:r>
      <w:r w:rsidR="000C06A0">
        <w:rPr>
          <w:rFonts w:cs="Arial"/>
          <w:szCs w:val="24"/>
        </w:rPr>
        <w:t xml:space="preserve">eant that no </w:t>
      </w:r>
      <w:r w:rsidR="00F012A7">
        <w:rPr>
          <w:rFonts w:cs="Arial"/>
          <w:szCs w:val="24"/>
        </w:rPr>
        <w:t>s</w:t>
      </w:r>
      <w:r w:rsidR="000C06A0">
        <w:rPr>
          <w:rFonts w:cs="Arial"/>
          <w:szCs w:val="24"/>
        </w:rPr>
        <w:t xml:space="preserve">ervice </w:t>
      </w:r>
      <w:r w:rsidR="00F012A7">
        <w:rPr>
          <w:rFonts w:cs="Arial"/>
          <w:szCs w:val="24"/>
        </w:rPr>
        <w:t>p</w:t>
      </w:r>
      <w:r w:rsidR="000C06A0">
        <w:rPr>
          <w:rFonts w:cs="Arial"/>
          <w:szCs w:val="24"/>
        </w:rPr>
        <w:t>enalty wa</w:t>
      </w:r>
      <w:r>
        <w:rPr>
          <w:rFonts w:cs="Arial"/>
          <w:szCs w:val="24"/>
        </w:rPr>
        <w:t xml:space="preserve">s applied, the first time this has happened since </w:t>
      </w:r>
      <w:r w:rsidR="000C06A0">
        <w:rPr>
          <w:rFonts w:cs="Arial"/>
          <w:szCs w:val="24"/>
        </w:rPr>
        <w:t xml:space="preserve">September </w:t>
      </w:r>
      <w:r w:rsidR="00092B81">
        <w:rPr>
          <w:rFonts w:cs="Arial"/>
          <w:szCs w:val="24"/>
        </w:rPr>
        <w:t>20</w:t>
      </w:r>
      <w:r w:rsidR="00522C40">
        <w:rPr>
          <w:rFonts w:cs="Arial"/>
          <w:szCs w:val="24"/>
        </w:rPr>
        <w:t>13.</w:t>
      </w:r>
    </w:p>
    <w:p w14:paraId="094CCBDA" w14:textId="77777777" w:rsidR="0004102E" w:rsidRDefault="0004102E" w:rsidP="005935FE">
      <w:pPr>
        <w:pStyle w:val="DeptBullets"/>
        <w:numPr>
          <w:ilvl w:val="0"/>
          <w:numId w:val="0"/>
        </w:numPr>
        <w:spacing w:after="0"/>
        <w:rPr>
          <w:rFonts w:cs="Arial"/>
          <w:szCs w:val="24"/>
        </w:rPr>
      </w:pPr>
    </w:p>
    <w:p w14:paraId="6FEF8553" w14:textId="2E6DAB89" w:rsidR="00092B81" w:rsidRDefault="00494F0A" w:rsidP="005935FE">
      <w:pPr>
        <w:pStyle w:val="DeptBullets"/>
        <w:numPr>
          <w:ilvl w:val="0"/>
          <w:numId w:val="0"/>
        </w:numPr>
        <w:spacing w:after="0"/>
        <w:rPr>
          <w:rFonts w:cs="Arial"/>
          <w:szCs w:val="24"/>
        </w:rPr>
      </w:pPr>
      <w:r>
        <w:rPr>
          <w:rFonts w:cs="Arial"/>
          <w:szCs w:val="24"/>
        </w:rPr>
        <w:t xml:space="preserve">254 Outstanding </w:t>
      </w:r>
      <w:r w:rsidR="00F012A7">
        <w:rPr>
          <w:rFonts w:cs="Arial"/>
          <w:szCs w:val="24"/>
        </w:rPr>
        <w:t>b</w:t>
      </w:r>
      <w:r>
        <w:rPr>
          <w:rFonts w:cs="Arial"/>
          <w:szCs w:val="24"/>
        </w:rPr>
        <w:t>ereavement cases have been ring</w:t>
      </w:r>
      <w:r w:rsidR="00F012A7">
        <w:rPr>
          <w:rFonts w:cs="Arial"/>
          <w:szCs w:val="24"/>
        </w:rPr>
        <w:t>-</w:t>
      </w:r>
      <w:r>
        <w:rPr>
          <w:rFonts w:cs="Arial"/>
          <w:szCs w:val="24"/>
        </w:rPr>
        <w:t>fenced to drive service improvement in this area</w:t>
      </w:r>
      <w:r w:rsidR="001420B1">
        <w:rPr>
          <w:rFonts w:cs="Arial"/>
          <w:szCs w:val="24"/>
        </w:rPr>
        <w:t>.  A number of these cases have been outstanding for some time, waiting for information from 3</w:t>
      </w:r>
      <w:r w:rsidR="001420B1" w:rsidRPr="001420B1">
        <w:rPr>
          <w:rFonts w:cs="Arial"/>
          <w:szCs w:val="24"/>
          <w:vertAlign w:val="superscript"/>
        </w:rPr>
        <w:t>rd</w:t>
      </w:r>
      <w:r w:rsidR="001420B1">
        <w:rPr>
          <w:rFonts w:cs="Arial"/>
          <w:szCs w:val="24"/>
        </w:rPr>
        <w:t xml:space="preserve"> parties.  The</w:t>
      </w:r>
      <w:r w:rsidR="00F012A7">
        <w:rPr>
          <w:rFonts w:cs="Arial"/>
          <w:szCs w:val="24"/>
        </w:rPr>
        <w:t xml:space="preserve"> resource allocated to the </w:t>
      </w:r>
      <w:r w:rsidR="001420B1">
        <w:rPr>
          <w:rFonts w:cs="Arial"/>
          <w:szCs w:val="24"/>
        </w:rPr>
        <w:t>ring</w:t>
      </w:r>
      <w:r w:rsidR="00F012A7">
        <w:rPr>
          <w:rFonts w:cs="Arial"/>
          <w:szCs w:val="24"/>
        </w:rPr>
        <w:t>-</w:t>
      </w:r>
      <w:r w:rsidR="001420B1">
        <w:rPr>
          <w:rFonts w:cs="Arial"/>
          <w:szCs w:val="24"/>
        </w:rPr>
        <w:t xml:space="preserve">fenced </w:t>
      </w:r>
      <w:r w:rsidR="00F012A7">
        <w:rPr>
          <w:rFonts w:cs="Arial"/>
          <w:szCs w:val="24"/>
        </w:rPr>
        <w:t xml:space="preserve">cases provides both </w:t>
      </w:r>
      <w:r w:rsidR="001420B1">
        <w:rPr>
          <w:rFonts w:cs="Arial"/>
          <w:szCs w:val="24"/>
        </w:rPr>
        <w:t xml:space="preserve">focus </w:t>
      </w:r>
      <w:r w:rsidR="003222A6">
        <w:rPr>
          <w:rFonts w:cs="Arial"/>
          <w:szCs w:val="24"/>
        </w:rPr>
        <w:t xml:space="preserve">and </w:t>
      </w:r>
      <w:r w:rsidR="001420B1">
        <w:rPr>
          <w:rFonts w:cs="Arial"/>
          <w:szCs w:val="24"/>
        </w:rPr>
        <w:t xml:space="preserve">capacity to </w:t>
      </w:r>
      <w:r w:rsidR="003222A6">
        <w:rPr>
          <w:rFonts w:cs="Arial"/>
          <w:szCs w:val="24"/>
        </w:rPr>
        <w:t>identify</w:t>
      </w:r>
      <w:r w:rsidR="001420B1">
        <w:rPr>
          <w:rFonts w:cs="Arial"/>
          <w:szCs w:val="24"/>
        </w:rPr>
        <w:t xml:space="preserve"> changes that will improve the servic</w:t>
      </w:r>
      <w:r w:rsidR="003222A6">
        <w:rPr>
          <w:rFonts w:cs="Arial"/>
          <w:szCs w:val="24"/>
        </w:rPr>
        <w:t>e to members and their families</w:t>
      </w:r>
      <w:r w:rsidR="001420B1">
        <w:rPr>
          <w:rFonts w:cs="Arial"/>
          <w:szCs w:val="24"/>
        </w:rPr>
        <w:t>.  TP are providing weekly progress updates to the contract management team.</w:t>
      </w:r>
    </w:p>
    <w:p w14:paraId="52DABA76" w14:textId="77777777" w:rsidR="00092B81" w:rsidRDefault="00092B81" w:rsidP="005935FE">
      <w:pPr>
        <w:pStyle w:val="DeptBullets"/>
        <w:numPr>
          <w:ilvl w:val="0"/>
          <w:numId w:val="0"/>
        </w:numPr>
        <w:spacing w:after="0"/>
        <w:rPr>
          <w:rFonts w:cs="Arial"/>
          <w:szCs w:val="24"/>
        </w:rPr>
      </w:pPr>
    </w:p>
    <w:tbl>
      <w:tblPr>
        <w:tblStyle w:val="TableGrid"/>
        <w:tblW w:w="0" w:type="auto"/>
        <w:tblInd w:w="108" w:type="dxa"/>
        <w:tblLook w:val="04A0" w:firstRow="1" w:lastRow="0" w:firstColumn="1" w:lastColumn="0" w:noHBand="0" w:noVBand="1"/>
      </w:tblPr>
      <w:tblGrid>
        <w:gridCol w:w="7230"/>
        <w:gridCol w:w="1134"/>
      </w:tblGrid>
      <w:tr w:rsidR="005935FE" w:rsidRPr="005935FE" w14:paraId="3A6BBF46" w14:textId="77777777" w:rsidTr="005D59B2">
        <w:tc>
          <w:tcPr>
            <w:tcW w:w="7230" w:type="dxa"/>
          </w:tcPr>
          <w:p w14:paraId="1C53B11A" w14:textId="4711CA8E" w:rsidR="005935FE" w:rsidRPr="005935FE" w:rsidRDefault="005935FE" w:rsidP="005935FE">
            <w:pPr>
              <w:rPr>
                <w:rFonts w:cs="Arial"/>
                <w:b/>
                <w:color w:val="000000"/>
                <w:szCs w:val="24"/>
                <w:lang w:eastAsia="en-GB"/>
              </w:rPr>
            </w:pPr>
            <w:r w:rsidRPr="005935FE">
              <w:rPr>
                <w:rFonts w:cs="Arial"/>
                <w:b/>
                <w:color w:val="000000"/>
                <w:szCs w:val="24"/>
                <w:lang w:eastAsia="en-GB"/>
              </w:rPr>
              <w:t>Legislative Changes</w:t>
            </w:r>
          </w:p>
          <w:p w14:paraId="51BDE240" w14:textId="77777777" w:rsidR="005935FE" w:rsidRPr="005935FE" w:rsidRDefault="005935FE" w:rsidP="005935FE">
            <w:pPr>
              <w:rPr>
                <w:rFonts w:cs="Arial"/>
                <w:b/>
                <w:szCs w:val="24"/>
              </w:rPr>
            </w:pPr>
          </w:p>
        </w:tc>
        <w:tc>
          <w:tcPr>
            <w:tcW w:w="1134" w:type="dxa"/>
            <w:shd w:val="clear" w:color="auto" w:fill="00B050"/>
          </w:tcPr>
          <w:p w14:paraId="7C9D86BD" w14:textId="77777777" w:rsidR="005935FE" w:rsidRPr="00F012A7" w:rsidRDefault="005935FE" w:rsidP="005935FE">
            <w:pPr>
              <w:rPr>
                <w:rFonts w:cs="Arial"/>
                <w:color w:val="00B050"/>
                <w:szCs w:val="24"/>
                <w:highlight w:val="darkGreen"/>
              </w:rPr>
            </w:pPr>
          </w:p>
          <w:p w14:paraId="42470A87" w14:textId="77777777" w:rsidR="005935FE" w:rsidRPr="00F012A7" w:rsidRDefault="00E2707B" w:rsidP="005935FE">
            <w:pPr>
              <w:rPr>
                <w:rFonts w:cs="Arial"/>
                <w:color w:val="00B050"/>
                <w:szCs w:val="24"/>
                <w:highlight w:val="darkGreen"/>
              </w:rPr>
            </w:pPr>
            <w:r w:rsidRPr="00F012A7">
              <w:rPr>
                <w:rFonts w:cs="Arial"/>
                <w:noProof/>
                <w:color w:val="00B050"/>
                <w:szCs w:val="24"/>
                <w:highlight w:val="darkGreen"/>
                <w:lang w:eastAsia="en-GB"/>
              </w:rPr>
              <mc:AlternateContent>
                <mc:Choice Requires="wps">
                  <w:drawing>
                    <wp:anchor distT="0" distB="0" distL="114300" distR="114300" simplePos="0" relativeHeight="251663360" behindDoc="0" locked="0" layoutInCell="1" allowOverlap="1" wp14:anchorId="0EC822B1" wp14:editId="2EE7A935">
                      <wp:simplePos x="0" y="0"/>
                      <wp:positionH relativeFrom="column">
                        <wp:posOffset>95250</wp:posOffset>
                      </wp:positionH>
                      <wp:positionV relativeFrom="paragraph">
                        <wp:posOffset>-5715</wp:posOffset>
                      </wp:positionV>
                      <wp:extent cx="350520" cy="0"/>
                      <wp:effectExtent l="0" t="76200" r="30480" b="152400"/>
                      <wp:wrapNone/>
                      <wp:docPr id="3" name="Straight Arrow Connector 3"/>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7.5pt;margin-top:-.45pt;width:27.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" strokecolor="windowText" strokeweight="2pt">
                      <v:stroke endarrow="open"/>
                      <v:shadow on="t" color="black" opacity="24903f" origin=",.5" offset="0,.55556mm"/>
                    </v:shape>
                  </w:pict>
                </mc:Fallback>
              </mc:AlternateContent>
            </w:r>
          </w:p>
        </w:tc>
      </w:tr>
    </w:tbl>
    <w:p w14:paraId="5295BF4A" w14:textId="77777777" w:rsidR="005935FE" w:rsidRPr="005935FE" w:rsidRDefault="005935FE" w:rsidP="005935FE">
      <w:pPr>
        <w:rPr>
          <w:rFonts w:cs="Arial"/>
          <w:szCs w:val="24"/>
        </w:rPr>
      </w:pPr>
    </w:p>
    <w:p w14:paraId="0C77C489" w14:textId="253B0BE3" w:rsidR="005935FE" w:rsidRDefault="00B03301" w:rsidP="005935FE">
      <w:pPr>
        <w:pStyle w:val="DeptBullets"/>
        <w:numPr>
          <w:ilvl w:val="0"/>
          <w:numId w:val="0"/>
        </w:numPr>
        <w:spacing w:after="0"/>
        <w:rPr>
          <w:rFonts w:cs="Arial"/>
          <w:szCs w:val="24"/>
        </w:rPr>
      </w:pPr>
      <w:r>
        <w:rPr>
          <w:rFonts w:cs="Arial"/>
          <w:szCs w:val="24"/>
        </w:rPr>
        <w:t xml:space="preserve">The new tax section of the website is now live and provides information on the changes to Annual Allowance and Lifetime Allowance.  A series of briefing notes have been created for members, or their financial advisors, to help them understand the changes being introduced from April 2016. </w:t>
      </w:r>
      <w:r w:rsidR="00256380">
        <w:rPr>
          <w:rFonts w:cs="Arial"/>
          <w:szCs w:val="24"/>
        </w:rPr>
        <w:t xml:space="preserve"> </w:t>
      </w:r>
    </w:p>
    <w:p w14:paraId="2B9F9C47" w14:textId="77777777" w:rsidR="00B03301" w:rsidRDefault="00B03301" w:rsidP="005935FE">
      <w:pPr>
        <w:pStyle w:val="DeptBullets"/>
        <w:numPr>
          <w:ilvl w:val="0"/>
          <w:numId w:val="0"/>
        </w:numPr>
        <w:spacing w:after="0"/>
        <w:rPr>
          <w:rFonts w:cs="Arial"/>
          <w:szCs w:val="24"/>
        </w:rPr>
      </w:pPr>
    </w:p>
    <w:p w14:paraId="19BCD6B1" w14:textId="4677CA77" w:rsidR="002B00DA" w:rsidRDefault="00234F15" w:rsidP="00B03301">
      <w:pPr>
        <w:pStyle w:val="DeptBullets"/>
        <w:numPr>
          <w:ilvl w:val="0"/>
          <w:numId w:val="0"/>
        </w:numPr>
        <w:spacing w:after="0"/>
        <w:rPr>
          <w:rFonts w:cs="Arial"/>
          <w:szCs w:val="24"/>
        </w:rPr>
      </w:pPr>
      <w:r>
        <w:rPr>
          <w:rFonts w:cs="Arial"/>
          <w:szCs w:val="24"/>
        </w:rPr>
        <w:t xml:space="preserve">HMRC have amended the Pension Input Period for 2015/16 to align with the financial year.  This means that employers are required to provide information on salary to 31 March for the current year end, but also for the period 1-5 April 2016. </w:t>
      </w:r>
      <w:r w:rsidR="00B03301">
        <w:rPr>
          <w:rFonts w:cs="Arial"/>
          <w:szCs w:val="24"/>
        </w:rPr>
        <w:t xml:space="preserve">Work has been on-going to agree the best approach </w:t>
      </w:r>
      <w:r w:rsidR="00400B4C">
        <w:rPr>
          <w:rFonts w:cs="Arial"/>
          <w:szCs w:val="24"/>
        </w:rPr>
        <w:t>to deal with this requirement</w:t>
      </w:r>
      <w:r w:rsidR="00225EBE">
        <w:rPr>
          <w:rFonts w:cs="Arial"/>
          <w:szCs w:val="24"/>
        </w:rPr>
        <w:t xml:space="preserve"> and to </w:t>
      </w:r>
      <w:r w:rsidR="00B03301">
        <w:rPr>
          <w:rFonts w:cs="Arial"/>
          <w:szCs w:val="24"/>
        </w:rPr>
        <w:t xml:space="preserve">balance legislative requirements </w:t>
      </w:r>
      <w:r w:rsidR="00225EBE">
        <w:rPr>
          <w:rFonts w:cs="Arial"/>
          <w:szCs w:val="24"/>
        </w:rPr>
        <w:t xml:space="preserve">with </w:t>
      </w:r>
      <w:r w:rsidR="00B03301">
        <w:rPr>
          <w:rFonts w:cs="Arial"/>
          <w:szCs w:val="24"/>
        </w:rPr>
        <w:t xml:space="preserve">the ability of employers to provide the data needed. </w:t>
      </w:r>
      <w:r w:rsidR="002B00DA">
        <w:rPr>
          <w:rFonts w:cs="Arial"/>
          <w:szCs w:val="24"/>
        </w:rPr>
        <w:t>Following legal advice</w:t>
      </w:r>
      <w:r w:rsidR="00302A0E">
        <w:rPr>
          <w:rFonts w:cs="Arial"/>
          <w:szCs w:val="24"/>
        </w:rPr>
        <w:t xml:space="preserve"> </w:t>
      </w:r>
      <w:r w:rsidR="002B00DA">
        <w:rPr>
          <w:rFonts w:cs="Arial"/>
          <w:szCs w:val="24"/>
        </w:rPr>
        <w:t xml:space="preserve">and liaison with employer groups </w:t>
      </w:r>
      <w:r w:rsidR="00400B4C">
        <w:rPr>
          <w:rFonts w:cs="Arial"/>
          <w:szCs w:val="24"/>
        </w:rPr>
        <w:t xml:space="preserve">it has </w:t>
      </w:r>
      <w:r w:rsidR="002B00DA">
        <w:rPr>
          <w:rFonts w:cs="Arial"/>
          <w:szCs w:val="24"/>
        </w:rPr>
        <w:t xml:space="preserve">been agreed </w:t>
      </w:r>
      <w:r w:rsidR="00400B4C">
        <w:rPr>
          <w:rFonts w:cs="Arial"/>
          <w:szCs w:val="24"/>
        </w:rPr>
        <w:t xml:space="preserve">that, </w:t>
      </w:r>
      <w:r w:rsidR="002B00DA">
        <w:rPr>
          <w:rFonts w:cs="Arial"/>
          <w:szCs w:val="24"/>
        </w:rPr>
        <w:t>where</w:t>
      </w:r>
      <w:r w:rsidR="00400B4C">
        <w:rPr>
          <w:rFonts w:cs="Arial"/>
          <w:szCs w:val="24"/>
        </w:rPr>
        <w:t xml:space="preserve"> possible,</w:t>
      </w:r>
      <w:r w:rsidR="002B00DA">
        <w:rPr>
          <w:rFonts w:cs="Arial"/>
          <w:szCs w:val="24"/>
        </w:rPr>
        <w:t xml:space="preserve"> employers will provide accurate data for the extra five days to 5 April</w:t>
      </w:r>
      <w:r w:rsidR="00400B4C">
        <w:rPr>
          <w:rFonts w:cs="Arial"/>
          <w:szCs w:val="24"/>
        </w:rPr>
        <w:t>.</w:t>
      </w:r>
      <w:r w:rsidR="002B00DA">
        <w:rPr>
          <w:rFonts w:cs="Arial"/>
          <w:szCs w:val="24"/>
        </w:rPr>
        <w:t xml:space="preserve">  Where this is not possible employers are to provide estimated data. For those cases where only data to 31 March is provided, TP will calculate and issue Pension Savings Statements </w:t>
      </w:r>
      <w:r w:rsidR="00302A0E">
        <w:rPr>
          <w:rFonts w:cs="Arial"/>
          <w:szCs w:val="24"/>
        </w:rPr>
        <w:t xml:space="preserve">(PSS) </w:t>
      </w:r>
      <w:r w:rsidR="002B00DA">
        <w:rPr>
          <w:rFonts w:cs="Arial"/>
          <w:szCs w:val="24"/>
        </w:rPr>
        <w:t xml:space="preserve">based on this data. </w:t>
      </w:r>
      <w:r w:rsidR="00C64D46">
        <w:rPr>
          <w:rFonts w:cs="Arial"/>
          <w:szCs w:val="24"/>
        </w:rPr>
        <w:t>Clear c</w:t>
      </w:r>
      <w:r w:rsidR="002B00DA">
        <w:rPr>
          <w:rFonts w:cs="Arial"/>
          <w:szCs w:val="24"/>
        </w:rPr>
        <w:t xml:space="preserve">ommunication to both employers and </w:t>
      </w:r>
      <w:r w:rsidR="002B00DA">
        <w:rPr>
          <w:rFonts w:cs="Arial"/>
          <w:szCs w:val="24"/>
        </w:rPr>
        <w:lastRenderedPageBreak/>
        <w:t xml:space="preserve">employees </w:t>
      </w:r>
      <w:r w:rsidR="00C64D46">
        <w:rPr>
          <w:rFonts w:cs="Arial"/>
          <w:szCs w:val="24"/>
        </w:rPr>
        <w:t>is</w:t>
      </w:r>
      <w:r w:rsidR="002B00DA">
        <w:rPr>
          <w:rFonts w:cs="Arial"/>
          <w:szCs w:val="24"/>
        </w:rPr>
        <w:t xml:space="preserve"> critical to the process</w:t>
      </w:r>
      <w:r w:rsidR="00C64D46">
        <w:rPr>
          <w:rFonts w:cs="Arial"/>
          <w:szCs w:val="24"/>
        </w:rPr>
        <w:t xml:space="preserve"> and the Department and TP have worked together on the detail of this</w:t>
      </w:r>
      <w:r w:rsidR="002B00DA">
        <w:rPr>
          <w:rFonts w:cs="Arial"/>
          <w:szCs w:val="24"/>
        </w:rPr>
        <w:t>.</w:t>
      </w:r>
    </w:p>
    <w:p w14:paraId="36DA4F3D" w14:textId="77777777" w:rsidR="00400B4C" w:rsidRDefault="00400B4C" w:rsidP="00B03301">
      <w:pPr>
        <w:pStyle w:val="DeptBullets"/>
        <w:numPr>
          <w:ilvl w:val="0"/>
          <w:numId w:val="0"/>
        </w:numPr>
        <w:spacing w:after="0"/>
        <w:rPr>
          <w:rFonts w:cs="Arial"/>
          <w:szCs w:val="24"/>
        </w:rPr>
      </w:pPr>
    </w:p>
    <w:p w14:paraId="71522986" w14:textId="2D0690B8" w:rsidR="002B00DA" w:rsidRDefault="002B00DA" w:rsidP="00B03301">
      <w:pPr>
        <w:pStyle w:val="DeptBullets"/>
        <w:numPr>
          <w:ilvl w:val="0"/>
          <w:numId w:val="0"/>
        </w:numPr>
        <w:spacing w:after="0"/>
        <w:rPr>
          <w:rFonts w:cs="Arial"/>
          <w:szCs w:val="24"/>
        </w:rPr>
      </w:pPr>
      <w:r>
        <w:rPr>
          <w:rFonts w:cs="Arial"/>
          <w:szCs w:val="24"/>
        </w:rPr>
        <w:t>Draft disclosure legislation has been published that sets out the disclosure requirement for the 2015/16 tax year</w:t>
      </w:r>
      <w:r w:rsidR="00302A0E">
        <w:rPr>
          <w:rFonts w:cs="Arial"/>
          <w:szCs w:val="24"/>
        </w:rPr>
        <w:t xml:space="preserve">.  </w:t>
      </w:r>
      <w:r>
        <w:rPr>
          <w:rFonts w:cs="Arial"/>
          <w:szCs w:val="24"/>
        </w:rPr>
        <w:t>This states that TP must provide a PSS to anyone whose pension accrual is greater than £40,000.  Therefore any members close to the AA will receive a statement</w:t>
      </w:r>
      <w:r w:rsidR="00C64D46">
        <w:rPr>
          <w:rFonts w:cs="Arial"/>
          <w:szCs w:val="24"/>
        </w:rPr>
        <w:t xml:space="preserve"> – processes are in place to deliver on this</w:t>
      </w:r>
      <w:r>
        <w:rPr>
          <w:rFonts w:cs="Arial"/>
          <w:szCs w:val="24"/>
        </w:rPr>
        <w:t>.</w:t>
      </w:r>
    </w:p>
    <w:p w14:paraId="18698DB2" w14:textId="77777777" w:rsidR="002B00DA" w:rsidRDefault="002B00DA" w:rsidP="00B03301">
      <w:pPr>
        <w:pStyle w:val="DeptBullets"/>
        <w:numPr>
          <w:ilvl w:val="0"/>
          <w:numId w:val="0"/>
        </w:numPr>
        <w:spacing w:after="0"/>
        <w:rPr>
          <w:rFonts w:cs="Arial"/>
          <w:szCs w:val="24"/>
        </w:rPr>
      </w:pPr>
    </w:p>
    <w:tbl>
      <w:tblPr>
        <w:tblStyle w:val="TableGrid"/>
        <w:tblW w:w="0" w:type="auto"/>
        <w:tblInd w:w="108" w:type="dxa"/>
        <w:tblLook w:val="04A0" w:firstRow="1" w:lastRow="0" w:firstColumn="1" w:lastColumn="0" w:noHBand="0" w:noVBand="1"/>
      </w:tblPr>
      <w:tblGrid>
        <w:gridCol w:w="7230"/>
        <w:gridCol w:w="1134"/>
      </w:tblGrid>
      <w:tr w:rsidR="005935FE" w:rsidRPr="005935FE" w14:paraId="5C10C438" w14:textId="77777777" w:rsidTr="005D59B2">
        <w:tc>
          <w:tcPr>
            <w:tcW w:w="7230" w:type="dxa"/>
          </w:tcPr>
          <w:p w14:paraId="596D959D" w14:textId="77777777" w:rsidR="005935FE" w:rsidRPr="005935FE" w:rsidRDefault="005935FE" w:rsidP="005935FE">
            <w:pPr>
              <w:rPr>
                <w:rFonts w:cs="Arial"/>
                <w:b/>
                <w:color w:val="000000"/>
                <w:szCs w:val="24"/>
                <w:lang w:eastAsia="en-GB"/>
              </w:rPr>
            </w:pPr>
            <w:r w:rsidRPr="005935FE">
              <w:rPr>
                <w:rFonts w:cs="Arial"/>
                <w:b/>
                <w:color w:val="000000"/>
                <w:szCs w:val="24"/>
                <w:lang w:eastAsia="en-GB"/>
              </w:rPr>
              <w:t>Significant Projects</w:t>
            </w:r>
          </w:p>
          <w:p w14:paraId="5C119355" w14:textId="77777777" w:rsidR="005935FE" w:rsidRPr="005935FE" w:rsidRDefault="005935FE" w:rsidP="005935FE">
            <w:pPr>
              <w:rPr>
                <w:rFonts w:cs="Arial"/>
                <w:b/>
                <w:szCs w:val="24"/>
              </w:rPr>
            </w:pPr>
          </w:p>
        </w:tc>
        <w:tc>
          <w:tcPr>
            <w:tcW w:w="1134" w:type="dxa"/>
            <w:shd w:val="clear" w:color="auto" w:fill="00B050"/>
          </w:tcPr>
          <w:p w14:paraId="294E01EA" w14:textId="77777777" w:rsidR="005935FE" w:rsidRPr="005935FE" w:rsidRDefault="005935FE" w:rsidP="005935FE">
            <w:pPr>
              <w:rPr>
                <w:rFonts w:cs="Arial"/>
                <w:color w:val="00B050"/>
                <w:szCs w:val="24"/>
              </w:rPr>
            </w:pPr>
          </w:p>
          <w:p w14:paraId="30AC4646" w14:textId="77777777" w:rsidR="005935FE" w:rsidRPr="005935FE" w:rsidRDefault="00E2707B" w:rsidP="005935FE">
            <w:pPr>
              <w:rPr>
                <w:rFonts w:cs="Arial"/>
                <w:color w:val="00B050"/>
                <w:szCs w:val="24"/>
              </w:rPr>
            </w:pPr>
            <w:r>
              <w:rPr>
                <w:rFonts w:cs="Arial"/>
                <w:noProof/>
                <w:color w:val="00B050"/>
                <w:szCs w:val="24"/>
                <w:lang w:eastAsia="en-GB"/>
              </w:rPr>
              <mc:AlternateContent>
                <mc:Choice Requires="wps">
                  <w:drawing>
                    <wp:anchor distT="0" distB="0" distL="114300" distR="114300" simplePos="0" relativeHeight="251665408" behindDoc="0" locked="0" layoutInCell="1" allowOverlap="1" wp14:anchorId="085325FB" wp14:editId="78E4CBD9">
                      <wp:simplePos x="0" y="0"/>
                      <wp:positionH relativeFrom="column">
                        <wp:posOffset>95250</wp:posOffset>
                      </wp:positionH>
                      <wp:positionV relativeFrom="paragraph">
                        <wp:posOffset>12065</wp:posOffset>
                      </wp:positionV>
                      <wp:extent cx="350520" cy="0"/>
                      <wp:effectExtent l="0" t="76200" r="30480" b="152400"/>
                      <wp:wrapNone/>
                      <wp:docPr id="4" name="Straight Arrow Connector 4"/>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7.5pt;margin-top:.95pt;width:27.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" strokecolor="windowText" strokeweight="2pt">
                      <v:stroke endarrow="open"/>
                      <v:shadow on="t" color="black" opacity="24903f" origin=",.5" offset="0,.55556mm"/>
                    </v:shape>
                  </w:pict>
                </mc:Fallback>
              </mc:AlternateContent>
            </w:r>
          </w:p>
        </w:tc>
      </w:tr>
    </w:tbl>
    <w:p w14:paraId="0A447B8D" w14:textId="77777777" w:rsidR="004A41A2" w:rsidRDefault="004A41A2" w:rsidP="004A41A2">
      <w:pPr>
        <w:pStyle w:val="Default"/>
        <w:rPr>
          <w:rFonts w:ascii="Arial" w:hAnsi="Arial" w:cs="Arial"/>
          <w:b/>
          <w:color w:val="auto"/>
        </w:rPr>
      </w:pPr>
    </w:p>
    <w:p w14:paraId="00449696" w14:textId="77777777" w:rsidR="005935FE" w:rsidRPr="00FE1B8F" w:rsidRDefault="005935FE" w:rsidP="004A41A2">
      <w:pPr>
        <w:pStyle w:val="Default"/>
        <w:rPr>
          <w:rFonts w:ascii="Arial" w:hAnsi="Arial" w:cs="Arial"/>
          <w:b/>
          <w:color w:val="auto"/>
        </w:rPr>
      </w:pPr>
      <w:r w:rsidRPr="00FE1B8F">
        <w:rPr>
          <w:rFonts w:ascii="Arial" w:hAnsi="Arial" w:cs="Arial"/>
          <w:b/>
          <w:color w:val="auto"/>
        </w:rPr>
        <w:t xml:space="preserve">Guaranteed Minimum Pension reconciliation </w:t>
      </w:r>
    </w:p>
    <w:p w14:paraId="6B18C0F4" w14:textId="0C4BBFA0" w:rsidR="00C86034" w:rsidRDefault="00FD6209" w:rsidP="004A41A2">
      <w:pPr>
        <w:pStyle w:val="Default"/>
        <w:rPr>
          <w:rFonts w:ascii="Arial" w:hAnsi="Arial" w:cs="Arial"/>
          <w:color w:val="auto"/>
        </w:rPr>
      </w:pPr>
      <w:r>
        <w:rPr>
          <w:rFonts w:ascii="Arial" w:hAnsi="Arial" w:cs="Arial"/>
          <w:color w:val="auto"/>
        </w:rPr>
        <w:t>As mentioned earlier</w:t>
      </w:r>
      <w:r w:rsidR="000F688D">
        <w:rPr>
          <w:rFonts w:ascii="Arial" w:hAnsi="Arial" w:cs="Arial"/>
          <w:color w:val="auto"/>
        </w:rPr>
        <w:t>,</w:t>
      </w:r>
      <w:r>
        <w:rPr>
          <w:rFonts w:ascii="Arial" w:hAnsi="Arial" w:cs="Arial"/>
          <w:color w:val="auto"/>
        </w:rPr>
        <w:t xml:space="preserve"> a team of 24 is now in place</w:t>
      </w:r>
      <w:r w:rsidR="00C53A8E">
        <w:rPr>
          <w:rFonts w:ascii="Arial" w:hAnsi="Arial" w:cs="Arial"/>
          <w:color w:val="auto"/>
        </w:rPr>
        <w:t>, working on the GMP records for deferred members who joined the scheme before April 1997.</w:t>
      </w:r>
      <w:r w:rsidR="00C64D46">
        <w:rPr>
          <w:rFonts w:ascii="Arial" w:hAnsi="Arial" w:cs="Arial"/>
          <w:color w:val="auto"/>
        </w:rPr>
        <w:t xml:space="preserve">  Concentrating on this group and s</w:t>
      </w:r>
      <w:r w:rsidR="000F688D">
        <w:rPr>
          <w:rFonts w:ascii="Arial" w:hAnsi="Arial" w:cs="Arial"/>
          <w:color w:val="auto"/>
        </w:rPr>
        <w:t xml:space="preserve">tarting this work early allows the TP team to </w:t>
      </w:r>
      <w:r w:rsidR="00C64D46">
        <w:rPr>
          <w:rFonts w:ascii="Arial" w:hAnsi="Arial" w:cs="Arial"/>
          <w:color w:val="auto"/>
        </w:rPr>
        <w:t xml:space="preserve">better </w:t>
      </w:r>
      <w:r w:rsidR="000F688D">
        <w:rPr>
          <w:rFonts w:ascii="Arial" w:hAnsi="Arial" w:cs="Arial"/>
          <w:color w:val="auto"/>
        </w:rPr>
        <w:t>understand the sc</w:t>
      </w:r>
      <w:r w:rsidR="00C86034">
        <w:rPr>
          <w:rFonts w:ascii="Arial" w:hAnsi="Arial" w:cs="Arial"/>
          <w:color w:val="auto"/>
        </w:rPr>
        <w:t>ope and nature of the overall exercise</w:t>
      </w:r>
      <w:r w:rsidR="00C64D46">
        <w:rPr>
          <w:rFonts w:ascii="Arial" w:hAnsi="Arial" w:cs="Arial"/>
          <w:color w:val="auto"/>
        </w:rPr>
        <w:t>.</w:t>
      </w:r>
    </w:p>
    <w:p w14:paraId="07BAB21D" w14:textId="77777777" w:rsidR="00C86034" w:rsidRDefault="00C86034" w:rsidP="004A41A2">
      <w:pPr>
        <w:pStyle w:val="Default"/>
        <w:rPr>
          <w:rFonts w:ascii="Arial" w:hAnsi="Arial" w:cs="Arial"/>
          <w:color w:val="auto"/>
        </w:rPr>
      </w:pPr>
    </w:p>
    <w:p w14:paraId="62519B1B" w14:textId="1095E528" w:rsidR="005935FE" w:rsidRDefault="005935FE" w:rsidP="004A41A2">
      <w:pPr>
        <w:pStyle w:val="Default"/>
        <w:rPr>
          <w:rFonts w:ascii="Arial" w:hAnsi="Arial" w:cs="Arial"/>
          <w:color w:val="auto"/>
        </w:rPr>
      </w:pPr>
      <w:r w:rsidRPr="00FE1B8F">
        <w:rPr>
          <w:rFonts w:ascii="Arial" w:hAnsi="Arial" w:cs="Arial"/>
          <w:color w:val="auto"/>
        </w:rPr>
        <w:t xml:space="preserve">The Department and TP have continued to work with HM Treasury and other government Departments on policy decisions </w:t>
      </w:r>
      <w:r w:rsidR="00C53A8E">
        <w:rPr>
          <w:rFonts w:ascii="Arial" w:hAnsi="Arial" w:cs="Arial"/>
          <w:color w:val="auto"/>
        </w:rPr>
        <w:t xml:space="preserve">and </w:t>
      </w:r>
      <w:r w:rsidR="00C64D46">
        <w:rPr>
          <w:rFonts w:ascii="Arial" w:hAnsi="Arial" w:cs="Arial"/>
          <w:color w:val="auto"/>
        </w:rPr>
        <w:t>it is now clear</w:t>
      </w:r>
      <w:r w:rsidR="00C53A8E">
        <w:rPr>
          <w:rFonts w:ascii="Arial" w:hAnsi="Arial" w:cs="Arial"/>
          <w:color w:val="auto"/>
        </w:rPr>
        <w:t xml:space="preserve"> that</w:t>
      </w:r>
      <w:r w:rsidR="00C64D46">
        <w:rPr>
          <w:rFonts w:ascii="Arial" w:hAnsi="Arial" w:cs="Arial"/>
          <w:color w:val="auto"/>
        </w:rPr>
        <w:t xml:space="preserve"> </w:t>
      </w:r>
      <w:r w:rsidR="00C86034">
        <w:rPr>
          <w:rFonts w:ascii="Arial" w:hAnsi="Arial" w:cs="Arial"/>
          <w:color w:val="auto"/>
        </w:rPr>
        <w:t>all pensioners</w:t>
      </w:r>
      <w:r w:rsidR="00C53A8E">
        <w:rPr>
          <w:rFonts w:ascii="Arial" w:hAnsi="Arial" w:cs="Arial"/>
          <w:color w:val="auto"/>
        </w:rPr>
        <w:t xml:space="preserve"> who joined the scheme before April 1997</w:t>
      </w:r>
      <w:r w:rsidR="00C64D46">
        <w:rPr>
          <w:rFonts w:ascii="Arial" w:hAnsi="Arial" w:cs="Arial"/>
          <w:color w:val="auto"/>
        </w:rPr>
        <w:t xml:space="preserve"> and retired after April 2009 are in scope</w:t>
      </w:r>
      <w:r w:rsidR="000F688D">
        <w:rPr>
          <w:rFonts w:ascii="Arial" w:hAnsi="Arial" w:cs="Arial"/>
          <w:color w:val="auto"/>
        </w:rPr>
        <w:t>.  This means the team will</w:t>
      </w:r>
      <w:r w:rsidR="00C64D46">
        <w:rPr>
          <w:rFonts w:ascii="Arial" w:hAnsi="Arial" w:cs="Arial"/>
          <w:color w:val="auto"/>
        </w:rPr>
        <w:t>, as expected,</w:t>
      </w:r>
      <w:r w:rsidR="000F688D">
        <w:rPr>
          <w:rFonts w:ascii="Arial" w:hAnsi="Arial" w:cs="Arial"/>
          <w:color w:val="auto"/>
        </w:rPr>
        <w:t xml:space="preserve"> have to increase substantially i</w:t>
      </w:r>
      <w:r w:rsidR="003222A6">
        <w:rPr>
          <w:rFonts w:ascii="Arial" w:hAnsi="Arial" w:cs="Arial"/>
          <w:color w:val="auto"/>
        </w:rPr>
        <w:t>n order to</w:t>
      </w:r>
      <w:r w:rsidR="000F688D">
        <w:rPr>
          <w:rFonts w:ascii="Arial" w:hAnsi="Arial" w:cs="Arial"/>
          <w:color w:val="auto"/>
        </w:rPr>
        <w:t xml:space="preserve"> reconcile the </w:t>
      </w:r>
      <w:r w:rsidR="00902A8E">
        <w:rPr>
          <w:rFonts w:ascii="Arial" w:hAnsi="Arial" w:cs="Arial"/>
          <w:color w:val="auto"/>
        </w:rPr>
        <w:t>required</w:t>
      </w:r>
      <w:r w:rsidR="000F688D">
        <w:rPr>
          <w:rFonts w:ascii="Arial" w:hAnsi="Arial" w:cs="Arial"/>
          <w:color w:val="auto"/>
        </w:rPr>
        <w:t xml:space="preserve"> pensioner and deferred</w:t>
      </w:r>
      <w:r w:rsidR="003222A6">
        <w:rPr>
          <w:rFonts w:ascii="Arial" w:hAnsi="Arial" w:cs="Arial"/>
          <w:color w:val="auto"/>
        </w:rPr>
        <w:t xml:space="preserve"> member</w:t>
      </w:r>
      <w:r w:rsidR="000F688D">
        <w:rPr>
          <w:rFonts w:ascii="Arial" w:hAnsi="Arial" w:cs="Arial"/>
          <w:color w:val="auto"/>
        </w:rPr>
        <w:t xml:space="preserve"> record</w:t>
      </w:r>
      <w:r w:rsidR="00902A8E">
        <w:rPr>
          <w:rFonts w:ascii="Arial" w:hAnsi="Arial" w:cs="Arial"/>
          <w:color w:val="auto"/>
        </w:rPr>
        <w:t>s</w:t>
      </w:r>
      <w:r w:rsidR="000F688D">
        <w:rPr>
          <w:rFonts w:ascii="Arial" w:hAnsi="Arial" w:cs="Arial"/>
          <w:color w:val="auto"/>
        </w:rPr>
        <w:t xml:space="preserve"> before</w:t>
      </w:r>
      <w:r w:rsidR="003222A6">
        <w:rPr>
          <w:rFonts w:ascii="Arial" w:hAnsi="Arial" w:cs="Arial"/>
          <w:color w:val="auto"/>
        </w:rPr>
        <w:t xml:space="preserve"> January 2017, when</w:t>
      </w:r>
      <w:r w:rsidR="000F688D">
        <w:rPr>
          <w:rFonts w:ascii="Arial" w:hAnsi="Arial" w:cs="Arial"/>
          <w:color w:val="auto"/>
        </w:rPr>
        <w:t xml:space="preserve"> HMRC release information relating to active members</w:t>
      </w:r>
      <w:r w:rsidR="00C86034">
        <w:rPr>
          <w:rFonts w:ascii="Arial" w:hAnsi="Arial" w:cs="Arial"/>
          <w:color w:val="auto"/>
        </w:rPr>
        <w:t>.</w:t>
      </w:r>
    </w:p>
    <w:p w14:paraId="6FB857DD" w14:textId="77777777" w:rsidR="005935FE" w:rsidRDefault="005935FE" w:rsidP="005935FE">
      <w:pPr>
        <w:pStyle w:val="Default"/>
        <w:ind w:left="720"/>
        <w:rPr>
          <w:rFonts w:ascii="Arial" w:hAnsi="Arial" w:cs="Arial"/>
          <w:color w:val="auto"/>
        </w:rPr>
      </w:pPr>
    </w:p>
    <w:p w14:paraId="0E0FA795" w14:textId="77777777" w:rsidR="005935FE" w:rsidRPr="005935FE" w:rsidRDefault="005935FE" w:rsidP="005935FE">
      <w:pPr>
        <w:rPr>
          <w:rFonts w:cs="Arial"/>
          <w:color w:val="000000" w:themeColor="text1"/>
          <w:szCs w:val="24"/>
        </w:rPr>
      </w:pPr>
      <w:proofErr w:type="gramStart"/>
      <w:r w:rsidRPr="005935FE">
        <w:rPr>
          <w:rFonts w:cs="Arial"/>
          <w:b/>
          <w:color w:val="000000" w:themeColor="text1"/>
          <w:szCs w:val="24"/>
        </w:rPr>
        <w:t>Monthly Data Collection</w:t>
      </w:r>
      <w:r w:rsidR="00E6720D">
        <w:rPr>
          <w:rFonts w:cs="Arial"/>
          <w:b/>
          <w:color w:val="000000" w:themeColor="text1"/>
          <w:szCs w:val="24"/>
        </w:rPr>
        <w:t xml:space="preserve"> (MDC)</w:t>
      </w:r>
      <w:r w:rsidRPr="005935FE">
        <w:rPr>
          <w:rFonts w:cs="Arial"/>
          <w:color w:val="000000" w:themeColor="text1"/>
          <w:szCs w:val="24"/>
        </w:rPr>
        <w:t>.</w:t>
      </w:r>
      <w:proofErr w:type="gramEnd"/>
    </w:p>
    <w:p w14:paraId="5DA49D26" w14:textId="61B4664C" w:rsidR="00E6720D" w:rsidRDefault="0044303E" w:rsidP="005935FE">
      <w:pPr>
        <w:rPr>
          <w:rFonts w:cs="Arial"/>
          <w:color w:val="000000" w:themeColor="text1"/>
          <w:szCs w:val="24"/>
        </w:rPr>
      </w:pPr>
      <w:r>
        <w:rPr>
          <w:rFonts w:cs="Arial"/>
          <w:color w:val="000000" w:themeColor="text1"/>
          <w:szCs w:val="24"/>
        </w:rPr>
        <w:t>As</w:t>
      </w:r>
      <w:r w:rsidR="00C86034">
        <w:rPr>
          <w:rFonts w:cs="Arial"/>
          <w:color w:val="000000" w:themeColor="text1"/>
          <w:szCs w:val="24"/>
        </w:rPr>
        <w:t xml:space="preserve"> described in previous reports,</w:t>
      </w:r>
      <w:r>
        <w:rPr>
          <w:rFonts w:cs="Arial"/>
          <w:color w:val="000000" w:themeColor="text1"/>
          <w:szCs w:val="24"/>
        </w:rPr>
        <w:t xml:space="preserve"> </w:t>
      </w:r>
      <w:r w:rsidR="00E6720D">
        <w:rPr>
          <w:rFonts w:cs="Arial"/>
          <w:color w:val="000000" w:themeColor="text1"/>
          <w:szCs w:val="24"/>
        </w:rPr>
        <w:t>MDC will replace the Annual Service Return, Re-employment Certificates and starter and leaver information.  It gives significant benefits to members and employers allowing real time information to be available and reduces the burden of current processes.</w:t>
      </w:r>
      <w:r w:rsidR="00FE13ED">
        <w:rPr>
          <w:rFonts w:cs="Arial"/>
          <w:color w:val="000000" w:themeColor="text1"/>
          <w:szCs w:val="24"/>
        </w:rPr>
        <w:t xml:space="preserve">  Currently information relating to 5% of active member is collected this way.</w:t>
      </w:r>
    </w:p>
    <w:p w14:paraId="0F2DA295" w14:textId="77777777" w:rsidR="00E6720D" w:rsidRDefault="00E6720D" w:rsidP="005935FE">
      <w:pPr>
        <w:rPr>
          <w:rFonts w:cs="Arial"/>
          <w:color w:val="000000" w:themeColor="text1"/>
          <w:szCs w:val="24"/>
        </w:rPr>
      </w:pPr>
    </w:p>
    <w:p w14:paraId="15886DF4" w14:textId="512FCD47" w:rsidR="0026223E" w:rsidRDefault="0026223E" w:rsidP="005935FE">
      <w:pPr>
        <w:rPr>
          <w:rFonts w:cs="Arial"/>
          <w:color w:val="000000" w:themeColor="text1"/>
          <w:szCs w:val="24"/>
        </w:rPr>
      </w:pPr>
      <w:r>
        <w:rPr>
          <w:rFonts w:cs="Arial"/>
          <w:color w:val="000000" w:themeColor="text1"/>
          <w:szCs w:val="24"/>
        </w:rPr>
        <w:t xml:space="preserve">During January TP sought </w:t>
      </w:r>
      <w:r w:rsidR="00C21C74">
        <w:rPr>
          <w:rFonts w:cs="Arial"/>
          <w:color w:val="000000" w:themeColor="text1"/>
          <w:szCs w:val="24"/>
        </w:rPr>
        <w:t>feedback from all 210 employers using MDC so far</w:t>
      </w:r>
      <w:r w:rsidR="001E50C3">
        <w:rPr>
          <w:rFonts w:cs="Arial"/>
          <w:color w:val="000000" w:themeColor="text1"/>
          <w:szCs w:val="24"/>
        </w:rPr>
        <w:t>, o</w:t>
      </w:r>
      <w:r w:rsidR="00273493">
        <w:rPr>
          <w:rFonts w:cs="Arial"/>
          <w:color w:val="000000" w:themeColor="text1"/>
          <w:szCs w:val="24"/>
        </w:rPr>
        <w:t xml:space="preserve">f the </w:t>
      </w:r>
      <w:r w:rsidR="00C21C74">
        <w:rPr>
          <w:rFonts w:cs="Arial"/>
          <w:color w:val="000000" w:themeColor="text1"/>
          <w:szCs w:val="24"/>
        </w:rPr>
        <w:t xml:space="preserve">24 </w:t>
      </w:r>
      <w:r w:rsidR="00273493">
        <w:rPr>
          <w:rFonts w:cs="Arial"/>
          <w:color w:val="000000" w:themeColor="text1"/>
          <w:szCs w:val="24"/>
        </w:rPr>
        <w:t xml:space="preserve">that </w:t>
      </w:r>
      <w:r w:rsidR="00C21C74">
        <w:rPr>
          <w:rFonts w:cs="Arial"/>
          <w:color w:val="000000" w:themeColor="text1"/>
          <w:szCs w:val="24"/>
        </w:rPr>
        <w:t>responded</w:t>
      </w:r>
      <w:r w:rsidR="00273493">
        <w:rPr>
          <w:rFonts w:cs="Arial"/>
          <w:color w:val="000000" w:themeColor="text1"/>
          <w:szCs w:val="24"/>
        </w:rPr>
        <w:t xml:space="preserve"> 18 felt it was a t</w:t>
      </w:r>
      <w:r w:rsidR="00C21C74">
        <w:rPr>
          <w:rFonts w:cs="Arial"/>
          <w:color w:val="000000" w:themeColor="text1"/>
          <w:szCs w:val="24"/>
        </w:rPr>
        <w:t>ime saving solution</w:t>
      </w:r>
      <w:r w:rsidR="00273493">
        <w:rPr>
          <w:rFonts w:cs="Arial"/>
          <w:color w:val="000000" w:themeColor="text1"/>
          <w:szCs w:val="24"/>
        </w:rPr>
        <w:t xml:space="preserve">. Issues uncovered </w:t>
      </w:r>
      <w:r w:rsidR="001E50C3">
        <w:rPr>
          <w:rFonts w:cs="Arial"/>
          <w:color w:val="000000" w:themeColor="text1"/>
          <w:szCs w:val="24"/>
        </w:rPr>
        <w:t xml:space="preserve">from the 6 negative responses include </w:t>
      </w:r>
      <w:r w:rsidR="00FE13ED">
        <w:rPr>
          <w:rFonts w:cs="Arial"/>
          <w:color w:val="000000" w:themeColor="text1"/>
          <w:szCs w:val="24"/>
        </w:rPr>
        <w:t>problems with Excel expertise within the employer group</w:t>
      </w:r>
      <w:r w:rsidR="00BE4D0A">
        <w:rPr>
          <w:rFonts w:cs="Arial"/>
          <w:color w:val="000000" w:themeColor="text1"/>
          <w:szCs w:val="24"/>
        </w:rPr>
        <w:t>,</w:t>
      </w:r>
      <w:r w:rsidR="00FE13ED">
        <w:rPr>
          <w:rFonts w:cs="Arial"/>
          <w:color w:val="000000" w:themeColor="text1"/>
          <w:szCs w:val="24"/>
        </w:rPr>
        <w:t xml:space="preserve"> and </w:t>
      </w:r>
      <w:r w:rsidR="00BE4D0A">
        <w:rPr>
          <w:rFonts w:cs="Arial"/>
          <w:color w:val="000000" w:themeColor="text1"/>
          <w:szCs w:val="24"/>
        </w:rPr>
        <w:t>issues around a</w:t>
      </w:r>
      <w:r w:rsidR="00FE13ED">
        <w:rPr>
          <w:rFonts w:cs="Arial"/>
          <w:color w:val="000000" w:themeColor="text1"/>
          <w:szCs w:val="24"/>
        </w:rPr>
        <w:t xml:space="preserve"> payroll provider committing to assist with the implementation, only to</w:t>
      </w:r>
      <w:r w:rsidR="00BE4D0A">
        <w:rPr>
          <w:rFonts w:cs="Arial"/>
          <w:color w:val="000000" w:themeColor="text1"/>
          <w:szCs w:val="24"/>
        </w:rPr>
        <w:t xml:space="preserve"> then</w:t>
      </w:r>
      <w:r w:rsidR="00FE13ED">
        <w:rPr>
          <w:rFonts w:cs="Arial"/>
          <w:color w:val="000000" w:themeColor="text1"/>
          <w:szCs w:val="24"/>
        </w:rPr>
        <w:t xml:space="preserve"> change its approach.  All items of negative feedback </w:t>
      </w:r>
      <w:r w:rsidR="00BE4D0A">
        <w:rPr>
          <w:rFonts w:cs="Arial"/>
          <w:color w:val="000000" w:themeColor="text1"/>
          <w:szCs w:val="24"/>
        </w:rPr>
        <w:t>are</w:t>
      </w:r>
      <w:r w:rsidR="00FE13ED">
        <w:rPr>
          <w:rFonts w:cs="Arial"/>
          <w:color w:val="000000" w:themeColor="text1"/>
          <w:szCs w:val="24"/>
        </w:rPr>
        <w:t xml:space="preserve"> being followed up to ensure lessons are learned</w:t>
      </w:r>
      <w:r w:rsidR="00BE4D0A">
        <w:rPr>
          <w:rFonts w:cs="Arial"/>
          <w:color w:val="000000" w:themeColor="text1"/>
          <w:szCs w:val="24"/>
        </w:rPr>
        <w:t xml:space="preserve"> and to h</w:t>
      </w:r>
      <w:r w:rsidR="00FE13ED">
        <w:rPr>
          <w:rFonts w:cs="Arial"/>
          <w:color w:val="000000" w:themeColor="text1"/>
          <w:szCs w:val="24"/>
        </w:rPr>
        <w:t>elp</w:t>
      </w:r>
      <w:r w:rsidR="00BE4D0A">
        <w:rPr>
          <w:rFonts w:cs="Arial"/>
          <w:color w:val="000000" w:themeColor="text1"/>
          <w:szCs w:val="24"/>
        </w:rPr>
        <w:t xml:space="preserve"> enhance</w:t>
      </w:r>
      <w:r w:rsidR="00FE13ED">
        <w:rPr>
          <w:rFonts w:cs="Arial"/>
          <w:color w:val="000000" w:themeColor="text1"/>
          <w:szCs w:val="24"/>
        </w:rPr>
        <w:t xml:space="preserve"> the support that is given to </w:t>
      </w:r>
      <w:r w:rsidR="00BE4D0A">
        <w:rPr>
          <w:rFonts w:cs="Arial"/>
          <w:color w:val="000000" w:themeColor="text1"/>
          <w:szCs w:val="24"/>
        </w:rPr>
        <w:t>future</w:t>
      </w:r>
      <w:r w:rsidR="00FE13ED">
        <w:rPr>
          <w:rFonts w:cs="Arial"/>
          <w:color w:val="000000" w:themeColor="text1"/>
          <w:szCs w:val="24"/>
        </w:rPr>
        <w:t xml:space="preserve"> users.  None of those who responded were unhappy with the level of support they had received from TP during the on-boarding process.</w:t>
      </w:r>
    </w:p>
    <w:p w14:paraId="549CC869" w14:textId="77777777" w:rsidR="00C86034" w:rsidRDefault="00C86034" w:rsidP="005935FE">
      <w:pPr>
        <w:rPr>
          <w:rFonts w:cs="Arial"/>
          <w:color w:val="000000" w:themeColor="text1"/>
          <w:szCs w:val="24"/>
        </w:rPr>
      </w:pPr>
    </w:p>
    <w:p w14:paraId="63A35089" w14:textId="719B5950" w:rsidR="001610B2" w:rsidRDefault="001610B2" w:rsidP="005935FE">
      <w:pPr>
        <w:rPr>
          <w:rFonts w:cs="Arial"/>
          <w:color w:val="000000" w:themeColor="text1"/>
          <w:szCs w:val="24"/>
        </w:rPr>
      </w:pPr>
      <w:r>
        <w:rPr>
          <w:rFonts w:cs="Arial"/>
          <w:color w:val="000000" w:themeColor="text1"/>
          <w:szCs w:val="24"/>
        </w:rPr>
        <w:t xml:space="preserve">The next phase of on boarding employers </w:t>
      </w:r>
      <w:r w:rsidR="00FE13ED">
        <w:rPr>
          <w:rFonts w:cs="Arial"/>
          <w:color w:val="000000" w:themeColor="text1"/>
          <w:szCs w:val="24"/>
        </w:rPr>
        <w:t xml:space="preserve">will </w:t>
      </w:r>
      <w:r w:rsidR="00BE4D0A">
        <w:rPr>
          <w:rFonts w:cs="Arial"/>
          <w:color w:val="000000" w:themeColor="text1"/>
          <w:szCs w:val="24"/>
        </w:rPr>
        <w:t>take place</w:t>
      </w:r>
      <w:r w:rsidR="00FE13ED">
        <w:rPr>
          <w:rFonts w:cs="Arial"/>
          <w:color w:val="000000" w:themeColor="text1"/>
          <w:szCs w:val="24"/>
        </w:rPr>
        <w:t xml:space="preserve"> in April, bringing coverage to 12%</w:t>
      </w:r>
      <w:r w:rsidR="00BE4D0A">
        <w:rPr>
          <w:rFonts w:cs="Arial"/>
          <w:color w:val="000000" w:themeColor="text1"/>
          <w:szCs w:val="24"/>
        </w:rPr>
        <w:t xml:space="preserve">, there is then a further </w:t>
      </w:r>
      <w:r w:rsidR="00FE13ED">
        <w:rPr>
          <w:rFonts w:cs="Arial"/>
          <w:color w:val="000000" w:themeColor="text1"/>
          <w:szCs w:val="24"/>
        </w:rPr>
        <w:t>phase planned for September.</w:t>
      </w:r>
      <w:r w:rsidR="00902A8E">
        <w:rPr>
          <w:rFonts w:cs="Arial"/>
          <w:color w:val="000000" w:themeColor="text1"/>
          <w:szCs w:val="24"/>
        </w:rPr>
        <w:t xml:space="preserve">  </w:t>
      </w:r>
      <w:r w:rsidR="0040142A">
        <w:rPr>
          <w:rFonts w:cs="Arial"/>
          <w:color w:val="000000" w:themeColor="text1"/>
          <w:szCs w:val="24"/>
        </w:rPr>
        <w:t xml:space="preserve">TP are incentivised to achieve 60% of active member data received in this way by 1 October 2017 and this is expected to be the only method of providing data from </w:t>
      </w:r>
      <w:r w:rsidR="00974DA5">
        <w:rPr>
          <w:rFonts w:cs="Arial"/>
          <w:color w:val="000000" w:themeColor="text1"/>
          <w:szCs w:val="24"/>
        </w:rPr>
        <w:t>6</w:t>
      </w:r>
      <w:r w:rsidR="0040142A">
        <w:rPr>
          <w:rFonts w:cs="Arial"/>
          <w:color w:val="000000" w:themeColor="text1"/>
          <w:szCs w:val="24"/>
        </w:rPr>
        <w:t xml:space="preserve"> April 2018.</w:t>
      </w:r>
    </w:p>
    <w:p w14:paraId="0B55870B" w14:textId="77777777" w:rsidR="0040142A" w:rsidRDefault="0040142A" w:rsidP="005935FE">
      <w:pPr>
        <w:rPr>
          <w:rFonts w:cs="Arial"/>
          <w:color w:val="000000" w:themeColor="text1"/>
          <w:szCs w:val="24"/>
        </w:rPr>
      </w:pPr>
    </w:p>
    <w:p w14:paraId="6B2A5A5B" w14:textId="489BBDD9" w:rsidR="005935FE" w:rsidRPr="00FE1B8F" w:rsidRDefault="0040142A" w:rsidP="005935FE">
      <w:pPr>
        <w:rPr>
          <w:rFonts w:cs="Arial"/>
          <w:color w:val="000000" w:themeColor="text1"/>
          <w:szCs w:val="24"/>
        </w:rPr>
      </w:pPr>
      <w:r>
        <w:rPr>
          <w:rFonts w:cs="Arial"/>
          <w:color w:val="000000" w:themeColor="text1"/>
          <w:szCs w:val="24"/>
        </w:rPr>
        <w:t>Analysis</w:t>
      </w:r>
      <w:r w:rsidR="00BE4D0A">
        <w:rPr>
          <w:rFonts w:cs="Arial"/>
          <w:color w:val="000000" w:themeColor="text1"/>
          <w:szCs w:val="24"/>
        </w:rPr>
        <w:t xml:space="preserve"> of feedback</w:t>
      </w:r>
      <w:r>
        <w:rPr>
          <w:rFonts w:cs="Arial"/>
          <w:color w:val="000000" w:themeColor="text1"/>
          <w:szCs w:val="24"/>
        </w:rPr>
        <w:t xml:space="preserve"> </w:t>
      </w:r>
      <w:r w:rsidR="00BE4D0A">
        <w:rPr>
          <w:rFonts w:cs="Arial"/>
          <w:color w:val="000000" w:themeColor="text1"/>
          <w:szCs w:val="24"/>
        </w:rPr>
        <w:t>from</w:t>
      </w:r>
      <w:r>
        <w:rPr>
          <w:rFonts w:cs="Arial"/>
          <w:color w:val="000000" w:themeColor="text1"/>
          <w:szCs w:val="24"/>
        </w:rPr>
        <w:t xml:space="preserve"> the Employer Review Project </w:t>
      </w:r>
      <w:r w:rsidR="00B00563">
        <w:rPr>
          <w:rFonts w:cs="Arial"/>
          <w:color w:val="000000" w:themeColor="text1"/>
          <w:szCs w:val="24"/>
        </w:rPr>
        <w:t>stresses</w:t>
      </w:r>
      <w:r>
        <w:rPr>
          <w:rFonts w:cs="Arial"/>
          <w:color w:val="000000" w:themeColor="text1"/>
          <w:szCs w:val="24"/>
        </w:rPr>
        <w:t xml:space="preserve"> the </w:t>
      </w:r>
      <w:r w:rsidR="00BE4D0A">
        <w:rPr>
          <w:rFonts w:cs="Arial"/>
          <w:color w:val="000000" w:themeColor="text1"/>
          <w:szCs w:val="24"/>
        </w:rPr>
        <w:t>importance</w:t>
      </w:r>
      <w:r>
        <w:rPr>
          <w:rFonts w:cs="Arial"/>
          <w:color w:val="000000" w:themeColor="text1"/>
          <w:szCs w:val="24"/>
        </w:rPr>
        <w:t xml:space="preserve"> of this project </w:t>
      </w:r>
      <w:r w:rsidR="00B00563">
        <w:rPr>
          <w:rFonts w:cs="Arial"/>
          <w:color w:val="000000" w:themeColor="text1"/>
          <w:szCs w:val="24"/>
        </w:rPr>
        <w:t>and</w:t>
      </w:r>
      <w:r w:rsidR="00974DA5">
        <w:rPr>
          <w:rFonts w:cs="Arial"/>
          <w:color w:val="000000" w:themeColor="text1"/>
          <w:szCs w:val="24"/>
        </w:rPr>
        <w:t xml:space="preserve"> has led to data fields regarding email address and contributions bein</w:t>
      </w:r>
      <w:r w:rsidR="00B00563">
        <w:rPr>
          <w:rFonts w:cs="Arial"/>
          <w:color w:val="000000" w:themeColor="text1"/>
          <w:szCs w:val="24"/>
        </w:rPr>
        <w:t>g made compulsory</w:t>
      </w:r>
      <w:r w:rsidR="00902A8E">
        <w:rPr>
          <w:rFonts w:cs="Arial"/>
          <w:color w:val="000000" w:themeColor="text1"/>
          <w:szCs w:val="24"/>
        </w:rPr>
        <w:t>.</w:t>
      </w:r>
    </w:p>
    <w:p w14:paraId="52D93916" w14:textId="77777777" w:rsidR="005935FE" w:rsidRPr="005935FE" w:rsidRDefault="005935FE" w:rsidP="005935FE">
      <w:pPr>
        <w:rPr>
          <w:rFonts w:cs="Arial"/>
          <w:szCs w:val="24"/>
        </w:rPr>
      </w:pPr>
    </w:p>
    <w:p w14:paraId="5310C8E5" w14:textId="77777777" w:rsidR="00216CB0" w:rsidRDefault="00216CB0" w:rsidP="005935FE">
      <w:pPr>
        <w:rPr>
          <w:rFonts w:cs="Arial"/>
          <w:b/>
          <w:color w:val="000000" w:themeColor="text1"/>
          <w:szCs w:val="24"/>
        </w:rPr>
      </w:pPr>
    </w:p>
    <w:p w14:paraId="6FEAC0E0" w14:textId="77777777" w:rsidR="00302A0E" w:rsidRDefault="00302A0E" w:rsidP="00216CB0">
      <w:pPr>
        <w:ind w:right="184"/>
        <w:rPr>
          <w:rFonts w:cs="Arial"/>
          <w:b/>
          <w:color w:val="000000" w:themeColor="text1"/>
          <w:szCs w:val="24"/>
        </w:rPr>
      </w:pPr>
    </w:p>
    <w:p w14:paraId="726FEDB6" w14:textId="77777777" w:rsidR="005935FE" w:rsidRPr="005935FE" w:rsidRDefault="005935FE" w:rsidP="00216CB0">
      <w:pPr>
        <w:ind w:right="184"/>
        <w:rPr>
          <w:rFonts w:cs="Arial"/>
          <w:color w:val="000000" w:themeColor="text1"/>
          <w:szCs w:val="24"/>
        </w:rPr>
      </w:pPr>
      <w:r w:rsidRPr="005935FE">
        <w:rPr>
          <w:rFonts w:cs="Arial"/>
          <w:b/>
          <w:color w:val="000000" w:themeColor="text1"/>
          <w:szCs w:val="24"/>
        </w:rPr>
        <w:t>Data Strategy</w:t>
      </w:r>
      <w:r w:rsidRPr="005935FE">
        <w:rPr>
          <w:rFonts w:cs="Arial"/>
          <w:color w:val="000000" w:themeColor="text1"/>
          <w:szCs w:val="24"/>
        </w:rPr>
        <w:t xml:space="preserve"> </w:t>
      </w:r>
    </w:p>
    <w:p w14:paraId="0B4ACCF1" w14:textId="59FC5297" w:rsidR="0056050E" w:rsidRPr="0056050E" w:rsidRDefault="002F0D4F" w:rsidP="0056050E">
      <w:pPr>
        <w:rPr>
          <w:szCs w:val="24"/>
        </w:rPr>
      </w:pPr>
      <w:r>
        <w:rPr>
          <w:szCs w:val="24"/>
        </w:rPr>
        <w:t xml:space="preserve">This quarter TP have provided a draft </w:t>
      </w:r>
      <w:r w:rsidR="00BE4D0A">
        <w:rPr>
          <w:szCs w:val="24"/>
        </w:rPr>
        <w:t>document,</w:t>
      </w:r>
      <w:r>
        <w:rPr>
          <w:szCs w:val="24"/>
        </w:rPr>
        <w:t xml:space="preserve"> </w:t>
      </w:r>
      <w:r w:rsidR="00BE4D0A">
        <w:rPr>
          <w:szCs w:val="24"/>
        </w:rPr>
        <w:t xml:space="preserve">with proposals </w:t>
      </w:r>
      <w:r w:rsidR="001E50C3">
        <w:rPr>
          <w:szCs w:val="24"/>
        </w:rPr>
        <w:t>on how to</w:t>
      </w:r>
      <w:r w:rsidR="00BE4D0A">
        <w:rPr>
          <w:szCs w:val="24"/>
        </w:rPr>
        <w:t xml:space="preserve"> improve the data strategy</w:t>
      </w:r>
      <w:r w:rsidR="001E50C3">
        <w:rPr>
          <w:szCs w:val="24"/>
        </w:rPr>
        <w:t>,</w:t>
      </w:r>
      <w:r w:rsidR="00BE4D0A">
        <w:rPr>
          <w:szCs w:val="24"/>
        </w:rPr>
        <w:t xml:space="preserve"> </w:t>
      </w:r>
      <w:r w:rsidR="001E50C3">
        <w:rPr>
          <w:szCs w:val="24"/>
        </w:rPr>
        <w:t>to the D</w:t>
      </w:r>
      <w:r w:rsidR="00546D75">
        <w:rPr>
          <w:szCs w:val="24"/>
        </w:rPr>
        <w:t>epartment for comment</w:t>
      </w:r>
      <w:r w:rsidR="00BE4D0A">
        <w:rPr>
          <w:szCs w:val="24"/>
        </w:rPr>
        <w:t>.  P</w:t>
      </w:r>
      <w:r w:rsidR="00546D75">
        <w:rPr>
          <w:szCs w:val="24"/>
        </w:rPr>
        <w:t>roposals include obtaining historic data from employers’</w:t>
      </w:r>
      <w:r w:rsidR="00175C28">
        <w:rPr>
          <w:szCs w:val="24"/>
        </w:rPr>
        <w:t xml:space="preserve"> payroll and using the contact centre to update member records as part of </w:t>
      </w:r>
      <w:r w:rsidR="00BE4D0A">
        <w:rPr>
          <w:szCs w:val="24"/>
        </w:rPr>
        <w:t xml:space="preserve">their </w:t>
      </w:r>
      <w:r w:rsidR="00175C28">
        <w:rPr>
          <w:szCs w:val="24"/>
        </w:rPr>
        <w:t>call routines</w:t>
      </w:r>
      <w:r w:rsidR="00BE4D0A">
        <w:rPr>
          <w:szCs w:val="24"/>
        </w:rPr>
        <w:t>,</w:t>
      </w:r>
      <w:r w:rsidR="00175C28">
        <w:rPr>
          <w:szCs w:val="24"/>
        </w:rPr>
        <w:t xml:space="preserve"> to</w:t>
      </w:r>
      <w:r w:rsidR="0056050E" w:rsidRPr="0056050E">
        <w:rPr>
          <w:szCs w:val="24"/>
        </w:rPr>
        <w:t xml:space="preserve"> improve data quality moving forward. This proposal</w:t>
      </w:r>
      <w:r w:rsidR="00BE4D0A">
        <w:rPr>
          <w:szCs w:val="24"/>
        </w:rPr>
        <w:t xml:space="preserve"> document</w:t>
      </w:r>
      <w:r w:rsidR="0056050E" w:rsidRPr="0056050E">
        <w:rPr>
          <w:szCs w:val="24"/>
        </w:rPr>
        <w:t xml:space="preserve"> will form the basis of the revised Data Strategy for contract year five and beyond. This will help</w:t>
      </w:r>
      <w:r w:rsidR="001E50C3">
        <w:rPr>
          <w:szCs w:val="24"/>
        </w:rPr>
        <w:t xml:space="preserve"> further</w:t>
      </w:r>
      <w:r w:rsidR="0056050E" w:rsidRPr="0056050E">
        <w:rPr>
          <w:szCs w:val="24"/>
        </w:rPr>
        <w:t xml:space="preserve"> progress data quality and will build on activities already delivered in previous years.</w:t>
      </w:r>
    </w:p>
    <w:p w14:paraId="3F71DB8F" w14:textId="2C652F83" w:rsidR="005935FE" w:rsidRPr="0040142A" w:rsidRDefault="005935FE" w:rsidP="005935FE">
      <w:pPr>
        <w:pStyle w:val="Default"/>
        <w:rPr>
          <w:rFonts w:ascii="Arial" w:hAnsi="Arial" w:cs="Arial"/>
          <w:color w:val="000000" w:themeColor="text1"/>
        </w:rPr>
      </w:pPr>
    </w:p>
    <w:p w14:paraId="5225AA94" w14:textId="77777777" w:rsidR="005935FE" w:rsidRPr="005935FE" w:rsidRDefault="005935FE" w:rsidP="005935FE">
      <w:pPr>
        <w:pStyle w:val="Default"/>
        <w:rPr>
          <w:rFonts w:ascii="Arial" w:hAnsi="Arial" w:cs="Arial"/>
          <w:color w:val="000000" w:themeColor="text1"/>
        </w:rPr>
      </w:pPr>
      <w:r w:rsidRPr="005935FE">
        <w:rPr>
          <w:rFonts w:ascii="Arial" w:hAnsi="Arial" w:cs="Arial"/>
          <w:b/>
          <w:color w:val="000000" w:themeColor="text1"/>
        </w:rPr>
        <w:t>Deferred Project</w:t>
      </w:r>
      <w:r w:rsidRPr="005935FE">
        <w:rPr>
          <w:rFonts w:ascii="Arial" w:hAnsi="Arial" w:cs="Arial"/>
          <w:color w:val="000000" w:themeColor="text1"/>
        </w:rPr>
        <w:t xml:space="preserve"> </w:t>
      </w:r>
    </w:p>
    <w:p w14:paraId="4FA29DF8" w14:textId="4080BF94" w:rsidR="00354B0F" w:rsidRDefault="005935FE" w:rsidP="005935FE">
      <w:pPr>
        <w:pStyle w:val="Default"/>
        <w:rPr>
          <w:rFonts w:ascii="Arial" w:hAnsi="Arial" w:cs="Arial"/>
          <w:color w:val="auto"/>
        </w:rPr>
      </w:pPr>
      <w:r w:rsidRPr="0040142A">
        <w:rPr>
          <w:rFonts w:ascii="Arial" w:hAnsi="Arial" w:cs="Arial"/>
          <w:color w:val="auto"/>
        </w:rPr>
        <w:t xml:space="preserve">The deferred </w:t>
      </w:r>
      <w:r w:rsidR="00354B0F">
        <w:rPr>
          <w:rFonts w:ascii="Arial" w:hAnsi="Arial" w:cs="Arial"/>
          <w:color w:val="auto"/>
        </w:rPr>
        <w:t xml:space="preserve">project </w:t>
      </w:r>
      <w:r w:rsidRPr="0040142A">
        <w:rPr>
          <w:rFonts w:ascii="Arial" w:hAnsi="Arial" w:cs="Arial"/>
          <w:color w:val="auto"/>
        </w:rPr>
        <w:t xml:space="preserve">relates to active unclaimed pensions, where a member has left the scheme but has </w:t>
      </w:r>
      <w:r w:rsidR="001E50C3">
        <w:rPr>
          <w:rFonts w:ascii="Arial" w:hAnsi="Arial" w:cs="Arial"/>
          <w:color w:val="auto"/>
        </w:rPr>
        <w:t>n</w:t>
      </w:r>
      <w:r w:rsidRPr="0040142A">
        <w:rPr>
          <w:rFonts w:ascii="Arial" w:hAnsi="Arial" w:cs="Arial"/>
          <w:color w:val="auto"/>
        </w:rPr>
        <w:t xml:space="preserve">either transferred their existing pension to a new scheme </w:t>
      </w:r>
      <w:r w:rsidR="001E50C3">
        <w:rPr>
          <w:rFonts w:ascii="Arial" w:hAnsi="Arial" w:cs="Arial"/>
          <w:color w:val="auto"/>
        </w:rPr>
        <w:t>n</w:t>
      </w:r>
      <w:r w:rsidRPr="0040142A">
        <w:rPr>
          <w:rFonts w:ascii="Arial" w:hAnsi="Arial" w:cs="Arial"/>
          <w:color w:val="auto"/>
        </w:rPr>
        <w:t>or claimed the residual funds.</w:t>
      </w:r>
      <w:r w:rsidR="00354B0F">
        <w:rPr>
          <w:rFonts w:ascii="Arial" w:hAnsi="Arial" w:cs="Arial"/>
          <w:color w:val="auto"/>
        </w:rPr>
        <w:t xml:space="preserve">  The project benefits </w:t>
      </w:r>
      <w:proofErr w:type="gramStart"/>
      <w:r w:rsidR="00354B0F">
        <w:rPr>
          <w:rFonts w:ascii="Arial" w:hAnsi="Arial" w:cs="Arial"/>
          <w:color w:val="auto"/>
        </w:rPr>
        <w:t>members</w:t>
      </w:r>
      <w:r w:rsidR="001E50C3">
        <w:rPr>
          <w:rFonts w:ascii="Arial" w:hAnsi="Arial" w:cs="Arial"/>
          <w:color w:val="auto"/>
        </w:rPr>
        <w:t xml:space="preserve"> involved by reminding them of </w:t>
      </w:r>
      <w:r w:rsidR="00354B0F">
        <w:rPr>
          <w:rFonts w:ascii="Arial" w:hAnsi="Arial" w:cs="Arial"/>
          <w:color w:val="auto"/>
        </w:rPr>
        <w:t>their entitlements</w:t>
      </w:r>
      <w:r w:rsidR="001E50C3">
        <w:rPr>
          <w:rFonts w:ascii="Arial" w:hAnsi="Arial" w:cs="Arial"/>
          <w:color w:val="auto"/>
        </w:rPr>
        <w:t>,</w:t>
      </w:r>
      <w:r w:rsidR="00354B0F">
        <w:rPr>
          <w:rFonts w:ascii="Arial" w:hAnsi="Arial" w:cs="Arial"/>
          <w:color w:val="auto"/>
        </w:rPr>
        <w:t xml:space="preserve"> but is</w:t>
      </w:r>
      <w:proofErr w:type="gramEnd"/>
      <w:r w:rsidR="00354B0F">
        <w:rPr>
          <w:rFonts w:ascii="Arial" w:hAnsi="Arial" w:cs="Arial"/>
          <w:color w:val="auto"/>
        </w:rPr>
        <w:t xml:space="preserve"> also necessary to provide assurance to scheme forecasting and valuation</w:t>
      </w:r>
      <w:r w:rsidR="0040142A">
        <w:rPr>
          <w:rFonts w:ascii="Arial" w:hAnsi="Arial" w:cs="Arial"/>
          <w:color w:val="auto"/>
        </w:rPr>
        <w:t xml:space="preserve"> </w:t>
      </w:r>
      <w:r w:rsidR="00354B0F">
        <w:rPr>
          <w:rFonts w:ascii="Arial" w:hAnsi="Arial" w:cs="Arial"/>
          <w:color w:val="auto"/>
        </w:rPr>
        <w:t>processes.</w:t>
      </w:r>
    </w:p>
    <w:p w14:paraId="2C931481" w14:textId="77777777" w:rsidR="00354B0F" w:rsidRDefault="00354B0F" w:rsidP="005935FE">
      <w:pPr>
        <w:pStyle w:val="Default"/>
        <w:rPr>
          <w:rFonts w:ascii="Arial" w:hAnsi="Arial" w:cs="Arial"/>
          <w:color w:val="auto"/>
        </w:rPr>
      </w:pPr>
    </w:p>
    <w:p w14:paraId="38EEEE7C" w14:textId="5A1A2E5F" w:rsidR="00354B0F" w:rsidRDefault="0040142A" w:rsidP="005935FE">
      <w:pPr>
        <w:pStyle w:val="Default"/>
        <w:rPr>
          <w:rFonts w:ascii="Arial" w:hAnsi="Arial" w:cs="Arial"/>
          <w:color w:val="auto"/>
        </w:rPr>
      </w:pPr>
      <w:r>
        <w:rPr>
          <w:rFonts w:ascii="Arial" w:hAnsi="Arial" w:cs="Arial"/>
          <w:color w:val="auto"/>
        </w:rPr>
        <w:t>The project is on track in terms of the number of records</w:t>
      </w:r>
      <w:r w:rsidR="00A84A82">
        <w:rPr>
          <w:rFonts w:ascii="Arial" w:hAnsi="Arial" w:cs="Arial"/>
          <w:color w:val="auto"/>
        </w:rPr>
        <w:t xml:space="preserve"> investigated.  T</w:t>
      </w:r>
      <w:r w:rsidR="00B00563">
        <w:rPr>
          <w:rFonts w:ascii="Arial" w:hAnsi="Arial" w:cs="Arial"/>
          <w:color w:val="auto"/>
        </w:rPr>
        <w:t>he number of</w:t>
      </w:r>
      <w:r w:rsidR="009F54D3">
        <w:rPr>
          <w:rFonts w:ascii="Arial" w:hAnsi="Arial" w:cs="Arial"/>
          <w:color w:val="auto"/>
        </w:rPr>
        <w:t xml:space="preserve"> negatives (i.e</w:t>
      </w:r>
      <w:r w:rsidR="00A84A82">
        <w:rPr>
          <w:rFonts w:ascii="Arial" w:hAnsi="Arial" w:cs="Arial"/>
          <w:color w:val="auto"/>
        </w:rPr>
        <w:t>. where</w:t>
      </w:r>
      <w:r w:rsidR="009F54D3">
        <w:rPr>
          <w:rFonts w:ascii="Arial" w:hAnsi="Arial" w:cs="Arial"/>
          <w:color w:val="auto"/>
        </w:rPr>
        <w:t xml:space="preserve"> TP have not been able to trace the deferred member) has reduced this quarter from 48.2% to 46.9%</w:t>
      </w:r>
      <w:r w:rsidR="00354B0F">
        <w:rPr>
          <w:rFonts w:ascii="Arial" w:hAnsi="Arial" w:cs="Arial"/>
          <w:color w:val="auto"/>
        </w:rPr>
        <w:t xml:space="preserve">.  </w:t>
      </w:r>
      <w:r w:rsidR="009F54D3">
        <w:rPr>
          <w:rFonts w:ascii="Arial" w:hAnsi="Arial" w:cs="Arial"/>
          <w:color w:val="auto"/>
        </w:rPr>
        <w:t xml:space="preserve">The fail rate is high but </w:t>
      </w:r>
      <w:r w:rsidR="001E50C3">
        <w:rPr>
          <w:rFonts w:ascii="Arial" w:hAnsi="Arial" w:cs="Arial"/>
          <w:color w:val="auto"/>
        </w:rPr>
        <w:t xml:space="preserve">not unsurprising as </w:t>
      </w:r>
      <w:r w:rsidR="00302A0E">
        <w:rPr>
          <w:rFonts w:ascii="Arial" w:hAnsi="Arial" w:cs="Arial"/>
          <w:color w:val="auto"/>
        </w:rPr>
        <w:t>TP</w:t>
      </w:r>
      <w:r w:rsidR="00354B0F">
        <w:rPr>
          <w:rFonts w:ascii="Arial" w:hAnsi="Arial" w:cs="Arial"/>
          <w:color w:val="auto"/>
        </w:rPr>
        <w:t xml:space="preserve"> are working through the </w:t>
      </w:r>
      <w:r w:rsidR="001E50C3">
        <w:rPr>
          <w:rFonts w:ascii="Arial" w:hAnsi="Arial" w:cs="Arial"/>
          <w:color w:val="auto"/>
        </w:rPr>
        <w:t>oldest outstanding cases first</w:t>
      </w:r>
      <w:r w:rsidR="00354B0F">
        <w:rPr>
          <w:rFonts w:ascii="Arial" w:hAnsi="Arial" w:cs="Arial"/>
          <w:color w:val="auto"/>
        </w:rPr>
        <w:t xml:space="preserve">.  </w:t>
      </w:r>
    </w:p>
    <w:p w14:paraId="00BA57D1" w14:textId="77777777" w:rsidR="009F54D3" w:rsidRDefault="009F54D3" w:rsidP="005935FE">
      <w:pPr>
        <w:pStyle w:val="Default"/>
        <w:rPr>
          <w:rFonts w:ascii="Arial" w:hAnsi="Arial" w:cs="Arial"/>
          <w:color w:val="auto"/>
        </w:rPr>
      </w:pPr>
    </w:p>
    <w:p w14:paraId="496AFF16" w14:textId="77777777" w:rsidR="005935FE" w:rsidRPr="005935FE" w:rsidRDefault="005935FE" w:rsidP="005935FE">
      <w:pPr>
        <w:pStyle w:val="Default"/>
        <w:rPr>
          <w:rFonts w:ascii="Arial" w:hAnsi="Arial" w:cs="Arial"/>
          <w:b/>
          <w:color w:val="auto"/>
        </w:rPr>
      </w:pPr>
      <w:r w:rsidRPr="005935FE">
        <w:rPr>
          <w:rFonts w:ascii="Arial" w:hAnsi="Arial" w:cs="Arial"/>
          <w:b/>
          <w:color w:val="auto"/>
        </w:rPr>
        <w:t>Employer Review</w:t>
      </w:r>
    </w:p>
    <w:p w14:paraId="3C0C4B30" w14:textId="460E2E3E" w:rsidR="005935FE" w:rsidRDefault="005935FE" w:rsidP="005935FE">
      <w:pPr>
        <w:pStyle w:val="Default"/>
        <w:rPr>
          <w:rFonts w:ascii="Arial" w:hAnsi="Arial" w:cs="Arial"/>
          <w:color w:val="auto"/>
        </w:rPr>
      </w:pPr>
      <w:r w:rsidRPr="004B5643">
        <w:rPr>
          <w:rFonts w:ascii="Arial" w:hAnsi="Arial" w:cs="Arial"/>
          <w:color w:val="auto"/>
        </w:rPr>
        <w:t xml:space="preserve">The Department has initiated a joint project with </w:t>
      </w:r>
      <w:r w:rsidR="004B5643">
        <w:rPr>
          <w:rFonts w:ascii="Arial" w:hAnsi="Arial" w:cs="Arial"/>
          <w:color w:val="auto"/>
        </w:rPr>
        <w:t>TP</w:t>
      </w:r>
      <w:r w:rsidRPr="004B5643">
        <w:rPr>
          <w:rFonts w:ascii="Arial" w:hAnsi="Arial" w:cs="Arial"/>
          <w:color w:val="auto"/>
        </w:rPr>
        <w:t xml:space="preserve"> to review the role of the employer within the administration of the scheme.  This project is intended to ensure that the role of the employer remains sustainable and deliverable over the mid to long term, to ensure that the scheme </w:t>
      </w:r>
      <w:r w:rsidR="001E50C3">
        <w:rPr>
          <w:rFonts w:ascii="Arial" w:hAnsi="Arial" w:cs="Arial"/>
          <w:color w:val="auto"/>
        </w:rPr>
        <w:t>continues to be</w:t>
      </w:r>
      <w:r w:rsidRPr="004B5643">
        <w:rPr>
          <w:rFonts w:ascii="Arial" w:hAnsi="Arial" w:cs="Arial"/>
          <w:color w:val="auto"/>
        </w:rPr>
        <w:t xml:space="preserve"> effectively managed and that members continue to receive the best possible service</w:t>
      </w:r>
      <w:r w:rsidR="00A84A82">
        <w:rPr>
          <w:rFonts w:ascii="Arial" w:hAnsi="Arial" w:cs="Arial"/>
          <w:color w:val="auto"/>
        </w:rPr>
        <w:t>.</w:t>
      </w:r>
    </w:p>
    <w:p w14:paraId="3EAD373F" w14:textId="77777777" w:rsidR="004B5643" w:rsidRDefault="004B5643" w:rsidP="005935FE">
      <w:pPr>
        <w:pStyle w:val="Default"/>
        <w:rPr>
          <w:rFonts w:ascii="Arial" w:hAnsi="Arial" w:cs="Arial"/>
          <w:color w:val="auto"/>
        </w:rPr>
      </w:pPr>
    </w:p>
    <w:p w14:paraId="3646D1A9" w14:textId="78549D43" w:rsidR="00B00563" w:rsidRDefault="004B5643" w:rsidP="00216CB0">
      <w:pPr>
        <w:pStyle w:val="Default"/>
        <w:ind w:right="-99"/>
        <w:rPr>
          <w:rFonts w:ascii="Arial" w:hAnsi="Arial" w:cs="Arial"/>
          <w:color w:val="auto"/>
        </w:rPr>
      </w:pPr>
      <w:r>
        <w:rPr>
          <w:rFonts w:ascii="Arial" w:hAnsi="Arial" w:cs="Arial"/>
          <w:color w:val="auto"/>
        </w:rPr>
        <w:t xml:space="preserve">As referenced before, this work is </w:t>
      </w:r>
      <w:r w:rsidR="00A84A82">
        <w:rPr>
          <w:rFonts w:ascii="Arial" w:hAnsi="Arial" w:cs="Arial"/>
          <w:color w:val="auto"/>
        </w:rPr>
        <w:t xml:space="preserve">critically linked to </w:t>
      </w:r>
      <w:r>
        <w:rPr>
          <w:rFonts w:ascii="Arial" w:hAnsi="Arial" w:cs="Arial"/>
          <w:color w:val="auto"/>
        </w:rPr>
        <w:t>MDC, both in terms of improving the quality of data held by TP but also red</w:t>
      </w:r>
      <w:r w:rsidR="00A84A82">
        <w:rPr>
          <w:rFonts w:ascii="Arial" w:hAnsi="Arial" w:cs="Arial"/>
          <w:color w:val="auto"/>
        </w:rPr>
        <w:t xml:space="preserve">ucing administration </w:t>
      </w:r>
      <w:r>
        <w:rPr>
          <w:rFonts w:ascii="Arial" w:hAnsi="Arial" w:cs="Arial"/>
          <w:color w:val="auto"/>
        </w:rPr>
        <w:t>burdens on employers.</w:t>
      </w:r>
      <w:r w:rsidR="006D6027">
        <w:rPr>
          <w:rFonts w:ascii="Arial" w:hAnsi="Arial" w:cs="Arial"/>
          <w:color w:val="auto"/>
        </w:rPr>
        <w:t xml:space="preserve">  </w:t>
      </w:r>
      <w:r w:rsidR="00B00563">
        <w:rPr>
          <w:rFonts w:ascii="Arial" w:hAnsi="Arial" w:cs="Arial"/>
          <w:color w:val="auto"/>
        </w:rPr>
        <w:t>Focus on MDC</w:t>
      </w:r>
      <w:r w:rsidR="00A84A82">
        <w:rPr>
          <w:rFonts w:ascii="Arial" w:hAnsi="Arial" w:cs="Arial"/>
          <w:color w:val="auto"/>
        </w:rPr>
        <w:t>,</w:t>
      </w:r>
      <w:r w:rsidR="00B00563">
        <w:rPr>
          <w:rFonts w:ascii="Arial" w:hAnsi="Arial" w:cs="Arial"/>
          <w:color w:val="auto"/>
        </w:rPr>
        <w:t xml:space="preserve"> and the efficiencies this can deliver for employers</w:t>
      </w:r>
      <w:r w:rsidR="00A84A82">
        <w:rPr>
          <w:rFonts w:ascii="Arial" w:hAnsi="Arial" w:cs="Arial"/>
          <w:color w:val="auto"/>
        </w:rPr>
        <w:t>,</w:t>
      </w:r>
      <w:r w:rsidR="00B00563">
        <w:rPr>
          <w:rFonts w:ascii="Arial" w:hAnsi="Arial" w:cs="Arial"/>
          <w:color w:val="auto"/>
        </w:rPr>
        <w:t xml:space="preserve"> has led to specific </w:t>
      </w:r>
      <w:r w:rsidR="00902A8E">
        <w:rPr>
          <w:rFonts w:ascii="Arial" w:hAnsi="Arial" w:cs="Arial"/>
          <w:color w:val="auto"/>
        </w:rPr>
        <w:t>consideration of</w:t>
      </w:r>
      <w:r w:rsidR="00B00563">
        <w:rPr>
          <w:rFonts w:ascii="Arial" w:hAnsi="Arial" w:cs="Arial"/>
          <w:color w:val="auto"/>
        </w:rPr>
        <w:t xml:space="preserve"> the End </w:t>
      </w:r>
      <w:r w:rsidR="00A84A82">
        <w:rPr>
          <w:rFonts w:ascii="Arial" w:hAnsi="Arial" w:cs="Arial"/>
          <w:color w:val="auto"/>
        </w:rPr>
        <w:t>o</w:t>
      </w:r>
      <w:r w:rsidR="00B00563">
        <w:rPr>
          <w:rFonts w:ascii="Arial" w:hAnsi="Arial" w:cs="Arial"/>
          <w:color w:val="auto"/>
        </w:rPr>
        <w:t>f Year Certificate process.  The project has been extended by six weeks to ensure th</w:t>
      </w:r>
      <w:r w:rsidR="00A84A82">
        <w:rPr>
          <w:rFonts w:ascii="Arial" w:hAnsi="Arial" w:cs="Arial"/>
          <w:color w:val="auto"/>
        </w:rPr>
        <w:t xml:space="preserve">e process </w:t>
      </w:r>
      <w:r w:rsidR="00B00563">
        <w:rPr>
          <w:rFonts w:ascii="Arial" w:hAnsi="Arial" w:cs="Arial"/>
          <w:color w:val="auto"/>
        </w:rPr>
        <w:t>is examine</w:t>
      </w:r>
      <w:r w:rsidR="00A84A82">
        <w:rPr>
          <w:rFonts w:ascii="Arial" w:hAnsi="Arial" w:cs="Arial"/>
          <w:color w:val="auto"/>
        </w:rPr>
        <w:t>d</w:t>
      </w:r>
      <w:r w:rsidR="00B00563">
        <w:rPr>
          <w:rFonts w:ascii="Arial" w:hAnsi="Arial" w:cs="Arial"/>
          <w:color w:val="auto"/>
        </w:rPr>
        <w:t xml:space="preserve"> properly and to refine the model as much as possible before engag</w:t>
      </w:r>
      <w:r w:rsidR="00A84A82">
        <w:rPr>
          <w:rFonts w:ascii="Arial" w:hAnsi="Arial" w:cs="Arial"/>
          <w:color w:val="auto"/>
        </w:rPr>
        <w:t>ing</w:t>
      </w:r>
      <w:r w:rsidR="00B00563">
        <w:rPr>
          <w:rFonts w:ascii="Arial" w:hAnsi="Arial" w:cs="Arial"/>
          <w:color w:val="auto"/>
        </w:rPr>
        <w:t xml:space="preserve"> with stakeholders again</w:t>
      </w:r>
      <w:r w:rsidR="006B55BB">
        <w:rPr>
          <w:rFonts w:ascii="Arial" w:hAnsi="Arial" w:cs="Arial"/>
          <w:color w:val="auto"/>
        </w:rPr>
        <w:t xml:space="preserve">, </w:t>
      </w:r>
      <w:r w:rsidR="00A422A0">
        <w:rPr>
          <w:rFonts w:ascii="Arial" w:hAnsi="Arial" w:cs="Arial"/>
          <w:color w:val="auto"/>
        </w:rPr>
        <w:t xml:space="preserve">thus </w:t>
      </w:r>
      <w:r w:rsidR="006B55BB">
        <w:rPr>
          <w:rFonts w:ascii="Arial" w:hAnsi="Arial" w:cs="Arial"/>
          <w:color w:val="auto"/>
        </w:rPr>
        <w:t>ensuring</w:t>
      </w:r>
      <w:r w:rsidR="001E50C3">
        <w:rPr>
          <w:rFonts w:ascii="Arial" w:hAnsi="Arial" w:cs="Arial"/>
          <w:color w:val="auto"/>
        </w:rPr>
        <w:t xml:space="preserve"> the right recommendation can be identified in respect of </w:t>
      </w:r>
      <w:r w:rsidR="006B55BB">
        <w:rPr>
          <w:rFonts w:ascii="Arial" w:hAnsi="Arial" w:cs="Arial"/>
          <w:color w:val="auto"/>
        </w:rPr>
        <w:t>employers</w:t>
      </w:r>
      <w:r w:rsidR="00A422A0">
        <w:rPr>
          <w:rFonts w:ascii="Arial" w:hAnsi="Arial" w:cs="Arial"/>
          <w:color w:val="auto"/>
        </w:rPr>
        <w:t>’</w:t>
      </w:r>
      <w:r w:rsidR="001E50C3">
        <w:rPr>
          <w:rFonts w:ascii="Arial" w:hAnsi="Arial" w:cs="Arial"/>
          <w:color w:val="auto"/>
        </w:rPr>
        <w:t xml:space="preserve"> responsibilities</w:t>
      </w:r>
      <w:r w:rsidR="001C2D3C">
        <w:rPr>
          <w:rFonts w:ascii="Arial" w:hAnsi="Arial" w:cs="Arial"/>
          <w:color w:val="auto"/>
        </w:rPr>
        <w:t xml:space="preserve"> in the future</w:t>
      </w:r>
      <w:r w:rsidR="00B00563">
        <w:rPr>
          <w:rFonts w:ascii="Arial" w:hAnsi="Arial" w:cs="Arial"/>
          <w:color w:val="auto"/>
        </w:rPr>
        <w:t xml:space="preserve">.  It is possible that TP will be able </w:t>
      </w:r>
      <w:r w:rsidR="00A422A0">
        <w:rPr>
          <w:rFonts w:ascii="Arial" w:hAnsi="Arial" w:cs="Arial"/>
          <w:color w:val="auto"/>
        </w:rPr>
        <w:t>reconcile</w:t>
      </w:r>
      <w:r w:rsidR="00B00563">
        <w:rPr>
          <w:rFonts w:ascii="Arial" w:hAnsi="Arial" w:cs="Arial"/>
          <w:color w:val="auto"/>
        </w:rPr>
        <w:t xml:space="preserve"> data at employer level on </w:t>
      </w:r>
      <w:r w:rsidR="006B55BB">
        <w:rPr>
          <w:rFonts w:ascii="Arial" w:hAnsi="Arial" w:cs="Arial"/>
          <w:color w:val="auto"/>
        </w:rPr>
        <w:t>a</w:t>
      </w:r>
      <w:r w:rsidR="00B00563" w:rsidRPr="00B00563">
        <w:rPr>
          <w:rFonts w:ascii="Arial" w:hAnsi="Arial" w:cs="Arial"/>
          <w:color w:val="auto"/>
        </w:rPr>
        <w:t xml:space="preserve"> mon</w:t>
      </w:r>
      <w:r w:rsidR="006B55BB">
        <w:rPr>
          <w:rFonts w:ascii="Arial" w:hAnsi="Arial" w:cs="Arial"/>
          <w:color w:val="auto"/>
        </w:rPr>
        <w:t>thly basis</w:t>
      </w:r>
      <w:r w:rsidR="00B00563" w:rsidRPr="00B00563">
        <w:rPr>
          <w:rFonts w:ascii="Arial" w:hAnsi="Arial" w:cs="Arial"/>
          <w:color w:val="auto"/>
        </w:rPr>
        <w:t xml:space="preserve"> and </w:t>
      </w:r>
      <w:r w:rsidR="006B55BB">
        <w:rPr>
          <w:rFonts w:ascii="Arial" w:hAnsi="Arial" w:cs="Arial"/>
          <w:color w:val="auto"/>
        </w:rPr>
        <w:t>provid</w:t>
      </w:r>
      <w:r w:rsidR="006D6027">
        <w:rPr>
          <w:rFonts w:ascii="Arial" w:hAnsi="Arial" w:cs="Arial"/>
          <w:color w:val="auto"/>
        </w:rPr>
        <w:t>e</w:t>
      </w:r>
      <w:r w:rsidR="006B55BB">
        <w:rPr>
          <w:rFonts w:ascii="Arial" w:hAnsi="Arial" w:cs="Arial"/>
          <w:color w:val="auto"/>
        </w:rPr>
        <w:t xml:space="preserve"> additional</w:t>
      </w:r>
      <w:r w:rsidR="00B00563" w:rsidRPr="00B00563">
        <w:rPr>
          <w:rFonts w:ascii="Arial" w:hAnsi="Arial" w:cs="Arial"/>
          <w:color w:val="auto"/>
        </w:rPr>
        <w:t xml:space="preserve"> assurance for the resource accounts</w:t>
      </w:r>
      <w:r w:rsidR="00A422A0">
        <w:rPr>
          <w:rFonts w:ascii="Arial" w:hAnsi="Arial" w:cs="Arial"/>
          <w:color w:val="auto"/>
        </w:rPr>
        <w:t>.</w:t>
      </w:r>
    </w:p>
    <w:p w14:paraId="2910D26C" w14:textId="77777777" w:rsidR="001E50C3" w:rsidRDefault="001E50C3" w:rsidP="005935FE">
      <w:pPr>
        <w:pStyle w:val="Default"/>
        <w:rPr>
          <w:rFonts w:ascii="Arial" w:hAnsi="Arial" w:cs="Arial"/>
          <w:color w:val="auto"/>
        </w:rPr>
      </w:pPr>
    </w:p>
    <w:p w14:paraId="7F8A1850" w14:textId="77777777" w:rsidR="00E371D3" w:rsidRPr="005935FE" w:rsidRDefault="00E371D3" w:rsidP="005935FE">
      <w:pPr>
        <w:pStyle w:val="Default"/>
        <w:rPr>
          <w:rFonts w:ascii="Arial" w:hAnsi="Arial" w:cs="Arial"/>
          <w:color w:val="auto"/>
        </w:rPr>
      </w:pPr>
    </w:p>
    <w:tbl>
      <w:tblPr>
        <w:tblStyle w:val="TableGrid"/>
        <w:tblW w:w="0" w:type="auto"/>
        <w:tblInd w:w="108" w:type="dxa"/>
        <w:tblLook w:val="04A0" w:firstRow="1" w:lastRow="0" w:firstColumn="1" w:lastColumn="0" w:noHBand="0" w:noVBand="1"/>
      </w:tblPr>
      <w:tblGrid>
        <w:gridCol w:w="7230"/>
        <w:gridCol w:w="1134"/>
      </w:tblGrid>
      <w:tr w:rsidR="005935FE" w:rsidRPr="005935FE" w14:paraId="4E0DE097" w14:textId="77777777" w:rsidTr="005D59B2">
        <w:tc>
          <w:tcPr>
            <w:tcW w:w="7230" w:type="dxa"/>
          </w:tcPr>
          <w:p w14:paraId="54217A80" w14:textId="1E1F1EE8" w:rsidR="005935FE" w:rsidRPr="005935FE" w:rsidRDefault="005935FE" w:rsidP="005935FE">
            <w:pPr>
              <w:rPr>
                <w:rFonts w:cs="Arial"/>
                <w:b/>
                <w:color w:val="000000"/>
                <w:szCs w:val="24"/>
                <w:lang w:eastAsia="en-GB"/>
              </w:rPr>
            </w:pPr>
            <w:r w:rsidRPr="005935FE">
              <w:rPr>
                <w:rFonts w:cs="Arial"/>
                <w:b/>
                <w:color w:val="000000"/>
                <w:szCs w:val="24"/>
                <w:lang w:eastAsia="en-GB"/>
              </w:rPr>
              <w:t>Contract Outcomes</w:t>
            </w:r>
            <w:r w:rsidR="00B27400">
              <w:rPr>
                <w:rFonts w:cs="Arial"/>
                <w:b/>
                <w:color w:val="000000"/>
                <w:szCs w:val="24"/>
                <w:lang w:eastAsia="en-GB"/>
              </w:rPr>
              <w:t xml:space="preserve"> (OMs)</w:t>
            </w:r>
          </w:p>
          <w:p w14:paraId="236551F3" w14:textId="77777777" w:rsidR="005935FE" w:rsidRPr="005935FE" w:rsidRDefault="005935FE" w:rsidP="005935FE">
            <w:pPr>
              <w:rPr>
                <w:rFonts w:cs="Arial"/>
                <w:b/>
                <w:szCs w:val="24"/>
              </w:rPr>
            </w:pPr>
          </w:p>
        </w:tc>
        <w:tc>
          <w:tcPr>
            <w:tcW w:w="1134" w:type="dxa"/>
            <w:shd w:val="clear" w:color="auto" w:fill="FFC000"/>
          </w:tcPr>
          <w:p w14:paraId="01059BC4" w14:textId="77777777" w:rsidR="005935FE" w:rsidRPr="005935FE" w:rsidRDefault="005935FE" w:rsidP="005935FE">
            <w:pPr>
              <w:rPr>
                <w:rFonts w:cs="Arial"/>
                <w:color w:val="00B050"/>
                <w:szCs w:val="24"/>
              </w:rPr>
            </w:pPr>
          </w:p>
          <w:p w14:paraId="4F35626D" w14:textId="77777777" w:rsidR="005935FE" w:rsidRPr="005935FE" w:rsidRDefault="00E2707B" w:rsidP="005935FE">
            <w:pPr>
              <w:rPr>
                <w:rFonts w:cs="Arial"/>
                <w:color w:val="FFC000"/>
                <w:szCs w:val="24"/>
              </w:rPr>
            </w:pPr>
            <w:r>
              <w:rPr>
                <w:rFonts w:cs="Arial"/>
                <w:noProof/>
                <w:color w:val="00B050"/>
                <w:szCs w:val="24"/>
                <w:lang w:eastAsia="en-GB"/>
              </w:rPr>
              <mc:AlternateContent>
                <mc:Choice Requires="wps">
                  <w:drawing>
                    <wp:anchor distT="0" distB="0" distL="114300" distR="114300" simplePos="0" relativeHeight="251667456" behindDoc="0" locked="0" layoutInCell="1" allowOverlap="1" wp14:anchorId="7C6D307A" wp14:editId="03E9A0B3">
                      <wp:simplePos x="0" y="0"/>
                      <wp:positionH relativeFrom="column">
                        <wp:posOffset>118110</wp:posOffset>
                      </wp:positionH>
                      <wp:positionV relativeFrom="paragraph">
                        <wp:posOffset>8890</wp:posOffset>
                      </wp:positionV>
                      <wp:extent cx="350520" cy="0"/>
                      <wp:effectExtent l="0" t="76200" r="30480" b="152400"/>
                      <wp:wrapNone/>
                      <wp:docPr id="5" name="Straight Arrow Connector 5"/>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9.3pt;margin-top:.7pt;width:27.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" strokecolor="windowText" strokeweight="2pt">
                      <v:stroke endarrow="open"/>
                      <v:shadow on="t" color="black" opacity="24903f" origin=",.5" offset="0,.55556mm"/>
                    </v:shape>
                  </w:pict>
                </mc:Fallback>
              </mc:AlternateContent>
            </w:r>
          </w:p>
        </w:tc>
      </w:tr>
    </w:tbl>
    <w:p w14:paraId="056DE2DE" w14:textId="77777777" w:rsidR="005935FE" w:rsidRPr="00D4016E" w:rsidRDefault="005935FE" w:rsidP="00D4016E"/>
    <w:p w14:paraId="7C47D0BE" w14:textId="492843F5" w:rsidR="00D4016E" w:rsidRDefault="00B27400" w:rsidP="00D4016E">
      <w:r>
        <w:t>The review continues, t</w:t>
      </w:r>
      <w:r w:rsidR="00D4016E">
        <w:t>his quarter we have concentrated on</w:t>
      </w:r>
      <w:r>
        <w:t xml:space="preserve"> OM</w:t>
      </w:r>
      <w:r w:rsidR="00302A0E">
        <w:t>2 (m</w:t>
      </w:r>
      <w:r w:rsidR="00D4016E">
        <w:t>embers understand the value of their pension), OM3 (</w:t>
      </w:r>
      <w:r w:rsidR="00302A0E">
        <w:t>m</w:t>
      </w:r>
      <w:r w:rsidR="00D4016E">
        <w:t>embers are actively planning for retirement) and OM11</w:t>
      </w:r>
      <w:r w:rsidR="00E224E2">
        <w:t xml:space="preserve"> </w:t>
      </w:r>
      <w:r w:rsidR="00D4016E">
        <w:t>(</w:t>
      </w:r>
      <w:r w:rsidR="00302A0E">
        <w:t>e</w:t>
      </w:r>
      <w:r w:rsidR="00D4016E">
        <w:t xml:space="preserve">mployers engage with the TPS).  These are </w:t>
      </w:r>
      <w:r w:rsidR="00D4016E" w:rsidRPr="00D4016E">
        <w:t>key measures of engagement, as distinct from customer satisfact</w:t>
      </w:r>
      <w:r w:rsidR="00D4016E">
        <w:t>ion</w:t>
      </w:r>
      <w:r w:rsidR="00E224E2">
        <w:t>,</w:t>
      </w:r>
      <w:r w:rsidR="00D4016E">
        <w:t xml:space="preserve"> </w:t>
      </w:r>
      <w:r w:rsidR="00E224E2">
        <w:t xml:space="preserve">which </w:t>
      </w:r>
      <w:r w:rsidR="00D4016E">
        <w:t>are covered by OM 5</w:t>
      </w:r>
      <w:proofErr w:type="gramStart"/>
      <w:r w:rsidR="00D4016E">
        <w:t>,6,9,and</w:t>
      </w:r>
      <w:proofErr w:type="gramEnd"/>
      <w:r w:rsidR="00D4016E">
        <w:t xml:space="preserve"> 10</w:t>
      </w:r>
      <w:r w:rsidR="00E224E2">
        <w:t xml:space="preserve"> and can be</w:t>
      </w:r>
      <w:r w:rsidR="00D4016E">
        <w:t xml:space="preserve"> </w:t>
      </w:r>
      <w:r>
        <w:t>found</w:t>
      </w:r>
      <w:r w:rsidR="00D4016E">
        <w:t xml:space="preserve"> in the customer satisfaction section of this report.</w:t>
      </w:r>
    </w:p>
    <w:p w14:paraId="7F9DCC64" w14:textId="77777777" w:rsidR="00995F53" w:rsidRDefault="00995F53" w:rsidP="00D4016E"/>
    <w:p w14:paraId="34ABC0A2" w14:textId="1C8E163A" w:rsidR="00E224E2" w:rsidRDefault="00E224E2" w:rsidP="00D4016E">
      <w:r>
        <w:t xml:space="preserve">TP plan </w:t>
      </w:r>
      <w:r w:rsidR="00D4016E">
        <w:t>to take advantage of</w:t>
      </w:r>
      <w:r w:rsidR="001C2D3C">
        <w:t xml:space="preserve"> latest</w:t>
      </w:r>
      <w:r w:rsidR="00D4016E">
        <w:t xml:space="preserve"> t</w:t>
      </w:r>
      <w:r w:rsidR="006D6027" w:rsidRPr="00D4016E">
        <w:t>echnology</w:t>
      </w:r>
      <w:r w:rsidR="00B27400">
        <w:t xml:space="preserve"> </w:t>
      </w:r>
      <w:r w:rsidR="00225EBE">
        <w:t xml:space="preserve">to </w:t>
      </w:r>
      <w:r w:rsidR="006D6027" w:rsidRPr="00D4016E">
        <w:t xml:space="preserve">measure these outcomes in a more </w:t>
      </w:r>
      <w:r w:rsidR="006D6027" w:rsidRPr="00D4016E">
        <w:lastRenderedPageBreak/>
        <w:t>timely and targeted way</w:t>
      </w:r>
      <w:r w:rsidR="0014361D">
        <w:t xml:space="preserve">.  </w:t>
      </w:r>
      <w:r>
        <w:t xml:space="preserve">It has been agreed that </w:t>
      </w:r>
      <w:r w:rsidR="006D6027" w:rsidRPr="00D4016E">
        <w:t>OM2 and 3</w:t>
      </w:r>
      <w:r>
        <w:t xml:space="preserve"> will be measured</w:t>
      </w:r>
      <w:r w:rsidR="006D6027" w:rsidRPr="00D4016E">
        <w:t xml:space="preserve"> monthly</w:t>
      </w:r>
      <w:r>
        <w:t>,</w:t>
      </w:r>
      <w:r w:rsidR="006D6027" w:rsidRPr="00D4016E">
        <w:t xml:space="preserve"> which will provide a</w:t>
      </w:r>
      <w:r w:rsidR="00225EBE">
        <w:t xml:space="preserve"> </w:t>
      </w:r>
      <w:r w:rsidR="006D6027" w:rsidRPr="00D4016E">
        <w:t>‘real time’ perception directly from members</w:t>
      </w:r>
      <w:r>
        <w:t>,</w:t>
      </w:r>
      <w:r w:rsidR="006D6027" w:rsidRPr="00D4016E">
        <w:t xml:space="preserve"> as opposed </w:t>
      </w:r>
      <w:r>
        <w:t xml:space="preserve">to </w:t>
      </w:r>
      <w:r w:rsidR="006D6027" w:rsidRPr="00D4016E">
        <w:t xml:space="preserve">annual measurement which </w:t>
      </w:r>
      <w:r>
        <w:t>are</w:t>
      </w:r>
      <w:r w:rsidR="006D6027" w:rsidRPr="00D4016E">
        <w:t xml:space="preserve"> currently undertaken by </w:t>
      </w:r>
      <w:r>
        <w:t>IPSOS-</w:t>
      </w:r>
      <w:r w:rsidR="006D6027" w:rsidRPr="00D4016E">
        <w:t>MORI.</w:t>
      </w:r>
      <w:r w:rsidR="00995F53">
        <w:t xml:space="preserve"> </w:t>
      </w:r>
    </w:p>
    <w:p w14:paraId="5F54769F" w14:textId="77777777" w:rsidR="00E224E2" w:rsidRDefault="00E224E2" w:rsidP="00D4016E"/>
    <w:p w14:paraId="4889F786" w14:textId="2DBFD46D" w:rsidR="00995F53" w:rsidRDefault="00E224E2" w:rsidP="00D4016E">
      <w:r>
        <w:t>E</w:t>
      </w:r>
      <w:r w:rsidR="0014361D">
        <w:t>mployers</w:t>
      </w:r>
      <w:r>
        <w:t xml:space="preserve"> will be segmented </w:t>
      </w:r>
      <w:r w:rsidR="0014361D">
        <w:t xml:space="preserve">by month as part of a rolling programme, </w:t>
      </w:r>
      <w:r>
        <w:t xml:space="preserve">and will be asked to </w:t>
      </w:r>
      <w:r w:rsidR="0069047F">
        <w:t xml:space="preserve">circulate a survey, and </w:t>
      </w:r>
      <w:r>
        <w:t>link to the website</w:t>
      </w:r>
      <w:r w:rsidR="0069047F">
        <w:t xml:space="preserve">, </w:t>
      </w:r>
      <w:r w:rsidR="0014361D">
        <w:t xml:space="preserve">to staff </w:t>
      </w:r>
      <w:r w:rsidR="006D6027" w:rsidRPr="00D4016E">
        <w:t>via</w:t>
      </w:r>
      <w:r w:rsidR="00D4016E" w:rsidRPr="00D4016E">
        <w:t xml:space="preserve"> internal email facilit</w:t>
      </w:r>
      <w:r>
        <w:t>ies. T</w:t>
      </w:r>
      <w:r w:rsidR="00D4016E" w:rsidRPr="00D4016E">
        <w:t>raditional paper method</w:t>
      </w:r>
      <w:r>
        <w:t>s, such as</w:t>
      </w:r>
      <w:r w:rsidR="00D4016E" w:rsidRPr="00D4016E">
        <w:t xml:space="preserve"> pigeon</w:t>
      </w:r>
      <w:r w:rsidR="0069047F">
        <w:t>-</w:t>
      </w:r>
      <w:r w:rsidR="00D4016E" w:rsidRPr="00D4016E">
        <w:t>hole delivery</w:t>
      </w:r>
      <w:r w:rsidR="0069047F">
        <w:t xml:space="preserve"> will </w:t>
      </w:r>
      <w:r>
        <w:t>also be used</w:t>
      </w:r>
      <w:r w:rsidR="00995F53">
        <w:t xml:space="preserve"> </w:t>
      </w:r>
      <w:r w:rsidR="0069047F">
        <w:t>where</w:t>
      </w:r>
      <w:r w:rsidR="00995F53">
        <w:t xml:space="preserve"> necessary.</w:t>
      </w:r>
      <w:r w:rsidR="00B27400">
        <w:t xml:space="preserve">  </w:t>
      </w:r>
      <w:r w:rsidR="00995F53">
        <w:t xml:space="preserve">For OM11 </w:t>
      </w:r>
      <w:r>
        <w:t>TP</w:t>
      </w:r>
      <w:r w:rsidR="00995F53">
        <w:t xml:space="preserve"> want to measure: </w:t>
      </w:r>
      <w:r w:rsidR="00995F53">
        <w:rPr>
          <w:bCs/>
        </w:rPr>
        <w:t>r</w:t>
      </w:r>
      <w:r w:rsidR="00995F53" w:rsidRPr="00995F53">
        <w:rPr>
          <w:bCs/>
        </w:rPr>
        <w:t>each</w:t>
      </w:r>
      <w:r w:rsidR="00B27400">
        <w:rPr>
          <w:bCs/>
        </w:rPr>
        <w:t xml:space="preserve"> </w:t>
      </w:r>
      <w:r w:rsidR="00995F53">
        <w:rPr>
          <w:bCs/>
        </w:rPr>
        <w:t>(</w:t>
      </w:r>
      <w:r w:rsidR="00995F53">
        <w:t>t</w:t>
      </w:r>
      <w:r w:rsidR="00995F53" w:rsidRPr="00995F53">
        <w:t>he proportion of employers using the web site during that month</w:t>
      </w:r>
      <w:r w:rsidR="00995F53">
        <w:t xml:space="preserve">), </w:t>
      </w:r>
      <w:r w:rsidR="00995F53">
        <w:rPr>
          <w:bCs/>
        </w:rPr>
        <w:t>a</w:t>
      </w:r>
      <w:r w:rsidR="00995F53" w:rsidRPr="00995F53">
        <w:rPr>
          <w:bCs/>
        </w:rPr>
        <w:t>wareness</w:t>
      </w:r>
      <w:r w:rsidR="00995F53" w:rsidRPr="00995F53">
        <w:t xml:space="preserve"> </w:t>
      </w:r>
      <w:r w:rsidR="00995F53">
        <w:t>(t</w:t>
      </w:r>
      <w:r w:rsidR="00995F53" w:rsidRPr="00995F53">
        <w:t>he proportion of employers who read the employer bulletin and specific event web pages</w:t>
      </w:r>
      <w:r w:rsidR="00995F53">
        <w:t xml:space="preserve">), </w:t>
      </w:r>
      <w:r w:rsidR="00995F53">
        <w:rPr>
          <w:bCs/>
        </w:rPr>
        <w:t>p</w:t>
      </w:r>
      <w:r w:rsidR="00995F53" w:rsidRPr="00995F53">
        <w:rPr>
          <w:bCs/>
        </w:rPr>
        <w:t>articipation</w:t>
      </w:r>
      <w:r w:rsidR="00995F53" w:rsidRPr="00995F53">
        <w:t xml:space="preserve"> </w:t>
      </w:r>
      <w:r w:rsidR="00995F53">
        <w:t xml:space="preserve">(an advertised event </w:t>
      </w:r>
      <w:r w:rsidR="00995F53" w:rsidRPr="00995F53">
        <w:t>relevant to their needs</w:t>
      </w:r>
      <w:r w:rsidR="00995F53">
        <w:t xml:space="preserve">) </w:t>
      </w:r>
      <w:r w:rsidR="00995F53" w:rsidRPr="00995F53">
        <w:t>and q</w:t>
      </w:r>
      <w:r w:rsidR="00995F53" w:rsidRPr="00995F53">
        <w:rPr>
          <w:bCs/>
        </w:rPr>
        <w:t xml:space="preserve">uality </w:t>
      </w:r>
      <w:r w:rsidR="00995F53">
        <w:rPr>
          <w:bCs/>
        </w:rPr>
        <w:t>(</w:t>
      </w:r>
      <w:r w:rsidR="00995F53" w:rsidRPr="00995F53">
        <w:t xml:space="preserve">how good or poor </w:t>
      </w:r>
      <w:r>
        <w:t>the</w:t>
      </w:r>
      <w:r w:rsidR="00995F53">
        <w:t xml:space="preserve"> article</w:t>
      </w:r>
      <w:r w:rsidR="00302A0E">
        <w:t xml:space="preserve"> </w:t>
      </w:r>
      <w:r w:rsidR="00995F53">
        <w:t>/</w:t>
      </w:r>
      <w:r w:rsidR="00995F53" w:rsidRPr="00995F53">
        <w:t>seminar</w:t>
      </w:r>
      <w:r w:rsidR="00302A0E">
        <w:t xml:space="preserve"> </w:t>
      </w:r>
      <w:r w:rsidR="00995F53" w:rsidRPr="00995F53">
        <w:t>/webinar</w:t>
      </w:r>
      <w:r w:rsidR="00302A0E">
        <w:t xml:space="preserve"> </w:t>
      </w:r>
      <w:r w:rsidR="00995F53">
        <w:t>/video</w:t>
      </w:r>
      <w:r>
        <w:t xml:space="preserve"> was judged to be</w:t>
      </w:r>
      <w:r w:rsidR="00995F53">
        <w:t>)</w:t>
      </w:r>
      <w:r w:rsidR="00995F53" w:rsidRPr="00995F53">
        <w:t>.</w:t>
      </w:r>
      <w:r w:rsidR="00B27400">
        <w:t xml:space="preserve">  </w:t>
      </w:r>
      <w:r w:rsidR="00995F53">
        <w:t xml:space="preserve">The measures are in place </w:t>
      </w:r>
      <w:r w:rsidR="0069047F">
        <w:t>and</w:t>
      </w:r>
      <w:r>
        <w:t xml:space="preserve"> </w:t>
      </w:r>
      <w:r w:rsidR="00995F53">
        <w:t>target</w:t>
      </w:r>
      <w:r w:rsidR="00B27400">
        <w:t>s</w:t>
      </w:r>
      <w:r w:rsidR="00995F53">
        <w:t xml:space="preserve"> </w:t>
      </w:r>
      <w:r>
        <w:t xml:space="preserve">will be set once evidence has been gathered, </w:t>
      </w:r>
      <w:r w:rsidR="00B27400">
        <w:t>in order to ensure the targets set for contract year 5</w:t>
      </w:r>
      <w:r w:rsidR="0069047F">
        <w:t>,</w:t>
      </w:r>
      <w:r w:rsidR="00B27400">
        <w:t xml:space="preserve"> and beyond</w:t>
      </w:r>
      <w:r w:rsidR="0069047F">
        <w:t>,</w:t>
      </w:r>
      <w:r w:rsidR="00B27400">
        <w:t xml:space="preserve"> are stretching.</w:t>
      </w:r>
    </w:p>
    <w:p w14:paraId="73BD2B3C" w14:textId="77777777" w:rsidR="00DB50AD" w:rsidRDefault="00DB50AD" w:rsidP="005935FE">
      <w:pPr>
        <w:pStyle w:val="DeptBullets"/>
        <w:numPr>
          <w:ilvl w:val="0"/>
          <w:numId w:val="0"/>
        </w:numPr>
        <w:spacing w:after="0"/>
        <w:rPr>
          <w:rFonts w:cs="Arial"/>
          <w:szCs w:val="24"/>
        </w:rPr>
      </w:pPr>
    </w:p>
    <w:p w14:paraId="3B30A099" w14:textId="77777777" w:rsidR="00DB50AD" w:rsidRDefault="00DB50AD" w:rsidP="005935FE">
      <w:pPr>
        <w:pStyle w:val="DeptBullets"/>
        <w:numPr>
          <w:ilvl w:val="0"/>
          <w:numId w:val="0"/>
        </w:numPr>
        <w:spacing w:after="0"/>
        <w:rPr>
          <w:rFonts w:cs="Arial"/>
          <w:szCs w:val="24"/>
        </w:rPr>
      </w:pPr>
      <w:r>
        <w:rPr>
          <w:rFonts w:cs="Arial"/>
          <w:szCs w:val="24"/>
        </w:rPr>
        <w:t>The amber status will remain until the review is complete.</w:t>
      </w:r>
    </w:p>
    <w:p w14:paraId="742BBF47" w14:textId="77777777" w:rsidR="00044CFB" w:rsidRDefault="00044CFB" w:rsidP="005935FE">
      <w:pPr>
        <w:pStyle w:val="DeptBullets"/>
        <w:numPr>
          <w:ilvl w:val="0"/>
          <w:numId w:val="0"/>
        </w:numPr>
        <w:spacing w:after="0"/>
        <w:rPr>
          <w:rFonts w:cs="Arial"/>
          <w:szCs w:val="24"/>
        </w:rPr>
      </w:pPr>
    </w:p>
    <w:tbl>
      <w:tblPr>
        <w:tblStyle w:val="TableGrid"/>
        <w:tblW w:w="0" w:type="auto"/>
        <w:tblInd w:w="108" w:type="dxa"/>
        <w:tblLook w:val="04A0" w:firstRow="1" w:lastRow="0" w:firstColumn="1" w:lastColumn="0" w:noHBand="0" w:noVBand="1"/>
      </w:tblPr>
      <w:tblGrid>
        <w:gridCol w:w="7230"/>
        <w:gridCol w:w="1134"/>
      </w:tblGrid>
      <w:tr w:rsidR="00044CFB" w:rsidRPr="005935FE" w14:paraId="570C7867" w14:textId="77777777" w:rsidTr="00044CFB">
        <w:tc>
          <w:tcPr>
            <w:tcW w:w="7230" w:type="dxa"/>
          </w:tcPr>
          <w:p w14:paraId="17903D54" w14:textId="56022E81" w:rsidR="00044CFB" w:rsidRPr="005935FE" w:rsidRDefault="00044CFB" w:rsidP="003D6E13">
            <w:pPr>
              <w:rPr>
                <w:rFonts w:cs="Arial"/>
                <w:b/>
                <w:color w:val="000000"/>
                <w:szCs w:val="24"/>
                <w:lang w:eastAsia="en-GB"/>
              </w:rPr>
            </w:pPr>
            <w:r>
              <w:rPr>
                <w:rFonts w:cs="Arial"/>
                <w:b/>
                <w:color w:val="000000"/>
                <w:szCs w:val="24"/>
                <w:lang w:eastAsia="en-GB"/>
              </w:rPr>
              <w:t>Reporting Breaches</w:t>
            </w:r>
          </w:p>
          <w:p w14:paraId="138D89D9" w14:textId="77777777" w:rsidR="00044CFB" w:rsidRPr="005935FE" w:rsidRDefault="00044CFB" w:rsidP="003D6E13">
            <w:pPr>
              <w:rPr>
                <w:rFonts w:cs="Arial"/>
                <w:b/>
                <w:szCs w:val="24"/>
              </w:rPr>
            </w:pPr>
          </w:p>
        </w:tc>
        <w:tc>
          <w:tcPr>
            <w:tcW w:w="1134" w:type="dxa"/>
            <w:shd w:val="clear" w:color="auto" w:fill="00B050"/>
          </w:tcPr>
          <w:p w14:paraId="412F84F5" w14:textId="14D90869" w:rsidR="00044CFB" w:rsidRPr="005935FE" w:rsidRDefault="0069047F" w:rsidP="003D6E13">
            <w:pPr>
              <w:rPr>
                <w:rFonts w:cs="Arial"/>
                <w:color w:val="FFC000"/>
                <w:szCs w:val="24"/>
              </w:rPr>
            </w:pPr>
            <w:r>
              <w:rPr>
                <w:rFonts w:cs="Arial"/>
                <w:noProof/>
                <w:color w:val="00B050"/>
                <w:szCs w:val="24"/>
                <w:lang w:eastAsia="en-GB"/>
              </w:rPr>
              <mc:AlternateContent>
                <mc:Choice Requires="wps">
                  <w:drawing>
                    <wp:anchor distT="0" distB="0" distL="114300" distR="114300" simplePos="0" relativeHeight="251669504" behindDoc="0" locked="0" layoutInCell="1" allowOverlap="1" wp14:anchorId="6524518D" wp14:editId="553EC948">
                      <wp:simplePos x="0" y="0"/>
                      <wp:positionH relativeFrom="column">
                        <wp:posOffset>87630</wp:posOffset>
                      </wp:positionH>
                      <wp:positionV relativeFrom="paragraph">
                        <wp:posOffset>175895</wp:posOffset>
                      </wp:positionV>
                      <wp:extent cx="350520" cy="0"/>
                      <wp:effectExtent l="0" t="76200" r="30480" b="152400"/>
                      <wp:wrapNone/>
                      <wp:docPr id="8" name="Straight Arrow Connector 8"/>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6.9pt;margin-top:13.85pt;width:27.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" strokecolor="windowText" strokeweight="2pt">
                      <v:stroke endarrow="open"/>
                      <v:shadow on="t" color="black" opacity="24903f" origin=",.5" offset="0,.55556mm"/>
                    </v:shape>
                  </w:pict>
                </mc:Fallback>
              </mc:AlternateContent>
            </w:r>
          </w:p>
        </w:tc>
      </w:tr>
    </w:tbl>
    <w:p w14:paraId="3F5A6950" w14:textId="77777777" w:rsidR="00C32019" w:rsidRDefault="00C32019" w:rsidP="00C32019">
      <w:pPr>
        <w:pStyle w:val="DeptBullets"/>
        <w:numPr>
          <w:ilvl w:val="0"/>
          <w:numId w:val="0"/>
        </w:numPr>
        <w:spacing w:after="0"/>
        <w:rPr>
          <w:rFonts w:cs="Arial"/>
          <w:szCs w:val="24"/>
        </w:rPr>
      </w:pPr>
    </w:p>
    <w:tbl>
      <w:tblPr>
        <w:tblW w:w="8508" w:type="dxa"/>
        <w:tblCellMar>
          <w:left w:w="0" w:type="dxa"/>
          <w:right w:w="0" w:type="dxa"/>
        </w:tblCellMar>
        <w:tblLook w:val="0420" w:firstRow="1" w:lastRow="0" w:firstColumn="0" w:lastColumn="0" w:noHBand="0" w:noVBand="1"/>
      </w:tblPr>
      <w:tblGrid>
        <w:gridCol w:w="2480"/>
        <w:gridCol w:w="6028"/>
      </w:tblGrid>
      <w:tr w:rsidR="00C32019" w:rsidRPr="003712C2" w14:paraId="304F16F3" w14:textId="77777777" w:rsidTr="001E627B">
        <w:trPr>
          <w:trHeight w:val="299"/>
        </w:trPr>
        <w:tc>
          <w:tcPr>
            <w:tcW w:w="24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A86F8AF" w14:textId="77777777" w:rsidR="00C32019" w:rsidRPr="003712C2" w:rsidRDefault="00C32019" w:rsidP="001E627B">
            <w:pPr>
              <w:widowControl/>
              <w:overflowPunct/>
              <w:autoSpaceDE/>
              <w:autoSpaceDN/>
              <w:adjustRightInd/>
              <w:textAlignment w:val="auto"/>
              <w:rPr>
                <w:rFonts w:cs="Arial"/>
                <w:sz w:val="20"/>
                <w:lang w:eastAsia="en-GB"/>
              </w:rPr>
            </w:pPr>
            <w:r w:rsidRPr="003712C2">
              <w:rPr>
                <w:rFonts w:cs="Arial"/>
                <w:b/>
                <w:bCs/>
                <w:color w:val="FFFFFF" w:themeColor="light1"/>
                <w:kern w:val="24"/>
                <w:sz w:val="20"/>
                <w:lang w:eastAsia="en-GB"/>
              </w:rPr>
              <w:t>Subject Area</w:t>
            </w:r>
          </w:p>
        </w:tc>
        <w:tc>
          <w:tcPr>
            <w:tcW w:w="602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6FF0426" w14:textId="77777777" w:rsidR="00C32019" w:rsidRPr="003712C2" w:rsidRDefault="00C32019" w:rsidP="001E627B">
            <w:pPr>
              <w:widowControl/>
              <w:overflowPunct/>
              <w:autoSpaceDE/>
              <w:autoSpaceDN/>
              <w:adjustRightInd/>
              <w:textAlignment w:val="auto"/>
              <w:rPr>
                <w:rFonts w:cs="Arial"/>
                <w:sz w:val="20"/>
                <w:lang w:eastAsia="en-GB"/>
              </w:rPr>
            </w:pPr>
            <w:r w:rsidRPr="003712C2">
              <w:rPr>
                <w:rFonts w:cs="Arial"/>
                <w:b/>
                <w:bCs/>
                <w:color w:val="FFFFFF" w:themeColor="light1"/>
                <w:kern w:val="24"/>
                <w:sz w:val="20"/>
                <w:lang w:eastAsia="en-GB"/>
              </w:rPr>
              <w:t>Typical Breaches</w:t>
            </w:r>
          </w:p>
        </w:tc>
      </w:tr>
      <w:tr w:rsidR="00C32019" w:rsidRPr="003712C2" w14:paraId="1D98F703" w14:textId="77777777" w:rsidTr="001E627B">
        <w:trPr>
          <w:trHeight w:val="506"/>
        </w:trPr>
        <w:tc>
          <w:tcPr>
            <w:tcW w:w="24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5302664" w14:textId="77777777" w:rsidR="00C32019" w:rsidRDefault="00C32019" w:rsidP="001E627B">
            <w:pPr>
              <w:widowControl/>
              <w:overflowPunct/>
              <w:autoSpaceDE/>
              <w:autoSpaceDN/>
              <w:adjustRightInd/>
              <w:textAlignment w:val="auto"/>
              <w:rPr>
                <w:rFonts w:eastAsiaTheme="minorEastAsia" w:cs="Arial"/>
                <w:b/>
                <w:bCs/>
                <w:color w:val="000000" w:themeColor="dark1"/>
                <w:kern w:val="24"/>
                <w:sz w:val="20"/>
                <w:lang w:eastAsia="en-GB"/>
              </w:rPr>
            </w:pPr>
            <w:r w:rsidRPr="003712C2">
              <w:rPr>
                <w:rFonts w:eastAsiaTheme="minorEastAsia" w:cs="Arial"/>
                <w:b/>
                <w:bCs/>
                <w:color w:val="000000" w:themeColor="dark1"/>
                <w:kern w:val="24"/>
                <w:sz w:val="20"/>
                <w:lang w:eastAsia="en-GB"/>
              </w:rPr>
              <w:t xml:space="preserve">Access to Data </w:t>
            </w:r>
          </w:p>
          <w:p w14:paraId="033DBA6D" w14:textId="77777777" w:rsidR="00C32019" w:rsidRDefault="00C32019" w:rsidP="001E627B">
            <w:pPr>
              <w:widowControl/>
              <w:overflowPunct/>
              <w:autoSpaceDE/>
              <w:autoSpaceDN/>
              <w:adjustRightInd/>
              <w:textAlignment w:val="auto"/>
              <w:rPr>
                <w:rFonts w:eastAsiaTheme="minorEastAsia" w:cs="Arial"/>
                <w:b/>
                <w:bCs/>
                <w:color w:val="000000" w:themeColor="dark1"/>
                <w:kern w:val="24"/>
                <w:sz w:val="20"/>
                <w:lang w:eastAsia="en-GB"/>
              </w:rPr>
            </w:pPr>
          </w:p>
          <w:p w14:paraId="722590E1" w14:textId="77777777" w:rsidR="00C32019" w:rsidRDefault="00C32019" w:rsidP="001E627B">
            <w:pPr>
              <w:widowControl/>
              <w:overflowPunct/>
              <w:autoSpaceDE/>
              <w:autoSpaceDN/>
              <w:adjustRightInd/>
              <w:textAlignment w:val="auto"/>
              <w:rPr>
                <w:rFonts w:eastAsiaTheme="minorEastAsia" w:cs="Arial"/>
                <w:b/>
                <w:bCs/>
                <w:color w:val="000000" w:themeColor="dark1"/>
                <w:kern w:val="24"/>
                <w:sz w:val="20"/>
                <w:lang w:eastAsia="en-GB"/>
              </w:rPr>
            </w:pPr>
          </w:p>
          <w:p w14:paraId="26340B2B" w14:textId="77777777" w:rsidR="00C32019" w:rsidRPr="003712C2" w:rsidRDefault="00C32019" w:rsidP="001E627B">
            <w:pPr>
              <w:widowControl/>
              <w:overflowPunct/>
              <w:autoSpaceDE/>
              <w:autoSpaceDN/>
              <w:adjustRightInd/>
              <w:textAlignment w:val="auto"/>
              <w:rPr>
                <w:rFonts w:cs="Arial"/>
                <w:sz w:val="20"/>
                <w:lang w:eastAsia="en-GB"/>
              </w:rPr>
            </w:pPr>
            <w:r>
              <w:rPr>
                <w:rFonts w:eastAsiaTheme="minorEastAsia" w:cs="Arial"/>
                <w:b/>
                <w:bCs/>
                <w:color w:val="000000" w:themeColor="dark1"/>
                <w:kern w:val="24"/>
                <w:sz w:val="20"/>
                <w:lang w:eastAsia="en-GB"/>
              </w:rPr>
              <w:t>Occurrences in the 3 months to 31 January</w:t>
            </w:r>
            <w:r w:rsidRPr="003712C2">
              <w:rPr>
                <w:rFonts w:eastAsiaTheme="minorEastAsia" w:cs="Arial"/>
                <w:color w:val="000000" w:themeColor="dark1"/>
                <w:kern w:val="24"/>
                <w:sz w:val="20"/>
                <w:lang w:eastAsia="en-GB"/>
              </w:rPr>
              <w:tab/>
            </w:r>
          </w:p>
        </w:tc>
        <w:tc>
          <w:tcPr>
            <w:tcW w:w="602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59D2B97" w14:textId="77777777" w:rsidR="00C32019" w:rsidRPr="003712C2" w:rsidRDefault="00C32019" w:rsidP="00C32019">
            <w:pPr>
              <w:widowControl/>
              <w:numPr>
                <w:ilvl w:val="0"/>
                <w:numId w:val="11"/>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Unauthorised access to data; </w:t>
            </w:r>
          </w:p>
          <w:p w14:paraId="699E17D2" w14:textId="77777777" w:rsidR="00C32019" w:rsidRDefault="00C32019" w:rsidP="00C32019">
            <w:pPr>
              <w:widowControl/>
              <w:numPr>
                <w:ilvl w:val="0"/>
                <w:numId w:val="11"/>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Security/IS breaches. </w:t>
            </w:r>
            <w:r w:rsidRPr="003712C2">
              <w:rPr>
                <w:rFonts w:eastAsiaTheme="minorEastAsia" w:cs="Arial"/>
                <w:color w:val="000000" w:themeColor="dark1"/>
                <w:kern w:val="24"/>
                <w:sz w:val="20"/>
                <w:lang w:eastAsia="en-GB"/>
              </w:rPr>
              <w:tab/>
            </w:r>
          </w:p>
          <w:p w14:paraId="7104B691" w14:textId="77777777" w:rsidR="00C32019" w:rsidRDefault="00C32019" w:rsidP="001E627B">
            <w:pPr>
              <w:widowControl/>
              <w:overflowPunct/>
              <w:autoSpaceDE/>
              <w:autoSpaceDN/>
              <w:adjustRightInd/>
              <w:contextualSpacing/>
              <w:textAlignment w:val="auto"/>
              <w:rPr>
                <w:rFonts w:cs="Arial"/>
                <w:sz w:val="20"/>
                <w:lang w:eastAsia="en-GB"/>
              </w:rPr>
            </w:pPr>
          </w:p>
          <w:p w14:paraId="5CDCCC5D" w14:textId="77777777" w:rsidR="00C32019" w:rsidRPr="003712C2" w:rsidRDefault="00C32019" w:rsidP="001E627B">
            <w:pPr>
              <w:widowControl/>
              <w:overflowPunct/>
              <w:autoSpaceDE/>
              <w:autoSpaceDN/>
              <w:adjustRightInd/>
              <w:contextualSpacing/>
              <w:textAlignment w:val="auto"/>
              <w:rPr>
                <w:rFonts w:cs="Arial"/>
                <w:sz w:val="20"/>
                <w:lang w:eastAsia="en-GB"/>
              </w:rPr>
            </w:pPr>
            <w:r>
              <w:rPr>
                <w:rFonts w:cs="Arial"/>
                <w:sz w:val="20"/>
                <w:lang w:eastAsia="en-GB"/>
              </w:rPr>
              <w:t xml:space="preserve">The internal fraud incident as reported to the Board remains the only breach of access to data.  </w:t>
            </w:r>
          </w:p>
        </w:tc>
      </w:tr>
      <w:tr w:rsidR="00C32019" w:rsidRPr="003712C2" w14:paraId="4BC67E96" w14:textId="77777777" w:rsidTr="001C2D3C">
        <w:trPr>
          <w:trHeight w:val="475"/>
        </w:trPr>
        <w:tc>
          <w:tcPr>
            <w:tcW w:w="24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048DECC" w14:textId="77777777" w:rsidR="00C32019" w:rsidRDefault="00C32019" w:rsidP="001E627B">
            <w:pPr>
              <w:widowControl/>
              <w:overflowPunct/>
              <w:autoSpaceDE/>
              <w:autoSpaceDN/>
              <w:adjustRightInd/>
              <w:textAlignment w:val="auto"/>
              <w:rPr>
                <w:rFonts w:eastAsiaTheme="minorEastAsia" w:cs="Arial"/>
                <w:b/>
                <w:bCs/>
                <w:color w:val="000000" w:themeColor="dark1"/>
                <w:kern w:val="24"/>
                <w:sz w:val="20"/>
                <w:lang w:eastAsia="en-GB"/>
              </w:rPr>
            </w:pPr>
            <w:r w:rsidRPr="003712C2">
              <w:rPr>
                <w:rFonts w:eastAsiaTheme="minorEastAsia" w:cs="Arial"/>
                <w:b/>
                <w:bCs/>
                <w:color w:val="000000" w:themeColor="dark1"/>
                <w:kern w:val="24"/>
                <w:sz w:val="20"/>
                <w:lang w:eastAsia="en-GB"/>
              </w:rPr>
              <w:t xml:space="preserve">Disclosure of Data </w:t>
            </w:r>
          </w:p>
          <w:p w14:paraId="5697EE22" w14:textId="77777777" w:rsidR="00C32019" w:rsidRDefault="00C32019" w:rsidP="001E627B">
            <w:pPr>
              <w:widowControl/>
              <w:overflowPunct/>
              <w:autoSpaceDE/>
              <w:autoSpaceDN/>
              <w:adjustRightInd/>
              <w:textAlignment w:val="auto"/>
              <w:rPr>
                <w:rFonts w:eastAsiaTheme="minorEastAsia" w:cs="Arial"/>
                <w:b/>
                <w:bCs/>
                <w:color w:val="000000" w:themeColor="dark1"/>
                <w:kern w:val="24"/>
                <w:sz w:val="20"/>
                <w:lang w:eastAsia="en-GB"/>
              </w:rPr>
            </w:pPr>
          </w:p>
          <w:p w14:paraId="1D9766C5" w14:textId="77777777" w:rsidR="00C32019" w:rsidRDefault="00C32019" w:rsidP="001E627B">
            <w:pPr>
              <w:widowControl/>
              <w:overflowPunct/>
              <w:autoSpaceDE/>
              <w:autoSpaceDN/>
              <w:adjustRightInd/>
              <w:textAlignment w:val="auto"/>
              <w:rPr>
                <w:rFonts w:eastAsiaTheme="minorEastAsia" w:cs="Arial"/>
                <w:b/>
                <w:bCs/>
                <w:color w:val="000000" w:themeColor="dark1"/>
                <w:kern w:val="24"/>
                <w:sz w:val="20"/>
                <w:lang w:eastAsia="en-GB"/>
              </w:rPr>
            </w:pPr>
          </w:p>
          <w:p w14:paraId="544E53EE" w14:textId="77777777" w:rsidR="00C32019" w:rsidRDefault="00C32019" w:rsidP="001E627B">
            <w:pPr>
              <w:widowControl/>
              <w:overflowPunct/>
              <w:autoSpaceDE/>
              <w:autoSpaceDN/>
              <w:adjustRightInd/>
              <w:textAlignment w:val="auto"/>
              <w:rPr>
                <w:rFonts w:eastAsiaTheme="minorEastAsia" w:cs="Arial"/>
                <w:b/>
                <w:bCs/>
                <w:color w:val="000000" w:themeColor="dark1"/>
                <w:kern w:val="24"/>
                <w:sz w:val="20"/>
                <w:lang w:eastAsia="en-GB"/>
              </w:rPr>
            </w:pPr>
          </w:p>
          <w:p w14:paraId="5BF6AC6C" w14:textId="77777777" w:rsidR="00C32019" w:rsidRDefault="00C32019" w:rsidP="001E627B">
            <w:pPr>
              <w:widowControl/>
              <w:overflowPunct/>
              <w:autoSpaceDE/>
              <w:autoSpaceDN/>
              <w:adjustRightInd/>
              <w:textAlignment w:val="auto"/>
              <w:rPr>
                <w:rFonts w:eastAsiaTheme="minorEastAsia" w:cs="Arial"/>
                <w:b/>
                <w:bCs/>
                <w:color w:val="000000" w:themeColor="dark1"/>
                <w:kern w:val="24"/>
                <w:sz w:val="20"/>
                <w:lang w:eastAsia="en-GB"/>
              </w:rPr>
            </w:pPr>
          </w:p>
          <w:p w14:paraId="214198B5" w14:textId="77777777" w:rsidR="00C32019" w:rsidRDefault="00C32019" w:rsidP="001E627B">
            <w:pPr>
              <w:widowControl/>
              <w:overflowPunct/>
              <w:autoSpaceDE/>
              <w:autoSpaceDN/>
              <w:adjustRightInd/>
              <w:textAlignment w:val="auto"/>
              <w:rPr>
                <w:rFonts w:eastAsiaTheme="minorEastAsia" w:cs="Arial"/>
                <w:b/>
                <w:bCs/>
                <w:color w:val="000000" w:themeColor="dark1"/>
                <w:kern w:val="24"/>
                <w:sz w:val="20"/>
                <w:lang w:eastAsia="en-GB"/>
              </w:rPr>
            </w:pPr>
          </w:p>
          <w:p w14:paraId="6C8C19B0" w14:textId="77777777" w:rsidR="00C32019" w:rsidRPr="003712C2" w:rsidRDefault="00C32019" w:rsidP="001E627B">
            <w:pPr>
              <w:widowControl/>
              <w:overflowPunct/>
              <w:autoSpaceDE/>
              <w:autoSpaceDN/>
              <w:adjustRightInd/>
              <w:textAlignment w:val="auto"/>
              <w:rPr>
                <w:rFonts w:cs="Arial"/>
                <w:sz w:val="20"/>
                <w:lang w:eastAsia="en-GB"/>
              </w:rPr>
            </w:pPr>
            <w:r>
              <w:rPr>
                <w:rFonts w:eastAsiaTheme="minorEastAsia" w:cs="Arial"/>
                <w:b/>
                <w:bCs/>
                <w:color w:val="000000" w:themeColor="dark1"/>
                <w:kern w:val="24"/>
                <w:sz w:val="20"/>
                <w:lang w:eastAsia="en-GB"/>
              </w:rPr>
              <w:t>Occurrences in the 3 months to 31 January</w:t>
            </w:r>
          </w:p>
        </w:tc>
        <w:tc>
          <w:tcPr>
            <w:tcW w:w="602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5C26F25" w14:textId="77777777" w:rsidR="00C32019" w:rsidRPr="003712C2" w:rsidRDefault="00C32019" w:rsidP="00C32019">
            <w:pPr>
              <w:widowControl/>
              <w:numPr>
                <w:ilvl w:val="0"/>
                <w:numId w:val="12"/>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Unauthorised/inappropriate disclosure of data; </w:t>
            </w:r>
          </w:p>
          <w:p w14:paraId="1F2EC22C" w14:textId="77777777" w:rsidR="00C32019" w:rsidRPr="003712C2" w:rsidRDefault="00C32019" w:rsidP="00C32019">
            <w:pPr>
              <w:widowControl/>
              <w:numPr>
                <w:ilvl w:val="0"/>
                <w:numId w:val="12"/>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Disclosure of personal data to incorrect Data Subject; </w:t>
            </w:r>
          </w:p>
          <w:p w14:paraId="5FDBE2C1" w14:textId="77777777" w:rsidR="00C32019" w:rsidRPr="003712C2" w:rsidRDefault="00C32019" w:rsidP="00C32019">
            <w:pPr>
              <w:widowControl/>
              <w:numPr>
                <w:ilvl w:val="0"/>
                <w:numId w:val="12"/>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Failure to verify identity before releasing information; </w:t>
            </w:r>
          </w:p>
          <w:p w14:paraId="1196FEFA" w14:textId="77777777" w:rsidR="00C32019" w:rsidRPr="003712C2" w:rsidRDefault="00C32019" w:rsidP="00C32019">
            <w:pPr>
              <w:widowControl/>
              <w:numPr>
                <w:ilvl w:val="0"/>
                <w:numId w:val="12"/>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Medical/sensitive information inappropriately disclosed; </w:t>
            </w:r>
          </w:p>
          <w:p w14:paraId="68C06FC5" w14:textId="77777777" w:rsidR="00C32019" w:rsidRPr="0045433D" w:rsidRDefault="00C32019" w:rsidP="00C32019">
            <w:pPr>
              <w:widowControl/>
              <w:numPr>
                <w:ilvl w:val="0"/>
                <w:numId w:val="12"/>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Selling personal data. </w:t>
            </w:r>
            <w:r w:rsidRPr="003712C2">
              <w:rPr>
                <w:rFonts w:eastAsiaTheme="minorEastAsia" w:cs="Arial"/>
                <w:color w:val="000000" w:themeColor="dark1"/>
                <w:kern w:val="24"/>
                <w:sz w:val="20"/>
                <w:lang w:eastAsia="en-GB"/>
              </w:rPr>
              <w:tab/>
            </w:r>
          </w:p>
          <w:p w14:paraId="398CC630" w14:textId="77777777" w:rsidR="00C32019" w:rsidRDefault="00C32019" w:rsidP="001E627B">
            <w:pPr>
              <w:widowControl/>
              <w:overflowPunct/>
              <w:autoSpaceDE/>
              <w:autoSpaceDN/>
              <w:adjustRightInd/>
              <w:contextualSpacing/>
              <w:textAlignment w:val="auto"/>
              <w:rPr>
                <w:rFonts w:cs="Arial"/>
                <w:sz w:val="20"/>
                <w:lang w:eastAsia="en-GB"/>
              </w:rPr>
            </w:pPr>
          </w:p>
          <w:p w14:paraId="689BEF4F" w14:textId="77777777" w:rsidR="00C32019" w:rsidRDefault="00C32019" w:rsidP="00C32019">
            <w:pPr>
              <w:pStyle w:val="DeptBullets"/>
              <w:numPr>
                <w:ilvl w:val="0"/>
                <w:numId w:val="15"/>
              </w:numPr>
              <w:spacing w:after="0"/>
              <w:ind w:left="355"/>
              <w:rPr>
                <w:rFonts w:cs="Arial"/>
                <w:sz w:val="20"/>
              </w:rPr>
            </w:pPr>
            <w:r>
              <w:rPr>
                <w:rFonts w:cs="Arial"/>
                <w:sz w:val="20"/>
              </w:rPr>
              <w:t>13 instances where incorrect information was enclosed with correspondence</w:t>
            </w:r>
            <w:r w:rsidRPr="0045433D">
              <w:rPr>
                <w:rFonts w:cs="Arial"/>
                <w:sz w:val="20"/>
              </w:rPr>
              <w:t xml:space="preserve"> </w:t>
            </w:r>
            <w:r>
              <w:rPr>
                <w:rFonts w:cs="Arial"/>
                <w:sz w:val="20"/>
              </w:rPr>
              <w:t>to members (human error, staff reminded of need for vigilance when manually packing envelopes)</w:t>
            </w:r>
          </w:p>
          <w:p w14:paraId="41389BAA" w14:textId="77777777" w:rsidR="00C32019" w:rsidRDefault="00C32019" w:rsidP="001E627B">
            <w:pPr>
              <w:pStyle w:val="DeptBullets"/>
              <w:numPr>
                <w:ilvl w:val="0"/>
                <w:numId w:val="0"/>
              </w:numPr>
              <w:spacing w:after="0"/>
              <w:ind w:left="355"/>
              <w:rPr>
                <w:rFonts w:cs="Arial"/>
                <w:sz w:val="20"/>
              </w:rPr>
            </w:pPr>
          </w:p>
          <w:p w14:paraId="4ED7E705" w14:textId="11F76E2A" w:rsidR="00C32019" w:rsidRPr="003712C2" w:rsidRDefault="00C32019" w:rsidP="001C2D3C">
            <w:pPr>
              <w:pStyle w:val="DeptBullets"/>
              <w:numPr>
                <w:ilvl w:val="0"/>
                <w:numId w:val="15"/>
              </w:numPr>
              <w:spacing w:after="0"/>
              <w:ind w:left="355"/>
              <w:rPr>
                <w:rFonts w:cs="Arial"/>
                <w:sz w:val="20"/>
                <w:lang w:eastAsia="en-GB"/>
              </w:rPr>
            </w:pPr>
            <w:r>
              <w:rPr>
                <w:rFonts w:cs="Arial"/>
                <w:sz w:val="20"/>
              </w:rPr>
              <w:t>1 instance where information was sent to the wrong member (address updated automatically in error when receiving leaver information from employer – system fix implemented)</w:t>
            </w:r>
          </w:p>
        </w:tc>
      </w:tr>
      <w:tr w:rsidR="00C32019" w:rsidRPr="003712C2" w14:paraId="59D53FD7" w14:textId="77777777" w:rsidTr="00225EBE">
        <w:trPr>
          <w:trHeight w:val="973"/>
        </w:trPr>
        <w:tc>
          <w:tcPr>
            <w:tcW w:w="24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8F31D2E" w14:textId="77777777" w:rsidR="00C32019" w:rsidRDefault="00C32019" w:rsidP="001E627B">
            <w:pPr>
              <w:widowControl/>
              <w:overflowPunct/>
              <w:autoSpaceDE/>
              <w:autoSpaceDN/>
              <w:adjustRightInd/>
              <w:textAlignment w:val="auto"/>
              <w:rPr>
                <w:rFonts w:eastAsiaTheme="minorEastAsia" w:cs="Arial"/>
                <w:color w:val="000000" w:themeColor="dark1"/>
                <w:kern w:val="24"/>
                <w:sz w:val="20"/>
                <w:lang w:eastAsia="en-GB"/>
              </w:rPr>
            </w:pPr>
            <w:r w:rsidRPr="003712C2">
              <w:rPr>
                <w:rFonts w:eastAsiaTheme="minorEastAsia" w:cs="Arial"/>
                <w:b/>
                <w:bCs/>
                <w:color w:val="000000" w:themeColor="dark1"/>
                <w:kern w:val="24"/>
                <w:sz w:val="20"/>
                <w:lang w:eastAsia="en-GB"/>
              </w:rPr>
              <w:t xml:space="preserve">Processing of Data </w:t>
            </w:r>
            <w:r w:rsidRPr="003712C2">
              <w:rPr>
                <w:rFonts w:eastAsiaTheme="minorEastAsia" w:cs="Arial"/>
                <w:color w:val="000000" w:themeColor="dark1"/>
                <w:kern w:val="24"/>
                <w:sz w:val="20"/>
                <w:lang w:eastAsia="en-GB"/>
              </w:rPr>
              <w:tab/>
            </w:r>
          </w:p>
          <w:p w14:paraId="41B33BA3" w14:textId="77777777" w:rsidR="00C32019" w:rsidRDefault="00C32019" w:rsidP="001E627B">
            <w:pPr>
              <w:widowControl/>
              <w:overflowPunct/>
              <w:autoSpaceDE/>
              <w:autoSpaceDN/>
              <w:adjustRightInd/>
              <w:textAlignment w:val="auto"/>
              <w:rPr>
                <w:rFonts w:eastAsiaTheme="minorEastAsia" w:cs="Arial"/>
                <w:color w:val="000000" w:themeColor="dark1"/>
                <w:kern w:val="24"/>
                <w:sz w:val="20"/>
                <w:lang w:eastAsia="en-GB"/>
              </w:rPr>
            </w:pPr>
          </w:p>
          <w:p w14:paraId="1403B276" w14:textId="77777777" w:rsidR="00C32019" w:rsidRDefault="00C32019" w:rsidP="001E627B">
            <w:pPr>
              <w:widowControl/>
              <w:overflowPunct/>
              <w:autoSpaceDE/>
              <w:autoSpaceDN/>
              <w:adjustRightInd/>
              <w:textAlignment w:val="auto"/>
              <w:rPr>
                <w:rFonts w:eastAsiaTheme="minorEastAsia" w:cs="Arial"/>
                <w:color w:val="000000" w:themeColor="dark1"/>
                <w:kern w:val="24"/>
                <w:sz w:val="20"/>
                <w:lang w:eastAsia="en-GB"/>
              </w:rPr>
            </w:pPr>
          </w:p>
          <w:p w14:paraId="6CE20EF7" w14:textId="77777777" w:rsidR="00C32019" w:rsidRDefault="00C32019" w:rsidP="001E627B">
            <w:pPr>
              <w:widowControl/>
              <w:overflowPunct/>
              <w:autoSpaceDE/>
              <w:autoSpaceDN/>
              <w:adjustRightInd/>
              <w:textAlignment w:val="auto"/>
              <w:rPr>
                <w:rFonts w:eastAsiaTheme="minorEastAsia" w:cs="Arial"/>
                <w:b/>
                <w:bCs/>
                <w:color w:val="000000" w:themeColor="dark1"/>
                <w:kern w:val="24"/>
                <w:sz w:val="20"/>
                <w:lang w:eastAsia="en-GB"/>
              </w:rPr>
            </w:pPr>
          </w:p>
          <w:p w14:paraId="3764F91D" w14:textId="77777777" w:rsidR="00C32019" w:rsidRPr="003712C2" w:rsidRDefault="00C32019" w:rsidP="001E627B">
            <w:pPr>
              <w:widowControl/>
              <w:overflowPunct/>
              <w:autoSpaceDE/>
              <w:autoSpaceDN/>
              <w:adjustRightInd/>
              <w:textAlignment w:val="auto"/>
              <w:rPr>
                <w:rFonts w:cs="Arial"/>
                <w:sz w:val="20"/>
                <w:lang w:eastAsia="en-GB"/>
              </w:rPr>
            </w:pPr>
            <w:r>
              <w:rPr>
                <w:rFonts w:eastAsiaTheme="minorEastAsia" w:cs="Arial"/>
                <w:b/>
                <w:bCs/>
                <w:color w:val="000000" w:themeColor="dark1"/>
                <w:kern w:val="24"/>
                <w:sz w:val="20"/>
                <w:lang w:eastAsia="en-GB"/>
              </w:rPr>
              <w:t>Occurrences in the 3 months to 31 January</w:t>
            </w:r>
          </w:p>
        </w:tc>
        <w:tc>
          <w:tcPr>
            <w:tcW w:w="602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7B5B037" w14:textId="77777777" w:rsidR="00C32019" w:rsidRPr="003712C2" w:rsidRDefault="00C32019" w:rsidP="00C32019">
            <w:pPr>
              <w:widowControl/>
              <w:numPr>
                <w:ilvl w:val="0"/>
                <w:numId w:val="13"/>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Misuse of data; </w:t>
            </w:r>
          </w:p>
          <w:p w14:paraId="50361049" w14:textId="77777777" w:rsidR="00C32019" w:rsidRPr="003712C2" w:rsidRDefault="00C32019" w:rsidP="00C32019">
            <w:pPr>
              <w:widowControl/>
              <w:numPr>
                <w:ilvl w:val="0"/>
                <w:numId w:val="13"/>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Removal of data without permission; </w:t>
            </w:r>
          </w:p>
          <w:p w14:paraId="451BA659" w14:textId="77777777" w:rsidR="00C32019" w:rsidRPr="00511C80" w:rsidRDefault="00C32019" w:rsidP="00C32019">
            <w:pPr>
              <w:widowControl/>
              <w:numPr>
                <w:ilvl w:val="0"/>
                <w:numId w:val="13"/>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Failure to rectify incorrect personal data. </w:t>
            </w:r>
          </w:p>
          <w:p w14:paraId="50C97867" w14:textId="77777777" w:rsidR="00C32019" w:rsidRDefault="00C32019" w:rsidP="001E627B">
            <w:pPr>
              <w:widowControl/>
              <w:overflowPunct/>
              <w:autoSpaceDE/>
              <w:autoSpaceDN/>
              <w:adjustRightInd/>
              <w:contextualSpacing/>
              <w:textAlignment w:val="auto"/>
              <w:rPr>
                <w:rFonts w:eastAsiaTheme="minorEastAsia" w:cs="Arial"/>
                <w:color w:val="000000" w:themeColor="dark1"/>
                <w:kern w:val="24"/>
                <w:sz w:val="20"/>
                <w:lang w:eastAsia="en-GB"/>
              </w:rPr>
            </w:pPr>
          </w:p>
          <w:p w14:paraId="5C1CD99D" w14:textId="667D3C45" w:rsidR="00225EBE" w:rsidRDefault="00C32019" w:rsidP="001E627B">
            <w:pPr>
              <w:pStyle w:val="DeptBullets"/>
              <w:numPr>
                <w:ilvl w:val="0"/>
                <w:numId w:val="0"/>
              </w:numPr>
              <w:spacing w:after="0"/>
              <w:rPr>
                <w:rFonts w:cs="Arial"/>
                <w:sz w:val="20"/>
                <w:lang w:eastAsia="en-GB"/>
              </w:rPr>
            </w:pPr>
            <w:r>
              <w:rPr>
                <w:rFonts w:cs="Arial"/>
                <w:sz w:val="20"/>
                <w:lang w:eastAsia="en-GB"/>
              </w:rPr>
              <w:t>nil</w:t>
            </w:r>
          </w:p>
          <w:p w14:paraId="6D7E0286" w14:textId="1633B842" w:rsidR="00C32019" w:rsidRPr="00225EBE" w:rsidRDefault="00225EBE" w:rsidP="00225EBE">
            <w:pPr>
              <w:tabs>
                <w:tab w:val="left" w:pos="948"/>
              </w:tabs>
              <w:rPr>
                <w:lang w:eastAsia="en-GB"/>
              </w:rPr>
            </w:pPr>
            <w:r>
              <w:rPr>
                <w:lang w:eastAsia="en-GB"/>
              </w:rPr>
              <w:tab/>
            </w:r>
          </w:p>
        </w:tc>
      </w:tr>
    </w:tbl>
    <w:p w14:paraId="7CC98CB2" w14:textId="77777777" w:rsidR="00400B4C" w:rsidRDefault="00400B4C" w:rsidP="00225EBE">
      <w:pPr>
        <w:pStyle w:val="DeptBullets"/>
        <w:numPr>
          <w:ilvl w:val="0"/>
          <w:numId w:val="0"/>
        </w:numPr>
        <w:spacing w:after="0"/>
        <w:rPr>
          <w:rFonts w:cs="Arial"/>
          <w:b/>
          <w:szCs w:val="24"/>
        </w:rPr>
      </w:pPr>
    </w:p>
    <w:sectPr w:rsidR="00400B4C" w:rsidSect="00216CB0">
      <w:headerReference w:type="default" r:id="rId14"/>
      <w:footerReference w:type="default" r:id="rId15"/>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F2539" w14:textId="77777777" w:rsidR="00165747" w:rsidRDefault="00165747">
      <w:r>
        <w:separator/>
      </w:r>
    </w:p>
  </w:endnote>
  <w:endnote w:type="continuationSeparator" w:id="0">
    <w:p w14:paraId="6D9BBF94" w14:textId="77777777" w:rsidR="00165747" w:rsidRDefault="0016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369876"/>
      <w:docPartObj>
        <w:docPartGallery w:val="Page Numbers (Bottom of Page)"/>
        <w:docPartUnique/>
      </w:docPartObj>
    </w:sdtPr>
    <w:sdtEndPr>
      <w:rPr>
        <w:noProof/>
      </w:rPr>
    </w:sdtEndPr>
    <w:sdtContent>
      <w:p w14:paraId="3A9530CE" w14:textId="77777777" w:rsidR="006A0321" w:rsidRDefault="00CE5046">
        <w:pPr>
          <w:pStyle w:val="Footer"/>
          <w:jc w:val="center"/>
        </w:pPr>
        <w:r>
          <w:fldChar w:fldCharType="begin"/>
        </w:r>
        <w:r w:rsidR="006872B4">
          <w:instrText xml:space="preserve"> PAGE   \* MERGEFORMAT </w:instrText>
        </w:r>
        <w:r>
          <w:fldChar w:fldCharType="separate"/>
        </w:r>
        <w:r w:rsidR="00CE232E">
          <w:rPr>
            <w:noProof/>
          </w:rPr>
          <w:t>3</w:t>
        </w:r>
        <w:r>
          <w:rPr>
            <w:noProof/>
          </w:rPr>
          <w:fldChar w:fldCharType="end"/>
        </w:r>
      </w:p>
    </w:sdtContent>
  </w:sdt>
  <w:p w14:paraId="087E3531" w14:textId="77777777" w:rsidR="006A0321" w:rsidRDefault="00CE2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F269E" w14:textId="77777777" w:rsidR="00165747" w:rsidRDefault="00165747">
      <w:r>
        <w:separator/>
      </w:r>
    </w:p>
  </w:footnote>
  <w:footnote w:type="continuationSeparator" w:id="0">
    <w:p w14:paraId="25F5DAEA" w14:textId="77777777" w:rsidR="00165747" w:rsidRDefault="00165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E0C12" w14:textId="51647C26" w:rsidR="00F95149" w:rsidRDefault="00F95149">
    <w:pPr>
      <w:pStyle w:val="Header"/>
    </w:pPr>
    <w:r>
      <w:t>Paper 8 (Agenda item 6</w:t>
    </w:r>
    <w:proofErr w:type="gramStart"/>
    <w:r>
      <w:t>)</w:t>
    </w:r>
    <w:proofErr w:type="gramEnd"/>
    <w:r>
      <w:ptab w:relativeTo="margin" w:alignment="center" w:leader="none"/>
    </w:r>
    <w:r>
      <w:ptab w:relativeTo="margin" w:alignment="right" w:leader="none"/>
    </w:r>
    <w:r>
      <w:t>TPSPB 9 March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16763"/>
    <w:multiLevelType w:val="hybridMultilevel"/>
    <w:tmpl w:val="FD22C978"/>
    <w:lvl w:ilvl="0" w:tplc="B53C57C4">
      <w:start w:val="1"/>
      <w:numFmt w:val="bullet"/>
      <w:lvlText w:val=""/>
      <w:lvlJc w:val="left"/>
      <w:pPr>
        <w:tabs>
          <w:tab w:val="num" w:pos="720"/>
        </w:tabs>
        <w:ind w:left="720" w:hanging="360"/>
      </w:pPr>
      <w:rPr>
        <w:rFonts w:ascii="Wingdings" w:hAnsi="Wingdings" w:hint="default"/>
      </w:rPr>
    </w:lvl>
    <w:lvl w:ilvl="1" w:tplc="789EACA0" w:tentative="1">
      <w:start w:val="1"/>
      <w:numFmt w:val="bullet"/>
      <w:lvlText w:val=""/>
      <w:lvlJc w:val="left"/>
      <w:pPr>
        <w:tabs>
          <w:tab w:val="num" w:pos="1440"/>
        </w:tabs>
        <w:ind w:left="1440" w:hanging="360"/>
      </w:pPr>
      <w:rPr>
        <w:rFonts w:ascii="Wingdings" w:hAnsi="Wingdings" w:hint="default"/>
      </w:rPr>
    </w:lvl>
    <w:lvl w:ilvl="2" w:tplc="F4B8F6EA" w:tentative="1">
      <w:start w:val="1"/>
      <w:numFmt w:val="bullet"/>
      <w:lvlText w:val=""/>
      <w:lvlJc w:val="left"/>
      <w:pPr>
        <w:tabs>
          <w:tab w:val="num" w:pos="2160"/>
        </w:tabs>
        <w:ind w:left="2160" w:hanging="360"/>
      </w:pPr>
      <w:rPr>
        <w:rFonts w:ascii="Wingdings" w:hAnsi="Wingdings" w:hint="default"/>
      </w:rPr>
    </w:lvl>
    <w:lvl w:ilvl="3" w:tplc="F1B6777C" w:tentative="1">
      <w:start w:val="1"/>
      <w:numFmt w:val="bullet"/>
      <w:lvlText w:val=""/>
      <w:lvlJc w:val="left"/>
      <w:pPr>
        <w:tabs>
          <w:tab w:val="num" w:pos="2880"/>
        </w:tabs>
        <w:ind w:left="2880" w:hanging="360"/>
      </w:pPr>
      <w:rPr>
        <w:rFonts w:ascii="Wingdings" w:hAnsi="Wingdings" w:hint="default"/>
      </w:rPr>
    </w:lvl>
    <w:lvl w:ilvl="4" w:tplc="2C669288" w:tentative="1">
      <w:start w:val="1"/>
      <w:numFmt w:val="bullet"/>
      <w:lvlText w:val=""/>
      <w:lvlJc w:val="left"/>
      <w:pPr>
        <w:tabs>
          <w:tab w:val="num" w:pos="3600"/>
        </w:tabs>
        <w:ind w:left="3600" w:hanging="360"/>
      </w:pPr>
      <w:rPr>
        <w:rFonts w:ascii="Wingdings" w:hAnsi="Wingdings" w:hint="default"/>
      </w:rPr>
    </w:lvl>
    <w:lvl w:ilvl="5" w:tplc="0A24602A" w:tentative="1">
      <w:start w:val="1"/>
      <w:numFmt w:val="bullet"/>
      <w:lvlText w:val=""/>
      <w:lvlJc w:val="left"/>
      <w:pPr>
        <w:tabs>
          <w:tab w:val="num" w:pos="4320"/>
        </w:tabs>
        <w:ind w:left="4320" w:hanging="360"/>
      </w:pPr>
      <w:rPr>
        <w:rFonts w:ascii="Wingdings" w:hAnsi="Wingdings" w:hint="default"/>
      </w:rPr>
    </w:lvl>
    <w:lvl w:ilvl="6" w:tplc="B37C15EA" w:tentative="1">
      <w:start w:val="1"/>
      <w:numFmt w:val="bullet"/>
      <w:lvlText w:val=""/>
      <w:lvlJc w:val="left"/>
      <w:pPr>
        <w:tabs>
          <w:tab w:val="num" w:pos="5040"/>
        </w:tabs>
        <w:ind w:left="5040" w:hanging="360"/>
      </w:pPr>
      <w:rPr>
        <w:rFonts w:ascii="Wingdings" w:hAnsi="Wingdings" w:hint="default"/>
      </w:rPr>
    </w:lvl>
    <w:lvl w:ilvl="7" w:tplc="1BF04BF6" w:tentative="1">
      <w:start w:val="1"/>
      <w:numFmt w:val="bullet"/>
      <w:lvlText w:val=""/>
      <w:lvlJc w:val="left"/>
      <w:pPr>
        <w:tabs>
          <w:tab w:val="num" w:pos="5760"/>
        </w:tabs>
        <w:ind w:left="5760" w:hanging="360"/>
      </w:pPr>
      <w:rPr>
        <w:rFonts w:ascii="Wingdings" w:hAnsi="Wingdings" w:hint="default"/>
      </w:rPr>
    </w:lvl>
    <w:lvl w:ilvl="8" w:tplc="7E04C05A" w:tentative="1">
      <w:start w:val="1"/>
      <w:numFmt w:val="bullet"/>
      <w:lvlText w:val=""/>
      <w:lvlJc w:val="left"/>
      <w:pPr>
        <w:tabs>
          <w:tab w:val="num" w:pos="6480"/>
        </w:tabs>
        <w:ind w:left="6480" w:hanging="360"/>
      </w:pPr>
      <w:rPr>
        <w:rFonts w:ascii="Wingdings" w:hAnsi="Wingdings" w:hint="default"/>
      </w:rPr>
    </w:lvl>
  </w:abstractNum>
  <w:abstractNum w:abstractNumId="1">
    <w:nsid w:val="19737587"/>
    <w:multiLevelType w:val="hybridMultilevel"/>
    <w:tmpl w:val="0BB2FD9A"/>
    <w:lvl w:ilvl="0" w:tplc="B37065EE">
      <w:start w:val="1"/>
      <w:numFmt w:val="bullet"/>
      <w:lvlText w:val="•"/>
      <w:lvlJc w:val="left"/>
      <w:pPr>
        <w:tabs>
          <w:tab w:val="num" w:pos="720"/>
        </w:tabs>
        <w:ind w:left="720" w:hanging="360"/>
      </w:pPr>
      <w:rPr>
        <w:rFonts w:ascii="Arial" w:hAnsi="Arial" w:hint="default"/>
      </w:rPr>
    </w:lvl>
    <w:lvl w:ilvl="1" w:tplc="F6ACB9B4">
      <w:start w:val="1"/>
      <w:numFmt w:val="bullet"/>
      <w:lvlText w:val="•"/>
      <w:lvlJc w:val="left"/>
      <w:pPr>
        <w:tabs>
          <w:tab w:val="num" w:pos="1440"/>
        </w:tabs>
        <w:ind w:left="1440" w:hanging="360"/>
      </w:pPr>
      <w:rPr>
        <w:rFonts w:ascii="Arial" w:hAnsi="Arial" w:hint="default"/>
      </w:rPr>
    </w:lvl>
    <w:lvl w:ilvl="2" w:tplc="C5AA9BB4" w:tentative="1">
      <w:start w:val="1"/>
      <w:numFmt w:val="bullet"/>
      <w:lvlText w:val="•"/>
      <w:lvlJc w:val="left"/>
      <w:pPr>
        <w:tabs>
          <w:tab w:val="num" w:pos="2160"/>
        </w:tabs>
        <w:ind w:left="2160" w:hanging="360"/>
      </w:pPr>
      <w:rPr>
        <w:rFonts w:ascii="Arial" w:hAnsi="Arial" w:hint="default"/>
      </w:rPr>
    </w:lvl>
    <w:lvl w:ilvl="3" w:tplc="C2BAE278" w:tentative="1">
      <w:start w:val="1"/>
      <w:numFmt w:val="bullet"/>
      <w:lvlText w:val="•"/>
      <w:lvlJc w:val="left"/>
      <w:pPr>
        <w:tabs>
          <w:tab w:val="num" w:pos="2880"/>
        </w:tabs>
        <w:ind w:left="2880" w:hanging="360"/>
      </w:pPr>
      <w:rPr>
        <w:rFonts w:ascii="Arial" w:hAnsi="Arial" w:hint="default"/>
      </w:rPr>
    </w:lvl>
    <w:lvl w:ilvl="4" w:tplc="914A2604" w:tentative="1">
      <w:start w:val="1"/>
      <w:numFmt w:val="bullet"/>
      <w:lvlText w:val="•"/>
      <w:lvlJc w:val="left"/>
      <w:pPr>
        <w:tabs>
          <w:tab w:val="num" w:pos="3600"/>
        </w:tabs>
        <w:ind w:left="3600" w:hanging="360"/>
      </w:pPr>
      <w:rPr>
        <w:rFonts w:ascii="Arial" w:hAnsi="Arial" w:hint="default"/>
      </w:rPr>
    </w:lvl>
    <w:lvl w:ilvl="5" w:tplc="AD62FBDA" w:tentative="1">
      <w:start w:val="1"/>
      <w:numFmt w:val="bullet"/>
      <w:lvlText w:val="•"/>
      <w:lvlJc w:val="left"/>
      <w:pPr>
        <w:tabs>
          <w:tab w:val="num" w:pos="4320"/>
        </w:tabs>
        <w:ind w:left="4320" w:hanging="360"/>
      </w:pPr>
      <w:rPr>
        <w:rFonts w:ascii="Arial" w:hAnsi="Arial" w:hint="default"/>
      </w:rPr>
    </w:lvl>
    <w:lvl w:ilvl="6" w:tplc="6FDCD53C" w:tentative="1">
      <w:start w:val="1"/>
      <w:numFmt w:val="bullet"/>
      <w:lvlText w:val="•"/>
      <w:lvlJc w:val="left"/>
      <w:pPr>
        <w:tabs>
          <w:tab w:val="num" w:pos="5040"/>
        </w:tabs>
        <w:ind w:left="5040" w:hanging="360"/>
      </w:pPr>
      <w:rPr>
        <w:rFonts w:ascii="Arial" w:hAnsi="Arial" w:hint="default"/>
      </w:rPr>
    </w:lvl>
    <w:lvl w:ilvl="7" w:tplc="DF36ABD2" w:tentative="1">
      <w:start w:val="1"/>
      <w:numFmt w:val="bullet"/>
      <w:lvlText w:val="•"/>
      <w:lvlJc w:val="left"/>
      <w:pPr>
        <w:tabs>
          <w:tab w:val="num" w:pos="5760"/>
        </w:tabs>
        <w:ind w:left="5760" w:hanging="360"/>
      </w:pPr>
      <w:rPr>
        <w:rFonts w:ascii="Arial" w:hAnsi="Arial" w:hint="default"/>
      </w:rPr>
    </w:lvl>
    <w:lvl w:ilvl="8" w:tplc="2EE46A6C" w:tentative="1">
      <w:start w:val="1"/>
      <w:numFmt w:val="bullet"/>
      <w:lvlText w:val="•"/>
      <w:lvlJc w:val="left"/>
      <w:pPr>
        <w:tabs>
          <w:tab w:val="num" w:pos="6480"/>
        </w:tabs>
        <w:ind w:left="6480" w:hanging="360"/>
      </w:pPr>
      <w:rPr>
        <w:rFonts w:ascii="Arial" w:hAnsi="Arial" w:hint="default"/>
      </w:rPr>
    </w:lvl>
  </w:abstractNum>
  <w:abstractNum w:abstractNumId="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201F072C"/>
    <w:multiLevelType w:val="hybridMultilevel"/>
    <w:tmpl w:val="9DA44826"/>
    <w:lvl w:ilvl="0" w:tplc="2C2CF33A">
      <w:start w:val="1"/>
      <w:numFmt w:val="bullet"/>
      <w:lvlText w:val=""/>
      <w:lvlJc w:val="left"/>
      <w:pPr>
        <w:tabs>
          <w:tab w:val="num" w:pos="720"/>
        </w:tabs>
        <w:ind w:left="720" w:hanging="360"/>
      </w:pPr>
      <w:rPr>
        <w:rFonts w:ascii="Wingdings" w:hAnsi="Wingdings" w:hint="default"/>
      </w:rPr>
    </w:lvl>
    <w:lvl w:ilvl="1" w:tplc="B734BA6E" w:tentative="1">
      <w:start w:val="1"/>
      <w:numFmt w:val="bullet"/>
      <w:lvlText w:val=""/>
      <w:lvlJc w:val="left"/>
      <w:pPr>
        <w:tabs>
          <w:tab w:val="num" w:pos="1440"/>
        </w:tabs>
        <w:ind w:left="1440" w:hanging="360"/>
      </w:pPr>
      <w:rPr>
        <w:rFonts w:ascii="Wingdings" w:hAnsi="Wingdings" w:hint="default"/>
      </w:rPr>
    </w:lvl>
    <w:lvl w:ilvl="2" w:tplc="7DA6D89C" w:tentative="1">
      <w:start w:val="1"/>
      <w:numFmt w:val="bullet"/>
      <w:lvlText w:val=""/>
      <w:lvlJc w:val="left"/>
      <w:pPr>
        <w:tabs>
          <w:tab w:val="num" w:pos="2160"/>
        </w:tabs>
        <w:ind w:left="2160" w:hanging="360"/>
      </w:pPr>
      <w:rPr>
        <w:rFonts w:ascii="Wingdings" w:hAnsi="Wingdings" w:hint="default"/>
      </w:rPr>
    </w:lvl>
    <w:lvl w:ilvl="3" w:tplc="5554C952" w:tentative="1">
      <w:start w:val="1"/>
      <w:numFmt w:val="bullet"/>
      <w:lvlText w:val=""/>
      <w:lvlJc w:val="left"/>
      <w:pPr>
        <w:tabs>
          <w:tab w:val="num" w:pos="2880"/>
        </w:tabs>
        <w:ind w:left="2880" w:hanging="360"/>
      </w:pPr>
      <w:rPr>
        <w:rFonts w:ascii="Wingdings" w:hAnsi="Wingdings" w:hint="default"/>
      </w:rPr>
    </w:lvl>
    <w:lvl w:ilvl="4" w:tplc="CA00F286" w:tentative="1">
      <w:start w:val="1"/>
      <w:numFmt w:val="bullet"/>
      <w:lvlText w:val=""/>
      <w:lvlJc w:val="left"/>
      <w:pPr>
        <w:tabs>
          <w:tab w:val="num" w:pos="3600"/>
        </w:tabs>
        <w:ind w:left="3600" w:hanging="360"/>
      </w:pPr>
      <w:rPr>
        <w:rFonts w:ascii="Wingdings" w:hAnsi="Wingdings" w:hint="default"/>
      </w:rPr>
    </w:lvl>
    <w:lvl w:ilvl="5" w:tplc="AB9E7716" w:tentative="1">
      <w:start w:val="1"/>
      <w:numFmt w:val="bullet"/>
      <w:lvlText w:val=""/>
      <w:lvlJc w:val="left"/>
      <w:pPr>
        <w:tabs>
          <w:tab w:val="num" w:pos="4320"/>
        </w:tabs>
        <w:ind w:left="4320" w:hanging="360"/>
      </w:pPr>
      <w:rPr>
        <w:rFonts w:ascii="Wingdings" w:hAnsi="Wingdings" w:hint="default"/>
      </w:rPr>
    </w:lvl>
    <w:lvl w:ilvl="6" w:tplc="F6A82414" w:tentative="1">
      <w:start w:val="1"/>
      <w:numFmt w:val="bullet"/>
      <w:lvlText w:val=""/>
      <w:lvlJc w:val="left"/>
      <w:pPr>
        <w:tabs>
          <w:tab w:val="num" w:pos="5040"/>
        </w:tabs>
        <w:ind w:left="5040" w:hanging="360"/>
      </w:pPr>
      <w:rPr>
        <w:rFonts w:ascii="Wingdings" w:hAnsi="Wingdings" w:hint="default"/>
      </w:rPr>
    </w:lvl>
    <w:lvl w:ilvl="7" w:tplc="8CC27A3A" w:tentative="1">
      <w:start w:val="1"/>
      <w:numFmt w:val="bullet"/>
      <w:lvlText w:val=""/>
      <w:lvlJc w:val="left"/>
      <w:pPr>
        <w:tabs>
          <w:tab w:val="num" w:pos="5760"/>
        </w:tabs>
        <w:ind w:left="5760" w:hanging="360"/>
      </w:pPr>
      <w:rPr>
        <w:rFonts w:ascii="Wingdings" w:hAnsi="Wingdings" w:hint="default"/>
      </w:rPr>
    </w:lvl>
    <w:lvl w:ilvl="8" w:tplc="5F92C35C" w:tentative="1">
      <w:start w:val="1"/>
      <w:numFmt w:val="bullet"/>
      <w:lvlText w:val=""/>
      <w:lvlJc w:val="left"/>
      <w:pPr>
        <w:tabs>
          <w:tab w:val="num" w:pos="6480"/>
        </w:tabs>
        <w:ind w:left="6480" w:hanging="360"/>
      </w:pPr>
      <w:rPr>
        <w:rFonts w:ascii="Wingdings" w:hAnsi="Wingdings" w:hint="default"/>
      </w:rPr>
    </w:lvl>
  </w:abstractNum>
  <w:abstractNum w:abstractNumId="4">
    <w:nsid w:val="20E22794"/>
    <w:multiLevelType w:val="hybridMultilevel"/>
    <w:tmpl w:val="298E781A"/>
    <w:lvl w:ilvl="0" w:tplc="04AEFD54">
      <w:start w:val="1"/>
      <w:numFmt w:val="bullet"/>
      <w:lvlText w:val="•"/>
      <w:lvlJc w:val="left"/>
      <w:pPr>
        <w:tabs>
          <w:tab w:val="num" w:pos="720"/>
        </w:tabs>
        <w:ind w:left="720" w:hanging="360"/>
      </w:pPr>
      <w:rPr>
        <w:rFonts w:ascii="Arial" w:hAnsi="Arial" w:hint="default"/>
      </w:rPr>
    </w:lvl>
    <w:lvl w:ilvl="1" w:tplc="1C24DA6C">
      <w:start w:val="1"/>
      <w:numFmt w:val="bullet"/>
      <w:lvlText w:val="•"/>
      <w:lvlJc w:val="left"/>
      <w:pPr>
        <w:tabs>
          <w:tab w:val="num" w:pos="1440"/>
        </w:tabs>
        <w:ind w:left="1440" w:hanging="360"/>
      </w:pPr>
      <w:rPr>
        <w:rFonts w:ascii="Arial" w:hAnsi="Arial" w:hint="default"/>
      </w:rPr>
    </w:lvl>
    <w:lvl w:ilvl="2" w:tplc="035AE14E" w:tentative="1">
      <w:start w:val="1"/>
      <w:numFmt w:val="bullet"/>
      <w:lvlText w:val="•"/>
      <w:lvlJc w:val="left"/>
      <w:pPr>
        <w:tabs>
          <w:tab w:val="num" w:pos="2160"/>
        </w:tabs>
        <w:ind w:left="2160" w:hanging="360"/>
      </w:pPr>
      <w:rPr>
        <w:rFonts w:ascii="Arial" w:hAnsi="Arial" w:hint="default"/>
      </w:rPr>
    </w:lvl>
    <w:lvl w:ilvl="3" w:tplc="0AD4D7F6" w:tentative="1">
      <w:start w:val="1"/>
      <w:numFmt w:val="bullet"/>
      <w:lvlText w:val="•"/>
      <w:lvlJc w:val="left"/>
      <w:pPr>
        <w:tabs>
          <w:tab w:val="num" w:pos="2880"/>
        </w:tabs>
        <w:ind w:left="2880" w:hanging="360"/>
      </w:pPr>
      <w:rPr>
        <w:rFonts w:ascii="Arial" w:hAnsi="Arial" w:hint="default"/>
      </w:rPr>
    </w:lvl>
    <w:lvl w:ilvl="4" w:tplc="891EBD44" w:tentative="1">
      <w:start w:val="1"/>
      <w:numFmt w:val="bullet"/>
      <w:lvlText w:val="•"/>
      <w:lvlJc w:val="left"/>
      <w:pPr>
        <w:tabs>
          <w:tab w:val="num" w:pos="3600"/>
        </w:tabs>
        <w:ind w:left="3600" w:hanging="360"/>
      </w:pPr>
      <w:rPr>
        <w:rFonts w:ascii="Arial" w:hAnsi="Arial" w:hint="default"/>
      </w:rPr>
    </w:lvl>
    <w:lvl w:ilvl="5" w:tplc="82F2237C" w:tentative="1">
      <w:start w:val="1"/>
      <w:numFmt w:val="bullet"/>
      <w:lvlText w:val="•"/>
      <w:lvlJc w:val="left"/>
      <w:pPr>
        <w:tabs>
          <w:tab w:val="num" w:pos="4320"/>
        </w:tabs>
        <w:ind w:left="4320" w:hanging="360"/>
      </w:pPr>
      <w:rPr>
        <w:rFonts w:ascii="Arial" w:hAnsi="Arial" w:hint="default"/>
      </w:rPr>
    </w:lvl>
    <w:lvl w:ilvl="6" w:tplc="963264F2" w:tentative="1">
      <w:start w:val="1"/>
      <w:numFmt w:val="bullet"/>
      <w:lvlText w:val="•"/>
      <w:lvlJc w:val="left"/>
      <w:pPr>
        <w:tabs>
          <w:tab w:val="num" w:pos="5040"/>
        </w:tabs>
        <w:ind w:left="5040" w:hanging="360"/>
      </w:pPr>
      <w:rPr>
        <w:rFonts w:ascii="Arial" w:hAnsi="Arial" w:hint="default"/>
      </w:rPr>
    </w:lvl>
    <w:lvl w:ilvl="7" w:tplc="29981D7A" w:tentative="1">
      <w:start w:val="1"/>
      <w:numFmt w:val="bullet"/>
      <w:lvlText w:val="•"/>
      <w:lvlJc w:val="left"/>
      <w:pPr>
        <w:tabs>
          <w:tab w:val="num" w:pos="5760"/>
        </w:tabs>
        <w:ind w:left="5760" w:hanging="360"/>
      </w:pPr>
      <w:rPr>
        <w:rFonts w:ascii="Arial" w:hAnsi="Arial" w:hint="default"/>
      </w:rPr>
    </w:lvl>
    <w:lvl w:ilvl="8" w:tplc="30D84D06" w:tentative="1">
      <w:start w:val="1"/>
      <w:numFmt w:val="bullet"/>
      <w:lvlText w:val="•"/>
      <w:lvlJc w:val="left"/>
      <w:pPr>
        <w:tabs>
          <w:tab w:val="num" w:pos="6480"/>
        </w:tabs>
        <w:ind w:left="6480" w:hanging="360"/>
      </w:pPr>
      <w:rPr>
        <w:rFonts w:ascii="Arial" w:hAnsi="Arial" w:hint="default"/>
      </w:rPr>
    </w:lvl>
  </w:abstractNum>
  <w:abstractNum w:abstractNumId="5">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nsid w:val="2B6F69E4"/>
    <w:multiLevelType w:val="hybridMultilevel"/>
    <w:tmpl w:val="9BF8FB00"/>
    <w:lvl w:ilvl="0" w:tplc="39B2BBA0">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0C5CF2"/>
    <w:multiLevelType w:val="hybridMultilevel"/>
    <w:tmpl w:val="05480A06"/>
    <w:lvl w:ilvl="0" w:tplc="E2B0036C">
      <w:start w:val="1"/>
      <w:numFmt w:val="bullet"/>
      <w:lvlText w:val="•"/>
      <w:lvlJc w:val="left"/>
      <w:pPr>
        <w:tabs>
          <w:tab w:val="num" w:pos="720"/>
        </w:tabs>
        <w:ind w:left="720" w:hanging="360"/>
      </w:pPr>
      <w:rPr>
        <w:rFonts w:ascii="Arial" w:hAnsi="Arial" w:hint="default"/>
      </w:rPr>
    </w:lvl>
    <w:lvl w:ilvl="1" w:tplc="8AD0E822">
      <w:start w:val="1"/>
      <w:numFmt w:val="bullet"/>
      <w:lvlText w:val="•"/>
      <w:lvlJc w:val="left"/>
      <w:pPr>
        <w:tabs>
          <w:tab w:val="num" w:pos="1440"/>
        </w:tabs>
        <w:ind w:left="1440" w:hanging="360"/>
      </w:pPr>
      <w:rPr>
        <w:rFonts w:ascii="Arial" w:hAnsi="Arial" w:hint="default"/>
      </w:rPr>
    </w:lvl>
    <w:lvl w:ilvl="2" w:tplc="E990C846" w:tentative="1">
      <w:start w:val="1"/>
      <w:numFmt w:val="bullet"/>
      <w:lvlText w:val="•"/>
      <w:lvlJc w:val="left"/>
      <w:pPr>
        <w:tabs>
          <w:tab w:val="num" w:pos="2160"/>
        </w:tabs>
        <w:ind w:left="2160" w:hanging="360"/>
      </w:pPr>
      <w:rPr>
        <w:rFonts w:ascii="Arial" w:hAnsi="Arial" w:hint="default"/>
      </w:rPr>
    </w:lvl>
    <w:lvl w:ilvl="3" w:tplc="9CCA8192" w:tentative="1">
      <w:start w:val="1"/>
      <w:numFmt w:val="bullet"/>
      <w:lvlText w:val="•"/>
      <w:lvlJc w:val="left"/>
      <w:pPr>
        <w:tabs>
          <w:tab w:val="num" w:pos="2880"/>
        </w:tabs>
        <w:ind w:left="2880" w:hanging="360"/>
      </w:pPr>
      <w:rPr>
        <w:rFonts w:ascii="Arial" w:hAnsi="Arial" w:hint="default"/>
      </w:rPr>
    </w:lvl>
    <w:lvl w:ilvl="4" w:tplc="5B82E3A8" w:tentative="1">
      <w:start w:val="1"/>
      <w:numFmt w:val="bullet"/>
      <w:lvlText w:val="•"/>
      <w:lvlJc w:val="left"/>
      <w:pPr>
        <w:tabs>
          <w:tab w:val="num" w:pos="3600"/>
        </w:tabs>
        <w:ind w:left="3600" w:hanging="360"/>
      </w:pPr>
      <w:rPr>
        <w:rFonts w:ascii="Arial" w:hAnsi="Arial" w:hint="default"/>
      </w:rPr>
    </w:lvl>
    <w:lvl w:ilvl="5" w:tplc="21063B36" w:tentative="1">
      <w:start w:val="1"/>
      <w:numFmt w:val="bullet"/>
      <w:lvlText w:val="•"/>
      <w:lvlJc w:val="left"/>
      <w:pPr>
        <w:tabs>
          <w:tab w:val="num" w:pos="4320"/>
        </w:tabs>
        <w:ind w:left="4320" w:hanging="360"/>
      </w:pPr>
      <w:rPr>
        <w:rFonts w:ascii="Arial" w:hAnsi="Arial" w:hint="default"/>
      </w:rPr>
    </w:lvl>
    <w:lvl w:ilvl="6" w:tplc="EFFC3CCC" w:tentative="1">
      <w:start w:val="1"/>
      <w:numFmt w:val="bullet"/>
      <w:lvlText w:val="•"/>
      <w:lvlJc w:val="left"/>
      <w:pPr>
        <w:tabs>
          <w:tab w:val="num" w:pos="5040"/>
        </w:tabs>
        <w:ind w:left="5040" w:hanging="360"/>
      </w:pPr>
      <w:rPr>
        <w:rFonts w:ascii="Arial" w:hAnsi="Arial" w:hint="default"/>
      </w:rPr>
    </w:lvl>
    <w:lvl w:ilvl="7" w:tplc="CC7EA1E6" w:tentative="1">
      <w:start w:val="1"/>
      <w:numFmt w:val="bullet"/>
      <w:lvlText w:val="•"/>
      <w:lvlJc w:val="left"/>
      <w:pPr>
        <w:tabs>
          <w:tab w:val="num" w:pos="5760"/>
        </w:tabs>
        <w:ind w:left="5760" w:hanging="360"/>
      </w:pPr>
      <w:rPr>
        <w:rFonts w:ascii="Arial" w:hAnsi="Arial" w:hint="default"/>
      </w:rPr>
    </w:lvl>
    <w:lvl w:ilvl="8" w:tplc="8FBA5716" w:tentative="1">
      <w:start w:val="1"/>
      <w:numFmt w:val="bullet"/>
      <w:lvlText w:val="•"/>
      <w:lvlJc w:val="left"/>
      <w:pPr>
        <w:tabs>
          <w:tab w:val="num" w:pos="6480"/>
        </w:tabs>
        <w:ind w:left="6480" w:hanging="360"/>
      </w:pPr>
      <w:rPr>
        <w:rFonts w:ascii="Arial" w:hAnsi="Arial" w:hint="default"/>
      </w:rPr>
    </w:lvl>
  </w:abstractNum>
  <w:abstractNum w:abstractNumId="8">
    <w:nsid w:val="3BB265E7"/>
    <w:multiLevelType w:val="hybridMultilevel"/>
    <w:tmpl w:val="1C1471FA"/>
    <w:lvl w:ilvl="0" w:tplc="1B9CAE98">
      <w:start w:val="1"/>
      <w:numFmt w:val="bullet"/>
      <w:lvlText w:val=""/>
      <w:lvlJc w:val="left"/>
      <w:pPr>
        <w:tabs>
          <w:tab w:val="num" w:pos="720"/>
        </w:tabs>
        <w:ind w:left="720" w:hanging="360"/>
      </w:pPr>
      <w:rPr>
        <w:rFonts w:ascii="Wingdings" w:hAnsi="Wingdings" w:hint="default"/>
      </w:rPr>
    </w:lvl>
    <w:lvl w:ilvl="1" w:tplc="6D2E050C" w:tentative="1">
      <w:start w:val="1"/>
      <w:numFmt w:val="bullet"/>
      <w:lvlText w:val=""/>
      <w:lvlJc w:val="left"/>
      <w:pPr>
        <w:tabs>
          <w:tab w:val="num" w:pos="1440"/>
        </w:tabs>
        <w:ind w:left="1440" w:hanging="360"/>
      </w:pPr>
      <w:rPr>
        <w:rFonts w:ascii="Wingdings" w:hAnsi="Wingdings" w:hint="default"/>
      </w:rPr>
    </w:lvl>
    <w:lvl w:ilvl="2" w:tplc="F5240BDE" w:tentative="1">
      <w:start w:val="1"/>
      <w:numFmt w:val="bullet"/>
      <w:lvlText w:val=""/>
      <w:lvlJc w:val="left"/>
      <w:pPr>
        <w:tabs>
          <w:tab w:val="num" w:pos="2160"/>
        </w:tabs>
        <w:ind w:left="2160" w:hanging="360"/>
      </w:pPr>
      <w:rPr>
        <w:rFonts w:ascii="Wingdings" w:hAnsi="Wingdings" w:hint="default"/>
      </w:rPr>
    </w:lvl>
    <w:lvl w:ilvl="3" w:tplc="9D00A52E" w:tentative="1">
      <w:start w:val="1"/>
      <w:numFmt w:val="bullet"/>
      <w:lvlText w:val=""/>
      <w:lvlJc w:val="left"/>
      <w:pPr>
        <w:tabs>
          <w:tab w:val="num" w:pos="2880"/>
        </w:tabs>
        <w:ind w:left="2880" w:hanging="360"/>
      </w:pPr>
      <w:rPr>
        <w:rFonts w:ascii="Wingdings" w:hAnsi="Wingdings" w:hint="default"/>
      </w:rPr>
    </w:lvl>
    <w:lvl w:ilvl="4" w:tplc="622A6382" w:tentative="1">
      <w:start w:val="1"/>
      <w:numFmt w:val="bullet"/>
      <w:lvlText w:val=""/>
      <w:lvlJc w:val="left"/>
      <w:pPr>
        <w:tabs>
          <w:tab w:val="num" w:pos="3600"/>
        </w:tabs>
        <w:ind w:left="3600" w:hanging="360"/>
      </w:pPr>
      <w:rPr>
        <w:rFonts w:ascii="Wingdings" w:hAnsi="Wingdings" w:hint="default"/>
      </w:rPr>
    </w:lvl>
    <w:lvl w:ilvl="5" w:tplc="E6BC64CA" w:tentative="1">
      <w:start w:val="1"/>
      <w:numFmt w:val="bullet"/>
      <w:lvlText w:val=""/>
      <w:lvlJc w:val="left"/>
      <w:pPr>
        <w:tabs>
          <w:tab w:val="num" w:pos="4320"/>
        </w:tabs>
        <w:ind w:left="4320" w:hanging="360"/>
      </w:pPr>
      <w:rPr>
        <w:rFonts w:ascii="Wingdings" w:hAnsi="Wingdings" w:hint="default"/>
      </w:rPr>
    </w:lvl>
    <w:lvl w:ilvl="6" w:tplc="0890B836" w:tentative="1">
      <w:start w:val="1"/>
      <w:numFmt w:val="bullet"/>
      <w:lvlText w:val=""/>
      <w:lvlJc w:val="left"/>
      <w:pPr>
        <w:tabs>
          <w:tab w:val="num" w:pos="5040"/>
        </w:tabs>
        <w:ind w:left="5040" w:hanging="360"/>
      </w:pPr>
      <w:rPr>
        <w:rFonts w:ascii="Wingdings" w:hAnsi="Wingdings" w:hint="default"/>
      </w:rPr>
    </w:lvl>
    <w:lvl w:ilvl="7" w:tplc="7AEA0330" w:tentative="1">
      <w:start w:val="1"/>
      <w:numFmt w:val="bullet"/>
      <w:lvlText w:val=""/>
      <w:lvlJc w:val="left"/>
      <w:pPr>
        <w:tabs>
          <w:tab w:val="num" w:pos="5760"/>
        </w:tabs>
        <w:ind w:left="5760" w:hanging="360"/>
      </w:pPr>
      <w:rPr>
        <w:rFonts w:ascii="Wingdings" w:hAnsi="Wingdings" w:hint="default"/>
      </w:rPr>
    </w:lvl>
    <w:lvl w:ilvl="8" w:tplc="B7E41FB0" w:tentative="1">
      <w:start w:val="1"/>
      <w:numFmt w:val="bullet"/>
      <w:lvlText w:val=""/>
      <w:lvlJc w:val="left"/>
      <w:pPr>
        <w:tabs>
          <w:tab w:val="num" w:pos="6480"/>
        </w:tabs>
        <w:ind w:left="6480" w:hanging="360"/>
      </w:pPr>
      <w:rPr>
        <w:rFonts w:ascii="Wingdings" w:hAnsi="Wingdings" w:hint="default"/>
      </w:rPr>
    </w:lvl>
  </w:abstractNum>
  <w:abstractNum w:abstractNumId="9">
    <w:nsid w:val="433931C6"/>
    <w:multiLevelType w:val="hybridMultilevel"/>
    <w:tmpl w:val="6A04A19A"/>
    <w:lvl w:ilvl="0" w:tplc="0240B5FE">
      <w:start w:val="1"/>
      <w:numFmt w:val="bullet"/>
      <w:lvlText w:val="•"/>
      <w:lvlJc w:val="left"/>
      <w:pPr>
        <w:tabs>
          <w:tab w:val="num" w:pos="720"/>
        </w:tabs>
        <w:ind w:left="720" w:hanging="360"/>
      </w:pPr>
      <w:rPr>
        <w:rFonts w:ascii="Arial" w:hAnsi="Arial" w:hint="default"/>
      </w:rPr>
    </w:lvl>
    <w:lvl w:ilvl="1" w:tplc="51E050DA">
      <w:start w:val="1"/>
      <w:numFmt w:val="bullet"/>
      <w:lvlText w:val="•"/>
      <w:lvlJc w:val="left"/>
      <w:pPr>
        <w:tabs>
          <w:tab w:val="num" w:pos="1440"/>
        </w:tabs>
        <w:ind w:left="1440" w:hanging="360"/>
      </w:pPr>
      <w:rPr>
        <w:rFonts w:ascii="Arial" w:hAnsi="Arial" w:hint="default"/>
      </w:rPr>
    </w:lvl>
    <w:lvl w:ilvl="2" w:tplc="254E9AC8" w:tentative="1">
      <w:start w:val="1"/>
      <w:numFmt w:val="bullet"/>
      <w:lvlText w:val="•"/>
      <w:lvlJc w:val="left"/>
      <w:pPr>
        <w:tabs>
          <w:tab w:val="num" w:pos="2160"/>
        </w:tabs>
        <w:ind w:left="2160" w:hanging="360"/>
      </w:pPr>
      <w:rPr>
        <w:rFonts w:ascii="Arial" w:hAnsi="Arial" w:hint="default"/>
      </w:rPr>
    </w:lvl>
    <w:lvl w:ilvl="3" w:tplc="6F2A0F62" w:tentative="1">
      <w:start w:val="1"/>
      <w:numFmt w:val="bullet"/>
      <w:lvlText w:val="•"/>
      <w:lvlJc w:val="left"/>
      <w:pPr>
        <w:tabs>
          <w:tab w:val="num" w:pos="2880"/>
        </w:tabs>
        <w:ind w:left="2880" w:hanging="360"/>
      </w:pPr>
      <w:rPr>
        <w:rFonts w:ascii="Arial" w:hAnsi="Arial" w:hint="default"/>
      </w:rPr>
    </w:lvl>
    <w:lvl w:ilvl="4" w:tplc="97B0C1B0" w:tentative="1">
      <w:start w:val="1"/>
      <w:numFmt w:val="bullet"/>
      <w:lvlText w:val="•"/>
      <w:lvlJc w:val="left"/>
      <w:pPr>
        <w:tabs>
          <w:tab w:val="num" w:pos="3600"/>
        </w:tabs>
        <w:ind w:left="3600" w:hanging="360"/>
      </w:pPr>
      <w:rPr>
        <w:rFonts w:ascii="Arial" w:hAnsi="Arial" w:hint="default"/>
      </w:rPr>
    </w:lvl>
    <w:lvl w:ilvl="5" w:tplc="0F0CA2FC" w:tentative="1">
      <w:start w:val="1"/>
      <w:numFmt w:val="bullet"/>
      <w:lvlText w:val="•"/>
      <w:lvlJc w:val="left"/>
      <w:pPr>
        <w:tabs>
          <w:tab w:val="num" w:pos="4320"/>
        </w:tabs>
        <w:ind w:left="4320" w:hanging="360"/>
      </w:pPr>
      <w:rPr>
        <w:rFonts w:ascii="Arial" w:hAnsi="Arial" w:hint="default"/>
      </w:rPr>
    </w:lvl>
    <w:lvl w:ilvl="6" w:tplc="06D0A986" w:tentative="1">
      <w:start w:val="1"/>
      <w:numFmt w:val="bullet"/>
      <w:lvlText w:val="•"/>
      <w:lvlJc w:val="left"/>
      <w:pPr>
        <w:tabs>
          <w:tab w:val="num" w:pos="5040"/>
        </w:tabs>
        <w:ind w:left="5040" w:hanging="360"/>
      </w:pPr>
      <w:rPr>
        <w:rFonts w:ascii="Arial" w:hAnsi="Arial" w:hint="default"/>
      </w:rPr>
    </w:lvl>
    <w:lvl w:ilvl="7" w:tplc="1854953A" w:tentative="1">
      <w:start w:val="1"/>
      <w:numFmt w:val="bullet"/>
      <w:lvlText w:val="•"/>
      <w:lvlJc w:val="left"/>
      <w:pPr>
        <w:tabs>
          <w:tab w:val="num" w:pos="5760"/>
        </w:tabs>
        <w:ind w:left="5760" w:hanging="360"/>
      </w:pPr>
      <w:rPr>
        <w:rFonts w:ascii="Arial" w:hAnsi="Arial" w:hint="default"/>
      </w:rPr>
    </w:lvl>
    <w:lvl w:ilvl="8" w:tplc="35CE98B2" w:tentative="1">
      <w:start w:val="1"/>
      <w:numFmt w:val="bullet"/>
      <w:lvlText w:val="•"/>
      <w:lvlJc w:val="left"/>
      <w:pPr>
        <w:tabs>
          <w:tab w:val="num" w:pos="6480"/>
        </w:tabs>
        <w:ind w:left="6480" w:hanging="360"/>
      </w:pPr>
      <w:rPr>
        <w:rFonts w:ascii="Arial" w:hAnsi="Arial" w:hint="default"/>
      </w:rPr>
    </w:lvl>
  </w:abstractNum>
  <w:abstractNum w:abstractNumId="1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55EB607A"/>
    <w:multiLevelType w:val="hybridMultilevel"/>
    <w:tmpl w:val="008C7D1E"/>
    <w:lvl w:ilvl="0" w:tplc="805244D6">
      <w:start w:val="1"/>
      <w:numFmt w:val="bullet"/>
      <w:lvlText w:val=""/>
      <w:lvlJc w:val="left"/>
      <w:pPr>
        <w:tabs>
          <w:tab w:val="num" w:pos="720"/>
        </w:tabs>
        <w:ind w:left="720" w:hanging="360"/>
      </w:pPr>
      <w:rPr>
        <w:rFonts w:ascii="Wingdings" w:hAnsi="Wingdings" w:hint="default"/>
      </w:rPr>
    </w:lvl>
    <w:lvl w:ilvl="1" w:tplc="2942469E" w:tentative="1">
      <w:start w:val="1"/>
      <w:numFmt w:val="bullet"/>
      <w:lvlText w:val=""/>
      <w:lvlJc w:val="left"/>
      <w:pPr>
        <w:tabs>
          <w:tab w:val="num" w:pos="1440"/>
        </w:tabs>
        <w:ind w:left="1440" w:hanging="360"/>
      </w:pPr>
      <w:rPr>
        <w:rFonts w:ascii="Wingdings" w:hAnsi="Wingdings" w:hint="default"/>
      </w:rPr>
    </w:lvl>
    <w:lvl w:ilvl="2" w:tplc="84BA31AA" w:tentative="1">
      <w:start w:val="1"/>
      <w:numFmt w:val="bullet"/>
      <w:lvlText w:val=""/>
      <w:lvlJc w:val="left"/>
      <w:pPr>
        <w:tabs>
          <w:tab w:val="num" w:pos="2160"/>
        </w:tabs>
        <w:ind w:left="2160" w:hanging="360"/>
      </w:pPr>
      <w:rPr>
        <w:rFonts w:ascii="Wingdings" w:hAnsi="Wingdings" w:hint="default"/>
      </w:rPr>
    </w:lvl>
    <w:lvl w:ilvl="3" w:tplc="C890D55C" w:tentative="1">
      <w:start w:val="1"/>
      <w:numFmt w:val="bullet"/>
      <w:lvlText w:val=""/>
      <w:lvlJc w:val="left"/>
      <w:pPr>
        <w:tabs>
          <w:tab w:val="num" w:pos="2880"/>
        </w:tabs>
        <w:ind w:left="2880" w:hanging="360"/>
      </w:pPr>
      <w:rPr>
        <w:rFonts w:ascii="Wingdings" w:hAnsi="Wingdings" w:hint="default"/>
      </w:rPr>
    </w:lvl>
    <w:lvl w:ilvl="4" w:tplc="A31016D4" w:tentative="1">
      <w:start w:val="1"/>
      <w:numFmt w:val="bullet"/>
      <w:lvlText w:val=""/>
      <w:lvlJc w:val="left"/>
      <w:pPr>
        <w:tabs>
          <w:tab w:val="num" w:pos="3600"/>
        </w:tabs>
        <w:ind w:left="3600" w:hanging="360"/>
      </w:pPr>
      <w:rPr>
        <w:rFonts w:ascii="Wingdings" w:hAnsi="Wingdings" w:hint="default"/>
      </w:rPr>
    </w:lvl>
    <w:lvl w:ilvl="5" w:tplc="3EC478CC" w:tentative="1">
      <w:start w:val="1"/>
      <w:numFmt w:val="bullet"/>
      <w:lvlText w:val=""/>
      <w:lvlJc w:val="left"/>
      <w:pPr>
        <w:tabs>
          <w:tab w:val="num" w:pos="4320"/>
        </w:tabs>
        <w:ind w:left="4320" w:hanging="360"/>
      </w:pPr>
      <w:rPr>
        <w:rFonts w:ascii="Wingdings" w:hAnsi="Wingdings" w:hint="default"/>
      </w:rPr>
    </w:lvl>
    <w:lvl w:ilvl="6" w:tplc="B762E07E" w:tentative="1">
      <w:start w:val="1"/>
      <w:numFmt w:val="bullet"/>
      <w:lvlText w:val=""/>
      <w:lvlJc w:val="left"/>
      <w:pPr>
        <w:tabs>
          <w:tab w:val="num" w:pos="5040"/>
        </w:tabs>
        <w:ind w:left="5040" w:hanging="360"/>
      </w:pPr>
      <w:rPr>
        <w:rFonts w:ascii="Wingdings" w:hAnsi="Wingdings" w:hint="default"/>
      </w:rPr>
    </w:lvl>
    <w:lvl w:ilvl="7" w:tplc="FADA17E0" w:tentative="1">
      <w:start w:val="1"/>
      <w:numFmt w:val="bullet"/>
      <w:lvlText w:val=""/>
      <w:lvlJc w:val="left"/>
      <w:pPr>
        <w:tabs>
          <w:tab w:val="num" w:pos="5760"/>
        </w:tabs>
        <w:ind w:left="5760" w:hanging="360"/>
      </w:pPr>
      <w:rPr>
        <w:rFonts w:ascii="Wingdings" w:hAnsi="Wingdings" w:hint="default"/>
      </w:rPr>
    </w:lvl>
    <w:lvl w:ilvl="8" w:tplc="4238DC32" w:tentative="1">
      <w:start w:val="1"/>
      <w:numFmt w:val="bullet"/>
      <w:lvlText w:val=""/>
      <w:lvlJc w:val="left"/>
      <w:pPr>
        <w:tabs>
          <w:tab w:val="num" w:pos="6480"/>
        </w:tabs>
        <w:ind w:left="6480" w:hanging="360"/>
      </w:pPr>
      <w:rPr>
        <w:rFonts w:ascii="Wingdings" w:hAnsi="Wingdings" w:hint="default"/>
      </w:rPr>
    </w:lvl>
  </w:abstractNum>
  <w:abstractNum w:abstractNumId="13">
    <w:nsid w:val="58C6751D"/>
    <w:multiLevelType w:val="hybridMultilevel"/>
    <w:tmpl w:val="68B2163E"/>
    <w:lvl w:ilvl="0" w:tplc="C38E91A6">
      <w:start w:val="1"/>
      <w:numFmt w:val="bullet"/>
      <w:lvlText w:val=""/>
      <w:lvlJc w:val="left"/>
      <w:pPr>
        <w:tabs>
          <w:tab w:val="num" w:pos="720"/>
        </w:tabs>
        <w:ind w:left="720" w:hanging="360"/>
      </w:pPr>
      <w:rPr>
        <w:rFonts w:ascii="Wingdings" w:hAnsi="Wingdings" w:hint="default"/>
      </w:rPr>
    </w:lvl>
    <w:lvl w:ilvl="1" w:tplc="F604A324" w:tentative="1">
      <w:start w:val="1"/>
      <w:numFmt w:val="bullet"/>
      <w:lvlText w:val=""/>
      <w:lvlJc w:val="left"/>
      <w:pPr>
        <w:tabs>
          <w:tab w:val="num" w:pos="1440"/>
        </w:tabs>
        <w:ind w:left="1440" w:hanging="360"/>
      </w:pPr>
      <w:rPr>
        <w:rFonts w:ascii="Wingdings" w:hAnsi="Wingdings" w:hint="default"/>
      </w:rPr>
    </w:lvl>
    <w:lvl w:ilvl="2" w:tplc="4C8AB27C" w:tentative="1">
      <w:start w:val="1"/>
      <w:numFmt w:val="bullet"/>
      <w:lvlText w:val=""/>
      <w:lvlJc w:val="left"/>
      <w:pPr>
        <w:tabs>
          <w:tab w:val="num" w:pos="2160"/>
        </w:tabs>
        <w:ind w:left="2160" w:hanging="360"/>
      </w:pPr>
      <w:rPr>
        <w:rFonts w:ascii="Wingdings" w:hAnsi="Wingdings" w:hint="default"/>
      </w:rPr>
    </w:lvl>
    <w:lvl w:ilvl="3" w:tplc="D0BAE506" w:tentative="1">
      <w:start w:val="1"/>
      <w:numFmt w:val="bullet"/>
      <w:lvlText w:val=""/>
      <w:lvlJc w:val="left"/>
      <w:pPr>
        <w:tabs>
          <w:tab w:val="num" w:pos="2880"/>
        </w:tabs>
        <w:ind w:left="2880" w:hanging="360"/>
      </w:pPr>
      <w:rPr>
        <w:rFonts w:ascii="Wingdings" w:hAnsi="Wingdings" w:hint="default"/>
      </w:rPr>
    </w:lvl>
    <w:lvl w:ilvl="4" w:tplc="9F68F22C" w:tentative="1">
      <w:start w:val="1"/>
      <w:numFmt w:val="bullet"/>
      <w:lvlText w:val=""/>
      <w:lvlJc w:val="left"/>
      <w:pPr>
        <w:tabs>
          <w:tab w:val="num" w:pos="3600"/>
        </w:tabs>
        <w:ind w:left="3600" w:hanging="360"/>
      </w:pPr>
      <w:rPr>
        <w:rFonts w:ascii="Wingdings" w:hAnsi="Wingdings" w:hint="default"/>
      </w:rPr>
    </w:lvl>
    <w:lvl w:ilvl="5" w:tplc="289C512E" w:tentative="1">
      <w:start w:val="1"/>
      <w:numFmt w:val="bullet"/>
      <w:lvlText w:val=""/>
      <w:lvlJc w:val="left"/>
      <w:pPr>
        <w:tabs>
          <w:tab w:val="num" w:pos="4320"/>
        </w:tabs>
        <w:ind w:left="4320" w:hanging="360"/>
      </w:pPr>
      <w:rPr>
        <w:rFonts w:ascii="Wingdings" w:hAnsi="Wingdings" w:hint="default"/>
      </w:rPr>
    </w:lvl>
    <w:lvl w:ilvl="6" w:tplc="C882A8C6" w:tentative="1">
      <w:start w:val="1"/>
      <w:numFmt w:val="bullet"/>
      <w:lvlText w:val=""/>
      <w:lvlJc w:val="left"/>
      <w:pPr>
        <w:tabs>
          <w:tab w:val="num" w:pos="5040"/>
        </w:tabs>
        <w:ind w:left="5040" w:hanging="360"/>
      </w:pPr>
      <w:rPr>
        <w:rFonts w:ascii="Wingdings" w:hAnsi="Wingdings" w:hint="default"/>
      </w:rPr>
    </w:lvl>
    <w:lvl w:ilvl="7" w:tplc="5BD462D6" w:tentative="1">
      <w:start w:val="1"/>
      <w:numFmt w:val="bullet"/>
      <w:lvlText w:val=""/>
      <w:lvlJc w:val="left"/>
      <w:pPr>
        <w:tabs>
          <w:tab w:val="num" w:pos="5760"/>
        </w:tabs>
        <w:ind w:left="5760" w:hanging="360"/>
      </w:pPr>
      <w:rPr>
        <w:rFonts w:ascii="Wingdings" w:hAnsi="Wingdings" w:hint="default"/>
      </w:rPr>
    </w:lvl>
    <w:lvl w:ilvl="8" w:tplc="39A01DA4" w:tentative="1">
      <w:start w:val="1"/>
      <w:numFmt w:val="bullet"/>
      <w:lvlText w:val=""/>
      <w:lvlJc w:val="left"/>
      <w:pPr>
        <w:tabs>
          <w:tab w:val="num" w:pos="6480"/>
        </w:tabs>
        <w:ind w:left="6480" w:hanging="360"/>
      </w:pPr>
      <w:rPr>
        <w:rFonts w:ascii="Wingdings" w:hAnsi="Wingdings" w:hint="default"/>
      </w:rPr>
    </w:lvl>
  </w:abstractNum>
  <w:abstractNum w:abstractNumId="14">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452BDF"/>
    <w:multiLevelType w:val="hybridMultilevel"/>
    <w:tmpl w:val="F05818E0"/>
    <w:lvl w:ilvl="0" w:tplc="A7C83AA4">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DDB1134"/>
    <w:multiLevelType w:val="hybridMultilevel"/>
    <w:tmpl w:val="77427B48"/>
    <w:lvl w:ilvl="0" w:tplc="EB90B0BE">
      <w:start w:val="1"/>
      <w:numFmt w:val="bullet"/>
      <w:lvlText w:val=""/>
      <w:lvlJc w:val="left"/>
      <w:pPr>
        <w:tabs>
          <w:tab w:val="num" w:pos="720"/>
        </w:tabs>
        <w:ind w:left="720" w:hanging="360"/>
      </w:pPr>
      <w:rPr>
        <w:rFonts w:ascii="Wingdings" w:hAnsi="Wingdings" w:hint="default"/>
      </w:rPr>
    </w:lvl>
    <w:lvl w:ilvl="1" w:tplc="0782851C" w:tentative="1">
      <w:start w:val="1"/>
      <w:numFmt w:val="bullet"/>
      <w:lvlText w:val=""/>
      <w:lvlJc w:val="left"/>
      <w:pPr>
        <w:tabs>
          <w:tab w:val="num" w:pos="1440"/>
        </w:tabs>
        <w:ind w:left="1440" w:hanging="360"/>
      </w:pPr>
      <w:rPr>
        <w:rFonts w:ascii="Wingdings" w:hAnsi="Wingdings" w:hint="default"/>
      </w:rPr>
    </w:lvl>
    <w:lvl w:ilvl="2" w:tplc="28ACC684" w:tentative="1">
      <w:start w:val="1"/>
      <w:numFmt w:val="bullet"/>
      <w:lvlText w:val=""/>
      <w:lvlJc w:val="left"/>
      <w:pPr>
        <w:tabs>
          <w:tab w:val="num" w:pos="2160"/>
        </w:tabs>
        <w:ind w:left="2160" w:hanging="360"/>
      </w:pPr>
      <w:rPr>
        <w:rFonts w:ascii="Wingdings" w:hAnsi="Wingdings" w:hint="default"/>
      </w:rPr>
    </w:lvl>
    <w:lvl w:ilvl="3" w:tplc="586A2D70" w:tentative="1">
      <w:start w:val="1"/>
      <w:numFmt w:val="bullet"/>
      <w:lvlText w:val=""/>
      <w:lvlJc w:val="left"/>
      <w:pPr>
        <w:tabs>
          <w:tab w:val="num" w:pos="2880"/>
        </w:tabs>
        <w:ind w:left="2880" w:hanging="360"/>
      </w:pPr>
      <w:rPr>
        <w:rFonts w:ascii="Wingdings" w:hAnsi="Wingdings" w:hint="default"/>
      </w:rPr>
    </w:lvl>
    <w:lvl w:ilvl="4" w:tplc="7730D13C" w:tentative="1">
      <w:start w:val="1"/>
      <w:numFmt w:val="bullet"/>
      <w:lvlText w:val=""/>
      <w:lvlJc w:val="left"/>
      <w:pPr>
        <w:tabs>
          <w:tab w:val="num" w:pos="3600"/>
        </w:tabs>
        <w:ind w:left="3600" w:hanging="360"/>
      </w:pPr>
      <w:rPr>
        <w:rFonts w:ascii="Wingdings" w:hAnsi="Wingdings" w:hint="default"/>
      </w:rPr>
    </w:lvl>
    <w:lvl w:ilvl="5" w:tplc="96D27DCA" w:tentative="1">
      <w:start w:val="1"/>
      <w:numFmt w:val="bullet"/>
      <w:lvlText w:val=""/>
      <w:lvlJc w:val="left"/>
      <w:pPr>
        <w:tabs>
          <w:tab w:val="num" w:pos="4320"/>
        </w:tabs>
        <w:ind w:left="4320" w:hanging="360"/>
      </w:pPr>
      <w:rPr>
        <w:rFonts w:ascii="Wingdings" w:hAnsi="Wingdings" w:hint="default"/>
      </w:rPr>
    </w:lvl>
    <w:lvl w:ilvl="6" w:tplc="3984E734" w:tentative="1">
      <w:start w:val="1"/>
      <w:numFmt w:val="bullet"/>
      <w:lvlText w:val=""/>
      <w:lvlJc w:val="left"/>
      <w:pPr>
        <w:tabs>
          <w:tab w:val="num" w:pos="5040"/>
        </w:tabs>
        <w:ind w:left="5040" w:hanging="360"/>
      </w:pPr>
      <w:rPr>
        <w:rFonts w:ascii="Wingdings" w:hAnsi="Wingdings" w:hint="default"/>
      </w:rPr>
    </w:lvl>
    <w:lvl w:ilvl="7" w:tplc="35626576" w:tentative="1">
      <w:start w:val="1"/>
      <w:numFmt w:val="bullet"/>
      <w:lvlText w:val=""/>
      <w:lvlJc w:val="left"/>
      <w:pPr>
        <w:tabs>
          <w:tab w:val="num" w:pos="5760"/>
        </w:tabs>
        <w:ind w:left="5760" w:hanging="360"/>
      </w:pPr>
      <w:rPr>
        <w:rFonts w:ascii="Wingdings" w:hAnsi="Wingdings" w:hint="default"/>
      </w:rPr>
    </w:lvl>
    <w:lvl w:ilvl="8" w:tplc="F220419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17"/>
  </w:num>
  <w:num w:numId="4">
    <w:abstractNumId w:val="2"/>
  </w:num>
  <w:num w:numId="5">
    <w:abstractNumId w:val="11"/>
  </w:num>
  <w:num w:numId="6">
    <w:abstractNumId w:val="15"/>
  </w:num>
  <w:num w:numId="7">
    <w:abstractNumId w:val="14"/>
  </w:num>
  <w:num w:numId="8">
    <w:abstractNumId w:val="12"/>
  </w:num>
  <w:num w:numId="9">
    <w:abstractNumId w:val="18"/>
  </w:num>
  <w:num w:numId="10">
    <w:abstractNumId w:val="8"/>
  </w:num>
  <w:num w:numId="11">
    <w:abstractNumId w:val="0"/>
  </w:num>
  <w:num w:numId="12">
    <w:abstractNumId w:val="13"/>
  </w:num>
  <w:num w:numId="13">
    <w:abstractNumId w:val="3"/>
  </w:num>
  <w:num w:numId="14">
    <w:abstractNumId w:val="6"/>
  </w:num>
  <w:num w:numId="15">
    <w:abstractNumId w:val="16"/>
  </w:num>
  <w:num w:numId="16">
    <w:abstractNumId w:val="1"/>
  </w:num>
  <w:num w:numId="17">
    <w:abstractNumId w:val="4"/>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kAnnotations="0"/>
  <w:documentProtection w:edit="readOnly" w:enforcement="1" w:cryptProviderType="rsaFull" w:cryptAlgorithmClass="hash" w:cryptAlgorithmType="typeAny" w:cryptAlgorithmSid="4" w:cryptSpinCount="100000" w:hash="2BVeeEjuOGJgj6RbSpW5pWJ5o8E=" w:salt="l+Ffkz+2+q/SoC4hKcWrE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5FE"/>
    <w:rsid w:val="00011F78"/>
    <w:rsid w:val="00022DB6"/>
    <w:rsid w:val="0004102E"/>
    <w:rsid w:val="00041864"/>
    <w:rsid w:val="00044CFB"/>
    <w:rsid w:val="0004776A"/>
    <w:rsid w:val="000833EF"/>
    <w:rsid w:val="00092B81"/>
    <w:rsid w:val="0009692B"/>
    <w:rsid w:val="000A0C1B"/>
    <w:rsid w:val="000B1468"/>
    <w:rsid w:val="000C06A0"/>
    <w:rsid w:val="000F43AE"/>
    <w:rsid w:val="000F4E59"/>
    <w:rsid w:val="000F688D"/>
    <w:rsid w:val="001063B7"/>
    <w:rsid w:val="00116F59"/>
    <w:rsid w:val="001362FD"/>
    <w:rsid w:val="001366BB"/>
    <w:rsid w:val="00137259"/>
    <w:rsid w:val="001372F2"/>
    <w:rsid w:val="001420B1"/>
    <w:rsid w:val="0014361D"/>
    <w:rsid w:val="00153F85"/>
    <w:rsid w:val="001610B2"/>
    <w:rsid w:val="00165747"/>
    <w:rsid w:val="00175C28"/>
    <w:rsid w:val="00180A06"/>
    <w:rsid w:val="00182783"/>
    <w:rsid w:val="00195F8E"/>
    <w:rsid w:val="001A54FA"/>
    <w:rsid w:val="001B05C8"/>
    <w:rsid w:val="001B6DF9"/>
    <w:rsid w:val="001C2D3C"/>
    <w:rsid w:val="001D55BC"/>
    <w:rsid w:val="001D7FB3"/>
    <w:rsid w:val="001E50C3"/>
    <w:rsid w:val="001F4527"/>
    <w:rsid w:val="002009C2"/>
    <w:rsid w:val="00211C37"/>
    <w:rsid w:val="00212D24"/>
    <w:rsid w:val="00216CB0"/>
    <w:rsid w:val="00217581"/>
    <w:rsid w:val="00225EBE"/>
    <w:rsid w:val="002335B0"/>
    <w:rsid w:val="002338A1"/>
    <w:rsid w:val="00234F15"/>
    <w:rsid w:val="00256380"/>
    <w:rsid w:val="0026223E"/>
    <w:rsid w:val="00266064"/>
    <w:rsid w:val="00273493"/>
    <w:rsid w:val="0027611C"/>
    <w:rsid w:val="002840D0"/>
    <w:rsid w:val="00295EFC"/>
    <w:rsid w:val="002B00DA"/>
    <w:rsid w:val="002B651E"/>
    <w:rsid w:val="002D2A7A"/>
    <w:rsid w:val="002E28FA"/>
    <w:rsid w:val="002F0D4F"/>
    <w:rsid w:val="00302A0E"/>
    <w:rsid w:val="00310708"/>
    <w:rsid w:val="00312BD3"/>
    <w:rsid w:val="003222A6"/>
    <w:rsid w:val="00347A3B"/>
    <w:rsid w:val="00354B0F"/>
    <w:rsid w:val="00367EEB"/>
    <w:rsid w:val="00370895"/>
    <w:rsid w:val="003712C2"/>
    <w:rsid w:val="00392AE9"/>
    <w:rsid w:val="003A0000"/>
    <w:rsid w:val="003B3F52"/>
    <w:rsid w:val="003B78F9"/>
    <w:rsid w:val="003D74A2"/>
    <w:rsid w:val="003D7A13"/>
    <w:rsid w:val="003E1B86"/>
    <w:rsid w:val="00400B4C"/>
    <w:rsid w:val="0040142A"/>
    <w:rsid w:val="00402829"/>
    <w:rsid w:val="00430DC5"/>
    <w:rsid w:val="00440B25"/>
    <w:rsid w:val="0044303E"/>
    <w:rsid w:val="00444DEB"/>
    <w:rsid w:val="00450D89"/>
    <w:rsid w:val="004533A7"/>
    <w:rsid w:val="0045433D"/>
    <w:rsid w:val="00460505"/>
    <w:rsid w:val="00463122"/>
    <w:rsid w:val="00480E77"/>
    <w:rsid w:val="00484C39"/>
    <w:rsid w:val="00494F0A"/>
    <w:rsid w:val="004955D9"/>
    <w:rsid w:val="00495B2F"/>
    <w:rsid w:val="004A41A2"/>
    <w:rsid w:val="004B5643"/>
    <w:rsid w:val="004E633C"/>
    <w:rsid w:val="00511C80"/>
    <w:rsid w:val="00511CA5"/>
    <w:rsid w:val="005150CE"/>
    <w:rsid w:val="00522C40"/>
    <w:rsid w:val="00530814"/>
    <w:rsid w:val="00545301"/>
    <w:rsid w:val="00546D75"/>
    <w:rsid w:val="0056050E"/>
    <w:rsid w:val="00565333"/>
    <w:rsid w:val="00582BF7"/>
    <w:rsid w:val="00586042"/>
    <w:rsid w:val="00591B39"/>
    <w:rsid w:val="005935FE"/>
    <w:rsid w:val="005A1779"/>
    <w:rsid w:val="005B1CC3"/>
    <w:rsid w:val="005B5A07"/>
    <w:rsid w:val="005C1372"/>
    <w:rsid w:val="005F5E08"/>
    <w:rsid w:val="00607A4B"/>
    <w:rsid w:val="0062704E"/>
    <w:rsid w:val="00634682"/>
    <w:rsid w:val="0063507E"/>
    <w:rsid w:val="006363E9"/>
    <w:rsid w:val="00654828"/>
    <w:rsid w:val="0066583A"/>
    <w:rsid w:val="006812D9"/>
    <w:rsid w:val="00684782"/>
    <w:rsid w:val="006858D6"/>
    <w:rsid w:val="006872B4"/>
    <w:rsid w:val="00687908"/>
    <w:rsid w:val="0069047F"/>
    <w:rsid w:val="006A0189"/>
    <w:rsid w:val="006A1127"/>
    <w:rsid w:val="006A2F72"/>
    <w:rsid w:val="006A3278"/>
    <w:rsid w:val="006B55BB"/>
    <w:rsid w:val="006D3EBD"/>
    <w:rsid w:val="006D6027"/>
    <w:rsid w:val="006E6F0B"/>
    <w:rsid w:val="007104E4"/>
    <w:rsid w:val="007442BB"/>
    <w:rsid w:val="00745F92"/>
    <w:rsid w:val="007463C5"/>
    <w:rsid w:val="00746846"/>
    <w:rsid w:val="007501D2"/>
    <w:rsid w:val="007510C3"/>
    <w:rsid w:val="0076458E"/>
    <w:rsid w:val="00767063"/>
    <w:rsid w:val="007940AE"/>
    <w:rsid w:val="0079500F"/>
    <w:rsid w:val="007A10F9"/>
    <w:rsid w:val="007A4C02"/>
    <w:rsid w:val="007B49CD"/>
    <w:rsid w:val="007B593B"/>
    <w:rsid w:val="007B5A46"/>
    <w:rsid w:val="007B5B46"/>
    <w:rsid w:val="007C1BC2"/>
    <w:rsid w:val="007D0DBA"/>
    <w:rsid w:val="007D4DB0"/>
    <w:rsid w:val="007D5CB6"/>
    <w:rsid w:val="007E37C9"/>
    <w:rsid w:val="007F073B"/>
    <w:rsid w:val="00802EB7"/>
    <w:rsid w:val="00805C72"/>
    <w:rsid w:val="00831225"/>
    <w:rsid w:val="008411EA"/>
    <w:rsid w:val="008428AB"/>
    <w:rsid w:val="00863664"/>
    <w:rsid w:val="0088151C"/>
    <w:rsid w:val="008817AB"/>
    <w:rsid w:val="008843A4"/>
    <w:rsid w:val="008B1C49"/>
    <w:rsid w:val="008B67CC"/>
    <w:rsid w:val="008D1228"/>
    <w:rsid w:val="008E0007"/>
    <w:rsid w:val="008E3BDA"/>
    <w:rsid w:val="008F452F"/>
    <w:rsid w:val="00902A8E"/>
    <w:rsid w:val="00905ADC"/>
    <w:rsid w:val="00906C33"/>
    <w:rsid w:val="009173AF"/>
    <w:rsid w:val="00932946"/>
    <w:rsid w:val="009424FA"/>
    <w:rsid w:val="009426CB"/>
    <w:rsid w:val="00962FD4"/>
    <w:rsid w:val="00963073"/>
    <w:rsid w:val="00970ED4"/>
    <w:rsid w:val="0097315A"/>
    <w:rsid w:val="00974DA5"/>
    <w:rsid w:val="00995F53"/>
    <w:rsid w:val="009A198B"/>
    <w:rsid w:val="009A3F0A"/>
    <w:rsid w:val="009B3EFE"/>
    <w:rsid w:val="009B493A"/>
    <w:rsid w:val="009D3D73"/>
    <w:rsid w:val="009E73AD"/>
    <w:rsid w:val="009F5357"/>
    <w:rsid w:val="009F54D3"/>
    <w:rsid w:val="009F7653"/>
    <w:rsid w:val="00A00569"/>
    <w:rsid w:val="00A136AF"/>
    <w:rsid w:val="00A21E85"/>
    <w:rsid w:val="00A2712A"/>
    <w:rsid w:val="00A3306B"/>
    <w:rsid w:val="00A36044"/>
    <w:rsid w:val="00A366A9"/>
    <w:rsid w:val="00A422A0"/>
    <w:rsid w:val="00A46912"/>
    <w:rsid w:val="00A47ACD"/>
    <w:rsid w:val="00A5043A"/>
    <w:rsid w:val="00A64099"/>
    <w:rsid w:val="00A6626C"/>
    <w:rsid w:val="00A84A82"/>
    <w:rsid w:val="00A96425"/>
    <w:rsid w:val="00AA491C"/>
    <w:rsid w:val="00AB6016"/>
    <w:rsid w:val="00AC2A37"/>
    <w:rsid w:val="00AD0978"/>
    <w:rsid w:val="00AD0E50"/>
    <w:rsid w:val="00AD632D"/>
    <w:rsid w:val="00AF0554"/>
    <w:rsid w:val="00AF1C07"/>
    <w:rsid w:val="00AF737F"/>
    <w:rsid w:val="00B00563"/>
    <w:rsid w:val="00B006DF"/>
    <w:rsid w:val="00B03301"/>
    <w:rsid w:val="00B05ECD"/>
    <w:rsid w:val="00B06172"/>
    <w:rsid w:val="00B16A24"/>
    <w:rsid w:val="00B16A8C"/>
    <w:rsid w:val="00B27400"/>
    <w:rsid w:val="00B275C1"/>
    <w:rsid w:val="00B6522B"/>
    <w:rsid w:val="00B65709"/>
    <w:rsid w:val="00B67DF2"/>
    <w:rsid w:val="00B85BF7"/>
    <w:rsid w:val="00B939CC"/>
    <w:rsid w:val="00BB2E63"/>
    <w:rsid w:val="00BC547B"/>
    <w:rsid w:val="00BD2B77"/>
    <w:rsid w:val="00BD4B6C"/>
    <w:rsid w:val="00BE4D0A"/>
    <w:rsid w:val="00BF703C"/>
    <w:rsid w:val="00C21C74"/>
    <w:rsid w:val="00C32019"/>
    <w:rsid w:val="00C37933"/>
    <w:rsid w:val="00C408C7"/>
    <w:rsid w:val="00C43964"/>
    <w:rsid w:val="00C47EEA"/>
    <w:rsid w:val="00C519D0"/>
    <w:rsid w:val="00C53A8E"/>
    <w:rsid w:val="00C6370B"/>
    <w:rsid w:val="00C64D46"/>
    <w:rsid w:val="00C70ACB"/>
    <w:rsid w:val="00C86034"/>
    <w:rsid w:val="00C92573"/>
    <w:rsid w:val="00CA4FEC"/>
    <w:rsid w:val="00CB7F53"/>
    <w:rsid w:val="00CD7921"/>
    <w:rsid w:val="00CE084B"/>
    <w:rsid w:val="00CE232E"/>
    <w:rsid w:val="00CE5046"/>
    <w:rsid w:val="00D02D57"/>
    <w:rsid w:val="00D118D6"/>
    <w:rsid w:val="00D20266"/>
    <w:rsid w:val="00D20C29"/>
    <w:rsid w:val="00D33842"/>
    <w:rsid w:val="00D4016E"/>
    <w:rsid w:val="00D47915"/>
    <w:rsid w:val="00D57D6E"/>
    <w:rsid w:val="00D61F5A"/>
    <w:rsid w:val="00D656C2"/>
    <w:rsid w:val="00D8440C"/>
    <w:rsid w:val="00DA06BC"/>
    <w:rsid w:val="00DB4C12"/>
    <w:rsid w:val="00DB50AD"/>
    <w:rsid w:val="00DE20A7"/>
    <w:rsid w:val="00DE6A29"/>
    <w:rsid w:val="00E0081E"/>
    <w:rsid w:val="00E02094"/>
    <w:rsid w:val="00E10F4C"/>
    <w:rsid w:val="00E12618"/>
    <w:rsid w:val="00E224E2"/>
    <w:rsid w:val="00E2419F"/>
    <w:rsid w:val="00E2707B"/>
    <w:rsid w:val="00E366D6"/>
    <w:rsid w:val="00E371D3"/>
    <w:rsid w:val="00E63D8B"/>
    <w:rsid w:val="00E6720D"/>
    <w:rsid w:val="00E711FD"/>
    <w:rsid w:val="00E81F4B"/>
    <w:rsid w:val="00EA11BE"/>
    <w:rsid w:val="00EB15F7"/>
    <w:rsid w:val="00EC4BB0"/>
    <w:rsid w:val="00EC644A"/>
    <w:rsid w:val="00EC6A3F"/>
    <w:rsid w:val="00EC7FEA"/>
    <w:rsid w:val="00F012A7"/>
    <w:rsid w:val="00F12C06"/>
    <w:rsid w:val="00F13537"/>
    <w:rsid w:val="00F1700E"/>
    <w:rsid w:val="00F30554"/>
    <w:rsid w:val="00F348D2"/>
    <w:rsid w:val="00F4485F"/>
    <w:rsid w:val="00F44B6A"/>
    <w:rsid w:val="00F521C7"/>
    <w:rsid w:val="00F60BF8"/>
    <w:rsid w:val="00F64863"/>
    <w:rsid w:val="00F95149"/>
    <w:rsid w:val="00F960C1"/>
    <w:rsid w:val="00FA0331"/>
    <w:rsid w:val="00FC049C"/>
    <w:rsid w:val="00FC1C0E"/>
    <w:rsid w:val="00FC5ED8"/>
    <w:rsid w:val="00FD1074"/>
    <w:rsid w:val="00FD6209"/>
    <w:rsid w:val="00FE1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D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5FE"/>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customStyle="1" w:styleId="FooterChar">
    <w:name w:val="Footer Char"/>
    <w:basedOn w:val="DefaultParagraphFont"/>
    <w:link w:val="Footer"/>
    <w:uiPriority w:val="99"/>
    <w:rsid w:val="005935FE"/>
    <w:rPr>
      <w:rFonts w:ascii="Arial" w:hAnsi="Arial"/>
      <w:sz w:val="24"/>
      <w:lang w:eastAsia="en-US"/>
    </w:rPr>
  </w:style>
  <w:style w:type="character" w:customStyle="1" w:styleId="HeaderChar">
    <w:name w:val="Header Char"/>
    <w:basedOn w:val="DefaultParagraphFont"/>
    <w:link w:val="Header"/>
    <w:uiPriority w:val="99"/>
    <w:rsid w:val="005935FE"/>
    <w:rPr>
      <w:rFonts w:ascii="Arial" w:hAnsi="Arial"/>
      <w:sz w:val="24"/>
      <w:lang w:eastAsia="en-US"/>
    </w:rPr>
  </w:style>
  <w:style w:type="table" w:styleId="TableGrid">
    <w:name w:val="Table Grid"/>
    <w:basedOn w:val="TableNormal"/>
    <w:rsid w:val="00593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5FE"/>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3712C2"/>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uiPriority w:val="99"/>
    <w:semiHidden/>
    <w:rsid w:val="00D8440C"/>
    <w:rPr>
      <w:rFonts w:ascii="Arial" w:hAnsi="Arial"/>
      <w:sz w:val="24"/>
      <w:lang w:eastAsia="en-US"/>
    </w:rPr>
  </w:style>
  <w:style w:type="paragraph" w:styleId="BalloonText">
    <w:name w:val="Balloon Text"/>
    <w:basedOn w:val="Normal"/>
    <w:link w:val="BalloonTextChar"/>
    <w:rsid w:val="00D8440C"/>
    <w:rPr>
      <w:rFonts w:ascii="Tahoma" w:hAnsi="Tahoma" w:cs="Tahoma"/>
      <w:sz w:val="16"/>
      <w:szCs w:val="16"/>
    </w:rPr>
  </w:style>
  <w:style w:type="character" w:customStyle="1" w:styleId="BalloonTextChar">
    <w:name w:val="Balloon Text Char"/>
    <w:basedOn w:val="DefaultParagraphFont"/>
    <w:link w:val="BalloonText"/>
    <w:rsid w:val="00D8440C"/>
    <w:rPr>
      <w:rFonts w:ascii="Tahoma" w:hAnsi="Tahoma" w:cs="Tahoma"/>
      <w:sz w:val="16"/>
      <w:szCs w:val="16"/>
      <w:lang w:eastAsia="en-US"/>
    </w:rPr>
  </w:style>
  <w:style w:type="character" w:styleId="CommentReference">
    <w:name w:val="annotation reference"/>
    <w:basedOn w:val="DefaultParagraphFont"/>
    <w:rsid w:val="00495B2F"/>
    <w:rPr>
      <w:sz w:val="16"/>
      <w:szCs w:val="16"/>
    </w:rPr>
  </w:style>
  <w:style w:type="paragraph" w:styleId="CommentText">
    <w:name w:val="annotation text"/>
    <w:basedOn w:val="Normal"/>
    <w:link w:val="CommentTextChar"/>
    <w:rsid w:val="00495B2F"/>
    <w:rPr>
      <w:sz w:val="20"/>
    </w:rPr>
  </w:style>
  <w:style w:type="character" w:customStyle="1" w:styleId="CommentTextChar">
    <w:name w:val="Comment Text Char"/>
    <w:basedOn w:val="DefaultParagraphFont"/>
    <w:link w:val="CommentText"/>
    <w:rsid w:val="00495B2F"/>
    <w:rPr>
      <w:rFonts w:ascii="Arial" w:hAnsi="Arial"/>
      <w:lang w:eastAsia="en-US"/>
    </w:rPr>
  </w:style>
  <w:style w:type="paragraph" w:styleId="CommentSubject">
    <w:name w:val="annotation subject"/>
    <w:basedOn w:val="CommentText"/>
    <w:next w:val="CommentText"/>
    <w:link w:val="CommentSubjectChar"/>
    <w:rsid w:val="00495B2F"/>
    <w:rPr>
      <w:b/>
      <w:bCs/>
    </w:rPr>
  </w:style>
  <w:style w:type="character" w:customStyle="1" w:styleId="CommentSubjectChar">
    <w:name w:val="Comment Subject Char"/>
    <w:basedOn w:val="CommentTextChar"/>
    <w:link w:val="CommentSubject"/>
    <w:rsid w:val="00495B2F"/>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5FE"/>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customStyle="1" w:styleId="FooterChar">
    <w:name w:val="Footer Char"/>
    <w:basedOn w:val="DefaultParagraphFont"/>
    <w:link w:val="Footer"/>
    <w:uiPriority w:val="99"/>
    <w:rsid w:val="005935FE"/>
    <w:rPr>
      <w:rFonts w:ascii="Arial" w:hAnsi="Arial"/>
      <w:sz w:val="24"/>
      <w:lang w:eastAsia="en-US"/>
    </w:rPr>
  </w:style>
  <w:style w:type="character" w:customStyle="1" w:styleId="HeaderChar">
    <w:name w:val="Header Char"/>
    <w:basedOn w:val="DefaultParagraphFont"/>
    <w:link w:val="Header"/>
    <w:uiPriority w:val="99"/>
    <w:rsid w:val="005935FE"/>
    <w:rPr>
      <w:rFonts w:ascii="Arial" w:hAnsi="Arial"/>
      <w:sz w:val="24"/>
      <w:lang w:eastAsia="en-US"/>
    </w:rPr>
  </w:style>
  <w:style w:type="table" w:styleId="TableGrid">
    <w:name w:val="Table Grid"/>
    <w:basedOn w:val="TableNormal"/>
    <w:rsid w:val="00593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5FE"/>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3712C2"/>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uiPriority w:val="99"/>
    <w:semiHidden/>
    <w:rsid w:val="00D8440C"/>
    <w:rPr>
      <w:rFonts w:ascii="Arial" w:hAnsi="Arial"/>
      <w:sz w:val="24"/>
      <w:lang w:eastAsia="en-US"/>
    </w:rPr>
  </w:style>
  <w:style w:type="paragraph" w:styleId="BalloonText">
    <w:name w:val="Balloon Text"/>
    <w:basedOn w:val="Normal"/>
    <w:link w:val="BalloonTextChar"/>
    <w:rsid w:val="00D8440C"/>
    <w:rPr>
      <w:rFonts w:ascii="Tahoma" w:hAnsi="Tahoma" w:cs="Tahoma"/>
      <w:sz w:val="16"/>
      <w:szCs w:val="16"/>
    </w:rPr>
  </w:style>
  <w:style w:type="character" w:customStyle="1" w:styleId="BalloonTextChar">
    <w:name w:val="Balloon Text Char"/>
    <w:basedOn w:val="DefaultParagraphFont"/>
    <w:link w:val="BalloonText"/>
    <w:rsid w:val="00D8440C"/>
    <w:rPr>
      <w:rFonts w:ascii="Tahoma" w:hAnsi="Tahoma" w:cs="Tahoma"/>
      <w:sz w:val="16"/>
      <w:szCs w:val="16"/>
      <w:lang w:eastAsia="en-US"/>
    </w:rPr>
  </w:style>
  <w:style w:type="character" w:styleId="CommentReference">
    <w:name w:val="annotation reference"/>
    <w:basedOn w:val="DefaultParagraphFont"/>
    <w:rsid w:val="00495B2F"/>
    <w:rPr>
      <w:sz w:val="16"/>
      <w:szCs w:val="16"/>
    </w:rPr>
  </w:style>
  <w:style w:type="paragraph" w:styleId="CommentText">
    <w:name w:val="annotation text"/>
    <w:basedOn w:val="Normal"/>
    <w:link w:val="CommentTextChar"/>
    <w:rsid w:val="00495B2F"/>
    <w:rPr>
      <w:sz w:val="20"/>
    </w:rPr>
  </w:style>
  <w:style w:type="character" w:customStyle="1" w:styleId="CommentTextChar">
    <w:name w:val="Comment Text Char"/>
    <w:basedOn w:val="DefaultParagraphFont"/>
    <w:link w:val="CommentText"/>
    <w:rsid w:val="00495B2F"/>
    <w:rPr>
      <w:rFonts w:ascii="Arial" w:hAnsi="Arial"/>
      <w:lang w:eastAsia="en-US"/>
    </w:rPr>
  </w:style>
  <w:style w:type="paragraph" w:styleId="CommentSubject">
    <w:name w:val="annotation subject"/>
    <w:basedOn w:val="CommentText"/>
    <w:next w:val="CommentText"/>
    <w:link w:val="CommentSubjectChar"/>
    <w:rsid w:val="00495B2F"/>
    <w:rPr>
      <w:b/>
      <w:bCs/>
    </w:rPr>
  </w:style>
  <w:style w:type="character" w:customStyle="1" w:styleId="CommentSubjectChar">
    <w:name w:val="Comment Subject Char"/>
    <w:basedOn w:val="CommentTextChar"/>
    <w:link w:val="CommentSubject"/>
    <w:rsid w:val="00495B2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3984">
      <w:bodyDiv w:val="1"/>
      <w:marLeft w:val="0"/>
      <w:marRight w:val="0"/>
      <w:marTop w:val="0"/>
      <w:marBottom w:val="0"/>
      <w:divBdr>
        <w:top w:val="none" w:sz="0" w:space="0" w:color="auto"/>
        <w:left w:val="none" w:sz="0" w:space="0" w:color="auto"/>
        <w:bottom w:val="none" w:sz="0" w:space="0" w:color="auto"/>
        <w:right w:val="none" w:sz="0" w:space="0" w:color="auto"/>
      </w:divBdr>
    </w:div>
    <w:div w:id="413891334">
      <w:bodyDiv w:val="1"/>
      <w:marLeft w:val="0"/>
      <w:marRight w:val="0"/>
      <w:marTop w:val="0"/>
      <w:marBottom w:val="0"/>
      <w:divBdr>
        <w:top w:val="none" w:sz="0" w:space="0" w:color="auto"/>
        <w:left w:val="none" w:sz="0" w:space="0" w:color="auto"/>
        <w:bottom w:val="none" w:sz="0" w:space="0" w:color="auto"/>
        <w:right w:val="none" w:sz="0" w:space="0" w:color="auto"/>
      </w:divBdr>
    </w:div>
    <w:div w:id="422342958">
      <w:bodyDiv w:val="1"/>
      <w:marLeft w:val="0"/>
      <w:marRight w:val="0"/>
      <w:marTop w:val="0"/>
      <w:marBottom w:val="0"/>
      <w:divBdr>
        <w:top w:val="none" w:sz="0" w:space="0" w:color="auto"/>
        <w:left w:val="none" w:sz="0" w:space="0" w:color="auto"/>
        <w:bottom w:val="none" w:sz="0" w:space="0" w:color="auto"/>
        <w:right w:val="none" w:sz="0" w:space="0" w:color="auto"/>
      </w:divBdr>
    </w:div>
    <w:div w:id="455295413">
      <w:bodyDiv w:val="1"/>
      <w:marLeft w:val="0"/>
      <w:marRight w:val="0"/>
      <w:marTop w:val="0"/>
      <w:marBottom w:val="0"/>
      <w:divBdr>
        <w:top w:val="none" w:sz="0" w:space="0" w:color="auto"/>
        <w:left w:val="none" w:sz="0" w:space="0" w:color="auto"/>
        <w:bottom w:val="none" w:sz="0" w:space="0" w:color="auto"/>
        <w:right w:val="none" w:sz="0" w:space="0" w:color="auto"/>
      </w:divBdr>
      <w:divsChild>
        <w:div w:id="200241369">
          <w:marLeft w:val="490"/>
          <w:marRight w:val="0"/>
          <w:marTop w:val="0"/>
          <w:marBottom w:val="0"/>
          <w:divBdr>
            <w:top w:val="none" w:sz="0" w:space="0" w:color="auto"/>
            <w:left w:val="none" w:sz="0" w:space="0" w:color="auto"/>
            <w:bottom w:val="none" w:sz="0" w:space="0" w:color="auto"/>
            <w:right w:val="none" w:sz="0" w:space="0" w:color="auto"/>
          </w:divBdr>
        </w:div>
        <w:div w:id="234584106">
          <w:marLeft w:val="490"/>
          <w:marRight w:val="0"/>
          <w:marTop w:val="0"/>
          <w:marBottom w:val="0"/>
          <w:divBdr>
            <w:top w:val="none" w:sz="0" w:space="0" w:color="auto"/>
            <w:left w:val="none" w:sz="0" w:space="0" w:color="auto"/>
            <w:bottom w:val="none" w:sz="0" w:space="0" w:color="auto"/>
            <w:right w:val="none" w:sz="0" w:space="0" w:color="auto"/>
          </w:divBdr>
        </w:div>
      </w:divsChild>
    </w:div>
    <w:div w:id="715743965">
      <w:bodyDiv w:val="1"/>
      <w:marLeft w:val="0"/>
      <w:marRight w:val="0"/>
      <w:marTop w:val="0"/>
      <w:marBottom w:val="0"/>
      <w:divBdr>
        <w:top w:val="none" w:sz="0" w:space="0" w:color="auto"/>
        <w:left w:val="none" w:sz="0" w:space="0" w:color="auto"/>
        <w:bottom w:val="none" w:sz="0" w:space="0" w:color="auto"/>
        <w:right w:val="none" w:sz="0" w:space="0" w:color="auto"/>
      </w:divBdr>
    </w:div>
    <w:div w:id="1268538767">
      <w:bodyDiv w:val="1"/>
      <w:marLeft w:val="0"/>
      <w:marRight w:val="0"/>
      <w:marTop w:val="0"/>
      <w:marBottom w:val="0"/>
      <w:divBdr>
        <w:top w:val="none" w:sz="0" w:space="0" w:color="auto"/>
        <w:left w:val="none" w:sz="0" w:space="0" w:color="auto"/>
        <w:bottom w:val="none" w:sz="0" w:space="0" w:color="auto"/>
        <w:right w:val="none" w:sz="0" w:space="0" w:color="auto"/>
      </w:divBdr>
      <w:divsChild>
        <w:div w:id="863444735">
          <w:marLeft w:val="490"/>
          <w:marRight w:val="0"/>
          <w:marTop w:val="50"/>
          <w:marBottom w:val="0"/>
          <w:divBdr>
            <w:top w:val="none" w:sz="0" w:space="0" w:color="auto"/>
            <w:left w:val="none" w:sz="0" w:space="0" w:color="auto"/>
            <w:bottom w:val="none" w:sz="0" w:space="0" w:color="auto"/>
            <w:right w:val="none" w:sz="0" w:space="0" w:color="auto"/>
          </w:divBdr>
        </w:div>
        <w:div w:id="1919288752">
          <w:marLeft w:val="490"/>
          <w:marRight w:val="0"/>
          <w:marTop w:val="50"/>
          <w:marBottom w:val="0"/>
          <w:divBdr>
            <w:top w:val="none" w:sz="0" w:space="0" w:color="auto"/>
            <w:left w:val="none" w:sz="0" w:space="0" w:color="auto"/>
            <w:bottom w:val="none" w:sz="0" w:space="0" w:color="auto"/>
            <w:right w:val="none" w:sz="0" w:space="0" w:color="auto"/>
          </w:divBdr>
        </w:div>
        <w:div w:id="1219131569">
          <w:marLeft w:val="490"/>
          <w:marRight w:val="0"/>
          <w:marTop w:val="50"/>
          <w:marBottom w:val="0"/>
          <w:divBdr>
            <w:top w:val="none" w:sz="0" w:space="0" w:color="auto"/>
            <w:left w:val="none" w:sz="0" w:space="0" w:color="auto"/>
            <w:bottom w:val="none" w:sz="0" w:space="0" w:color="auto"/>
            <w:right w:val="none" w:sz="0" w:space="0" w:color="auto"/>
          </w:divBdr>
        </w:div>
      </w:divsChild>
    </w:div>
    <w:div w:id="1613131345">
      <w:bodyDiv w:val="1"/>
      <w:marLeft w:val="0"/>
      <w:marRight w:val="0"/>
      <w:marTop w:val="0"/>
      <w:marBottom w:val="0"/>
      <w:divBdr>
        <w:top w:val="none" w:sz="0" w:space="0" w:color="auto"/>
        <w:left w:val="none" w:sz="0" w:space="0" w:color="auto"/>
        <w:bottom w:val="none" w:sz="0" w:space="0" w:color="auto"/>
        <w:right w:val="none" w:sz="0" w:space="0" w:color="auto"/>
      </w:divBdr>
    </w:div>
    <w:div w:id="2050956960">
      <w:bodyDiv w:val="1"/>
      <w:marLeft w:val="0"/>
      <w:marRight w:val="0"/>
      <w:marTop w:val="0"/>
      <w:marBottom w:val="0"/>
      <w:divBdr>
        <w:top w:val="none" w:sz="0" w:space="0" w:color="auto"/>
        <w:left w:val="none" w:sz="0" w:space="0" w:color="auto"/>
        <w:bottom w:val="none" w:sz="0" w:space="0" w:color="auto"/>
        <w:right w:val="none" w:sz="0" w:space="0" w:color="auto"/>
      </w:divBdr>
    </w:div>
    <w:div w:id="2099252278">
      <w:bodyDiv w:val="1"/>
      <w:marLeft w:val="0"/>
      <w:marRight w:val="0"/>
      <w:marTop w:val="0"/>
      <w:marBottom w:val="0"/>
      <w:divBdr>
        <w:top w:val="none" w:sz="0" w:space="0" w:color="auto"/>
        <w:left w:val="none" w:sz="0" w:space="0" w:color="auto"/>
        <w:bottom w:val="none" w:sz="0" w:space="0" w:color="auto"/>
        <w:right w:val="none" w:sz="0" w:space="0" w:color="auto"/>
      </w:divBdr>
    </w:div>
    <w:div w:id="21003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4812349" PreviousValue="false"/>
</file>

<file path=customXml/item4.xml><?xml version="1.0" encoding="utf-8"?>
<ct:contentTypeSchema xmlns:ct="http://schemas.microsoft.com/office/2006/metadata/contentType" xmlns:ma="http://schemas.microsoft.com/office/2006/metadata/properties/metaAttributes" ct:_="" ma:_="" ma:contentTypeName="Other briefing" ma:contentTypeID="0x0101007F645D6FBA204A029FECB8BFC6578C39005279853530254253B886E13194843F8A003AA4A7828D8545A79A93568014812349002741AE071A82164A951099DAC91C981E" ma:contentTypeVersion="10" ma:contentTypeDescription="For any briefing which is not in relation to a department policy. Records retained for 10 years." ma:contentTypeScope="" ma:versionID="abd293a70f62aa9918e800bccf3177c6">
  <xsd:schema xmlns:xsd="http://www.w3.org/2001/XMLSchema" xmlns:xs="http://www.w3.org/2001/XMLSchema" xmlns:p="http://schemas.microsoft.com/office/2006/metadata/properties" xmlns:ns1="http://schemas.microsoft.com/sharepoint/v3" xmlns:ns2="b8cb3cbd-ce5c-4a72-9da4-9013f91c5903" xmlns:ns3="01d2705b-266c-471f-bbad-ca9cc3733704" targetNamespace="http://schemas.microsoft.com/office/2006/metadata/properties" ma:root="true" ma:fieldsID="f1ed8ca4c01d447e78761025de8a1810" ns1:_="" ns2:_="" ns3:_="">
    <xsd:import namespace="http://schemas.microsoft.com/sharepoint/v3"/>
    <xsd:import namespace="b8cb3cbd-ce5c-4a72-9da4-9013f91c5903"/>
    <xsd:import namespace="01d2705b-266c-471f-bbad-ca9cc37337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4e53523-cc22-4b71-94d9-f0f05bc78804}" ma:internalName="TaxCatchAll" ma:showField="CatchAllData" ma:web="01d2705b-266c-471f-bbad-ca9cc37337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4e53523-cc22-4b71-94d9-f0f05bc78804}" ma:internalName="TaxCatchAllLabel" ma:readOnly="true" ma:showField="CatchAllDataLabel" ma:web="01d2705b-266c-471f-bbad-ca9cc37337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3</Value>
      <Value>2</Value>
    </TaxCatchAll>
    <IWPSubjectTaxHTField0 xmlns="01d2705b-266c-471f-bbad-ca9cc3733704">
      <Terms xmlns="http://schemas.microsoft.com/office/infopath/2007/PartnerControls"/>
    </IWPSubjectTaxHTField0>
    <IWPOrganisationalUnit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01d2705b-266c-471f-bbad-ca9cc373370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01d2705b-266c-471f-bbad-ca9cc3733704">
      <Terms xmlns="http://schemas.microsoft.com/office/infopath/2007/PartnerControls"/>
    </IWPSiteTypeTaxHTField0>
    <IWPContributor xmlns="01d2705b-266c-471f-bbad-ca9cc3733704">
      <UserInfo>
        <DisplayName/>
        <AccountId xsi:nil="true"/>
        <AccountType/>
      </UserInfo>
    </IWPContributor>
    <IWPFunctionTaxHTField0 xmlns="01d2705b-266c-471f-bbad-ca9cc3733704">
      <Terms xmlns="http://schemas.microsoft.com/office/infopath/2007/PartnerControls"/>
    </IWPFunctionTaxHTField0>
    <Comments xmlns="http://schemas.microsoft.com/sharepoint/v3" xsi:nil="true"/>
    <_dlc_DocId xmlns="b8cb3cbd-ce5c-4a72-9da4-9013f91c5903">HKPH4XM4QHZ4-1883831546-2367</_dlc_DocId>
    <_dlc_DocIdUrl xmlns="b8cb3cbd-ce5c-4a72-9da4-9013f91c5903">
      <Url>http://workplaces/sites/ttg/d/_layouts/DocIdRedir.aspx?ID=HKPH4XM4QHZ4-1883831546-2367</Url>
      <Description>HKPH4XM4QHZ4-1883831546-2367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72AB2-381A-4FDE-8C58-9D92FB9CBF2D}"/>
</file>

<file path=customXml/itemProps2.xml><?xml version="1.0" encoding="utf-8"?>
<ds:datastoreItem xmlns:ds="http://schemas.openxmlformats.org/officeDocument/2006/customXml" ds:itemID="{3BF2F850-5400-4CBD-8F3F-5B0EA732428E}"/>
</file>

<file path=customXml/itemProps3.xml><?xml version="1.0" encoding="utf-8"?>
<ds:datastoreItem xmlns:ds="http://schemas.openxmlformats.org/officeDocument/2006/customXml" ds:itemID="{5EF7283E-65E0-4B59-9883-77D5135F3FA3}"/>
</file>

<file path=customXml/itemProps4.xml><?xml version="1.0" encoding="utf-8"?>
<ds:datastoreItem xmlns:ds="http://schemas.openxmlformats.org/officeDocument/2006/customXml" ds:itemID="{609ADC1A-7ACD-43E4-83A4-0489E9DC0BD5}"/>
</file>

<file path=customXml/itemProps5.xml><?xml version="1.0" encoding="utf-8"?>
<ds:datastoreItem xmlns:ds="http://schemas.openxmlformats.org/officeDocument/2006/customXml" ds:itemID="{6A02C5EF-BE93-4D37-A632-460124542AFF}"/>
</file>

<file path=customXml/itemProps6.xml><?xml version="1.0" encoding="utf-8"?>
<ds:datastoreItem xmlns:ds="http://schemas.openxmlformats.org/officeDocument/2006/customXml" ds:itemID="{683910E0-C9CE-49F5-8D99-EEE19D1B64B5}"/>
</file>

<file path=docProps/app.xml><?xml version="1.0" encoding="utf-8"?>
<Properties xmlns="http://schemas.openxmlformats.org/officeDocument/2006/extended-properties" xmlns:vt="http://schemas.openxmlformats.org/officeDocument/2006/docPropsVTypes">
  <Template>F8FCD0B8</Template>
  <TotalTime>0</TotalTime>
  <Pages>5</Pages>
  <Words>2103</Words>
  <Characters>11258</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Final version with breaches, OHA data and approved by RS</vt:lpstr>
    </vt:vector>
  </TitlesOfParts>
  <Company>Employment Benefits</Company>
  <LinksUpToDate>false</LinksUpToDate>
  <CharactersWithSpaces>13335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version with breaches, OHA data and approved by RS</dc:title>
  <dc:creator>CAMMACK, Karen</dc:creator>
  <cp:lastModifiedBy>CAMMACK, Karen</cp:lastModifiedBy>
  <cp:revision>2</cp:revision>
  <cp:lastPrinted>2016-02-23T10:53:00Z</cp:lastPrinted>
  <dcterms:created xsi:type="dcterms:W3CDTF">2016-03-11T14:17:00Z</dcterms:created>
  <dcterms:modified xsi:type="dcterms:W3CDTF">2016-03-11T14:17:00Z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0x0101007F645D6FBA204A029FECB8BFC6578C39005279853530254253B886E13194843F8A003AA4A7828D8545A79A93568014812349002741AE071A82164A951099DAC91C981E</vt:lpwstr>
  </property>
  <property fmtid="{D5CDD505-2E9C-101B-9397-08002B2CF9AE}" pid="3" name="IWPOrganisationalUnit">
    <vt:lpwstr>5;#DfE|cc08a6d4-dfde-4d0f-bd85-069ebcef80d5</vt:lpwstr>
  </property>
  <property fmtid="{D5CDD505-2E9C-101B-9397-08002B2CF9AE}" pid="4" name="IWPOwner">
    <vt:lpwstr>2;#DfE|a484111e-5b24-4ad9-9778-c536c8c88985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3;#Official|0884c477-2e62-47ea-b19c-5af6e91124c5</vt:lpwstr>
  </property>
  <property fmtid="{D5CDD505-2E9C-101B-9397-08002B2CF9AE}" pid="9" name="_dlc_DocIdItemGuid">
    <vt:lpwstr>94cd4cbf-0171-46b2-b309-408ee2b3c0d8</vt:lpwstr>
  </property>
</Properties>
</file>