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200B2" w14:textId="77777777" w:rsidR="00533406" w:rsidRDefault="00533406" w:rsidP="00DF7A7D">
      <w:pPr>
        <w:pStyle w:val="DeptBullets"/>
        <w:numPr>
          <w:ilvl w:val="0"/>
          <w:numId w:val="0"/>
        </w:numPr>
        <w:spacing w:after="0"/>
        <w:ind w:right="-99"/>
        <w:rPr>
          <w:rFonts w:cs="Arial"/>
          <w:b/>
          <w:sz w:val="22"/>
          <w:szCs w:val="22"/>
        </w:rPr>
      </w:pPr>
      <w:proofErr w:type="gramStart"/>
      <w:r w:rsidRPr="00363983">
        <w:rPr>
          <w:rFonts w:cs="Arial"/>
          <w:b/>
          <w:sz w:val="22"/>
          <w:szCs w:val="22"/>
        </w:rPr>
        <w:t>T</w:t>
      </w:r>
      <w:r w:rsidR="00D901A6" w:rsidRPr="00363983">
        <w:rPr>
          <w:rFonts w:cs="Arial"/>
          <w:b/>
          <w:sz w:val="22"/>
          <w:szCs w:val="22"/>
        </w:rPr>
        <w:t xml:space="preserve">eachers’ Pension Scheme </w:t>
      </w:r>
      <w:r w:rsidRPr="00363983">
        <w:rPr>
          <w:rFonts w:cs="Arial"/>
          <w:b/>
          <w:sz w:val="22"/>
          <w:szCs w:val="22"/>
        </w:rPr>
        <w:t>Pension Board</w:t>
      </w:r>
      <w:r w:rsidR="00695F57" w:rsidRPr="00363983">
        <w:rPr>
          <w:rFonts w:cs="Arial"/>
          <w:b/>
          <w:sz w:val="22"/>
          <w:szCs w:val="22"/>
        </w:rPr>
        <w:t xml:space="preserve"> </w:t>
      </w:r>
      <w:r w:rsidR="00B62931" w:rsidRPr="00363983">
        <w:rPr>
          <w:rFonts w:cs="Arial"/>
          <w:b/>
          <w:sz w:val="22"/>
          <w:szCs w:val="22"/>
        </w:rPr>
        <w:t>Finance, Risk and Audit Report.</w:t>
      </w:r>
      <w:proofErr w:type="gramEnd"/>
    </w:p>
    <w:p w14:paraId="5B215F17" w14:textId="77777777" w:rsidR="00DF7A7D" w:rsidRPr="00363983" w:rsidRDefault="00DF7A7D" w:rsidP="00DF7A7D">
      <w:pPr>
        <w:pStyle w:val="DeptBullets"/>
        <w:numPr>
          <w:ilvl w:val="0"/>
          <w:numId w:val="0"/>
        </w:numPr>
        <w:spacing w:after="0"/>
        <w:ind w:right="-99"/>
        <w:rPr>
          <w:rFonts w:cs="Arial"/>
          <w:b/>
          <w:sz w:val="22"/>
          <w:szCs w:val="22"/>
        </w:rPr>
      </w:pPr>
    </w:p>
    <w:p w14:paraId="2A49D890" w14:textId="77777777" w:rsidR="002F6007" w:rsidRPr="00DF7A7D" w:rsidRDefault="00B05496" w:rsidP="00DF7A7D">
      <w:pPr>
        <w:widowControl/>
        <w:tabs>
          <w:tab w:val="left" w:pos="8222"/>
        </w:tabs>
        <w:overflowPunct/>
        <w:autoSpaceDE/>
        <w:autoSpaceDN/>
        <w:adjustRightInd/>
        <w:spacing w:line="276" w:lineRule="auto"/>
        <w:ind w:right="-58"/>
        <w:textAlignment w:val="auto"/>
        <w:rPr>
          <w:rFonts w:cs="Arial"/>
          <w:b/>
          <w:sz w:val="22"/>
          <w:szCs w:val="22"/>
          <w:u w:val="single"/>
        </w:rPr>
      </w:pPr>
      <w:r w:rsidRPr="00DF7A7D">
        <w:rPr>
          <w:rFonts w:cs="Arial"/>
          <w:sz w:val="22"/>
          <w:szCs w:val="22"/>
        </w:rPr>
        <w:t>The purpose of this document is to advise the Board of recent key events relating to the financial management, risk and auditing of the scheme</w:t>
      </w:r>
      <w:r w:rsidRPr="00DF7A7D">
        <w:rPr>
          <w:rFonts w:cs="Arial"/>
          <w:color w:val="000000" w:themeColor="text1"/>
          <w:sz w:val="22"/>
          <w:szCs w:val="22"/>
        </w:rPr>
        <w:t>.</w:t>
      </w:r>
    </w:p>
    <w:p w14:paraId="6E05D2AB" w14:textId="77777777" w:rsidR="002F6007" w:rsidRPr="00DF7A7D" w:rsidRDefault="002F6007" w:rsidP="002F6007">
      <w:pPr>
        <w:rPr>
          <w:rFonts w:cs="Arial"/>
          <w:b/>
          <w:sz w:val="22"/>
          <w:szCs w:val="22"/>
          <w:u w:val="single"/>
        </w:rPr>
      </w:pPr>
    </w:p>
    <w:p w14:paraId="706FD976" w14:textId="77777777" w:rsidR="002F6007" w:rsidRPr="00DF7A7D" w:rsidRDefault="00EE7286" w:rsidP="002F6007">
      <w:pPr>
        <w:jc w:val="center"/>
        <w:rPr>
          <w:rFonts w:cs="Arial"/>
          <w:b/>
          <w:sz w:val="28"/>
          <w:szCs w:val="28"/>
        </w:rPr>
      </w:pPr>
      <w:r w:rsidRPr="00DF7A7D">
        <w:rPr>
          <w:rFonts w:cs="Arial"/>
          <w:b/>
          <w:sz w:val="28"/>
          <w:szCs w:val="28"/>
        </w:rPr>
        <w:t>Finance</w:t>
      </w:r>
      <w:r w:rsidR="00000089" w:rsidRPr="00DF7A7D">
        <w:rPr>
          <w:rFonts w:cs="Arial"/>
          <w:b/>
          <w:sz w:val="28"/>
          <w:szCs w:val="28"/>
        </w:rPr>
        <w:t xml:space="preserve"> </w:t>
      </w:r>
    </w:p>
    <w:p w14:paraId="0DF680ED" w14:textId="77777777" w:rsidR="002F6007" w:rsidRPr="00DF7A7D" w:rsidRDefault="002F6007" w:rsidP="002F6007">
      <w:pPr>
        <w:jc w:val="center"/>
        <w:rPr>
          <w:rFonts w:cs="Arial"/>
          <w:b/>
          <w:sz w:val="28"/>
          <w:szCs w:val="28"/>
        </w:rPr>
      </w:pPr>
    </w:p>
    <w:tbl>
      <w:tblPr>
        <w:tblStyle w:val="TableGrid"/>
        <w:tblW w:w="0" w:type="auto"/>
        <w:tblInd w:w="108" w:type="dxa"/>
        <w:tblLook w:val="04A0" w:firstRow="1" w:lastRow="0" w:firstColumn="1" w:lastColumn="0" w:noHBand="0" w:noVBand="1"/>
      </w:tblPr>
      <w:tblGrid>
        <w:gridCol w:w="7230"/>
        <w:gridCol w:w="1134"/>
      </w:tblGrid>
      <w:tr w:rsidR="00DC6BD2" w:rsidRPr="00363983" w14:paraId="608D4A6C" w14:textId="77777777" w:rsidTr="00DC6BD2">
        <w:tc>
          <w:tcPr>
            <w:tcW w:w="7230" w:type="dxa"/>
          </w:tcPr>
          <w:p w14:paraId="44BCBDB8" w14:textId="77777777" w:rsidR="00DC6BD2" w:rsidRPr="00DF7A7D" w:rsidRDefault="00DC6BD2" w:rsidP="00311C8A">
            <w:pPr>
              <w:rPr>
                <w:rFonts w:cs="Arial"/>
                <w:b/>
                <w:color w:val="000000"/>
                <w:sz w:val="22"/>
                <w:szCs w:val="22"/>
                <w:lang w:eastAsia="en-GB"/>
              </w:rPr>
            </w:pPr>
          </w:p>
          <w:p w14:paraId="17C70979" w14:textId="77777777" w:rsidR="00DC6BD2" w:rsidRPr="00DF7A7D" w:rsidRDefault="002F6007" w:rsidP="00311C8A">
            <w:pPr>
              <w:rPr>
                <w:rFonts w:cs="Arial"/>
                <w:b/>
                <w:color w:val="000000"/>
                <w:sz w:val="22"/>
                <w:szCs w:val="22"/>
                <w:lang w:eastAsia="en-GB"/>
              </w:rPr>
            </w:pPr>
            <w:r w:rsidRPr="00DF7A7D">
              <w:rPr>
                <w:rFonts w:cs="Arial"/>
                <w:b/>
                <w:color w:val="000000"/>
                <w:sz w:val="22"/>
                <w:szCs w:val="22"/>
                <w:lang w:eastAsia="en-GB"/>
              </w:rPr>
              <w:t>Cash Income and Expenditure</w:t>
            </w:r>
          </w:p>
          <w:p w14:paraId="49C32153" w14:textId="77777777" w:rsidR="00DC6BD2" w:rsidRPr="00DF7A7D" w:rsidRDefault="00DC6BD2" w:rsidP="00311C8A">
            <w:pPr>
              <w:rPr>
                <w:rFonts w:cs="Arial"/>
                <w:b/>
                <w:sz w:val="22"/>
                <w:szCs w:val="22"/>
              </w:rPr>
            </w:pPr>
          </w:p>
        </w:tc>
        <w:tc>
          <w:tcPr>
            <w:tcW w:w="1134" w:type="dxa"/>
            <w:shd w:val="clear" w:color="auto" w:fill="00B050"/>
          </w:tcPr>
          <w:p w14:paraId="5DE25A19" w14:textId="77777777" w:rsidR="00DC6BD2" w:rsidRPr="00DF7A7D" w:rsidRDefault="00DC6BD2" w:rsidP="00311C8A">
            <w:pPr>
              <w:rPr>
                <w:rFonts w:cs="Arial"/>
                <w:color w:val="00B050"/>
                <w:sz w:val="22"/>
                <w:szCs w:val="22"/>
              </w:rPr>
            </w:pPr>
          </w:p>
          <w:p w14:paraId="4FA74EF7" w14:textId="77777777" w:rsidR="00DC6BD2" w:rsidRPr="00363983" w:rsidRDefault="008507B5" w:rsidP="00DC6BD2">
            <w:pPr>
              <w:rPr>
                <w:rFonts w:cs="Arial"/>
                <w:color w:val="00B050"/>
                <w:sz w:val="22"/>
                <w:szCs w:val="22"/>
              </w:rPr>
            </w:pPr>
            <w:r w:rsidRPr="00DF7A7D">
              <w:rPr>
                <w:rFonts w:cs="Arial"/>
                <w:noProof/>
                <w:color w:val="00B050"/>
                <w:szCs w:val="24"/>
                <w:lang w:eastAsia="en-GB"/>
              </w:rPr>
              <mc:AlternateContent>
                <mc:Choice Requires="wps">
                  <w:drawing>
                    <wp:anchor distT="4294967295" distB="4294967295" distL="114300" distR="114300" simplePos="0" relativeHeight="251681792" behindDoc="0" locked="0" layoutInCell="1" allowOverlap="1" wp14:anchorId="79118E3B" wp14:editId="318A6C4A">
                      <wp:simplePos x="0" y="0"/>
                      <wp:positionH relativeFrom="column">
                        <wp:posOffset>118110</wp:posOffset>
                      </wp:positionH>
                      <wp:positionV relativeFrom="paragraph">
                        <wp:posOffset>91439</wp:posOffset>
                      </wp:positionV>
                      <wp:extent cx="350520" cy="0"/>
                      <wp:effectExtent l="0" t="76200" r="30480" b="15240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pt;margin-top:7.2pt;width:27.6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" strokecolor="windowText" strokeweight="2pt">
                      <v:stroke endarrow="open"/>
                      <v:shadow on="t" color="black" opacity="24903f" origin=",.5" offset="0,.55556mm"/>
                      <o:lock v:ext="edit" shapetype="f"/>
                    </v:shape>
                  </w:pict>
                </mc:Fallback>
              </mc:AlternateContent>
            </w:r>
          </w:p>
        </w:tc>
      </w:tr>
    </w:tbl>
    <w:p w14:paraId="276CF245" w14:textId="77777777" w:rsidR="00D96604" w:rsidRPr="00D96604" w:rsidRDefault="00D96604" w:rsidP="00D96604">
      <w:pPr>
        <w:pStyle w:val="ListParagraph"/>
        <w:widowControl/>
        <w:tabs>
          <w:tab w:val="left" w:pos="8222"/>
        </w:tabs>
        <w:overflowPunct/>
        <w:autoSpaceDE/>
        <w:autoSpaceDN/>
        <w:adjustRightInd/>
        <w:spacing w:line="276" w:lineRule="auto"/>
        <w:ind w:right="-58"/>
        <w:textAlignment w:val="auto"/>
        <w:rPr>
          <w:rFonts w:asciiTheme="minorHAnsi" w:hAnsiTheme="minorHAnsi" w:cs="Arial"/>
          <w:sz w:val="22"/>
          <w:szCs w:val="22"/>
        </w:rPr>
      </w:pPr>
    </w:p>
    <w:p w14:paraId="1996FD29" w14:textId="77777777" w:rsidR="00D96604" w:rsidRPr="009D03AA" w:rsidRDefault="00D96604" w:rsidP="009D03AA">
      <w:pPr>
        <w:pStyle w:val="ListParagraph"/>
        <w:widowControl/>
        <w:numPr>
          <w:ilvl w:val="0"/>
          <w:numId w:val="14"/>
        </w:numPr>
        <w:tabs>
          <w:tab w:val="left" w:pos="8222"/>
        </w:tabs>
        <w:overflowPunct/>
        <w:autoSpaceDE/>
        <w:autoSpaceDN/>
        <w:adjustRightInd/>
        <w:ind w:left="360" w:right="-57"/>
        <w:textAlignment w:val="auto"/>
        <w:rPr>
          <w:rFonts w:cs="Arial"/>
          <w:sz w:val="22"/>
          <w:szCs w:val="22"/>
        </w:rPr>
      </w:pPr>
      <w:r w:rsidRPr="009D03AA">
        <w:rPr>
          <w:rFonts w:cs="Arial"/>
          <w:color w:val="000000" w:themeColor="text1"/>
          <w:sz w:val="22"/>
          <w:szCs w:val="22"/>
        </w:rPr>
        <w:t xml:space="preserve">Following the setting of the </w:t>
      </w:r>
      <w:r w:rsidR="00682993">
        <w:rPr>
          <w:rFonts w:cs="Arial"/>
          <w:color w:val="000000" w:themeColor="text1"/>
          <w:sz w:val="22"/>
          <w:szCs w:val="22"/>
        </w:rPr>
        <w:t>w</w:t>
      </w:r>
      <w:r w:rsidRPr="009D03AA">
        <w:rPr>
          <w:rFonts w:cs="Arial"/>
          <w:color w:val="000000" w:themeColor="text1"/>
          <w:sz w:val="22"/>
          <w:szCs w:val="22"/>
        </w:rPr>
        <w:t xml:space="preserve">inter Office of Budgetary Responsibility (OBR) forecast the revised spring supplementary cash estimate – running through to the year-end - reported a year to date income variance of 0.3% with £15m less received than anticipated. </w:t>
      </w:r>
      <w:proofErr w:type="spellStart"/>
      <w:r w:rsidRPr="009D03AA">
        <w:rPr>
          <w:rFonts w:cs="Arial"/>
          <w:color w:val="000000" w:themeColor="text1"/>
          <w:sz w:val="22"/>
          <w:szCs w:val="22"/>
        </w:rPr>
        <w:t>Similiarly</w:t>
      </w:r>
      <w:proofErr w:type="spellEnd"/>
      <w:r w:rsidRPr="009D03AA">
        <w:rPr>
          <w:rFonts w:cs="Arial"/>
          <w:color w:val="000000" w:themeColor="text1"/>
          <w:sz w:val="22"/>
          <w:szCs w:val="22"/>
        </w:rPr>
        <w:t xml:space="preserve"> year to date expenditure returned a variance of 0.15% with £12.5m less paid out than forecasted. This was predominantly down to the </w:t>
      </w:r>
      <w:r w:rsidR="00682993">
        <w:rPr>
          <w:rFonts w:cs="Arial"/>
          <w:color w:val="000000" w:themeColor="text1"/>
          <w:sz w:val="22"/>
          <w:szCs w:val="22"/>
        </w:rPr>
        <w:t>a</w:t>
      </w:r>
      <w:r w:rsidRPr="009D03AA">
        <w:rPr>
          <w:rFonts w:cs="Arial"/>
          <w:color w:val="000000" w:themeColor="text1"/>
          <w:sz w:val="22"/>
          <w:szCs w:val="22"/>
        </w:rPr>
        <w:t xml:space="preserve">ge, Actuarially Adjusted Benefits (AAB) and </w:t>
      </w:r>
      <w:r w:rsidR="00682993">
        <w:rPr>
          <w:rFonts w:cs="Arial"/>
          <w:color w:val="000000" w:themeColor="text1"/>
          <w:sz w:val="22"/>
          <w:szCs w:val="22"/>
        </w:rPr>
        <w:t>p</w:t>
      </w:r>
      <w:r w:rsidRPr="009D03AA">
        <w:rPr>
          <w:rFonts w:cs="Arial"/>
          <w:color w:val="000000" w:themeColor="text1"/>
          <w:sz w:val="22"/>
          <w:szCs w:val="22"/>
        </w:rPr>
        <w:t>hased lump sum accounts incurring less.</w:t>
      </w:r>
      <w:r w:rsidRPr="009D03AA">
        <w:rPr>
          <w:rFonts w:cs="Arial"/>
          <w:sz w:val="22"/>
          <w:szCs w:val="22"/>
        </w:rPr>
        <w:t xml:space="preserve"> </w:t>
      </w:r>
    </w:p>
    <w:p w14:paraId="507ADB4B" w14:textId="77777777" w:rsidR="00D96604" w:rsidRPr="00EA4CE6" w:rsidRDefault="00D96604" w:rsidP="009D03AA">
      <w:pPr>
        <w:pStyle w:val="ListParagraph"/>
        <w:ind w:left="0"/>
        <w:rPr>
          <w:rFonts w:cs="Arial"/>
          <w:sz w:val="22"/>
          <w:szCs w:val="22"/>
        </w:rPr>
      </w:pPr>
    </w:p>
    <w:p w14:paraId="143BBE71" w14:textId="77777777" w:rsidR="00D96604" w:rsidRPr="00EA4CE6" w:rsidRDefault="00D96604" w:rsidP="009D03AA">
      <w:pPr>
        <w:pStyle w:val="ListParagraph"/>
        <w:numPr>
          <w:ilvl w:val="0"/>
          <w:numId w:val="14"/>
        </w:numPr>
        <w:ind w:left="357" w:hanging="357"/>
        <w:rPr>
          <w:rFonts w:cs="Arial"/>
          <w:sz w:val="22"/>
          <w:szCs w:val="22"/>
        </w:rPr>
      </w:pPr>
      <w:r w:rsidRPr="00EA4CE6">
        <w:rPr>
          <w:rFonts w:cs="Arial"/>
          <w:color w:val="000000" w:themeColor="text1"/>
          <w:sz w:val="22"/>
          <w:szCs w:val="22"/>
        </w:rPr>
        <w:t xml:space="preserve">From a net cash requirement perspective </w:t>
      </w:r>
      <w:r w:rsidR="00682993">
        <w:rPr>
          <w:rFonts w:cs="Arial"/>
          <w:color w:val="000000" w:themeColor="text1"/>
          <w:sz w:val="22"/>
          <w:szCs w:val="22"/>
        </w:rPr>
        <w:t>we</w:t>
      </w:r>
      <w:r w:rsidRPr="00EA4CE6">
        <w:rPr>
          <w:rFonts w:cs="Arial"/>
          <w:color w:val="000000" w:themeColor="text1"/>
          <w:sz w:val="22"/>
          <w:szCs w:val="22"/>
        </w:rPr>
        <w:t xml:space="preserve"> currently anticipate a £206m surplus at the </w:t>
      </w:r>
      <w:proofErr w:type="spellStart"/>
      <w:r w:rsidRPr="00EA4CE6">
        <w:rPr>
          <w:rFonts w:cs="Arial"/>
          <w:color w:val="000000" w:themeColor="text1"/>
          <w:sz w:val="22"/>
          <w:szCs w:val="22"/>
        </w:rPr>
        <w:t>year end</w:t>
      </w:r>
      <w:proofErr w:type="spellEnd"/>
      <w:r w:rsidRPr="00EA4CE6">
        <w:rPr>
          <w:rFonts w:cs="Arial"/>
          <w:color w:val="000000" w:themeColor="text1"/>
          <w:sz w:val="22"/>
          <w:szCs w:val="22"/>
        </w:rPr>
        <w:t xml:space="preserve"> following the spring supplementary estimate. </w:t>
      </w:r>
      <w:r w:rsidRPr="00EA4CE6">
        <w:rPr>
          <w:rFonts w:cs="Arial"/>
          <w:sz w:val="22"/>
          <w:szCs w:val="22"/>
        </w:rPr>
        <w:t xml:space="preserve">  </w:t>
      </w:r>
    </w:p>
    <w:p w14:paraId="5305A1A2" w14:textId="77777777" w:rsidR="00B05496" w:rsidRPr="00363983" w:rsidRDefault="00B05496" w:rsidP="008D340F">
      <w:pPr>
        <w:ind w:right="-58"/>
        <w:rPr>
          <w:rFonts w:cs="Arial"/>
          <w:sz w:val="22"/>
          <w:szCs w:val="22"/>
        </w:rPr>
      </w:pPr>
    </w:p>
    <w:tbl>
      <w:tblPr>
        <w:tblStyle w:val="TableGrid"/>
        <w:tblW w:w="0" w:type="auto"/>
        <w:tblInd w:w="108" w:type="dxa"/>
        <w:tblLook w:val="04A0" w:firstRow="1" w:lastRow="0" w:firstColumn="1" w:lastColumn="0" w:noHBand="0" w:noVBand="1"/>
      </w:tblPr>
      <w:tblGrid>
        <w:gridCol w:w="7230"/>
        <w:gridCol w:w="1134"/>
      </w:tblGrid>
      <w:tr w:rsidR="00DC6BD2" w:rsidRPr="00363983" w14:paraId="46FEFF17" w14:textId="77777777" w:rsidTr="00DC6BD2">
        <w:tc>
          <w:tcPr>
            <w:tcW w:w="7230" w:type="dxa"/>
          </w:tcPr>
          <w:p w14:paraId="1A16A09E" w14:textId="77777777" w:rsidR="00DC6BD2" w:rsidRPr="00363983" w:rsidRDefault="00DC6BD2" w:rsidP="00311C8A">
            <w:pPr>
              <w:rPr>
                <w:rFonts w:cs="Arial"/>
                <w:b/>
                <w:color w:val="000000"/>
                <w:sz w:val="22"/>
                <w:szCs w:val="22"/>
                <w:lang w:eastAsia="en-GB"/>
              </w:rPr>
            </w:pPr>
          </w:p>
          <w:p w14:paraId="711C7BED" w14:textId="77777777" w:rsidR="00DC6BD2" w:rsidRPr="00363983" w:rsidRDefault="00E749AF" w:rsidP="00311C8A">
            <w:pPr>
              <w:rPr>
                <w:rFonts w:cs="Arial"/>
                <w:b/>
                <w:color w:val="000000"/>
                <w:sz w:val="22"/>
                <w:szCs w:val="22"/>
                <w:lang w:eastAsia="en-GB"/>
              </w:rPr>
            </w:pPr>
            <w:r w:rsidRPr="00363983">
              <w:rPr>
                <w:rFonts w:cs="Arial"/>
                <w:b/>
                <w:color w:val="000000"/>
                <w:sz w:val="22"/>
                <w:szCs w:val="22"/>
                <w:lang w:eastAsia="en-GB"/>
              </w:rPr>
              <w:t>TPS</w:t>
            </w:r>
            <w:r w:rsidR="002F6007" w:rsidRPr="00363983">
              <w:rPr>
                <w:rFonts w:cs="Arial"/>
                <w:b/>
                <w:color w:val="000000"/>
                <w:sz w:val="22"/>
                <w:szCs w:val="22"/>
                <w:lang w:eastAsia="en-GB"/>
              </w:rPr>
              <w:t xml:space="preserve"> Forecasting Exercises </w:t>
            </w:r>
          </w:p>
          <w:p w14:paraId="6CCB2B94" w14:textId="77777777" w:rsidR="00DC6BD2" w:rsidRPr="00363983" w:rsidRDefault="00DC6BD2" w:rsidP="00311C8A">
            <w:pPr>
              <w:rPr>
                <w:rFonts w:cs="Arial"/>
                <w:b/>
                <w:sz w:val="22"/>
                <w:szCs w:val="22"/>
              </w:rPr>
            </w:pPr>
          </w:p>
        </w:tc>
        <w:tc>
          <w:tcPr>
            <w:tcW w:w="1134" w:type="dxa"/>
            <w:shd w:val="clear" w:color="auto" w:fill="00B050"/>
          </w:tcPr>
          <w:p w14:paraId="4953CFF7" w14:textId="77777777" w:rsidR="00DC6BD2" w:rsidRPr="00363983" w:rsidRDefault="00DC6BD2" w:rsidP="00311C8A">
            <w:pPr>
              <w:rPr>
                <w:rFonts w:cs="Arial"/>
                <w:sz w:val="22"/>
                <w:szCs w:val="22"/>
              </w:rPr>
            </w:pPr>
          </w:p>
          <w:p w14:paraId="2F5E12AB" w14:textId="77777777" w:rsidR="00DC6BD2" w:rsidRPr="00363983" w:rsidRDefault="008507B5" w:rsidP="00DC6BD2">
            <w:pPr>
              <w:rPr>
                <w:rFonts w:cs="Arial"/>
                <w:sz w:val="22"/>
                <w:szCs w:val="22"/>
              </w:rPr>
            </w:pPr>
            <w:r>
              <w:rPr>
                <w:rFonts w:cs="Arial"/>
                <w:noProof/>
                <w:color w:val="00B050"/>
                <w:szCs w:val="24"/>
                <w:lang w:eastAsia="en-GB"/>
              </w:rPr>
              <mc:AlternateContent>
                <mc:Choice Requires="wps">
                  <w:drawing>
                    <wp:anchor distT="4294967295" distB="4294967295" distL="114300" distR="114300" simplePos="0" relativeHeight="251671552" behindDoc="0" locked="0" layoutInCell="1" allowOverlap="1" wp14:anchorId="26691A4B" wp14:editId="292266B2">
                      <wp:simplePos x="0" y="0"/>
                      <wp:positionH relativeFrom="column">
                        <wp:posOffset>118110</wp:posOffset>
                      </wp:positionH>
                      <wp:positionV relativeFrom="paragraph">
                        <wp:posOffset>80644</wp:posOffset>
                      </wp:positionV>
                      <wp:extent cx="350520" cy="0"/>
                      <wp:effectExtent l="0" t="76200" r="30480" b="1524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9.3pt;margin-top:6.35pt;width:27.6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" strokecolor="windowText" strokeweight="2pt">
                      <v:stroke endarrow="open"/>
                      <v:shadow on="t" color="black" opacity="24903f" origin=",.5" offset="0,.55556mm"/>
                      <o:lock v:ext="edit" shapetype="f"/>
                    </v:shape>
                  </w:pict>
                </mc:Fallback>
              </mc:AlternateContent>
            </w:r>
          </w:p>
        </w:tc>
      </w:tr>
    </w:tbl>
    <w:p w14:paraId="3F8CEE72" w14:textId="77777777" w:rsidR="00D96604" w:rsidRPr="00D96604" w:rsidRDefault="00D96604" w:rsidP="00D96604">
      <w:pPr>
        <w:pStyle w:val="ListParagraph"/>
        <w:ind w:left="360" w:right="-58"/>
        <w:rPr>
          <w:rFonts w:ascii="Calibri" w:hAnsi="Calibri" w:cs="Calibri"/>
          <w:sz w:val="22"/>
          <w:szCs w:val="22"/>
        </w:rPr>
      </w:pPr>
    </w:p>
    <w:p w14:paraId="1CA46422" w14:textId="77777777" w:rsidR="00D96604" w:rsidRPr="00EA4CE6" w:rsidRDefault="00D96604" w:rsidP="00D96604">
      <w:pPr>
        <w:pStyle w:val="ListParagraph"/>
        <w:numPr>
          <w:ilvl w:val="0"/>
          <w:numId w:val="14"/>
        </w:numPr>
        <w:ind w:left="360" w:right="-58"/>
        <w:rPr>
          <w:rFonts w:cs="Arial"/>
          <w:sz w:val="22"/>
          <w:szCs w:val="22"/>
        </w:rPr>
      </w:pPr>
      <w:r w:rsidRPr="00EA4CE6">
        <w:rPr>
          <w:rFonts w:cs="Arial"/>
          <w:sz w:val="22"/>
          <w:szCs w:val="22"/>
        </w:rPr>
        <w:t xml:space="preserve">The </w:t>
      </w:r>
      <w:r w:rsidR="00682993">
        <w:rPr>
          <w:rFonts w:cs="Arial"/>
          <w:sz w:val="22"/>
          <w:szCs w:val="22"/>
        </w:rPr>
        <w:t>w</w:t>
      </w:r>
      <w:r w:rsidRPr="00EA4CE6">
        <w:rPr>
          <w:rFonts w:cs="Arial"/>
          <w:sz w:val="22"/>
          <w:szCs w:val="22"/>
        </w:rPr>
        <w:t>inter OBR exercise was successfully concluded during February. Following the initial submission, in which TP highlighted that the forecasted salary increase was not materialising, the OBR agreed that the percentage to be applied be reduced. This was completed, resubmitted and</w:t>
      </w:r>
      <w:r w:rsidR="00682993">
        <w:rPr>
          <w:rFonts w:cs="Arial"/>
          <w:sz w:val="22"/>
          <w:szCs w:val="22"/>
        </w:rPr>
        <w:t>,</w:t>
      </w:r>
      <w:r w:rsidRPr="00EA4CE6">
        <w:rPr>
          <w:rFonts w:cs="Arial"/>
          <w:sz w:val="22"/>
          <w:szCs w:val="22"/>
        </w:rPr>
        <w:t xml:space="preserve"> along with clarifying a number of minor points raised</w:t>
      </w:r>
      <w:r w:rsidR="00682993">
        <w:rPr>
          <w:rFonts w:cs="Arial"/>
          <w:sz w:val="22"/>
          <w:szCs w:val="22"/>
        </w:rPr>
        <w:t>,</w:t>
      </w:r>
      <w:r w:rsidRPr="00EA4CE6">
        <w:rPr>
          <w:rFonts w:cs="Arial"/>
          <w:sz w:val="22"/>
          <w:szCs w:val="22"/>
        </w:rPr>
        <w:t xml:space="preserve"> resulted in the successful sign off of the narrative and return. For the third exercise running the high quality of the TPS return has resulted in no challenge meeting being required. Once again a great deal of assurance can be taken from this outcome. TP also included a comprehensive update </w:t>
      </w:r>
      <w:proofErr w:type="gramStart"/>
      <w:r w:rsidRPr="00EA4CE6">
        <w:rPr>
          <w:rFonts w:cs="Arial"/>
          <w:sz w:val="22"/>
          <w:szCs w:val="22"/>
        </w:rPr>
        <w:t>on  the</w:t>
      </w:r>
      <w:proofErr w:type="gramEnd"/>
      <w:r w:rsidRPr="00EA4CE6">
        <w:rPr>
          <w:rFonts w:cs="Arial"/>
          <w:sz w:val="22"/>
          <w:szCs w:val="22"/>
        </w:rPr>
        <w:t xml:space="preserve"> progress of the deferred project which was </w:t>
      </w:r>
      <w:r w:rsidR="00682993">
        <w:rPr>
          <w:rFonts w:cs="Arial"/>
          <w:sz w:val="22"/>
          <w:szCs w:val="22"/>
        </w:rPr>
        <w:t>well</w:t>
      </w:r>
      <w:r w:rsidRPr="00EA4CE6">
        <w:rPr>
          <w:rFonts w:cs="Arial"/>
          <w:sz w:val="22"/>
          <w:szCs w:val="22"/>
        </w:rPr>
        <w:t xml:space="preserve"> received – details of which can be found in the Risk update section.   </w:t>
      </w:r>
    </w:p>
    <w:p w14:paraId="69A22239" w14:textId="77777777" w:rsidR="000C4018" w:rsidRPr="00363983" w:rsidRDefault="000C4018" w:rsidP="00844135">
      <w:pPr>
        <w:pStyle w:val="ListParagraph"/>
        <w:ind w:right="611"/>
        <w:rPr>
          <w:rFonts w:cs="Arial"/>
          <w:sz w:val="22"/>
          <w:szCs w:val="22"/>
        </w:rPr>
      </w:pPr>
    </w:p>
    <w:tbl>
      <w:tblPr>
        <w:tblStyle w:val="TableGrid"/>
        <w:tblW w:w="0" w:type="auto"/>
        <w:tblInd w:w="108" w:type="dxa"/>
        <w:tblLook w:val="04A0" w:firstRow="1" w:lastRow="0" w:firstColumn="1" w:lastColumn="0" w:noHBand="0" w:noVBand="1"/>
      </w:tblPr>
      <w:tblGrid>
        <w:gridCol w:w="7230"/>
        <w:gridCol w:w="1134"/>
      </w:tblGrid>
      <w:tr w:rsidR="009E525D" w:rsidRPr="00363983" w14:paraId="3AB37947" w14:textId="77777777" w:rsidTr="00B608DF">
        <w:tc>
          <w:tcPr>
            <w:tcW w:w="7230" w:type="dxa"/>
          </w:tcPr>
          <w:p w14:paraId="0C07D58D" w14:textId="77777777" w:rsidR="009E525D" w:rsidRPr="00363983" w:rsidRDefault="009E525D" w:rsidP="00B608DF">
            <w:pPr>
              <w:rPr>
                <w:rFonts w:cs="Arial"/>
                <w:b/>
                <w:color w:val="000000"/>
                <w:sz w:val="22"/>
                <w:szCs w:val="22"/>
                <w:lang w:eastAsia="en-GB"/>
              </w:rPr>
            </w:pPr>
          </w:p>
          <w:p w14:paraId="23984AD5" w14:textId="77777777" w:rsidR="009E525D" w:rsidRPr="00363983" w:rsidRDefault="009E525D" w:rsidP="00B608DF">
            <w:pPr>
              <w:rPr>
                <w:rFonts w:cs="Arial"/>
                <w:b/>
                <w:sz w:val="22"/>
                <w:szCs w:val="22"/>
              </w:rPr>
            </w:pPr>
            <w:r w:rsidRPr="00363983">
              <w:rPr>
                <w:rFonts w:cs="Arial"/>
                <w:b/>
                <w:sz w:val="22"/>
                <w:szCs w:val="22"/>
              </w:rPr>
              <w:t>Resource Accounts (net expenditure out-turn) Position</w:t>
            </w:r>
          </w:p>
          <w:p w14:paraId="247B813B" w14:textId="77777777" w:rsidR="009E525D" w:rsidRPr="00363983" w:rsidRDefault="009E525D" w:rsidP="00B608DF">
            <w:pPr>
              <w:rPr>
                <w:rFonts w:cs="Arial"/>
                <w:b/>
                <w:sz w:val="22"/>
                <w:szCs w:val="22"/>
              </w:rPr>
            </w:pPr>
          </w:p>
        </w:tc>
        <w:tc>
          <w:tcPr>
            <w:tcW w:w="1134" w:type="dxa"/>
            <w:shd w:val="clear" w:color="auto" w:fill="00B050"/>
          </w:tcPr>
          <w:p w14:paraId="31198296" w14:textId="77777777" w:rsidR="009E525D" w:rsidRPr="00363983" w:rsidRDefault="008507B5" w:rsidP="00B608DF">
            <w:pPr>
              <w:rPr>
                <w:rFonts w:cs="Arial"/>
                <w:sz w:val="22"/>
                <w:szCs w:val="22"/>
              </w:rPr>
            </w:pPr>
            <w:r>
              <w:rPr>
                <w:rFonts w:cs="Arial"/>
                <w:noProof/>
                <w:color w:val="00B050"/>
                <w:szCs w:val="24"/>
                <w:lang w:eastAsia="en-GB"/>
              </w:rPr>
              <mc:AlternateContent>
                <mc:Choice Requires="wps">
                  <w:drawing>
                    <wp:anchor distT="4294967295" distB="4294967295" distL="114300" distR="114300" simplePos="0" relativeHeight="251673600" behindDoc="0" locked="0" layoutInCell="1" allowOverlap="1" wp14:anchorId="27CA7E07" wp14:editId="1E519156">
                      <wp:simplePos x="0" y="0"/>
                      <wp:positionH relativeFrom="column">
                        <wp:posOffset>148590</wp:posOffset>
                      </wp:positionH>
                      <wp:positionV relativeFrom="paragraph">
                        <wp:posOffset>242569</wp:posOffset>
                      </wp:positionV>
                      <wp:extent cx="350520" cy="0"/>
                      <wp:effectExtent l="0" t="76200" r="30480" b="1524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1.7pt;margin-top:19.1pt;width:27.6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" strokecolor="windowText" strokeweight="2pt">
                      <v:stroke endarrow="open"/>
                      <v:shadow on="t" color="black" opacity="24903f" origin=",.5" offset="0,.55556mm"/>
                      <o:lock v:ext="edit" shapetype="f"/>
                    </v:shape>
                  </w:pict>
                </mc:Fallback>
              </mc:AlternateContent>
            </w:r>
            <w:r w:rsidR="009E525D" w:rsidRPr="00363983">
              <w:rPr>
                <w:rFonts w:cs="Arial"/>
                <w:sz w:val="22"/>
                <w:szCs w:val="22"/>
              </w:rPr>
              <w:t xml:space="preserve">            </w:t>
            </w:r>
          </w:p>
        </w:tc>
      </w:tr>
    </w:tbl>
    <w:p w14:paraId="124068E5" w14:textId="77777777" w:rsidR="00B05496" w:rsidRDefault="00B05496" w:rsidP="00B05496">
      <w:pPr>
        <w:pStyle w:val="DeptBullets"/>
        <w:numPr>
          <w:ilvl w:val="0"/>
          <w:numId w:val="0"/>
        </w:numPr>
        <w:spacing w:after="0"/>
        <w:ind w:right="-58"/>
        <w:rPr>
          <w:rFonts w:cs="Arial"/>
          <w:color w:val="000000" w:themeColor="text1"/>
          <w:sz w:val="22"/>
          <w:szCs w:val="22"/>
        </w:rPr>
      </w:pPr>
    </w:p>
    <w:p w14:paraId="4C04D356" w14:textId="77777777" w:rsidR="0011509D" w:rsidRDefault="0011509D" w:rsidP="00DF7A7D">
      <w:pPr>
        <w:pStyle w:val="ListParagraph"/>
        <w:numPr>
          <w:ilvl w:val="0"/>
          <w:numId w:val="14"/>
        </w:numPr>
        <w:ind w:left="426" w:right="-99" w:hanging="720"/>
        <w:rPr>
          <w:rFonts w:cs="Arial"/>
          <w:sz w:val="22"/>
          <w:szCs w:val="22"/>
        </w:rPr>
      </w:pPr>
      <w:r w:rsidRPr="0011509D">
        <w:rPr>
          <w:rFonts w:cs="Arial"/>
          <w:sz w:val="22"/>
          <w:szCs w:val="22"/>
        </w:rPr>
        <w:t xml:space="preserve">The revised supplementary estimate produced by the </w:t>
      </w:r>
      <w:r w:rsidR="005D688A">
        <w:rPr>
          <w:rFonts w:cs="Arial"/>
          <w:sz w:val="22"/>
          <w:szCs w:val="22"/>
        </w:rPr>
        <w:t>D</w:t>
      </w:r>
      <w:r w:rsidRPr="0011509D">
        <w:rPr>
          <w:rFonts w:cs="Arial"/>
          <w:sz w:val="22"/>
          <w:szCs w:val="22"/>
        </w:rPr>
        <w:t>epartment in conjunction with TPS shows net expenditure of £12.294b for the financial year 2015-16. The forecast outturn at the end of January shows</w:t>
      </w:r>
      <w:proofErr w:type="gramStart"/>
      <w:r w:rsidRPr="0011509D">
        <w:rPr>
          <w:rFonts w:cs="Arial"/>
          <w:sz w:val="22"/>
          <w:szCs w:val="22"/>
        </w:rPr>
        <w:t>  an</w:t>
      </w:r>
      <w:proofErr w:type="gramEnd"/>
      <w:r w:rsidRPr="0011509D">
        <w:rPr>
          <w:rFonts w:cs="Arial"/>
          <w:sz w:val="22"/>
          <w:szCs w:val="22"/>
        </w:rPr>
        <w:t xml:space="preserve"> under</w:t>
      </w:r>
      <w:r w:rsidR="00470EB2">
        <w:rPr>
          <w:rFonts w:cs="Arial"/>
          <w:sz w:val="22"/>
          <w:szCs w:val="22"/>
        </w:rPr>
        <w:t>-</w:t>
      </w:r>
      <w:r w:rsidRPr="0011509D">
        <w:rPr>
          <w:rFonts w:cs="Arial"/>
          <w:sz w:val="22"/>
          <w:szCs w:val="22"/>
        </w:rPr>
        <w:t>spend of £200m against the estimate.  This figure is the combination of Income,</w:t>
      </w:r>
      <w:proofErr w:type="gramStart"/>
      <w:r w:rsidRPr="0011509D">
        <w:rPr>
          <w:rFonts w:cs="Arial"/>
          <w:sz w:val="22"/>
          <w:szCs w:val="22"/>
        </w:rPr>
        <w:t>  forecast</w:t>
      </w:r>
      <w:proofErr w:type="gramEnd"/>
      <w:r w:rsidRPr="0011509D">
        <w:rPr>
          <w:rFonts w:cs="Arial"/>
          <w:sz w:val="22"/>
          <w:szCs w:val="22"/>
        </w:rPr>
        <w:t xml:space="preserve"> to be £36m less than estimate, and   expenditure £236m less;  of which the two largest variances  are  current service cost and interest on scheme liabilities at £111m each.  Current service costs are calculated using income received. During the year the </w:t>
      </w:r>
      <w:proofErr w:type="gramStart"/>
      <w:r w:rsidRPr="0011509D">
        <w:rPr>
          <w:rFonts w:cs="Arial"/>
          <w:sz w:val="22"/>
          <w:szCs w:val="22"/>
        </w:rPr>
        <w:t>employers</w:t>
      </w:r>
      <w:proofErr w:type="gramEnd"/>
      <w:r w:rsidRPr="0011509D">
        <w:rPr>
          <w:rFonts w:cs="Arial"/>
          <w:sz w:val="22"/>
          <w:szCs w:val="22"/>
        </w:rPr>
        <w:t xml:space="preserve"> contribution rate was increased to 16.4% from 14.1%, this increase has obscured the reduction in contributions and therefore income is shown in line with estimate figures.  This reduction in income has in turn led to a reduction in the current service cost. The variance in the interest on scheme liabilities is driven as a result of the movement in the opening liability and the</w:t>
      </w:r>
      <w:r>
        <w:rPr>
          <w:rFonts w:cs="Arial"/>
          <w:sz w:val="22"/>
          <w:szCs w:val="22"/>
        </w:rPr>
        <w:t xml:space="preserve"> </w:t>
      </w:r>
      <w:r w:rsidRPr="0011509D">
        <w:rPr>
          <w:rFonts w:cs="Arial"/>
          <w:sz w:val="22"/>
          <w:szCs w:val="22"/>
        </w:rPr>
        <w:t>movement in current service costs.</w:t>
      </w:r>
    </w:p>
    <w:p w14:paraId="702C6248" w14:textId="77777777" w:rsidR="0011509D" w:rsidRPr="0011509D" w:rsidRDefault="0011509D" w:rsidP="0011509D">
      <w:pPr>
        <w:pStyle w:val="ListParagraph"/>
        <w:ind w:left="426"/>
        <w:rPr>
          <w:rFonts w:cs="Arial"/>
          <w:sz w:val="22"/>
          <w:szCs w:val="22"/>
        </w:rPr>
      </w:pPr>
    </w:p>
    <w:p w14:paraId="71C34E67" w14:textId="77777777" w:rsidR="00D96604" w:rsidRPr="00EA4CE6" w:rsidRDefault="00D96604" w:rsidP="00D96604">
      <w:pPr>
        <w:pStyle w:val="DeptBullets"/>
        <w:numPr>
          <w:ilvl w:val="0"/>
          <w:numId w:val="14"/>
        </w:numPr>
        <w:tabs>
          <w:tab w:val="left" w:pos="8222"/>
        </w:tabs>
        <w:ind w:left="360" w:right="-58"/>
        <w:rPr>
          <w:rFonts w:cs="Arial"/>
          <w:color w:val="000000" w:themeColor="text1"/>
          <w:sz w:val="22"/>
          <w:szCs w:val="22"/>
        </w:rPr>
      </w:pPr>
      <w:r w:rsidRPr="00EA4CE6">
        <w:rPr>
          <w:rFonts w:cs="Arial"/>
          <w:color w:val="000000" w:themeColor="text1"/>
          <w:sz w:val="22"/>
          <w:szCs w:val="22"/>
        </w:rPr>
        <w:t xml:space="preserve">TPS </w:t>
      </w:r>
      <w:r w:rsidR="00682993">
        <w:rPr>
          <w:rFonts w:cs="Arial"/>
          <w:color w:val="000000" w:themeColor="text1"/>
          <w:sz w:val="22"/>
          <w:szCs w:val="22"/>
        </w:rPr>
        <w:t>p</w:t>
      </w:r>
      <w:r w:rsidRPr="00EA4CE6">
        <w:rPr>
          <w:rFonts w:cs="Arial"/>
          <w:color w:val="000000" w:themeColor="text1"/>
          <w:sz w:val="22"/>
          <w:szCs w:val="22"/>
        </w:rPr>
        <w:t xml:space="preserve">roject and </w:t>
      </w:r>
      <w:r w:rsidR="00682993">
        <w:rPr>
          <w:rFonts w:cs="Arial"/>
          <w:color w:val="000000" w:themeColor="text1"/>
          <w:sz w:val="22"/>
          <w:szCs w:val="22"/>
        </w:rPr>
        <w:t>s</w:t>
      </w:r>
      <w:r w:rsidRPr="00EA4CE6">
        <w:rPr>
          <w:rFonts w:cs="Arial"/>
          <w:color w:val="000000" w:themeColor="text1"/>
          <w:sz w:val="22"/>
          <w:szCs w:val="22"/>
        </w:rPr>
        <w:t xml:space="preserve">teering groups are now in place to effectively manage and monitor the resource accounts processes with the ultimate objective of achieving successful </w:t>
      </w:r>
      <w:proofErr w:type="gramStart"/>
      <w:r w:rsidRPr="00EA4CE6">
        <w:rPr>
          <w:rFonts w:cs="Arial"/>
          <w:color w:val="000000" w:themeColor="text1"/>
          <w:sz w:val="22"/>
          <w:szCs w:val="22"/>
        </w:rPr>
        <w:t>laying</w:t>
      </w:r>
      <w:proofErr w:type="gramEnd"/>
      <w:r w:rsidRPr="00EA4CE6">
        <w:rPr>
          <w:rFonts w:cs="Arial"/>
          <w:color w:val="000000" w:themeColor="text1"/>
          <w:sz w:val="22"/>
          <w:szCs w:val="22"/>
        </w:rPr>
        <w:t xml:space="preserve"> of the accounts in advance of the parliamentary recess. To this end the project group has put in place an issues log and fortnightly update meetings whilst the steering group now monitors a risk register on a monthly basis. Actions to mitigate the key risks have been identified.   </w:t>
      </w:r>
    </w:p>
    <w:p w14:paraId="6CA3B4FC" w14:textId="77777777" w:rsidR="00D96604" w:rsidRPr="00EA4CE6" w:rsidRDefault="00D96604" w:rsidP="00D96604">
      <w:pPr>
        <w:pStyle w:val="DeptBullets"/>
        <w:numPr>
          <w:ilvl w:val="0"/>
          <w:numId w:val="14"/>
        </w:numPr>
        <w:tabs>
          <w:tab w:val="left" w:pos="8222"/>
        </w:tabs>
        <w:ind w:left="360" w:right="-58"/>
        <w:rPr>
          <w:rFonts w:cs="Arial"/>
          <w:color w:val="000000" w:themeColor="text1"/>
          <w:sz w:val="22"/>
          <w:szCs w:val="22"/>
        </w:rPr>
      </w:pPr>
      <w:r w:rsidRPr="00EA4CE6">
        <w:rPr>
          <w:rFonts w:cs="Arial"/>
          <w:color w:val="000000" w:themeColor="text1"/>
          <w:sz w:val="22"/>
          <w:szCs w:val="22"/>
        </w:rPr>
        <w:t>Following conclusion of the NAO preliminary audit in December</w:t>
      </w:r>
      <w:r w:rsidR="00682993">
        <w:rPr>
          <w:rFonts w:cs="Arial"/>
          <w:color w:val="000000" w:themeColor="text1"/>
          <w:sz w:val="22"/>
          <w:szCs w:val="22"/>
        </w:rPr>
        <w:t>,</w:t>
      </w:r>
      <w:r w:rsidRPr="00EA4CE6">
        <w:rPr>
          <w:rFonts w:cs="Arial"/>
          <w:color w:val="000000" w:themeColor="text1"/>
          <w:sz w:val="22"/>
          <w:szCs w:val="22"/>
        </w:rPr>
        <w:t xml:space="preserve"> TP have drafted the interim and final audit plans. The drafting of these plans in advance allows for resource impacts to be quantified and appointments arranged. The interim audit commences 29 February for 2 weeks and the final audit 30 May for 4 weeks. Concern has been expressed at the latter dates conflicting with the Audit Risk Committee meeting of </w:t>
      </w:r>
      <w:proofErr w:type="spellStart"/>
      <w:r w:rsidRPr="00EA4CE6">
        <w:rPr>
          <w:rFonts w:cs="Arial"/>
          <w:color w:val="000000" w:themeColor="text1"/>
          <w:sz w:val="22"/>
          <w:szCs w:val="22"/>
        </w:rPr>
        <w:t>mid June</w:t>
      </w:r>
      <w:proofErr w:type="spellEnd"/>
      <w:r w:rsidRPr="00EA4CE6">
        <w:rPr>
          <w:rFonts w:cs="Arial"/>
          <w:color w:val="000000" w:themeColor="text1"/>
          <w:sz w:val="22"/>
          <w:szCs w:val="22"/>
        </w:rPr>
        <w:t xml:space="preserve">. Department </w:t>
      </w:r>
      <w:r w:rsidR="00682993">
        <w:rPr>
          <w:rFonts w:cs="Arial"/>
          <w:color w:val="000000" w:themeColor="text1"/>
          <w:sz w:val="22"/>
          <w:szCs w:val="22"/>
        </w:rPr>
        <w:t>officials</w:t>
      </w:r>
      <w:r w:rsidRPr="00EA4CE6">
        <w:rPr>
          <w:rFonts w:cs="Arial"/>
          <w:color w:val="000000" w:themeColor="text1"/>
          <w:sz w:val="22"/>
          <w:szCs w:val="22"/>
        </w:rPr>
        <w:t xml:space="preserve"> are taking this issue forward.</w:t>
      </w:r>
    </w:p>
    <w:tbl>
      <w:tblPr>
        <w:tblStyle w:val="TableGrid"/>
        <w:tblW w:w="0" w:type="auto"/>
        <w:tblInd w:w="108" w:type="dxa"/>
        <w:tblLook w:val="04A0" w:firstRow="1" w:lastRow="0" w:firstColumn="1" w:lastColumn="0" w:noHBand="0" w:noVBand="1"/>
      </w:tblPr>
      <w:tblGrid>
        <w:gridCol w:w="7230"/>
        <w:gridCol w:w="1134"/>
      </w:tblGrid>
      <w:tr w:rsidR="00DC6BD2" w:rsidRPr="00363983" w14:paraId="4B05FCC2" w14:textId="77777777" w:rsidTr="00BA52B9">
        <w:tc>
          <w:tcPr>
            <w:tcW w:w="7230" w:type="dxa"/>
          </w:tcPr>
          <w:p w14:paraId="5F631338" w14:textId="77777777" w:rsidR="00DC6BD2" w:rsidRPr="00363983" w:rsidRDefault="00DC6BD2" w:rsidP="00311C8A">
            <w:pPr>
              <w:rPr>
                <w:rFonts w:cs="Arial"/>
                <w:b/>
                <w:color w:val="000000"/>
                <w:sz w:val="22"/>
                <w:szCs w:val="22"/>
                <w:lang w:eastAsia="en-GB"/>
              </w:rPr>
            </w:pPr>
          </w:p>
          <w:p w14:paraId="76E525EE" w14:textId="77777777" w:rsidR="00DC6BD2" w:rsidRPr="00363983" w:rsidRDefault="002F6007" w:rsidP="00311C8A">
            <w:pPr>
              <w:rPr>
                <w:rFonts w:cs="Arial"/>
                <w:b/>
                <w:color w:val="000000"/>
                <w:sz w:val="22"/>
                <w:szCs w:val="22"/>
                <w:lang w:eastAsia="en-GB"/>
              </w:rPr>
            </w:pPr>
            <w:r w:rsidRPr="00363983">
              <w:rPr>
                <w:rFonts w:cs="Arial"/>
                <w:b/>
                <w:color w:val="000000"/>
                <w:sz w:val="22"/>
                <w:szCs w:val="22"/>
                <w:lang w:eastAsia="en-GB"/>
              </w:rPr>
              <w:t>Contributions</w:t>
            </w:r>
          </w:p>
          <w:p w14:paraId="4FED0C74" w14:textId="77777777" w:rsidR="00DC6BD2" w:rsidRPr="00363983" w:rsidRDefault="00DC6BD2" w:rsidP="00311C8A">
            <w:pPr>
              <w:rPr>
                <w:rFonts w:cs="Arial"/>
                <w:b/>
                <w:sz w:val="22"/>
                <w:szCs w:val="22"/>
              </w:rPr>
            </w:pPr>
          </w:p>
        </w:tc>
        <w:tc>
          <w:tcPr>
            <w:tcW w:w="1134" w:type="dxa"/>
            <w:shd w:val="clear" w:color="auto" w:fill="00B050"/>
          </w:tcPr>
          <w:p w14:paraId="540394AF" w14:textId="77777777" w:rsidR="006A31F2" w:rsidRPr="00363983" w:rsidRDefault="00DC6BD2" w:rsidP="00311C8A">
            <w:pPr>
              <w:rPr>
                <w:rFonts w:cs="Arial"/>
                <w:sz w:val="22"/>
                <w:szCs w:val="22"/>
              </w:rPr>
            </w:pPr>
            <w:r w:rsidRPr="00363983">
              <w:rPr>
                <w:rFonts w:cs="Arial"/>
                <w:sz w:val="22"/>
                <w:szCs w:val="22"/>
              </w:rPr>
              <w:t xml:space="preserve">            </w:t>
            </w:r>
          </w:p>
          <w:p w14:paraId="286BCF8C" w14:textId="77777777" w:rsidR="00DC6BD2" w:rsidRPr="00363983" w:rsidRDefault="008507B5" w:rsidP="006A31F2">
            <w:pPr>
              <w:rPr>
                <w:rFonts w:cs="Arial"/>
                <w:sz w:val="22"/>
                <w:szCs w:val="22"/>
              </w:rPr>
            </w:pPr>
            <w:r>
              <w:rPr>
                <w:rFonts w:cs="Arial"/>
                <w:noProof/>
                <w:color w:val="00B050"/>
                <w:szCs w:val="24"/>
                <w:lang w:eastAsia="en-GB"/>
              </w:rPr>
              <mc:AlternateContent>
                <mc:Choice Requires="wps">
                  <w:drawing>
                    <wp:anchor distT="4294967295" distB="4294967295" distL="114300" distR="114300" simplePos="0" relativeHeight="251675648" behindDoc="0" locked="0" layoutInCell="1" allowOverlap="1" wp14:anchorId="3A414BF6" wp14:editId="760BED49">
                      <wp:simplePos x="0" y="0"/>
                      <wp:positionH relativeFrom="column">
                        <wp:posOffset>125730</wp:posOffset>
                      </wp:positionH>
                      <wp:positionV relativeFrom="paragraph">
                        <wp:posOffset>83184</wp:posOffset>
                      </wp:positionV>
                      <wp:extent cx="350520" cy="0"/>
                      <wp:effectExtent l="0" t="76200" r="30480" b="1524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9.9pt;margin-top:6.55pt;width:27.6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" strokecolor="windowText" strokeweight="2pt">
                      <v:stroke endarrow="open"/>
                      <v:shadow on="t" color="black" opacity="24903f" origin=",.5" offset="0,.55556mm"/>
                      <o:lock v:ext="edit" shapetype="f"/>
                    </v:shape>
                  </w:pict>
                </mc:Fallback>
              </mc:AlternateContent>
            </w:r>
          </w:p>
        </w:tc>
      </w:tr>
    </w:tbl>
    <w:p w14:paraId="3FBE8295" w14:textId="77777777" w:rsidR="008D340F" w:rsidRPr="00363983" w:rsidRDefault="008D340F" w:rsidP="008D340F">
      <w:pPr>
        <w:pStyle w:val="DeptBullets"/>
        <w:numPr>
          <w:ilvl w:val="0"/>
          <w:numId w:val="0"/>
        </w:numPr>
        <w:spacing w:after="0"/>
        <w:ind w:right="-58"/>
        <w:rPr>
          <w:rFonts w:cs="Arial"/>
          <w:b/>
          <w:sz w:val="22"/>
          <w:szCs w:val="22"/>
        </w:rPr>
      </w:pPr>
    </w:p>
    <w:p w14:paraId="0AA45B62" w14:textId="77777777" w:rsidR="00D96604" w:rsidRPr="00EA4CE6" w:rsidRDefault="00D96604" w:rsidP="00D96604">
      <w:pPr>
        <w:pStyle w:val="DeptBullets"/>
        <w:numPr>
          <w:ilvl w:val="0"/>
          <w:numId w:val="14"/>
        </w:numPr>
        <w:ind w:left="360" w:right="-58"/>
        <w:rPr>
          <w:rFonts w:cs="Arial"/>
          <w:sz w:val="22"/>
          <w:szCs w:val="22"/>
        </w:rPr>
      </w:pPr>
      <w:r w:rsidRPr="00EA4CE6">
        <w:rPr>
          <w:rFonts w:cs="Arial"/>
          <w:b/>
          <w:sz w:val="22"/>
          <w:szCs w:val="22"/>
        </w:rPr>
        <w:t>Unallocated Contributions</w:t>
      </w:r>
      <w:r w:rsidRPr="00EA4CE6">
        <w:rPr>
          <w:rFonts w:cs="Arial"/>
          <w:sz w:val="22"/>
          <w:szCs w:val="22"/>
        </w:rPr>
        <w:t xml:space="preserve"> – Scheme contributions are paid by default to a suspense account, and allocated to the appropriate account once a ‘paying in’ slip has been received from the corresponding employer.  Late receipt of this supporting data can lead to delays in allocating contributions.  There is a structured approach to pursuing this outstanding data.</w:t>
      </w:r>
    </w:p>
    <w:p w14:paraId="5E527C7E" w14:textId="77777777" w:rsidR="00D96604" w:rsidRPr="00EA4CE6" w:rsidRDefault="00D96604" w:rsidP="00DF7A7D">
      <w:pPr>
        <w:pStyle w:val="DeptBullets"/>
        <w:numPr>
          <w:ilvl w:val="1"/>
          <w:numId w:val="14"/>
        </w:numPr>
        <w:ind w:left="993" w:right="84" w:hanging="425"/>
        <w:rPr>
          <w:rFonts w:cs="Arial"/>
          <w:sz w:val="22"/>
          <w:szCs w:val="22"/>
        </w:rPr>
      </w:pPr>
      <w:r w:rsidRPr="00EA4CE6">
        <w:rPr>
          <w:rFonts w:cs="Arial"/>
          <w:sz w:val="22"/>
          <w:szCs w:val="22"/>
        </w:rPr>
        <w:t>Considerable work on the account over the past quarter has seen the current balance of monies requiring allocation to an employer record reduced to £95m. This is the first time the balance has f</w:t>
      </w:r>
      <w:r w:rsidR="00682993">
        <w:rPr>
          <w:rFonts w:cs="Arial"/>
          <w:sz w:val="22"/>
          <w:szCs w:val="22"/>
        </w:rPr>
        <w:t>allen</w:t>
      </w:r>
      <w:r w:rsidRPr="00EA4CE6">
        <w:rPr>
          <w:rFonts w:cs="Arial"/>
          <w:sz w:val="22"/>
          <w:szCs w:val="22"/>
        </w:rPr>
        <w:t xml:space="preserve"> below £100m. This consists of £27.7m to be cleared down within the accounts from 2013-14, £26.7m being reviewed as part of the current 2014-15 end of year certificate (EOYC) exercise and £37.2m from the current financial year. Some 17 employers have been identified, currently accounting for circa £30m of the balance</w:t>
      </w:r>
      <w:r w:rsidR="00682993">
        <w:rPr>
          <w:rFonts w:cs="Arial"/>
          <w:sz w:val="22"/>
          <w:szCs w:val="22"/>
        </w:rPr>
        <w:t>; these</w:t>
      </w:r>
      <w:r w:rsidRPr="00EA4CE6">
        <w:rPr>
          <w:rFonts w:cs="Arial"/>
          <w:sz w:val="22"/>
          <w:szCs w:val="22"/>
        </w:rPr>
        <w:t xml:space="preserve"> will be targeted between now and the year-end for slips. </w:t>
      </w:r>
    </w:p>
    <w:p w14:paraId="1D7EC8F7" w14:textId="77777777" w:rsidR="00D96604" w:rsidRPr="00EA4CE6" w:rsidRDefault="00D96604" w:rsidP="00DF7A7D">
      <w:pPr>
        <w:pStyle w:val="DeptBullets"/>
        <w:numPr>
          <w:ilvl w:val="1"/>
          <w:numId w:val="14"/>
        </w:numPr>
        <w:ind w:left="993" w:right="84" w:hanging="425"/>
        <w:rPr>
          <w:rFonts w:cs="Arial"/>
          <w:sz w:val="22"/>
          <w:szCs w:val="22"/>
        </w:rPr>
      </w:pPr>
      <w:r w:rsidRPr="00EA4CE6">
        <w:rPr>
          <w:rFonts w:cs="Arial"/>
          <w:sz w:val="22"/>
          <w:szCs w:val="22"/>
        </w:rPr>
        <w:t xml:space="preserve">The breakdown by sector shows £11.7m attributable to Academies (previously £18.2m), £67.3m to local authorities (£72.1m). £6.3m to FE Colleges (£5.6m), £3.7m to HE colleges (£6.7m) and £3.2m to </w:t>
      </w:r>
      <w:proofErr w:type="spellStart"/>
      <w:r w:rsidRPr="00EA4CE6">
        <w:rPr>
          <w:rFonts w:cs="Arial"/>
          <w:sz w:val="22"/>
          <w:szCs w:val="22"/>
        </w:rPr>
        <w:t>independants</w:t>
      </w:r>
      <w:proofErr w:type="spellEnd"/>
      <w:r w:rsidRPr="00EA4CE6">
        <w:rPr>
          <w:rFonts w:cs="Arial"/>
          <w:sz w:val="22"/>
          <w:szCs w:val="22"/>
        </w:rPr>
        <w:t xml:space="preserve"> (£4.2m).  </w:t>
      </w:r>
    </w:p>
    <w:p w14:paraId="23F06162" w14:textId="77777777" w:rsidR="00D96604" w:rsidRPr="00EA4CE6" w:rsidRDefault="00D96604" w:rsidP="00DF7A7D">
      <w:pPr>
        <w:pStyle w:val="DeptBullets"/>
        <w:numPr>
          <w:ilvl w:val="1"/>
          <w:numId w:val="14"/>
        </w:numPr>
        <w:ind w:left="993" w:hanging="425"/>
        <w:rPr>
          <w:rFonts w:cs="Arial"/>
          <w:sz w:val="22"/>
          <w:szCs w:val="22"/>
        </w:rPr>
      </w:pPr>
      <w:r w:rsidRPr="00EA4CE6">
        <w:rPr>
          <w:rFonts w:cs="Arial"/>
          <w:sz w:val="22"/>
          <w:szCs w:val="22"/>
        </w:rPr>
        <w:t>The first contributions dashboard measure illustrates that the actual amount of employee contributions received across the 6 tiers equals that expected, when based upon actual employer contributions received. The result is a minimal variance of 0.06% or £109k on £188m of employee contributions.</w:t>
      </w:r>
    </w:p>
    <w:p w14:paraId="57D4A22D" w14:textId="77777777" w:rsidR="00D96604" w:rsidRDefault="00D96604" w:rsidP="00DF7A7D">
      <w:pPr>
        <w:pStyle w:val="DeptBullets"/>
        <w:numPr>
          <w:ilvl w:val="1"/>
          <w:numId w:val="14"/>
        </w:numPr>
        <w:ind w:left="993" w:hanging="425"/>
        <w:rPr>
          <w:rFonts w:cs="Arial"/>
          <w:sz w:val="22"/>
          <w:szCs w:val="22"/>
        </w:rPr>
      </w:pPr>
      <w:r w:rsidRPr="00EA4CE6">
        <w:rPr>
          <w:rFonts w:cs="Arial"/>
          <w:sz w:val="22"/>
          <w:szCs w:val="22"/>
        </w:rPr>
        <w:t xml:space="preserve">The effect of the increased employer contribution rate - from 14.1% to 16.4% plus the admin levy of 0.08% - which took effect from 1 </w:t>
      </w:r>
      <w:proofErr w:type="gramStart"/>
      <w:r w:rsidRPr="00EA4CE6">
        <w:rPr>
          <w:rFonts w:cs="Arial"/>
          <w:sz w:val="22"/>
          <w:szCs w:val="22"/>
        </w:rPr>
        <w:t>September</w:t>
      </w:r>
      <w:proofErr w:type="gramEnd"/>
      <w:r w:rsidRPr="00EA4CE6">
        <w:rPr>
          <w:rFonts w:cs="Arial"/>
          <w:sz w:val="22"/>
          <w:szCs w:val="22"/>
        </w:rPr>
        <w:t xml:space="preserve"> continues to be closely monitored. Following initial increases in the volume of monthly ratio variances reported a reduction has been seen this month from 580 to 422. In addition all prior month variances have been resolved. Further analysis confirms that over 99% of employers have paid at the correct rate.  </w:t>
      </w:r>
    </w:p>
    <w:p w14:paraId="135E6D52" w14:textId="77777777" w:rsidR="0011509D" w:rsidRDefault="0011509D" w:rsidP="0011509D">
      <w:pPr>
        <w:pStyle w:val="DeptBullets"/>
        <w:numPr>
          <w:ilvl w:val="0"/>
          <w:numId w:val="0"/>
        </w:numPr>
        <w:ind w:left="993"/>
        <w:rPr>
          <w:rFonts w:cs="Arial"/>
          <w:sz w:val="22"/>
          <w:szCs w:val="22"/>
        </w:rPr>
      </w:pPr>
    </w:p>
    <w:p w14:paraId="28949584" w14:textId="77777777" w:rsidR="00DF7A7D" w:rsidRPr="00EA4CE6" w:rsidRDefault="00DF7A7D" w:rsidP="0011509D">
      <w:pPr>
        <w:pStyle w:val="DeptBullets"/>
        <w:numPr>
          <w:ilvl w:val="0"/>
          <w:numId w:val="0"/>
        </w:numPr>
        <w:ind w:left="993"/>
        <w:rPr>
          <w:rFonts w:cs="Arial"/>
          <w:sz w:val="22"/>
          <w:szCs w:val="22"/>
        </w:rPr>
      </w:pPr>
    </w:p>
    <w:p w14:paraId="6738C1AB" w14:textId="77777777" w:rsidR="00D96604" w:rsidRPr="00EA4CE6" w:rsidRDefault="00D96604" w:rsidP="00D96604">
      <w:pPr>
        <w:pStyle w:val="DeptBullets"/>
        <w:numPr>
          <w:ilvl w:val="0"/>
          <w:numId w:val="14"/>
        </w:numPr>
        <w:ind w:left="360"/>
        <w:rPr>
          <w:rFonts w:cs="Arial"/>
          <w:b/>
          <w:sz w:val="22"/>
          <w:szCs w:val="22"/>
        </w:rPr>
      </w:pPr>
      <w:r w:rsidRPr="00EA4CE6">
        <w:rPr>
          <w:rFonts w:cs="Arial"/>
          <w:b/>
          <w:sz w:val="22"/>
          <w:szCs w:val="22"/>
        </w:rPr>
        <w:lastRenderedPageBreak/>
        <w:t>End of Year Certificate</w:t>
      </w:r>
      <w:r w:rsidR="00D718AE">
        <w:rPr>
          <w:rFonts w:cs="Arial"/>
          <w:b/>
          <w:sz w:val="22"/>
          <w:szCs w:val="22"/>
        </w:rPr>
        <w:t>s</w:t>
      </w:r>
      <w:r w:rsidRPr="00EA4CE6">
        <w:rPr>
          <w:rFonts w:cs="Arial"/>
          <w:b/>
          <w:sz w:val="22"/>
          <w:szCs w:val="22"/>
        </w:rPr>
        <w:t xml:space="preserve"> (EOYC)</w:t>
      </w:r>
      <w:r w:rsidRPr="00EA4CE6">
        <w:rPr>
          <w:rFonts w:cs="Arial"/>
          <w:sz w:val="22"/>
          <w:szCs w:val="22"/>
        </w:rPr>
        <w:t xml:space="preserve"> – The non-local authority and loca</w:t>
      </w:r>
      <w:r w:rsidR="00D718AE">
        <w:rPr>
          <w:rFonts w:cs="Arial"/>
          <w:sz w:val="22"/>
          <w:szCs w:val="22"/>
        </w:rPr>
        <w:t>l</w:t>
      </w:r>
      <w:r w:rsidRPr="00EA4CE6">
        <w:rPr>
          <w:rFonts w:cs="Arial"/>
          <w:sz w:val="22"/>
          <w:szCs w:val="22"/>
        </w:rPr>
        <w:t xml:space="preserve"> authority deadlines</w:t>
      </w:r>
      <w:r w:rsidR="00D718AE">
        <w:rPr>
          <w:rFonts w:cs="Arial"/>
          <w:sz w:val="22"/>
          <w:szCs w:val="22"/>
        </w:rPr>
        <w:t xml:space="preserve"> (</w:t>
      </w:r>
      <w:r w:rsidRPr="00EA4CE6">
        <w:rPr>
          <w:rFonts w:cs="Arial"/>
          <w:sz w:val="22"/>
          <w:szCs w:val="22"/>
        </w:rPr>
        <w:t>being the end of September and November respectively for the 2014-15 exercise</w:t>
      </w:r>
      <w:r w:rsidR="00D718AE">
        <w:rPr>
          <w:rFonts w:cs="Arial"/>
          <w:sz w:val="22"/>
          <w:szCs w:val="22"/>
        </w:rPr>
        <w:t xml:space="preserve">) </w:t>
      </w:r>
      <w:r w:rsidRPr="00EA4CE6">
        <w:rPr>
          <w:rFonts w:cs="Arial"/>
          <w:sz w:val="22"/>
          <w:szCs w:val="22"/>
        </w:rPr>
        <w:t>passed</w:t>
      </w:r>
      <w:r w:rsidR="00D718AE">
        <w:rPr>
          <w:rFonts w:cs="Arial"/>
          <w:sz w:val="22"/>
          <w:szCs w:val="22"/>
        </w:rPr>
        <w:t>,</w:t>
      </w:r>
      <w:r>
        <w:rPr>
          <w:rFonts w:asciiTheme="minorHAnsi" w:hAnsiTheme="minorHAnsi"/>
          <w:sz w:val="22"/>
          <w:szCs w:val="22"/>
        </w:rPr>
        <w:t xml:space="preserve"> </w:t>
      </w:r>
      <w:r w:rsidRPr="00EA4CE6">
        <w:rPr>
          <w:rFonts w:cs="Arial"/>
          <w:sz w:val="22"/>
          <w:szCs w:val="22"/>
        </w:rPr>
        <w:t>and TP have followed the escalated reminder process in order to secure late returns. As at 31</w:t>
      </w:r>
      <w:r w:rsidR="00D718AE">
        <w:rPr>
          <w:rFonts w:cs="Arial"/>
          <w:sz w:val="22"/>
          <w:szCs w:val="22"/>
        </w:rPr>
        <w:t xml:space="preserve"> </w:t>
      </w:r>
      <w:r w:rsidRPr="00EA4CE6">
        <w:rPr>
          <w:rFonts w:cs="Arial"/>
          <w:sz w:val="22"/>
          <w:szCs w:val="22"/>
        </w:rPr>
        <w:t xml:space="preserve">January there remain 3 local authority returns to secure and 65 non-local authority returns. The 65 </w:t>
      </w:r>
      <w:r w:rsidRPr="00EA4CE6">
        <w:rPr>
          <w:rFonts w:cs="Arial"/>
          <w:color w:val="000000" w:themeColor="text1"/>
          <w:sz w:val="22"/>
          <w:szCs w:val="22"/>
        </w:rPr>
        <w:t xml:space="preserve">consist of 29 Academies, 5 Free Schools, 3 Function Providers, 5 FE Colleges, 22 </w:t>
      </w:r>
      <w:proofErr w:type="spellStart"/>
      <w:r w:rsidRPr="00EA4CE6">
        <w:rPr>
          <w:rFonts w:cs="Arial"/>
          <w:color w:val="000000" w:themeColor="text1"/>
          <w:sz w:val="22"/>
          <w:szCs w:val="22"/>
        </w:rPr>
        <w:t>Independants</w:t>
      </w:r>
      <w:proofErr w:type="spellEnd"/>
      <w:r w:rsidRPr="00EA4CE6">
        <w:rPr>
          <w:rFonts w:cs="Arial"/>
          <w:color w:val="000000" w:themeColor="text1"/>
          <w:sz w:val="22"/>
          <w:szCs w:val="22"/>
        </w:rPr>
        <w:t xml:space="preserve"> and 1 University Technical College.</w:t>
      </w:r>
      <w:r w:rsidRPr="00EA4CE6">
        <w:rPr>
          <w:rFonts w:cs="Arial"/>
          <w:b/>
          <w:color w:val="000000" w:themeColor="text1"/>
          <w:sz w:val="22"/>
          <w:szCs w:val="22"/>
        </w:rPr>
        <w:t xml:space="preserve"> </w:t>
      </w:r>
      <w:r w:rsidRPr="00EA4CE6">
        <w:rPr>
          <w:rFonts w:cs="Arial"/>
          <w:color w:val="000000" w:themeColor="text1"/>
          <w:sz w:val="22"/>
          <w:szCs w:val="22"/>
        </w:rPr>
        <w:t>The 68 outstanding represents</w:t>
      </w:r>
      <w:r w:rsidRPr="00EA4CE6">
        <w:rPr>
          <w:rFonts w:cs="Arial"/>
          <w:sz w:val="22"/>
          <w:szCs w:val="22"/>
        </w:rPr>
        <w:t xml:space="preserve"> 1% of the population issued of 6,713. Therefore 99% have been returned compared to 98.6% last year when 85 remained outstanding</w:t>
      </w:r>
      <w:r w:rsidR="00CC133A">
        <w:rPr>
          <w:rFonts w:cs="Arial"/>
          <w:sz w:val="22"/>
          <w:szCs w:val="22"/>
        </w:rPr>
        <w:t>,</w:t>
      </w:r>
      <w:r w:rsidRPr="00EA4CE6">
        <w:rPr>
          <w:rFonts w:cs="Arial"/>
          <w:sz w:val="22"/>
          <w:szCs w:val="22"/>
        </w:rPr>
        <w:t xml:space="preserve"> against a smaller population of 5,904</w:t>
      </w:r>
      <w:r w:rsidR="00D718AE">
        <w:rPr>
          <w:rFonts w:cs="Arial"/>
          <w:sz w:val="22"/>
          <w:szCs w:val="22"/>
        </w:rPr>
        <w:t>.</w:t>
      </w:r>
      <w:r w:rsidRPr="00EA4CE6">
        <w:rPr>
          <w:rFonts w:cs="Arial"/>
          <w:sz w:val="22"/>
          <w:szCs w:val="22"/>
        </w:rPr>
        <w:t xml:space="preserve"> </w:t>
      </w:r>
      <w:proofErr w:type="gramStart"/>
      <w:r w:rsidRPr="00EA4CE6">
        <w:rPr>
          <w:rFonts w:cs="Arial"/>
          <w:sz w:val="22"/>
          <w:szCs w:val="22"/>
        </w:rPr>
        <w:t>at</w:t>
      </w:r>
      <w:proofErr w:type="gramEnd"/>
      <w:r w:rsidRPr="00EA4CE6">
        <w:rPr>
          <w:rFonts w:cs="Arial"/>
          <w:sz w:val="22"/>
          <w:szCs w:val="22"/>
        </w:rPr>
        <w:t xml:space="preserve"> this stage.</w:t>
      </w:r>
    </w:p>
    <w:p w14:paraId="076A995D" w14:textId="77777777" w:rsidR="00711F15" w:rsidRPr="00EA4CE6" w:rsidRDefault="00CC133A" w:rsidP="00CC133A">
      <w:pPr>
        <w:pStyle w:val="DeptBullets"/>
        <w:numPr>
          <w:ilvl w:val="0"/>
          <w:numId w:val="0"/>
        </w:numPr>
        <w:ind w:left="360" w:hanging="360"/>
        <w:rPr>
          <w:rFonts w:cs="Arial"/>
          <w:sz w:val="22"/>
          <w:szCs w:val="22"/>
        </w:rPr>
      </w:pPr>
      <w:r w:rsidRPr="00CC133A">
        <w:rPr>
          <w:rFonts w:cs="Arial"/>
          <w:sz w:val="22"/>
          <w:szCs w:val="22"/>
        </w:rPr>
        <w:t>9</w:t>
      </w:r>
      <w:r>
        <w:rPr>
          <w:rFonts w:cs="Arial"/>
          <w:b/>
          <w:sz w:val="22"/>
          <w:szCs w:val="22"/>
        </w:rPr>
        <w:t>.</w:t>
      </w:r>
      <w:r>
        <w:rPr>
          <w:rFonts w:cs="Arial"/>
          <w:b/>
          <w:sz w:val="22"/>
          <w:szCs w:val="22"/>
        </w:rPr>
        <w:tab/>
      </w:r>
      <w:r w:rsidR="00D96604" w:rsidRPr="00EA4CE6">
        <w:rPr>
          <w:rFonts w:cs="Arial"/>
          <w:b/>
          <w:sz w:val="22"/>
          <w:szCs w:val="22"/>
        </w:rPr>
        <w:t xml:space="preserve">Pension Regulator Reporting - </w:t>
      </w:r>
      <w:r w:rsidR="00D96604" w:rsidRPr="00EA4CE6">
        <w:rPr>
          <w:rFonts w:cs="Arial"/>
          <w:sz w:val="22"/>
          <w:szCs w:val="22"/>
        </w:rPr>
        <w:t>The first breach review meeting was held in January. The first element of which was those employers with contributions over 90 days outstanding. This consisted of 5 employers where repayment has been robustly chased by TP through the escalated reminder process</w:t>
      </w:r>
      <w:r>
        <w:rPr>
          <w:rFonts w:cs="Arial"/>
          <w:sz w:val="22"/>
          <w:szCs w:val="22"/>
        </w:rPr>
        <w:t>.  F</w:t>
      </w:r>
      <w:r w:rsidR="00D96604" w:rsidRPr="00EA4CE6">
        <w:rPr>
          <w:rFonts w:cs="Arial"/>
          <w:sz w:val="22"/>
          <w:szCs w:val="22"/>
        </w:rPr>
        <w:t xml:space="preserve">ollowing review of the individual case histories it was agreed not to report at this stage. However a number had deadlines of 31 January imposed. Additionally a further 5 employers have repayment plans in </w:t>
      </w:r>
      <w:proofErr w:type="gramStart"/>
      <w:r w:rsidR="00D96604" w:rsidRPr="00EA4CE6">
        <w:rPr>
          <w:rFonts w:cs="Arial"/>
          <w:sz w:val="22"/>
          <w:szCs w:val="22"/>
        </w:rPr>
        <w:t>place,</w:t>
      </w:r>
      <w:proofErr w:type="gramEnd"/>
      <w:r w:rsidR="00D96604" w:rsidRPr="00EA4CE6">
        <w:rPr>
          <w:rFonts w:cs="Arial"/>
          <w:sz w:val="22"/>
          <w:szCs w:val="22"/>
        </w:rPr>
        <w:t xml:space="preserve"> it was </w:t>
      </w:r>
      <w:r>
        <w:rPr>
          <w:rFonts w:cs="Arial"/>
          <w:sz w:val="22"/>
          <w:szCs w:val="22"/>
        </w:rPr>
        <w:t xml:space="preserve">therefore </w:t>
      </w:r>
      <w:r w:rsidR="00D96604" w:rsidRPr="00EA4CE6">
        <w:rPr>
          <w:rFonts w:cs="Arial"/>
          <w:sz w:val="22"/>
          <w:szCs w:val="22"/>
        </w:rPr>
        <w:t xml:space="preserve">agreed not to report unless they default on their agreed plan. All 10 employers belong to the Independent sector.  EOYC performance was then reviewed. Given TP provided 3 </w:t>
      </w:r>
      <w:proofErr w:type="spellStart"/>
      <w:r w:rsidR="00D96604" w:rsidRPr="00EA4CE6">
        <w:rPr>
          <w:rFonts w:cs="Arial"/>
          <w:sz w:val="22"/>
          <w:szCs w:val="22"/>
        </w:rPr>
        <w:t>years worth</w:t>
      </w:r>
      <w:proofErr w:type="spellEnd"/>
      <w:r w:rsidR="00D96604" w:rsidRPr="00EA4CE6">
        <w:rPr>
          <w:rFonts w:cs="Arial"/>
          <w:sz w:val="22"/>
          <w:szCs w:val="22"/>
        </w:rPr>
        <w:t xml:space="preserve"> of data it was agreed that the first step should be for TP to propose a reporting matrix. This has now been drafted for approval following which a further review meeting will be arranged. Full minutes of the </w:t>
      </w:r>
      <w:proofErr w:type="gramStart"/>
      <w:r w:rsidR="00D96604" w:rsidRPr="00EA4CE6">
        <w:rPr>
          <w:rFonts w:cs="Arial"/>
          <w:sz w:val="22"/>
          <w:szCs w:val="22"/>
        </w:rPr>
        <w:t>breach  meeting</w:t>
      </w:r>
      <w:proofErr w:type="gramEnd"/>
      <w:r w:rsidR="00D96604" w:rsidRPr="00EA4CE6">
        <w:rPr>
          <w:rFonts w:cs="Arial"/>
          <w:sz w:val="22"/>
          <w:szCs w:val="22"/>
        </w:rPr>
        <w:t xml:space="preserve"> were drafted and distributed to attendees.</w:t>
      </w:r>
    </w:p>
    <w:tbl>
      <w:tblPr>
        <w:tblStyle w:val="TableGrid"/>
        <w:tblW w:w="0" w:type="auto"/>
        <w:tblInd w:w="108" w:type="dxa"/>
        <w:tblLook w:val="04A0" w:firstRow="1" w:lastRow="0" w:firstColumn="1" w:lastColumn="0" w:noHBand="0" w:noVBand="1"/>
      </w:tblPr>
      <w:tblGrid>
        <w:gridCol w:w="7230"/>
        <w:gridCol w:w="1134"/>
      </w:tblGrid>
      <w:tr w:rsidR="00DC6BD2" w:rsidRPr="00363983" w14:paraId="5849AB36" w14:textId="77777777" w:rsidTr="00176043">
        <w:tc>
          <w:tcPr>
            <w:tcW w:w="7230" w:type="dxa"/>
          </w:tcPr>
          <w:p w14:paraId="1F8A28E7" w14:textId="77777777" w:rsidR="00DC6BD2" w:rsidRPr="00363983" w:rsidRDefault="00DC6BD2" w:rsidP="00311C8A">
            <w:pPr>
              <w:rPr>
                <w:rFonts w:cs="Arial"/>
                <w:b/>
                <w:color w:val="000000"/>
                <w:sz w:val="22"/>
                <w:szCs w:val="22"/>
                <w:lang w:eastAsia="en-GB"/>
              </w:rPr>
            </w:pPr>
          </w:p>
          <w:p w14:paraId="124FEE87" w14:textId="77777777" w:rsidR="00DC6BD2" w:rsidRPr="00363983" w:rsidRDefault="002F6007" w:rsidP="00311C8A">
            <w:pPr>
              <w:rPr>
                <w:rFonts w:cs="Arial"/>
                <w:b/>
                <w:color w:val="000000"/>
                <w:sz w:val="22"/>
                <w:szCs w:val="22"/>
                <w:lang w:eastAsia="en-GB"/>
              </w:rPr>
            </w:pPr>
            <w:r w:rsidRPr="00363983">
              <w:rPr>
                <w:rFonts w:cs="Arial"/>
                <w:b/>
                <w:color w:val="000000"/>
                <w:sz w:val="22"/>
                <w:szCs w:val="22"/>
                <w:lang w:eastAsia="en-GB"/>
              </w:rPr>
              <w:t>Debt</w:t>
            </w:r>
          </w:p>
          <w:p w14:paraId="1F7E64E5" w14:textId="77777777" w:rsidR="00DC6BD2" w:rsidRPr="00363983" w:rsidRDefault="00DC6BD2" w:rsidP="00311C8A">
            <w:pPr>
              <w:rPr>
                <w:rFonts w:cs="Arial"/>
                <w:b/>
                <w:sz w:val="22"/>
                <w:szCs w:val="22"/>
              </w:rPr>
            </w:pPr>
          </w:p>
        </w:tc>
        <w:tc>
          <w:tcPr>
            <w:tcW w:w="1134" w:type="dxa"/>
            <w:shd w:val="clear" w:color="auto" w:fill="FFC000"/>
          </w:tcPr>
          <w:p w14:paraId="4EF17357" w14:textId="77777777" w:rsidR="00B05496" w:rsidRPr="00363983" w:rsidRDefault="00DC6BD2" w:rsidP="00311C8A">
            <w:pPr>
              <w:rPr>
                <w:rFonts w:cs="Arial"/>
                <w:sz w:val="22"/>
                <w:szCs w:val="22"/>
              </w:rPr>
            </w:pPr>
            <w:r w:rsidRPr="00363983">
              <w:rPr>
                <w:rFonts w:cs="Arial"/>
                <w:color w:val="00B050"/>
                <w:sz w:val="22"/>
                <w:szCs w:val="22"/>
              </w:rPr>
              <w:t xml:space="preserve">                        </w:t>
            </w:r>
          </w:p>
          <w:p w14:paraId="1FE2BBC1" w14:textId="77777777" w:rsidR="00DC6BD2" w:rsidRPr="00363983" w:rsidRDefault="008507B5" w:rsidP="00B05496">
            <w:pPr>
              <w:rPr>
                <w:rFonts w:cs="Arial"/>
                <w:sz w:val="22"/>
                <w:szCs w:val="22"/>
              </w:rPr>
            </w:pPr>
            <w:r>
              <w:rPr>
                <w:rFonts w:cs="Arial"/>
                <w:noProof/>
                <w:color w:val="00B050"/>
                <w:szCs w:val="24"/>
                <w:lang w:eastAsia="en-GB"/>
              </w:rPr>
              <mc:AlternateContent>
                <mc:Choice Requires="wps">
                  <w:drawing>
                    <wp:anchor distT="4294967295" distB="4294967295" distL="114300" distR="114300" simplePos="0" relativeHeight="251677696" behindDoc="0" locked="0" layoutInCell="1" allowOverlap="1" wp14:anchorId="429B1051" wp14:editId="51CDC493">
                      <wp:simplePos x="0" y="0"/>
                      <wp:positionH relativeFrom="column">
                        <wp:posOffset>140970</wp:posOffset>
                      </wp:positionH>
                      <wp:positionV relativeFrom="paragraph">
                        <wp:posOffset>63499</wp:posOffset>
                      </wp:positionV>
                      <wp:extent cx="350520" cy="0"/>
                      <wp:effectExtent l="0" t="76200" r="30480" b="15240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11.1pt;margin-top:5pt;width:27.6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" strokecolor="windowText" strokeweight="2pt">
                      <v:stroke endarrow="open"/>
                      <v:shadow on="t" color="black" opacity="24903f" origin=",.5" offset="0,.55556mm"/>
                      <o:lock v:ext="edit" shapetype="f"/>
                    </v:shape>
                  </w:pict>
                </mc:Fallback>
              </mc:AlternateContent>
            </w:r>
          </w:p>
        </w:tc>
      </w:tr>
    </w:tbl>
    <w:p w14:paraId="1D3A1721" w14:textId="77777777" w:rsidR="00D96604" w:rsidRPr="00D96604" w:rsidRDefault="00D96604" w:rsidP="00D96604">
      <w:pPr>
        <w:pStyle w:val="DeptBullets"/>
        <w:numPr>
          <w:ilvl w:val="0"/>
          <w:numId w:val="0"/>
        </w:numPr>
        <w:tabs>
          <w:tab w:val="left" w:pos="8364"/>
        </w:tabs>
        <w:ind w:left="360"/>
        <w:rPr>
          <w:rFonts w:asciiTheme="minorHAnsi" w:hAnsiTheme="minorHAnsi"/>
          <w:sz w:val="22"/>
          <w:szCs w:val="22"/>
        </w:rPr>
      </w:pPr>
    </w:p>
    <w:p w14:paraId="5895FEAA" w14:textId="77777777" w:rsidR="00D96604" w:rsidRPr="00EA4CE6" w:rsidRDefault="00CC133A" w:rsidP="00CC133A">
      <w:pPr>
        <w:pStyle w:val="DeptBullets"/>
        <w:numPr>
          <w:ilvl w:val="0"/>
          <w:numId w:val="0"/>
        </w:numPr>
        <w:tabs>
          <w:tab w:val="left" w:pos="8364"/>
        </w:tabs>
        <w:ind w:left="426" w:hanging="426"/>
        <w:rPr>
          <w:rFonts w:cs="Arial"/>
          <w:sz w:val="22"/>
          <w:szCs w:val="22"/>
        </w:rPr>
      </w:pPr>
      <w:r w:rsidRPr="00CC133A">
        <w:rPr>
          <w:rFonts w:cs="Arial"/>
          <w:sz w:val="22"/>
          <w:szCs w:val="22"/>
        </w:rPr>
        <w:t>10</w:t>
      </w:r>
      <w:r>
        <w:rPr>
          <w:rFonts w:cs="Arial"/>
          <w:b/>
          <w:sz w:val="22"/>
          <w:szCs w:val="22"/>
        </w:rPr>
        <w:t xml:space="preserve">.  </w:t>
      </w:r>
      <w:r w:rsidR="00D96604" w:rsidRPr="00EA4CE6">
        <w:rPr>
          <w:rFonts w:cs="Arial"/>
          <w:b/>
          <w:sz w:val="22"/>
          <w:szCs w:val="22"/>
        </w:rPr>
        <w:t>Member Overpayments</w:t>
      </w:r>
      <w:r w:rsidR="00D96604" w:rsidRPr="00EA4CE6">
        <w:rPr>
          <w:rFonts w:cs="Arial"/>
          <w:sz w:val="22"/>
          <w:szCs w:val="22"/>
        </w:rPr>
        <w:t xml:space="preserve"> –The outstanding balance has increased by £500k to £8.6m. This has been driven by remarriage debt which has increased by the same amount over the period as a result of the proactive declaration exercise.  Overall the value of debts TP have in recovery is £4.6m, 53%. </w:t>
      </w:r>
    </w:p>
    <w:p w14:paraId="0D57AA02" w14:textId="77777777" w:rsidR="00D96604" w:rsidRPr="00EA4CE6" w:rsidRDefault="00CC133A" w:rsidP="00CC133A">
      <w:pPr>
        <w:pStyle w:val="DeptBullets"/>
        <w:numPr>
          <w:ilvl w:val="0"/>
          <w:numId w:val="0"/>
        </w:numPr>
        <w:ind w:left="426" w:right="-58" w:hanging="426"/>
        <w:rPr>
          <w:rFonts w:cs="Arial"/>
          <w:sz w:val="22"/>
          <w:szCs w:val="22"/>
        </w:rPr>
      </w:pPr>
      <w:r w:rsidRPr="00CC133A">
        <w:rPr>
          <w:rFonts w:cs="Arial"/>
          <w:sz w:val="22"/>
          <w:szCs w:val="22"/>
        </w:rPr>
        <w:t>11</w:t>
      </w:r>
      <w:r>
        <w:rPr>
          <w:rFonts w:cs="Arial"/>
          <w:b/>
          <w:sz w:val="22"/>
          <w:szCs w:val="22"/>
        </w:rPr>
        <w:t>.</w:t>
      </w:r>
      <w:r>
        <w:rPr>
          <w:rFonts w:cs="Arial"/>
          <w:b/>
          <w:sz w:val="22"/>
          <w:szCs w:val="22"/>
        </w:rPr>
        <w:tab/>
      </w:r>
      <w:r w:rsidR="00D96604" w:rsidRPr="00EA4CE6">
        <w:rPr>
          <w:rFonts w:cs="Arial"/>
          <w:b/>
          <w:sz w:val="22"/>
          <w:szCs w:val="22"/>
        </w:rPr>
        <w:t>Arrears of Contributions</w:t>
      </w:r>
      <w:r w:rsidR="00D96604" w:rsidRPr="00EA4CE6">
        <w:rPr>
          <w:rFonts w:cs="Arial"/>
          <w:sz w:val="22"/>
          <w:szCs w:val="22"/>
        </w:rPr>
        <w:t xml:space="preserve"> – The outstanding balance of member and employer arrears debt has been reduced over the quarter by £300k to £2.59m. Taking into account those cases currently in recovery (£406k) and those in dispute by employers (£775k) TP are actively chasing £1.4m. 54%.   </w:t>
      </w:r>
    </w:p>
    <w:p w14:paraId="7721D7EE" w14:textId="77777777" w:rsidR="00D96604" w:rsidRPr="00EA4CE6" w:rsidRDefault="00CC133A" w:rsidP="00CC133A">
      <w:pPr>
        <w:pStyle w:val="DeptBullets"/>
        <w:numPr>
          <w:ilvl w:val="0"/>
          <w:numId w:val="0"/>
        </w:numPr>
        <w:ind w:left="426" w:hanging="426"/>
        <w:rPr>
          <w:rFonts w:cs="Arial"/>
          <w:sz w:val="22"/>
          <w:szCs w:val="22"/>
        </w:rPr>
      </w:pPr>
      <w:r>
        <w:rPr>
          <w:rFonts w:cs="Arial"/>
          <w:sz w:val="22"/>
          <w:szCs w:val="22"/>
        </w:rPr>
        <w:t>12.</w:t>
      </w:r>
      <w:r>
        <w:rPr>
          <w:rFonts w:cs="Arial"/>
          <w:sz w:val="22"/>
          <w:szCs w:val="22"/>
        </w:rPr>
        <w:tab/>
      </w:r>
      <w:r w:rsidR="00D96604" w:rsidRPr="00EA4CE6">
        <w:rPr>
          <w:rFonts w:cs="Arial"/>
          <w:sz w:val="22"/>
          <w:szCs w:val="22"/>
        </w:rPr>
        <w:t>The overall rating of amber on scheme debt continues to prudently reflect the inherent challenges in reducing the debt position and the potential impact of ongoing exercises, such as the remarriage declarations and deferred member projects.</w:t>
      </w:r>
    </w:p>
    <w:tbl>
      <w:tblPr>
        <w:tblStyle w:val="TableGrid"/>
        <w:tblW w:w="0" w:type="auto"/>
        <w:tblInd w:w="108" w:type="dxa"/>
        <w:tblLook w:val="04A0" w:firstRow="1" w:lastRow="0" w:firstColumn="1" w:lastColumn="0" w:noHBand="0" w:noVBand="1"/>
      </w:tblPr>
      <w:tblGrid>
        <w:gridCol w:w="7230"/>
        <w:gridCol w:w="1134"/>
      </w:tblGrid>
      <w:tr w:rsidR="00DC6BD2" w:rsidRPr="00363983" w14:paraId="3ABAC029" w14:textId="77777777" w:rsidTr="00F22F63">
        <w:tc>
          <w:tcPr>
            <w:tcW w:w="7230" w:type="dxa"/>
          </w:tcPr>
          <w:p w14:paraId="6865B10E" w14:textId="77777777" w:rsidR="00DC6BD2" w:rsidRPr="00363983" w:rsidRDefault="00DC6BD2" w:rsidP="00311C8A">
            <w:pPr>
              <w:rPr>
                <w:rFonts w:cs="Arial"/>
                <w:b/>
                <w:color w:val="000000"/>
                <w:sz w:val="22"/>
                <w:szCs w:val="22"/>
                <w:lang w:eastAsia="en-GB"/>
              </w:rPr>
            </w:pPr>
          </w:p>
          <w:p w14:paraId="20465FFF" w14:textId="77777777" w:rsidR="00DC6BD2" w:rsidRPr="00363983" w:rsidRDefault="00580DCC" w:rsidP="009961F8">
            <w:pPr>
              <w:rPr>
                <w:rFonts w:cs="Arial"/>
                <w:b/>
                <w:sz w:val="22"/>
                <w:szCs w:val="22"/>
              </w:rPr>
            </w:pPr>
            <w:r w:rsidRPr="00363983">
              <w:rPr>
                <w:rFonts w:cs="Arial"/>
                <w:b/>
                <w:sz w:val="22"/>
                <w:szCs w:val="22"/>
                <w:lang w:eastAsia="en-GB"/>
              </w:rPr>
              <w:t>Contractor &amp; DfE Costs</w:t>
            </w:r>
            <w:r w:rsidR="00AD7A0B" w:rsidRPr="00363983">
              <w:rPr>
                <w:rFonts w:cs="Arial"/>
                <w:b/>
                <w:sz w:val="22"/>
                <w:szCs w:val="22"/>
                <w:lang w:eastAsia="en-GB"/>
              </w:rPr>
              <w:t xml:space="preserve"> </w:t>
            </w:r>
          </w:p>
        </w:tc>
        <w:tc>
          <w:tcPr>
            <w:tcW w:w="1134" w:type="dxa"/>
            <w:shd w:val="clear" w:color="auto" w:fill="00B050"/>
          </w:tcPr>
          <w:p w14:paraId="46DD816B" w14:textId="77777777" w:rsidR="00DC6BD2" w:rsidRPr="00363983" w:rsidRDefault="008507B5" w:rsidP="00311C8A">
            <w:pPr>
              <w:rPr>
                <w:rFonts w:cs="Arial"/>
                <w:sz w:val="22"/>
                <w:szCs w:val="22"/>
              </w:rPr>
            </w:pPr>
            <w:r>
              <w:rPr>
                <w:rFonts w:cs="Arial"/>
                <w:noProof/>
                <w:color w:val="00B050"/>
                <w:szCs w:val="24"/>
                <w:lang w:eastAsia="en-GB"/>
              </w:rPr>
              <mc:AlternateContent>
                <mc:Choice Requires="wps">
                  <w:drawing>
                    <wp:anchor distT="4294967295" distB="4294967295" distL="114300" distR="114300" simplePos="0" relativeHeight="251679744" behindDoc="0" locked="0" layoutInCell="1" allowOverlap="1" wp14:anchorId="5DFB0A60" wp14:editId="02C9EFF4">
                      <wp:simplePos x="0" y="0"/>
                      <wp:positionH relativeFrom="column">
                        <wp:posOffset>148590</wp:posOffset>
                      </wp:positionH>
                      <wp:positionV relativeFrom="paragraph">
                        <wp:posOffset>161289</wp:posOffset>
                      </wp:positionV>
                      <wp:extent cx="350520" cy="0"/>
                      <wp:effectExtent l="0" t="76200" r="30480" b="1524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1.7pt;margin-top:12.7pt;width:27.6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" strokecolor="windowText" strokeweight="2pt">
                      <v:stroke endarrow="open"/>
                      <v:shadow on="t" color="black" opacity="24903f" origin=",.5" offset="0,.55556mm"/>
                      <o:lock v:ext="edit" shapetype="f"/>
                    </v:shape>
                  </w:pict>
                </mc:Fallback>
              </mc:AlternateContent>
            </w:r>
            <w:r w:rsidR="00F22F63" w:rsidRPr="00363983">
              <w:rPr>
                <w:rFonts w:cs="Arial"/>
                <w:sz w:val="22"/>
                <w:szCs w:val="22"/>
              </w:rPr>
              <w:t xml:space="preserve"> </w:t>
            </w:r>
          </w:p>
        </w:tc>
      </w:tr>
    </w:tbl>
    <w:p w14:paraId="296ABA04" w14:textId="77777777" w:rsidR="002F6007" w:rsidRDefault="002F6007" w:rsidP="002F6007">
      <w:pPr>
        <w:rPr>
          <w:rFonts w:cs="Arial"/>
          <w:b/>
          <w:color w:val="000000"/>
          <w:sz w:val="22"/>
          <w:szCs w:val="22"/>
          <w:u w:val="single"/>
          <w:lang w:eastAsia="en-GB"/>
        </w:rPr>
      </w:pPr>
    </w:p>
    <w:p w14:paraId="7E6EEC1D" w14:textId="77777777" w:rsidR="00B30F5D" w:rsidRDefault="00B30F5D" w:rsidP="002F6007">
      <w:pPr>
        <w:rPr>
          <w:rFonts w:cs="Arial"/>
          <w:color w:val="000000"/>
          <w:sz w:val="22"/>
          <w:szCs w:val="22"/>
          <w:lang w:eastAsia="en-GB"/>
        </w:rPr>
      </w:pPr>
      <w:r w:rsidRPr="00B30F5D">
        <w:rPr>
          <w:rFonts w:cs="Arial"/>
          <w:color w:val="000000"/>
          <w:sz w:val="22"/>
          <w:szCs w:val="22"/>
          <w:lang w:eastAsia="en-GB"/>
        </w:rPr>
        <w:t xml:space="preserve">The </w:t>
      </w:r>
      <w:r>
        <w:rPr>
          <w:rFonts w:cs="Arial"/>
          <w:color w:val="000000"/>
          <w:sz w:val="22"/>
          <w:szCs w:val="22"/>
          <w:lang w:eastAsia="en-GB"/>
        </w:rPr>
        <w:t xml:space="preserve">administrative levy (0.08% of employer contributions) has been in place from September 2015 and to end of December 2015 had collected </w:t>
      </w:r>
      <w:r w:rsidRPr="00B30F5D">
        <w:rPr>
          <w:rFonts w:cs="Arial"/>
          <w:color w:val="000000"/>
          <w:sz w:val="22"/>
          <w:szCs w:val="22"/>
          <w:lang w:eastAsia="en-GB"/>
        </w:rPr>
        <w:t>£6.5m</w:t>
      </w:r>
      <w:r w:rsidR="002F7DFE">
        <w:rPr>
          <w:rFonts w:cs="Arial"/>
          <w:color w:val="000000"/>
          <w:sz w:val="22"/>
          <w:szCs w:val="22"/>
          <w:lang w:eastAsia="en-GB"/>
        </w:rPr>
        <w:t xml:space="preserve"> (3months)</w:t>
      </w:r>
      <w:r>
        <w:rPr>
          <w:rFonts w:cs="Arial"/>
          <w:color w:val="000000"/>
          <w:sz w:val="22"/>
          <w:szCs w:val="22"/>
          <w:lang w:eastAsia="en-GB"/>
        </w:rPr>
        <w:t>.</w:t>
      </w:r>
      <w:r w:rsidR="00957AD5">
        <w:rPr>
          <w:rFonts w:cs="Arial"/>
          <w:color w:val="000000"/>
          <w:sz w:val="22"/>
          <w:szCs w:val="22"/>
          <w:lang w:eastAsia="en-GB"/>
        </w:rPr>
        <w:t xml:space="preserve">  </w:t>
      </w:r>
    </w:p>
    <w:p w14:paraId="00650B60" w14:textId="77777777" w:rsidR="002F7DFE" w:rsidRDefault="002F7DFE" w:rsidP="002F6007">
      <w:pPr>
        <w:rPr>
          <w:rFonts w:cs="Arial"/>
          <w:color w:val="000000"/>
          <w:sz w:val="22"/>
          <w:szCs w:val="22"/>
          <w:lang w:eastAsia="en-GB"/>
        </w:rPr>
      </w:pPr>
    </w:p>
    <w:p w14:paraId="3F721880" w14:textId="77777777" w:rsidR="00DB6E90" w:rsidRDefault="002F7DFE" w:rsidP="00DB6E90">
      <w:pPr>
        <w:rPr>
          <w:rFonts w:cs="Arial"/>
          <w:color w:val="000000"/>
          <w:sz w:val="22"/>
          <w:szCs w:val="22"/>
          <w:lang w:eastAsia="en-GB"/>
        </w:rPr>
      </w:pPr>
      <w:r w:rsidRPr="002F7DFE">
        <w:rPr>
          <w:rFonts w:cs="Arial"/>
          <w:color w:val="000000"/>
          <w:sz w:val="22"/>
          <w:szCs w:val="22"/>
          <w:lang w:eastAsia="en-GB"/>
        </w:rPr>
        <w:t>T</w:t>
      </w:r>
      <w:r w:rsidR="00DB6E90" w:rsidRPr="002F7DFE">
        <w:rPr>
          <w:rFonts w:cs="Arial"/>
          <w:color w:val="000000"/>
          <w:sz w:val="22"/>
          <w:szCs w:val="22"/>
          <w:lang w:eastAsia="en-GB"/>
        </w:rPr>
        <w:t xml:space="preserve">he figures below represent </w:t>
      </w:r>
      <w:proofErr w:type="gramStart"/>
      <w:r w:rsidR="00DB6E90" w:rsidRPr="002F7DFE">
        <w:rPr>
          <w:rFonts w:cs="Arial"/>
          <w:color w:val="000000"/>
          <w:sz w:val="22"/>
          <w:szCs w:val="22"/>
          <w:lang w:eastAsia="en-GB"/>
        </w:rPr>
        <w:t>the spend</w:t>
      </w:r>
      <w:proofErr w:type="gramEnd"/>
      <w:r w:rsidR="00DB6E90" w:rsidRPr="002F7DFE">
        <w:rPr>
          <w:rFonts w:cs="Arial"/>
          <w:color w:val="000000"/>
          <w:sz w:val="22"/>
          <w:szCs w:val="22"/>
          <w:lang w:eastAsia="en-GB"/>
        </w:rPr>
        <w:t xml:space="preserve"> to dat</w:t>
      </w:r>
      <w:r>
        <w:rPr>
          <w:rFonts w:cs="Arial"/>
          <w:color w:val="000000"/>
          <w:sz w:val="22"/>
          <w:szCs w:val="22"/>
          <w:lang w:eastAsia="en-GB"/>
        </w:rPr>
        <w:t>e in the current financial year (10months).</w:t>
      </w:r>
    </w:p>
    <w:p w14:paraId="1722A9F1" w14:textId="77777777" w:rsidR="002F7DFE" w:rsidRDefault="002F7DFE" w:rsidP="00DB6E90">
      <w:pPr>
        <w:rPr>
          <w:rFonts w:cs="Arial"/>
          <w:color w:val="000000"/>
          <w:sz w:val="22"/>
          <w:szCs w:val="22"/>
          <w:lang w:eastAsia="en-GB"/>
        </w:rPr>
      </w:pPr>
    </w:p>
    <w:p w14:paraId="27DE3055" w14:textId="77777777" w:rsidR="002F7DFE" w:rsidRDefault="002F7DFE" w:rsidP="00DB6E90">
      <w:pPr>
        <w:rPr>
          <w:rFonts w:cs="Arial"/>
          <w:color w:val="000000"/>
          <w:sz w:val="22"/>
          <w:szCs w:val="22"/>
          <w:lang w:eastAsia="en-GB"/>
        </w:rPr>
      </w:pPr>
    </w:p>
    <w:p w14:paraId="11F1060C" w14:textId="77777777" w:rsidR="002F7DFE" w:rsidRDefault="002F7DFE" w:rsidP="00DB6E90">
      <w:pPr>
        <w:rPr>
          <w:rFonts w:cs="Arial"/>
          <w:color w:val="000000"/>
          <w:sz w:val="22"/>
          <w:szCs w:val="22"/>
          <w:lang w:eastAsia="en-GB"/>
        </w:rPr>
      </w:pPr>
    </w:p>
    <w:p w14:paraId="6681B3AD" w14:textId="77777777" w:rsidR="002F7DFE" w:rsidRDefault="002F7DFE" w:rsidP="00DB6E90">
      <w:pPr>
        <w:rPr>
          <w:rFonts w:cs="Arial"/>
          <w:color w:val="000000"/>
          <w:sz w:val="22"/>
          <w:szCs w:val="22"/>
          <w:lang w:eastAsia="en-GB"/>
        </w:rPr>
      </w:pPr>
    </w:p>
    <w:p w14:paraId="091B4B5F" w14:textId="77777777" w:rsidR="00DB6E90" w:rsidRPr="00DB6E90" w:rsidRDefault="00DB6E90" w:rsidP="00DB6E90">
      <w:pPr>
        <w:rPr>
          <w:rFonts w:cs="Arial"/>
          <w:color w:val="000000"/>
          <w:sz w:val="22"/>
          <w:szCs w:val="22"/>
          <w:u w:val="single"/>
          <w:lang w:eastAsia="en-GB"/>
        </w:rPr>
      </w:pPr>
    </w:p>
    <w:tbl>
      <w:tblPr>
        <w:tblStyle w:val="TableGrid"/>
        <w:tblW w:w="8647" w:type="dxa"/>
        <w:tblInd w:w="108" w:type="dxa"/>
        <w:tblLayout w:type="fixed"/>
        <w:tblLook w:val="04A0" w:firstRow="1" w:lastRow="0" w:firstColumn="1" w:lastColumn="0" w:noHBand="0" w:noVBand="1"/>
      </w:tblPr>
      <w:tblGrid>
        <w:gridCol w:w="1276"/>
        <w:gridCol w:w="1559"/>
        <w:gridCol w:w="1560"/>
        <w:gridCol w:w="1275"/>
        <w:gridCol w:w="2977"/>
      </w:tblGrid>
      <w:tr w:rsidR="00DB6E90" w:rsidRPr="00B305C9" w14:paraId="1945FC72" w14:textId="77777777" w:rsidTr="00BB3850">
        <w:tc>
          <w:tcPr>
            <w:tcW w:w="1276" w:type="dxa"/>
            <w:shd w:val="clear" w:color="auto" w:fill="D9D9D9" w:themeFill="background1" w:themeFillShade="D9"/>
          </w:tcPr>
          <w:p w14:paraId="77274098" w14:textId="77777777" w:rsidR="00DB6E90" w:rsidRPr="00B305C9" w:rsidRDefault="00DB6E90" w:rsidP="00BC5891">
            <w:pPr>
              <w:rPr>
                <w:rFonts w:cs="Arial"/>
                <w:b/>
              </w:rPr>
            </w:pPr>
          </w:p>
        </w:tc>
        <w:tc>
          <w:tcPr>
            <w:tcW w:w="1559" w:type="dxa"/>
            <w:tcBorders>
              <w:bottom w:val="single" w:sz="4" w:space="0" w:color="auto"/>
            </w:tcBorders>
            <w:shd w:val="clear" w:color="auto" w:fill="D9D9D9" w:themeFill="background1" w:themeFillShade="D9"/>
            <w:vAlign w:val="bottom"/>
          </w:tcPr>
          <w:p w14:paraId="37E5F331" w14:textId="77777777" w:rsidR="00DB6E90" w:rsidRPr="00B305C9" w:rsidRDefault="00DB6E90" w:rsidP="00BC5891">
            <w:pPr>
              <w:jc w:val="center"/>
              <w:rPr>
                <w:rFonts w:cs="Arial"/>
                <w:b/>
                <w:color w:val="000000"/>
                <w:sz w:val="22"/>
                <w:szCs w:val="22"/>
                <w:lang w:eastAsia="en-GB"/>
              </w:rPr>
            </w:pPr>
            <w:r w:rsidRPr="00B305C9">
              <w:rPr>
                <w:rFonts w:cs="Arial"/>
                <w:b/>
                <w:color w:val="000000"/>
                <w:sz w:val="22"/>
                <w:szCs w:val="22"/>
                <w:lang w:eastAsia="en-GB"/>
              </w:rPr>
              <w:t>YTD Profile</w:t>
            </w:r>
          </w:p>
        </w:tc>
        <w:tc>
          <w:tcPr>
            <w:tcW w:w="1560" w:type="dxa"/>
            <w:tcBorders>
              <w:bottom w:val="single" w:sz="4" w:space="0" w:color="auto"/>
            </w:tcBorders>
            <w:shd w:val="clear" w:color="auto" w:fill="D9D9D9" w:themeFill="background1" w:themeFillShade="D9"/>
            <w:vAlign w:val="bottom"/>
          </w:tcPr>
          <w:p w14:paraId="0BAF6EE7" w14:textId="77777777" w:rsidR="00DB6E90" w:rsidRPr="00B305C9" w:rsidRDefault="00DB6E90" w:rsidP="00BC5891">
            <w:pPr>
              <w:jc w:val="center"/>
              <w:rPr>
                <w:rFonts w:cs="Arial"/>
                <w:b/>
                <w:color w:val="000000"/>
                <w:sz w:val="22"/>
                <w:szCs w:val="22"/>
                <w:lang w:eastAsia="en-GB"/>
              </w:rPr>
            </w:pPr>
            <w:r w:rsidRPr="00B305C9">
              <w:rPr>
                <w:rFonts w:cs="Arial"/>
                <w:b/>
                <w:color w:val="000000"/>
                <w:sz w:val="22"/>
                <w:szCs w:val="22"/>
                <w:lang w:eastAsia="en-GB"/>
              </w:rPr>
              <w:t>YTD actual</w:t>
            </w:r>
          </w:p>
        </w:tc>
        <w:tc>
          <w:tcPr>
            <w:tcW w:w="1275" w:type="dxa"/>
            <w:tcBorders>
              <w:bottom w:val="single" w:sz="4" w:space="0" w:color="auto"/>
            </w:tcBorders>
            <w:shd w:val="clear" w:color="auto" w:fill="D9D9D9" w:themeFill="background1" w:themeFillShade="D9"/>
          </w:tcPr>
          <w:p w14:paraId="643E4E0F" w14:textId="77777777" w:rsidR="00DB6E90" w:rsidRPr="00B305C9" w:rsidRDefault="00DB6E90" w:rsidP="00BC5891">
            <w:pPr>
              <w:rPr>
                <w:rFonts w:cs="Arial"/>
                <w:b/>
              </w:rPr>
            </w:pPr>
            <w:r w:rsidRPr="00B305C9">
              <w:rPr>
                <w:rFonts w:cs="Arial"/>
                <w:b/>
                <w:color w:val="000000"/>
                <w:sz w:val="22"/>
                <w:szCs w:val="22"/>
                <w:lang w:eastAsia="en-GB"/>
              </w:rPr>
              <w:t>Variance</w:t>
            </w:r>
          </w:p>
        </w:tc>
        <w:tc>
          <w:tcPr>
            <w:tcW w:w="2977" w:type="dxa"/>
            <w:shd w:val="clear" w:color="auto" w:fill="D9D9D9" w:themeFill="background1" w:themeFillShade="D9"/>
          </w:tcPr>
          <w:p w14:paraId="454593DA" w14:textId="77777777" w:rsidR="00DB6E90" w:rsidRPr="00B305C9" w:rsidRDefault="00DB6E90" w:rsidP="00BC5891">
            <w:pPr>
              <w:rPr>
                <w:rFonts w:cs="Arial"/>
                <w:b/>
                <w:sz w:val="22"/>
                <w:szCs w:val="22"/>
              </w:rPr>
            </w:pPr>
            <w:r w:rsidRPr="00B305C9">
              <w:rPr>
                <w:rFonts w:cs="Arial"/>
                <w:b/>
                <w:sz w:val="22"/>
                <w:szCs w:val="22"/>
              </w:rPr>
              <w:t>Narrative</w:t>
            </w:r>
          </w:p>
        </w:tc>
      </w:tr>
      <w:tr w:rsidR="00DB6E90" w:rsidRPr="00DB6E90" w14:paraId="792230D7" w14:textId="77777777" w:rsidTr="00BB3850">
        <w:tc>
          <w:tcPr>
            <w:tcW w:w="1276" w:type="dxa"/>
          </w:tcPr>
          <w:p w14:paraId="2CF26A9F" w14:textId="77777777" w:rsidR="00DB6E90" w:rsidRPr="00DB6E90" w:rsidRDefault="00DB6E90" w:rsidP="00BC5891">
            <w:pPr>
              <w:rPr>
                <w:rFonts w:cs="Arial"/>
                <w:color w:val="000000"/>
                <w:sz w:val="22"/>
                <w:szCs w:val="22"/>
                <w:lang w:eastAsia="en-GB"/>
              </w:rPr>
            </w:pPr>
            <w:r w:rsidRPr="00DB6E90">
              <w:rPr>
                <w:rFonts w:cs="Arial"/>
                <w:color w:val="000000"/>
                <w:sz w:val="22"/>
                <w:szCs w:val="22"/>
                <w:lang w:eastAsia="en-GB"/>
              </w:rPr>
              <w:t xml:space="preserve">Capita </w:t>
            </w:r>
          </w:p>
        </w:tc>
        <w:tc>
          <w:tcPr>
            <w:tcW w:w="1559" w:type="dxa"/>
            <w:tcBorders>
              <w:bottom w:val="single" w:sz="4" w:space="0" w:color="auto"/>
            </w:tcBorders>
            <w:shd w:val="clear" w:color="auto" w:fill="FFFFFF" w:themeFill="background1"/>
          </w:tcPr>
          <w:p w14:paraId="6AF11AFE" w14:textId="0BC47EC8" w:rsidR="00DB6E90" w:rsidRPr="00DB6E90" w:rsidRDefault="00952EA3"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1560" w:type="dxa"/>
            <w:tcBorders>
              <w:bottom w:val="single" w:sz="4" w:space="0" w:color="auto"/>
            </w:tcBorders>
            <w:shd w:val="clear" w:color="auto" w:fill="FFFFFF" w:themeFill="background1"/>
          </w:tcPr>
          <w:p w14:paraId="3EA57C2F" w14:textId="5EB4D7BE" w:rsidR="00DB6E90" w:rsidRPr="00DB6E90" w:rsidRDefault="00952EA3"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1275" w:type="dxa"/>
            <w:shd w:val="clear" w:color="auto" w:fill="FFFFFF" w:themeFill="background1"/>
          </w:tcPr>
          <w:p w14:paraId="6D99DEEE" w14:textId="3ECBDE46" w:rsidR="00DB6E90" w:rsidRPr="00DB6E90" w:rsidRDefault="00952EA3" w:rsidP="004811C6">
            <w:pPr>
              <w:jc w:val="right"/>
              <w:rPr>
                <w:rFonts w:cs="Arial"/>
                <w:color w:val="000000"/>
                <w:sz w:val="22"/>
                <w:szCs w:val="22"/>
                <w:lang w:eastAsia="en-GB"/>
              </w:rPr>
            </w:pPr>
            <w:r>
              <w:rPr>
                <w:rFonts w:cs="Arial"/>
                <w:color w:val="000000"/>
                <w:sz w:val="22"/>
                <w:szCs w:val="22"/>
                <w:lang w:eastAsia="en-GB"/>
              </w:rPr>
              <w:t>-£</w:t>
            </w:r>
            <w:proofErr w:type="spellStart"/>
            <w:r w:rsidR="004811C6" w:rsidRPr="004811C6">
              <w:rPr>
                <w:rFonts w:cs="Arial"/>
                <w:color w:val="000000"/>
                <w:sz w:val="22"/>
                <w:szCs w:val="22"/>
                <w:highlight w:val="black"/>
                <w:lang w:eastAsia="en-GB"/>
              </w:rPr>
              <w:t>redacte</w:t>
            </w:r>
            <w:proofErr w:type="spellEnd"/>
          </w:p>
        </w:tc>
        <w:tc>
          <w:tcPr>
            <w:tcW w:w="2977" w:type="dxa"/>
          </w:tcPr>
          <w:p w14:paraId="7CB16CB0" w14:textId="77777777" w:rsidR="00DB6E90" w:rsidRDefault="00BB3850" w:rsidP="00BB3850">
            <w:pPr>
              <w:rPr>
                <w:rFonts w:cs="Arial"/>
                <w:color w:val="000000"/>
                <w:sz w:val="22"/>
                <w:szCs w:val="22"/>
                <w:lang w:eastAsia="en-GB"/>
              </w:rPr>
            </w:pPr>
            <w:r w:rsidRPr="00BB3850">
              <w:rPr>
                <w:rFonts w:cs="Arial"/>
                <w:color w:val="000000"/>
                <w:sz w:val="22"/>
                <w:szCs w:val="22"/>
                <w:highlight w:val="black"/>
                <w:lang w:eastAsia="en-GB"/>
              </w:rPr>
              <w:t xml:space="preserve">redacted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Pr>
                <w:rFonts w:cs="Arial"/>
                <w:color w:val="000000"/>
                <w:sz w:val="22"/>
                <w:szCs w:val="22"/>
                <w:lang w:eastAsia="en-GB"/>
              </w:rPr>
              <w:t xml:space="preserve"> </w:t>
            </w:r>
          </w:p>
          <w:p w14:paraId="430A31B8" w14:textId="012DD624" w:rsidR="00BB3850" w:rsidRPr="00DB6E90" w:rsidRDefault="00BB3850" w:rsidP="00BB3850">
            <w:pPr>
              <w:rPr>
                <w:rFonts w:cs="Arial"/>
                <w:color w:val="000000"/>
                <w:sz w:val="22"/>
                <w:szCs w:val="22"/>
                <w:lang w:eastAsia="en-GB"/>
              </w:rPr>
            </w:pPr>
          </w:p>
        </w:tc>
      </w:tr>
      <w:tr w:rsidR="00FF64E9" w:rsidRPr="00DB6E90" w14:paraId="7F63481B" w14:textId="77777777" w:rsidTr="00BB3850">
        <w:tc>
          <w:tcPr>
            <w:tcW w:w="1276" w:type="dxa"/>
          </w:tcPr>
          <w:p w14:paraId="2FB88F82" w14:textId="77777777" w:rsidR="00FF64E9" w:rsidRPr="00DB6E90" w:rsidRDefault="00FF64E9" w:rsidP="00BC5891">
            <w:pPr>
              <w:rPr>
                <w:rFonts w:cs="Arial"/>
                <w:color w:val="000000"/>
                <w:sz w:val="22"/>
                <w:szCs w:val="22"/>
                <w:lang w:eastAsia="en-GB"/>
              </w:rPr>
            </w:pPr>
            <w:r>
              <w:rPr>
                <w:rFonts w:cs="Arial"/>
                <w:color w:val="000000"/>
                <w:sz w:val="22"/>
                <w:szCs w:val="22"/>
                <w:lang w:eastAsia="en-GB"/>
              </w:rPr>
              <w:t>TPSPB</w:t>
            </w:r>
          </w:p>
        </w:tc>
        <w:tc>
          <w:tcPr>
            <w:tcW w:w="1559" w:type="dxa"/>
            <w:tcBorders>
              <w:bottom w:val="single" w:sz="4" w:space="0" w:color="auto"/>
            </w:tcBorders>
            <w:shd w:val="clear" w:color="auto" w:fill="FFFFFF" w:themeFill="background1"/>
          </w:tcPr>
          <w:p w14:paraId="56663B2D" w14:textId="3C076391" w:rsidR="00FF64E9" w:rsidRDefault="00FF64E9"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1560" w:type="dxa"/>
            <w:tcBorders>
              <w:bottom w:val="single" w:sz="4" w:space="0" w:color="auto"/>
            </w:tcBorders>
            <w:shd w:val="clear" w:color="auto" w:fill="FFFFFF" w:themeFill="background1"/>
          </w:tcPr>
          <w:p w14:paraId="2AF91C18" w14:textId="0CAE6B91" w:rsidR="00904253" w:rsidRDefault="00904253" w:rsidP="004811C6">
            <w:pPr>
              <w:jc w:val="right"/>
              <w:rPr>
                <w:rFonts w:cs="Arial"/>
                <w:color w:val="000000"/>
                <w:sz w:val="22"/>
                <w:szCs w:val="22"/>
                <w:lang w:eastAsia="en-GB"/>
              </w:rPr>
            </w:pPr>
            <w:r>
              <w:rPr>
                <w:rFonts w:cs="Arial"/>
                <w:szCs w:val="24"/>
              </w:rPr>
              <w:t>£</w:t>
            </w:r>
            <w:r w:rsidR="004811C6" w:rsidRPr="004811C6">
              <w:rPr>
                <w:rFonts w:cs="Arial"/>
                <w:szCs w:val="24"/>
                <w:highlight w:val="black"/>
              </w:rPr>
              <w:t>redacted</w:t>
            </w:r>
          </w:p>
        </w:tc>
        <w:tc>
          <w:tcPr>
            <w:tcW w:w="1275" w:type="dxa"/>
            <w:shd w:val="clear" w:color="auto" w:fill="FFFFFF" w:themeFill="background1"/>
          </w:tcPr>
          <w:p w14:paraId="31B78A07" w14:textId="6451FEF0" w:rsidR="00FF64E9" w:rsidRDefault="00D74921"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2977" w:type="dxa"/>
          </w:tcPr>
          <w:p w14:paraId="6937090E" w14:textId="625C0CDA" w:rsidR="00FF64E9" w:rsidRDefault="00BB3850" w:rsidP="00BC5891">
            <w:pPr>
              <w:rPr>
                <w:rFonts w:cs="Arial"/>
                <w:color w:val="000000"/>
                <w:sz w:val="22"/>
                <w:szCs w:val="22"/>
                <w:lang w:eastAsia="en-GB"/>
              </w:rPr>
            </w:pPr>
            <w:r w:rsidRPr="00BB3850">
              <w:rPr>
                <w:rFonts w:cs="Arial"/>
                <w:color w:val="000000"/>
                <w:sz w:val="22"/>
                <w:szCs w:val="22"/>
                <w:highlight w:val="black"/>
                <w:lang w:eastAsia="en-GB"/>
              </w:rPr>
              <w:t xml:space="preserve">redacted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p>
        </w:tc>
      </w:tr>
      <w:tr w:rsidR="00D74921" w:rsidRPr="00DB6E90" w14:paraId="7F4EFBF6" w14:textId="77777777" w:rsidTr="00BB3850">
        <w:tc>
          <w:tcPr>
            <w:tcW w:w="1276" w:type="dxa"/>
          </w:tcPr>
          <w:p w14:paraId="1ED234D6" w14:textId="77777777" w:rsidR="00D74921" w:rsidRDefault="00D74921" w:rsidP="00BC5891">
            <w:pPr>
              <w:rPr>
                <w:rFonts w:cs="Arial"/>
                <w:color w:val="000000"/>
                <w:sz w:val="22"/>
                <w:szCs w:val="22"/>
                <w:lang w:eastAsia="en-GB"/>
              </w:rPr>
            </w:pPr>
            <w:r>
              <w:rPr>
                <w:rFonts w:cs="Arial"/>
                <w:color w:val="000000"/>
                <w:sz w:val="22"/>
                <w:szCs w:val="22"/>
                <w:lang w:eastAsia="en-GB"/>
              </w:rPr>
              <w:t>Financial Reporting Council</w:t>
            </w:r>
            <w:r w:rsidR="00731CDB">
              <w:rPr>
                <w:rFonts w:cs="Arial"/>
                <w:color w:val="000000"/>
                <w:sz w:val="22"/>
                <w:szCs w:val="22"/>
                <w:lang w:eastAsia="en-GB"/>
              </w:rPr>
              <w:t xml:space="preserve"> (FRC)</w:t>
            </w:r>
          </w:p>
        </w:tc>
        <w:tc>
          <w:tcPr>
            <w:tcW w:w="1559" w:type="dxa"/>
            <w:tcBorders>
              <w:bottom w:val="single" w:sz="4" w:space="0" w:color="auto"/>
            </w:tcBorders>
            <w:shd w:val="clear" w:color="auto" w:fill="FFFFFF" w:themeFill="background1"/>
          </w:tcPr>
          <w:p w14:paraId="0141C758" w14:textId="0C70B9CB" w:rsidR="00D74921" w:rsidRDefault="00D74921"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1560" w:type="dxa"/>
            <w:tcBorders>
              <w:bottom w:val="single" w:sz="4" w:space="0" w:color="auto"/>
            </w:tcBorders>
            <w:shd w:val="clear" w:color="auto" w:fill="FFFFFF" w:themeFill="background1"/>
          </w:tcPr>
          <w:p w14:paraId="53892707" w14:textId="63C64802" w:rsidR="00D74921" w:rsidRDefault="00D74921"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1275" w:type="dxa"/>
            <w:shd w:val="clear" w:color="auto" w:fill="FFFFFF" w:themeFill="background1"/>
          </w:tcPr>
          <w:p w14:paraId="4FAB09E4" w14:textId="5643ECC0" w:rsidR="00D74921" w:rsidRDefault="00D74921"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2977" w:type="dxa"/>
          </w:tcPr>
          <w:p w14:paraId="65768D03" w14:textId="77777777" w:rsidR="00D74921" w:rsidRDefault="00BB3850" w:rsidP="00BB3850">
            <w:pPr>
              <w:rPr>
                <w:rFonts w:cs="Arial"/>
                <w:color w:val="000000"/>
                <w:sz w:val="22"/>
                <w:szCs w:val="22"/>
                <w:lang w:eastAsia="en-GB"/>
              </w:rPr>
            </w:pPr>
            <w:r w:rsidRPr="00BB3850">
              <w:rPr>
                <w:rFonts w:cs="Arial"/>
                <w:color w:val="000000"/>
                <w:sz w:val="22"/>
                <w:szCs w:val="22"/>
                <w:highlight w:val="black"/>
                <w:lang w:eastAsia="en-GB"/>
              </w:rPr>
              <w:t xml:space="preserve">redacted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
          <w:p w14:paraId="6FA746AB" w14:textId="587A4359" w:rsidR="00BB3850" w:rsidRPr="00D74921" w:rsidRDefault="00BB3850" w:rsidP="00BB3850">
            <w:pPr>
              <w:rPr>
                <w:rFonts w:cs="Arial"/>
                <w:color w:val="000000"/>
                <w:sz w:val="22"/>
                <w:szCs w:val="22"/>
                <w:lang w:eastAsia="en-GB"/>
              </w:rPr>
            </w:pPr>
          </w:p>
        </w:tc>
      </w:tr>
      <w:tr w:rsidR="00DB6E90" w:rsidRPr="00DB6E90" w14:paraId="2712CFE1" w14:textId="77777777" w:rsidTr="00BB3850">
        <w:tc>
          <w:tcPr>
            <w:tcW w:w="1276" w:type="dxa"/>
          </w:tcPr>
          <w:p w14:paraId="14251783" w14:textId="77777777" w:rsidR="00DB6E90" w:rsidRPr="00DB6E90" w:rsidRDefault="00DB6E90" w:rsidP="00BC5891">
            <w:pPr>
              <w:rPr>
                <w:rFonts w:cs="Arial"/>
                <w:color w:val="000000"/>
                <w:sz w:val="22"/>
                <w:szCs w:val="22"/>
                <w:lang w:eastAsia="en-GB"/>
              </w:rPr>
            </w:pPr>
            <w:r w:rsidRPr="00DB6E90">
              <w:rPr>
                <w:rFonts w:cs="Arial"/>
                <w:color w:val="000000"/>
                <w:sz w:val="22"/>
                <w:szCs w:val="22"/>
                <w:lang w:eastAsia="en-GB"/>
              </w:rPr>
              <w:t xml:space="preserve">GAD </w:t>
            </w:r>
          </w:p>
        </w:tc>
        <w:tc>
          <w:tcPr>
            <w:tcW w:w="1559" w:type="dxa"/>
            <w:shd w:val="clear" w:color="auto" w:fill="FFFFFF" w:themeFill="background1"/>
          </w:tcPr>
          <w:p w14:paraId="6E03BBE7" w14:textId="719248B2" w:rsidR="00DB6E90" w:rsidRPr="00DB6E90" w:rsidRDefault="00952EA3"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1560" w:type="dxa"/>
            <w:shd w:val="clear" w:color="auto" w:fill="FFFFFF" w:themeFill="background1"/>
          </w:tcPr>
          <w:p w14:paraId="204C796B" w14:textId="655C0EB4" w:rsidR="00DB6E90" w:rsidRPr="00DB6E90" w:rsidRDefault="00952EA3"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1275" w:type="dxa"/>
            <w:shd w:val="clear" w:color="auto" w:fill="FFFFFF" w:themeFill="background1"/>
          </w:tcPr>
          <w:p w14:paraId="30DAB1F3" w14:textId="6087A214" w:rsidR="00DB6E90" w:rsidRPr="00DB6E90" w:rsidRDefault="00952EA3"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2977" w:type="dxa"/>
          </w:tcPr>
          <w:p w14:paraId="4EB031FB" w14:textId="77777777" w:rsidR="00BB3850" w:rsidRDefault="00BB3850" w:rsidP="00BB3850">
            <w:pPr>
              <w:rPr>
                <w:rFonts w:cs="Arial"/>
                <w:color w:val="000000"/>
                <w:sz w:val="22"/>
                <w:szCs w:val="22"/>
                <w:lang w:eastAsia="en-GB"/>
              </w:rPr>
            </w:pPr>
            <w:r w:rsidRPr="00BB3850">
              <w:rPr>
                <w:rFonts w:cs="Arial"/>
                <w:color w:val="000000"/>
                <w:sz w:val="22"/>
                <w:szCs w:val="22"/>
                <w:highlight w:val="black"/>
                <w:lang w:eastAsia="en-GB"/>
              </w:rPr>
              <w:t xml:space="preserve">redacted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
          <w:p w14:paraId="50E973F8" w14:textId="4E708BCE" w:rsidR="00BB3850" w:rsidRPr="00DB6E90" w:rsidRDefault="00BB3850" w:rsidP="00BB3850">
            <w:pPr>
              <w:rPr>
                <w:rFonts w:cs="Arial"/>
                <w:color w:val="000000"/>
                <w:sz w:val="22"/>
                <w:szCs w:val="22"/>
                <w:lang w:eastAsia="en-GB"/>
              </w:rPr>
            </w:pPr>
          </w:p>
        </w:tc>
      </w:tr>
      <w:tr w:rsidR="00DB6E90" w:rsidRPr="00DB6E90" w14:paraId="5F0F93C7" w14:textId="77777777" w:rsidTr="00BB3850">
        <w:tc>
          <w:tcPr>
            <w:tcW w:w="1276" w:type="dxa"/>
          </w:tcPr>
          <w:p w14:paraId="17BDBBF7" w14:textId="77777777" w:rsidR="00DB6E90" w:rsidRPr="00DB6E90" w:rsidRDefault="00DB6E90" w:rsidP="00BC5891">
            <w:pPr>
              <w:rPr>
                <w:rFonts w:cs="Arial"/>
                <w:color w:val="000000"/>
                <w:sz w:val="22"/>
                <w:szCs w:val="22"/>
                <w:lang w:eastAsia="en-GB"/>
              </w:rPr>
            </w:pPr>
            <w:r w:rsidRPr="00DB6E90">
              <w:rPr>
                <w:rFonts w:cs="Arial"/>
                <w:color w:val="000000"/>
                <w:sz w:val="22"/>
                <w:szCs w:val="22"/>
                <w:lang w:eastAsia="en-GB"/>
              </w:rPr>
              <w:t xml:space="preserve">OH Assist </w:t>
            </w:r>
          </w:p>
        </w:tc>
        <w:tc>
          <w:tcPr>
            <w:tcW w:w="1559" w:type="dxa"/>
            <w:shd w:val="clear" w:color="auto" w:fill="FFFFFF" w:themeFill="background1"/>
          </w:tcPr>
          <w:p w14:paraId="64E0A24F" w14:textId="151E049D" w:rsidR="00DB6E90" w:rsidRPr="00DB6E90" w:rsidRDefault="00952EA3"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1560" w:type="dxa"/>
            <w:shd w:val="clear" w:color="auto" w:fill="FFFFFF" w:themeFill="background1"/>
          </w:tcPr>
          <w:p w14:paraId="18BF97A7" w14:textId="5F668D5F" w:rsidR="00DB6E90" w:rsidRPr="00DB6E90" w:rsidRDefault="00952EA3"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1275" w:type="dxa"/>
            <w:shd w:val="clear" w:color="auto" w:fill="FFFFFF" w:themeFill="background1"/>
          </w:tcPr>
          <w:p w14:paraId="0929AB2D" w14:textId="4AD5B5BA" w:rsidR="00DB6E90" w:rsidRPr="00DB6E90" w:rsidRDefault="00F56CCB"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2977" w:type="dxa"/>
          </w:tcPr>
          <w:p w14:paraId="4A59CA88" w14:textId="77777777" w:rsidR="00DB6E90" w:rsidRPr="00BB3850" w:rsidRDefault="00BB3850" w:rsidP="00BC5891">
            <w:pPr>
              <w:rPr>
                <w:rFonts w:cs="Arial"/>
                <w:color w:val="000000"/>
                <w:sz w:val="22"/>
                <w:szCs w:val="22"/>
                <w:highlight w:val="black"/>
                <w:lang w:eastAsia="en-GB"/>
              </w:rPr>
            </w:pPr>
            <w:r w:rsidRPr="00BB3850">
              <w:rPr>
                <w:rFonts w:cs="Arial"/>
                <w:color w:val="000000"/>
                <w:sz w:val="22"/>
                <w:szCs w:val="22"/>
                <w:highlight w:val="black"/>
                <w:lang w:eastAsia="en-GB"/>
              </w:rPr>
              <w:t xml:space="preserve">redacted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p>
          <w:p w14:paraId="1E989818" w14:textId="47C571F4" w:rsidR="00BB3850" w:rsidRPr="00DB6E90" w:rsidRDefault="00BB3850" w:rsidP="00BB3850">
            <w:pPr>
              <w:rPr>
                <w:rFonts w:cs="Arial"/>
                <w:color w:val="000000"/>
                <w:sz w:val="22"/>
                <w:szCs w:val="22"/>
                <w:lang w:eastAsia="en-GB"/>
              </w:rPr>
            </w:pPr>
            <w:r w:rsidRPr="00BB3850">
              <w:rPr>
                <w:rFonts w:cs="Arial"/>
                <w:color w:val="000000"/>
                <w:sz w:val="22"/>
                <w:szCs w:val="22"/>
                <w:highlight w:val="black"/>
                <w:lang w:eastAsia="en-GB"/>
              </w:rPr>
              <w:t xml:space="preserve">redacted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sidRPr="00BB3850">
              <w:rPr>
                <w:rFonts w:cs="Arial"/>
                <w:color w:val="000000"/>
                <w:sz w:val="22"/>
                <w:szCs w:val="22"/>
                <w:highlight w:val="black"/>
                <w:lang w:eastAsia="en-GB"/>
              </w:rPr>
              <w:t xml:space="preserve"> </w:t>
            </w:r>
            <w:proofErr w:type="spellStart"/>
            <w:r w:rsidRPr="00BB3850">
              <w:rPr>
                <w:rFonts w:cs="Arial"/>
                <w:color w:val="000000"/>
                <w:sz w:val="22"/>
                <w:szCs w:val="22"/>
                <w:highlight w:val="black"/>
                <w:lang w:eastAsia="en-GB"/>
              </w:rPr>
              <w:t>redacted</w:t>
            </w:r>
            <w:proofErr w:type="spellEnd"/>
            <w:r>
              <w:rPr>
                <w:rFonts w:cs="Arial"/>
                <w:color w:val="000000"/>
                <w:sz w:val="22"/>
                <w:szCs w:val="22"/>
                <w:lang w:eastAsia="en-GB"/>
              </w:rPr>
              <w:t xml:space="preserve"> </w:t>
            </w:r>
          </w:p>
        </w:tc>
      </w:tr>
      <w:tr w:rsidR="00DB6E90" w:rsidRPr="00DB6E90" w14:paraId="19E20176" w14:textId="77777777" w:rsidTr="00BB3850">
        <w:trPr>
          <w:trHeight w:val="261"/>
        </w:trPr>
        <w:tc>
          <w:tcPr>
            <w:tcW w:w="1276" w:type="dxa"/>
          </w:tcPr>
          <w:p w14:paraId="73A528EF" w14:textId="77777777" w:rsidR="00DB6E90" w:rsidRPr="00DB6E90" w:rsidRDefault="00DB6E90" w:rsidP="00BC5891">
            <w:pPr>
              <w:rPr>
                <w:rFonts w:cs="Arial"/>
                <w:color w:val="000000"/>
                <w:sz w:val="22"/>
                <w:szCs w:val="22"/>
                <w:lang w:eastAsia="en-GB"/>
              </w:rPr>
            </w:pPr>
            <w:r w:rsidRPr="00DB6E90">
              <w:rPr>
                <w:rFonts w:cs="Arial"/>
                <w:color w:val="000000"/>
                <w:sz w:val="22"/>
                <w:szCs w:val="22"/>
                <w:lang w:eastAsia="en-GB"/>
              </w:rPr>
              <w:t>DfE</w:t>
            </w:r>
          </w:p>
        </w:tc>
        <w:tc>
          <w:tcPr>
            <w:tcW w:w="1559" w:type="dxa"/>
            <w:shd w:val="clear" w:color="auto" w:fill="FFFFFF" w:themeFill="background1"/>
          </w:tcPr>
          <w:p w14:paraId="22204B64" w14:textId="19A14A9C" w:rsidR="00DB6E90" w:rsidRPr="00DB6E90" w:rsidRDefault="00F56CCB"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1560" w:type="dxa"/>
            <w:shd w:val="clear" w:color="auto" w:fill="FFFFFF" w:themeFill="background1"/>
          </w:tcPr>
          <w:p w14:paraId="4BF90AD4" w14:textId="3D8D08E8" w:rsidR="00DB6E90" w:rsidRPr="00DB6E90" w:rsidRDefault="00F56CCB"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1275" w:type="dxa"/>
            <w:shd w:val="clear" w:color="auto" w:fill="FFFFFF" w:themeFill="background1"/>
          </w:tcPr>
          <w:p w14:paraId="2C213624" w14:textId="750840DD" w:rsidR="00DB6E90" w:rsidRPr="00DB6E90" w:rsidRDefault="00F56CCB" w:rsidP="004811C6">
            <w:pPr>
              <w:jc w:val="right"/>
              <w:rPr>
                <w:rFonts w:cs="Arial"/>
                <w:color w:val="000000"/>
                <w:sz w:val="22"/>
                <w:szCs w:val="22"/>
                <w:lang w:eastAsia="en-GB"/>
              </w:rPr>
            </w:pPr>
            <w:r>
              <w:rPr>
                <w:rFonts w:cs="Arial"/>
                <w:color w:val="000000"/>
                <w:sz w:val="22"/>
                <w:szCs w:val="22"/>
                <w:lang w:eastAsia="en-GB"/>
              </w:rPr>
              <w:t>-£</w:t>
            </w:r>
            <w:r w:rsidR="004811C6" w:rsidRPr="004811C6">
              <w:rPr>
                <w:rFonts w:cs="Arial"/>
                <w:color w:val="000000"/>
                <w:sz w:val="22"/>
                <w:szCs w:val="22"/>
                <w:highlight w:val="black"/>
                <w:lang w:eastAsia="en-GB"/>
              </w:rPr>
              <w:t>redacted</w:t>
            </w:r>
          </w:p>
        </w:tc>
        <w:tc>
          <w:tcPr>
            <w:tcW w:w="2977" w:type="dxa"/>
          </w:tcPr>
          <w:p w14:paraId="1126D5BA" w14:textId="77777777" w:rsidR="00DB6E90" w:rsidRPr="00DB6E90" w:rsidRDefault="00DB6E90" w:rsidP="00BC5891">
            <w:pPr>
              <w:rPr>
                <w:rFonts w:cs="Arial"/>
                <w:color w:val="000000"/>
                <w:sz w:val="22"/>
                <w:szCs w:val="22"/>
                <w:lang w:eastAsia="en-GB"/>
              </w:rPr>
            </w:pPr>
          </w:p>
        </w:tc>
      </w:tr>
      <w:tr w:rsidR="00B30F5D" w:rsidRPr="00DB6E90" w14:paraId="32EBF924" w14:textId="77777777" w:rsidTr="00BB3850">
        <w:tc>
          <w:tcPr>
            <w:tcW w:w="1276" w:type="dxa"/>
          </w:tcPr>
          <w:p w14:paraId="0E5ECAE3" w14:textId="77777777" w:rsidR="00B30F5D" w:rsidRPr="00DB6E90" w:rsidRDefault="00B30F5D" w:rsidP="00BC5891">
            <w:pPr>
              <w:rPr>
                <w:rFonts w:cs="Arial"/>
                <w:color w:val="000000"/>
                <w:sz w:val="22"/>
                <w:szCs w:val="22"/>
                <w:lang w:eastAsia="en-GB"/>
              </w:rPr>
            </w:pPr>
            <w:r>
              <w:rPr>
                <w:rFonts w:cs="Arial"/>
                <w:color w:val="000000"/>
                <w:sz w:val="22"/>
                <w:szCs w:val="22"/>
                <w:lang w:eastAsia="en-GB"/>
              </w:rPr>
              <w:t>Total</w:t>
            </w:r>
          </w:p>
        </w:tc>
        <w:tc>
          <w:tcPr>
            <w:tcW w:w="1559" w:type="dxa"/>
            <w:shd w:val="clear" w:color="auto" w:fill="FFFFFF" w:themeFill="background1"/>
            <w:vAlign w:val="center"/>
          </w:tcPr>
          <w:p w14:paraId="659A10B9" w14:textId="0F28667C" w:rsidR="00B30F5D" w:rsidRDefault="00B30F5D" w:rsidP="004811C6">
            <w:pPr>
              <w:jc w:val="right"/>
              <w:rPr>
                <w:rFonts w:cs="Arial"/>
                <w:color w:val="000000"/>
                <w:sz w:val="22"/>
                <w:szCs w:val="22"/>
                <w:lang w:eastAsia="en-GB"/>
              </w:rPr>
            </w:pPr>
            <w:r>
              <w:rPr>
                <w:rFonts w:cs="Arial"/>
                <w:color w:val="000000"/>
                <w:sz w:val="22"/>
                <w:szCs w:val="22"/>
              </w:rPr>
              <w:t>£</w:t>
            </w:r>
            <w:r w:rsidR="004811C6" w:rsidRPr="004811C6">
              <w:rPr>
                <w:rFonts w:cs="Arial"/>
                <w:color w:val="000000"/>
                <w:sz w:val="22"/>
                <w:szCs w:val="22"/>
                <w:highlight w:val="black"/>
              </w:rPr>
              <w:t>redacted</w:t>
            </w:r>
          </w:p>
        </w:tc>
        <w:tc>
          <w:tcPr>
            <w:tcW w:w="1560" w:type="dxa"/>
            <w:shd w:val="clear" w:color="auto" w:fill="FFFFFF" w:themeFill="background1"/>
            <w:vAlign w:val="center"/>
          </w:tcPr>
          <w:p w14:paraId="62807421" w14:textId="71E5D9CD" w:rsidR="00B30F5D" w:rsidRDefault="00904253" w:rsidP="004811C6">
            <w:pPr>
              <w:jc w:val="right"/>
              <w:rPr>
                <w:rFonts w:cs="Arial"/>
                <w:color w:val="000000"/>
                <w:sz w:val="22"/>
                <w:szCs w:val="22"/>
                <w:lang w:eastAsia="en-GB"/>
              </w:rPr>
            </w:pPr>
            <w:r>
              <w:rPr>
                <w:rFonts w:cs="Arial"/>
                <w:color w:val="000000"/>
                <w:sz w:val="22"/>
                <w:szCs w:val="22"/>
              </w:rPr>
              <w:t>£</w:t>
            </w:r>
            <w:r w:rsidR="004811C6" w:rsidRPr="004811C6">
              <w:rPr>
                <w:rFonts w:cs="Arial"/>
                <w:color w:val="000000"/>
                <w:sz w:val="22"/>
                <w:szCs w:val="22"/>
                <w:highlight w:val="black"/>
              </w:rPr>
              <w:t>redacted</w:t>
            </w:r>
          </w:p>
        </w:tc>
        <w:tc>
          <w:tcPr>
            <w:tcW w:w="1275" w:type="dxa"/>
            <w:shd w:val="clear" w:color="auto" w:fill="FFFFFF" w:themeFill="background1"/>
            <w:vAlign w:val="center"/>
          </w:tcPr>
          <w:p w14:paraId="74F3F78B" w14:textId="7AFCAEED" w:rsidR="00B30F5D" w:rsidRPr="004811C6" w:rsidRDefault="00B30F5D" w:rsidP="004811C6">
            <w:pPr>
              <w:jc w:val="right"/>
              <w:rPr>
                <w:rFonts w:cs="Arial"/>
                <w:sz w:val="22"/>
                <w:szCs w:val="22"/>
                <w:lang w:eastAsia="en-GB"/>
              </w:rPr>
            </w:pPr>
            <w:r>
              <w:rPr>
                <w:rFonts w:cs="Arial"/>
                <w:color w:val="FF0000"/>
                <w:sz w:val="22"/>
                <w:szCs w:val="22"/>
              </w:rPr>
              <w:t>-£</w:t>
            </w:r>
            <w:r w:rsidR="004811C6" w:rsidRPr="004811C6">
              <w:rPr>
                <w:rFonts w:cs="Arial"/>
                <w:sz w:val="22"/>
                <w:szCs w:val="22"/>
                <w:highlight w:val="black"/>
              </w:rPr>
              <w:t>redacted</w:t>
            </w:r>
          </w:p>
        </w:tc>
        <w:tc>
          <w:tcPr>
            <w:tcW w:w="2977" w:type="dxa"/>
          </w:tcPr>
          <w:p w14:paraId="4E6C7C5E" w14:textId="77777777" w:rsidR="00B30F5D" w:rsidRPr="00DB6E90" w:rsidRDefault="00B30F5D" w:rsidP="00BC5891">
            <w:pPr>
              <w:rPr>
                <w:rFonts w:cs="Arial"/>
                <w:color w:val="000000"/>
                <w:sz w:val="22"/>
                <w:szCs w:val="22"/>
                <w:lang w:eastAsia="en-GB"/>
              </w:rPr>
            </w:pPr>
          </w:p>
        </w:tc>
      </w:tr>
    </w:tbl>
    <w:p w14:paraId="21C1AF80" w14:textId="77777777" w:rsidR="00DB6E90" w:rsidRPr="00DB6E90" w:rsidRDefault="00DB6E90" w:rsidP="00DB6E90">
      <w:pPr>
        <w:jc w:val="center"/>
        <w:rPr>
          <w:rFonts w:cs="Arial"/>
          <w:b/>
          <w:sz w:val="28"/>
          <w:szCs w:val="28"/>
        </w:rPr>
      </w:pPr>
    </w:p>
    <w:p w14:paraId="1E7677AD" w14:textId="77777777" w:rsidR="00DF771B" w:rsidRDefault="00DF771B" w:rsidP="00E376C4">
      <w:pPr>
        <w:jc w:val="center"/>
        <w:rPr>
          <w:rFonts w:cs="Arial"/>
          <w:b/>
          <w:sz w:val="28"/>
          <w:szCs w:val="28"/>
        </w:rPr>
      </w:pPr>
    </w:p>
    <w:p w14:paraId="41D9E7D6" w14:textId="77777777" w:rsidR="00E376C4" w:rsidRPr="00363983" w:rsidRDefault="00E376C4" w:rsidP="00E376C4">
      <w:pPr>
        <w:jc w:val="center"/>
        <w:rPr>
          <w:rFonts w:cs="Arial"/>
          <w:b/>
          <w:sz w:val="28"/>
          <w:szCs w:val="28"/>
        </w:rPr>
      </w:pPr>
      <w:r w:rsidRPr="00363983">
        <w:rPr>
          <w:rFonts w:cs="Arial"/>
          <w:b/>
          <w:sz w:val="28"/>
          <w:szCs w:val="28"/>
        </w:rPr>
        <w:t xml:space="preserve">Risk Update </w:t>
      </w:r>
    </w:p>
    <w:p w14:paraId="5F9FDB3A" w14:textId="77777777" w:rsidR="00E376C4" w:rsidRPr="00363983" w:rsidRDefault="00E376C4" w:rsidP="00E376C4">
      <w:pPr>
        <w:rPr>
          <w:rFonts w:cs="Arial"/>
          <w:sz w:val="22"/>
          <w:szCs w:val="22"/>
        </w:rPr>
      </w:pPr>
    </w:p>
    <w:p w14:paraId="12AA1BC9" w14:textId="77777777" w:rsidR="00E376C4" w:rsidRPr="00D6256C" w:rsidRDefault="00E376C4"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 xml:space="preserve">The </w:t>
      </w:r>
      <w:r w:rsidR="008312DB" w:rsidRPr="00D6256C">
        <w:rPr>
          <w:rFonts w:cs="Arial"/>
          <w:color w:val="000000"/>
          <w:sz w:val="22"/>
          <w:szCs w:val="22"/>
          <w:lang w:eastAsia="en-GB"/>
        </w:rPr>
        <w:t>r</w:t>
      </w:r>
      <w:r w:rsidRPr="00D6256C">
        <w:rPr>
          <w:rFonts w:cs="Arial"/>
          <w:color w:val="000000"/>
          <w:sz w:val="22"/>
          <w:szCs w:val="22"/>
          <w:lang w:eastAsia="en-GB"/>
        </w:rPr>
        <w:t>isk management process remains robust, with regular monthly meeting</w:t>
      </w:r>
      <w:r w:rsidR="00252E33" w:rsidRPr="00D6256C">
        <w:rPr>
          <w:rFonts w:cs="Arial"/>
          <w:color w:val="000000"/>
          <w:sz w:val="22"/>
          <w:szCs w:val="22"/>
          <w:lang w:eastAsia="en-GB"/>
        </w:rPr>
        <w:t>s</w:t>
      </w:r>
      <w:r w:rsidR="00304F43" w:rsidRPr="00D6256C">
        <w:rPr>
          <w:rFonts w:cs="Arial"/>
          <w:color w:val="000000"/>
          <w:sz w:val="22"/>
          <w:szCs w:val="22"/>
          <w:lang w:eastAsia="en-GB"/>
        </w:rPr>
        <w:t xml:space="preserve"> held </w:t>
      </w:r>
      <w:r w:rsidRPr="00D6256C">
        <w:rPr>
          <w:rFonts w:cs="Arial"/>
          <w:color w:val="000000"/>
          <w:sz w:val="22"/>
          <w:szCs w:val="22"/>
          <w:lang w:eastAsia="en-GB"/>
        </w:rPr>
        <w:t xml:space="preserve">between key members of DfE and </w:t>
      </w:r>
      <w:r w:rsidR="00252E33" w:rsidRPr="00D6256C">
        <w:rPr>
          <w:rFonts w:cs="Arial"/>
          <w:color w:val="000000"/>
          <w:sz w:val="22"/>
          <w:szCs w:val="22"/>
          <w:lang w:eastAsia="en-GB"/>
        </w:rPr>
        <w:t>TP’s</w:t>
      </w:r>
      <w:r w:rsidRPr="00D6256C">
        <w:rPr>
          <w:rFonts w:cs="Arial"/>
          <w:color w:val="000000"/>
          <w:sz w:val="22"/>
          <w:szCs w:val="22"/>
          <w:lang w:eastAsia="en-GB"/>
        </w:rPr>
        <w:t xml:space="preserve"> teams to review the current status of active risks and discuss potential emerging risks. </w:t>
      </w:r>
      <w:r w:rsidR="00252E33" w:rsidRPr="00D6256C">
        <w:rPr>
          <w:rFonts w:cs="Arial"/>
          <w:color w:val="000000"/>
          <w:sz w:val="22"/>
          <w:szCs w:val="22"/>
          <w:lang w:eastAsia="en-GB"/>
        </w:rPr>
        <w:t>TP</w:t>
      </w:r>
      <w:r w:rsidRPr="00D6256C">
        <w:rPr>
          <w:rFonts w:cs="Arial"/>
          <w:color w:val="000000"/>
          <w:sz w:val="22"/>
          <w:szCs w:val="22"/>
          <w:lang w:eastAsia="en-GB"/>
        </w:rPr>
        <w:t xml:space="preserve"> can supplement this process by calling upon wider Group expertise where required.</w:t>
      </w:r>
    </w:p>
    <w:p w14:paraId="22F8AE16" w14:textId="77777777" w:rsidR="00E376C4" w:rsidRPr="00363983" w:rsidRDefault="00E376C4" w:rsidP="00FF426F">
      <w:pPr>
        <w:ind w:left="426" w:hanging="360"/>
        <w:rPr>
          <w:rFonts w:cs="Arial"/>
          <w:color w:val="000000"/>
          <w:sz w:val="22"/>
          <w:szCs w:val="22"/>
          <w:lang w:eastAsia="en-GB"/>
        </w:rPr>
      </w:pPr>
    </w:p>
    <w:p w14:paraId="393B4115" w14:textId="77777777" w:rsidR="00E376C4" w:rsidRPr="00D6256C" w:rsidRDefault="00E376C4"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The Key Risks report</w:t>
      </w:r>
      <w:r w:rsidR="00252E33" w:rsidRPr="00D6256C">
        <w:rPr>
          <w:rFonts w:cs="Arial"/>
          <w:color w:val="000000"/>
          <w:sz w:val="22"/>
          <w:szCs w:val="22"/>
          <w:lang w:eastAsia="en-GB"/>
        </w:rPr>
        <w:t>ed</w:t>
      </w:r>
      <w:r w:rsidRPr="00D6256C">
        <w:rPr>
          <w:rFonts w:cs="Arial"/>
          <w:color w:val="000000"/>
          <w:sz w:val="22"/>
          <w:szCs w:val="22"/>
          <w:lang w:eastAsia="en-GB"/>
        </w:rPr>
        <w:t xml:space="preserve"> to the Pension Board are determined during the Risk Committee</w:t>
      </w:r>
      <w:r w:rsidR="00252E33" w:rsidRPr="00D6256C">
        <w:rPr>
          <w:rFonts w:cs="Arial"/>
          <w:color w:val="000000"/>
          <w:sz w:val="22"/>
          <w:szCs w:val="22"/>
          <w:lang w:eastAsia="en-GB"/>
        </w:rPr>
        <w:t xml:space="preserve"> meeting</w:t>
      </w:r>
      <w:r w:rsidRPr="00D6256C">
        <w:rPr>
          <w:rFonts w:cs="Arial"/>
          <w:color w:val="000000"/>
          <w:sz w:val="22"/>
          <w:szCs w:val="22"/>
          <w:lang w:eastAsia="en-GB"/>
        </w:rPr>
        <w:t xml:space="preserve"> by key members of the DfE Account Management Team and </w:t>
      </w:r>
      <w:r w:rsidR="00252E33" w:rsidRPr="00D6256C">
        <w:rPr>
          <w:rFonts w:cs="Arial"/>
          <w:color w:val="000000"/>
          <w:sz w:val="22"/>
          <w:szCs w:val="22"/>
          <w:lang w:eastAsia="en-GB"/>
        </w:rPr>
        <w:t>TP’s Adminis</w:t>
      </w:r>
      <w:r w:rsidRPr="00D6256C">
        <w:rPr>
          <w:rFonts w:cs="Arial"/>
          <w:color w:val="000000"/>
          <w:sz w:val="22"/>
          <w:szCs w:val="22"/>
          <w:lang w:eastAsia="en-GB"/>
        </w:rPr>
        <w:t xml:space="preserve">tration Team. </w:t>
      </w:r>
    </w:p>
    <w:p w14:paraId="313C9A39" w14:textId="77777777" w:rsidR="00E376C4" w:rsidRDefault="00E376C4" w:rsidP="00FF426F">
      <w:pPr>
        <w:ind w:left="426" w:hanging="360"/>
        <w:rPr>
          <w:rFonts w:cs="Arial"/>
          <w:color w:val="000000"/>
          <w:sz w:val="22"/>
          <w:szCs w:val="22"/>
          <w:lang w:eastAsia="en-GB"/>
        </w:rPr>
      </w:pPr>
    </w:p>
    <w:p w14:paraId="7CF53D24" w14:textId="77777777" w:rsidR="00E376C4" w:rsidRPr="00363983" w:rsidRDefault="00E376C4" w:rsidP="00FF426F">
      <w:pPr>
        <w:ind w:left="426" w:hanging="360"/>
        <w:rPr>
          <w:rFonts w:cs="Arial"/>
          <w:color w:val="000000"/>
          <w:sz w:val="22"/>
          <w:szCs w:val="22"/>
          <w:lang w:eastAsia="en-GB"/>
        </w:rPr>
      </w:pPr>
    </w:p>
    <w:p w14:paraId="6737965F" w14:textId="77777777" w:rsidR="00E376C4" w:rsidRPr="00D6256C" w:rsidRDefault="00E376C4" w:rsidP="00D6256C">
      <w:pPr>
        <w:pStyle w:val="ListParagraph"/>
        <w:rPr>
          <w:rFonts w:cs="Arial"/>
          <w:b/>
          <w:color w:val="000000"/>
          <w:szCs w:val="24"/>
          <w:lang w:eastAsia="en-GB"/>
        </w:rPr>
      </w:pPr>
      <w:r w:rsidRPr="00D6256C">
        <w:rPr>
          <w:rFonts w:cs="Arial"/>
          <w:b/>
          <w:color w:val="000000"/>
          <w:szCs w:val="24"/>
          <w:lang w:eastAsia="en-GB"/>
        </w:rPr>
        <w:t>Key Risks</w:t>
      </w:r>
    </w:p>
    <w:p w14:paraId="5A90A3EF" w14:textId="77777777" w:rsidR="00E376C4" w:rsidRPr="00363983" w:rsidRDefault="00E376C4" w:rsidP="00FF426F">
      <w:pPr>
        <w:ind w:left="426" w:hanging="360"/>
        <w:rPr>
          <w:rFonts w:cs="Arial"/>
          <w:b/>
          <w:color w:val="000000"/>
          <w:sz w:val="22"/>
          <w:szCs w:val="22"/>
          <w:lang w:eastAsia="en-GB"/>
        </w:rPr>
      </w:pPr>
    </w:p>
    <w:p w14:paraId="79EDF777" w14:textId="77777777" w:rsidR="00E376C4" w:rsidRPr="00D6256C" w:rsidRDefault="00E376C4" w:rsidP="00D6256C">
      <w:pPr>
        <w:pStyle w:val="ListParagraph"/>
        <w:rPr>
          <w:rFonts w:cs="Arial"/>
          <w:b/>
          <w:color w:val="000000"/>
          <w:sz w:val="22"/>
          <w:szCs w:val="22"/>
          <w:lang w:eastAsia="en-GB"/>
        </w:rPr>
      </w:pPr>
      <w:r w:rsidRPr="00D6256C">
        <w:rPr>
          <w:rFonts w:cs="Arial"/>
          <w:b/>
          <w:color w:val="000000"/>
          <w:sz w:val="22"/>
          <w:szCs w:val="22"/>
          <w:lang w:eastAsia="en-GB"/>
        </w:rPr>
        <w:t>Deferred Project</w:t>
      </w:r>
    </w:p>
    <w:p w14:paraId="393B82CC" w14:textId="77777777" w:rsidR="00BC5891" w:rsidRPr="00D6256C" w:rsidRDefault="00BC5891"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 xml:space="preserve">The </w:t>
      </w:r>
      <w:r w:rsidR="00FF426F" w:rsidRPr="00D6256C">
        <w:rPr>
          <w:rFonts w:cs="Arial"/>
          <w:color w:val="000000"/>
          <w:sz w:val="22"/>
          <w:szCs w:val="22"/>
          <w:lang w:eastAsia="en-GB"/>
        </w:rPr>
        <w:t>d</w:t>
      </w:r>
      <w:r w:rsidRPr="00D6256C">
        <w:rPr>
          <w:rFonts w:cs="Arial"/>
          <w:color w:val="000000"/>
          <w:sz w:val="22"/>
          <w:szCs w:val="22"/>
          <w:lang w:eastAsia="en-GB"/>
        </w:rPr>
        <w:t xml:space="preserve">eferred </w:t>
      </w:r>
      <w:proofErr w:type="gramStart"/>
      <w:r w:rsidR="00FF426F" w:rsidRPr="00D6256C">
        <w:rPr>
          <w:rFonts w:cs="Arial"/>
          <w:color w:val="000000"/>
          <w:sz w:val="22"/>
          <w:szCs w:val="22"/>
          <w:lang w:eastAsia="en-GB"/>
        </w:rPr>
        <w:t>m</w:t>
      </w:r>
      <w:r w:rsidRPr="00D6256C">
        <w:rPr>
          <w:rFonts w:cs="Arial"/>
          <w:color w:val="000000"/>
          <w:sz w:val="22"/>
          <w:szCs w:val="22"/>
          <w:lang w:eastAsia="en-GB"/>
        </w:rPr>
        <w:t>embers</w:t>
      </w:r>
      <w:proofErr w:type="gramEnd"/>
      <w:r w:rsidR="00E376C4" w:rsidRPr="00D6256C">
        <w:rPr>
          <w:rFonts w:cs="Arial"/>
          <w:color w:val="000000"/>
          <w:sz w:val="22"/>
          <w:szCs w:val="22"/>
          <w:lang w:eastAsia="en-GB"/>
        </w:rPr>
        <w:t xml:space="preserve"> project </w:t>
      </w:r>
      <w:r w:rsidRPr="00D6256C">
        <w:rPr>
          <w:rFonts w:cs="Arial"/>
          <w:color w:val="000000"/>
          <w:sz w:val="22"/>
          <w:szCs w:val="22"/>
          <w:lang w:eastAsia="en-GB"/>
        </w:rPr>
        <w:t>(</w:t>
      </w:r>
      <w:r w:rsidR="00793410" w:rsidRPr="00D6256C">
        <w:rPr>
          <w:rFonts w:cs="Arial"/>
          <w:color w:val="000000"/>
          <w:sz w:val="22"/>
          <w:szCs w:val="22"/>
          <w:lang w:eastAsia="en-GB"/>
        </w:rPr>
        <w:t>i</w:t>
      </w:r>
      <w:r w:rsidR="00E376C4" w:rsidRPr="00D6256C">
        <w:rPr>
          <w:rFonts w:cs="Arial"/>
          <w:color w:val="000000"/>
          <w:sz w:val="22"/>
          <w:szCs w:val="22"/>
          <w:lang w:eastAsia="en-GB"/>
        </w:rPr>
        <w:t>nitiated in May 2015</w:t>
      </w:r>
      <w:r w:rsidRPr="00D6256C">
        <w:rPr>
          <w:rFonts w:cs="Arial"/>
          <w:color w:val="000000"/>
          <w:sz w:val="22"/>
          <w:szCs w:val="22"/>
          <w:lang w:eastAsia="en-GB"/>
        </w:rPr>
        <w:t>)</w:t>
      </w:r>
      <w:r w:rsidR="00E376C4" w:rsidRPr="00D6256C">
        <w:rPr>
          <w:rFonts w:cs="Arial"/>
          <w:color w:val="000000"/>
          <w:sz w:val="22"/>
          <w:szCs w:val="22"/>
          <w:lang w:eastAsia="en-GB"/>
        </w:rPr>
        <w:t xml:space="preserve"> </w:t>
      </w:r>
      <w:r w:rsidRPr="00D6256C">
        <w:rPr>
          <w:rFonts w:cs="Arial"/>
          <w:color w:val="000000"/>
          <w:sz w:val="22"/>
          <w:szCs w:val="22"/>
          <w:lang w:eastAsia="en-GB"/>
        </w:rPr>
        <w:t xml:space="preserve">continues </w:t>
      </w:r>
      <w:r w:rsidR="00E376C4" w:rsidRPr="00D6256C">
        <w:rPr>
          <w:rFonts w:cs="Arial"/>
          <w:color w:val="000000"/>
          <w:sz w:val="22"/>
          <w:szCs w:val="22"/>
          <w:lang w:eastAsia="en-GB"/>
        </w:rPr>
        <w:t xml:space="preserve">to trace and verify deferred members, passing data to a tracing service and offering payment of pension or a refund of contributions as appropriate. </w:t>
      </w:r>
    </w:p>
    <w:p w14:paraId="3B159B9C" w14:textId="77777777" w:rsidR="00870467" w:rsidRPr="008507B5" w:rsidRDefault="00870467" w:rsidP="00FF426F">
      <w:pPr>
        <w:pStyle w:val="ListParagraph"/>
        <w:ind w:hanging="360"/>
        <w:rPr>
          <w:rFonts w:cs="Arial"/>
          <w:color w:val="000000"/>
          <w:sz w:val="22"/>
          <w:szCs w:val="22"/>
          <w:lang w:eastAsia="en-GB"/>
        </w:rPr>
      </w:pPr>
    </w:p>
    <w:p w14:paraId="46FF7ECC" w14:textId="77777777" w:rsidR="00870467" w:rsidRPr="00D6256C" w:rsidRDefault="00BC5891"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To date a total of</w:t>
      </w:r>
      <w:r w:rsidR="00870467" w:rsidRPr="00D6256C">
        <w:rPr>
          <w:rFonts w:cs="Arial"/>
          <w:color w:val="000000"/>
          <w:sz w:val="22"/>
          <w:szCs w:val="22"/>
          <w:lang w:eastAsia="en-GB"/>
        </w:rPr>
        <w:t xml:space="preserve"> </w:t>
      </w:r>
      <w:r w:rsidR="00A504A1" w:rsidRPr="00D6256C">
        <w:rPr>
          <w:rFonts w:cs="Arial"/>
          <w:color w:val="000000"/>
          <w:sz w:val="22"/>
          <w:szCs w:val="22"/>
          <w:lang w:eastAsia="en-GB"/>
        </w:rPr>
        <w:t>27,062</w:t>
      </w:r>
      <w:r w:rsidR="00870467" w:rsidRPr="00D6256C">
        <w:rPr>
          <w:rFonts w:cs="Arial"/>
          <w:color w:val="000000"/>
          <w:sz w:val="22"/>
          <w:szCs w:val="22"/>
          <w:lang w:eastAsia="en-GB"/>
        </w:rPr>
        <w:t xml:space="preserve"> records have been processed </w:t>
      </w:r>
      <w:r w:rsidR="00870467" w:rsidRPr="00D6256C">
        <w:rPr>
          <w:rFonts w:cs="Arial"/>
          <w:sz w:val="22"/>
          <w:szCs w:val="22"/>
          <w:lang w:eastAsia="en-GB"/>
        </w:rPr>
        <w:t xml:space="preserve">(an increase from </w:t>
      </w:r>
      <w:bookmarkStart w:id="0" w:name="_GoBack"/>
      <w:bookmarkEnd w:id="0"/>
      <w:r w:rsidRPr="00D6256C">
        <w:rPr>
          <w:rFonts w:cs="Arial"/>
          <w:sz w:val="22"/>
          <w:szCs w:val="22"/>
          <w:lang w:eastAsia="en-GB"/>
        </w:rPr>
        <w:t>15,112</w:t>
      </w:r>
      <w:r w:rsidR="00870467" w:rsidRPr="00D6256C">
        <w:rPr>
          <w:rFonts w:cs="Arial"/>
          <w:sz w:val="22"/>
          <w:szCs w:val="22"/>
          <w:lang w:eastAsia="en-GB"/>
        </w:rPr>
        <w:t xml:space="preserve"> reported last quarter). </w:t>
      </w:r>
      <w:r w:rsidRPr="00D6256C">
        <w:rPr>
          <w:rFonts w:cs="Arial"/>
          <w:sz w:val="22"/>
          <w:szCs w:val="22"/>
          <w:lang w:eastAsia="en-GB"/>
        </w:rPr>
        <w:t>The</w:t>
      </w:r>
      <w:r w:rsidR="00870467" w:rsidRPr="00D6256C">
        <w:rPr>
          <w:rFonts w:cs="Arial"/>
          <w:color w:val="000000"/>
          <w:sz w:val="22"/>
          <w:szCs w:val="22"/>
          <w:lang w:eastAsia="en-GB"/>
        </w:rPr>
        <w:t xml:space="preserve"> change in the approach to the way data is reviewed</w:t>
      </w:r>
      <w:r w:rsidRPr="00D6256C">
        <w:rPr>
          <w:rFonts w:cs="Arial"/>
          <w:color w:val="000000"/>
          <w:sz w:val="22"/>
          <w:szCs w:val="22"/>
          <w:lang w:eastAsia="en-GB"/>
        </w:rPr>
        <w:t>,</w:t>
      </w:r>
      <w:r w:rsidR="00870467" w:rsidRPr="00D6256C">
        <w:rPr>
          <w:rFonts w:cs="Arial"/>
          <w:color w:val="000000"/>
          <w:sz w:val="22"/>
          <w:szCs w:val="22"/>
          <w:lang w:eastAsia="en-GB"/>
        </w:rPr>
        <w:t xml:space="preserve"> </w:t>
      </w:r>
      <w:r w:rsidRPr="00D6256C">
        <w:rPr>
          <w:rFonts w:cs="Arial"/>
          <w:color w:val="000000"/>
          <w:sz w:val="22"/>
          <w:szCs w:val="22"/>
          <w:lang w:eastAsia="en-GB"/>
        </w:rPr>
        <w:t>with</w:t>
      </w:r>
      <w:r w:rsidR="00870467" w:rsidRPr="00D6256C">
        <w:rPr>
          <w:rFonts w:cs="Arial"/>
          <w:color w:val="000000"/>
          <w:sz w:val="22"/>
          <w:szCs w:val="22"/>
          <w:lang w:eastAsia="en-GB"/>
        </w:rPr>
        <w:t xml:space="preserve"> the monthly data </w:t>
      </w:r>
      <w:r w:rsidR="00870467" w:rsidRPr="00D6256C">
        <w:rPr>
          <w:rFonts w:cs="Arial"/>
          <w:sz w:val="22"/>
          <w:szCs w:val="22"/>
          <w:lang w:eastAsia="en-GB"/>
        </w:rPr>
        <w:t xml:space="preserve">interrogation </w:t>
      </w:r>
      <w:r w:rsidR="00870467" w:rsidRPr="00D6256C">
        <w:rPr>
          <w:rFonts w:cs="Arial"/>
          <w:color w:val="000000"/>
          <w:sz w:val="22"/>
          <w:szCs w:val="22"/>
          <w:lang w:eastAsia="en-GB"/>
        </w:rPr>
        <w:t>now includ</w:t>
      </w:r>
      <w:r w:rsidRPr="00D6256C">
        <w:rPr>
          <w:rFonts w:cs="Arial"/>
          <w:color w:val="000000"/>
          <w:sz w:val="22"/>
          <w:szCs w:val="22"/>
          <w:lang w:eastAsia="en-GB"/>
        </w:rPr>
        <w:t>ing</w:t>
      </w:r>
      <w:r w:rsidR="00870467" w:rsidRPr="00D6256C">
        <w:rPr>
          <w:rFonts w:cs="Arial"/>
          <w:color w:val="000000"/>
          <w:sz w:val="22"/>
          <w:szCs w:val="22"/>
          <w:lang w:eastAsia="en-GB"/>
        </w:rPr>
        <w:t xml:space="preserve"> 500 cases where the predicted value is highest</w:t>
      </w:r>
      <w:r w:rsidRPr="00D6256C">
        <w:rPr>
          <w:rFonts w:cs="Arial"/>
          <w:color w:val="000000"/>
          <w:sz w:val="22"/>
          <w:szCs w:val="22"/>
          <w:lang w:eastAsia="en-GB"/>
        </w:rPr>
        <w:t xml:space="preserve">, and analysis of the total amount of </w:t>
      </w:r>
      <w:r w:rsidR="00FF426F" w:rsidRPr="00D6256C">
        <w:rPr>
          <w:rFonts w:cs="Arial"/>
          <w:color w:val="000000"/>
          <w:sz w:val="22"/>
          <w:szCs w:val="22"/>
          <w:lang w:eastAsia="en-GB"/>
        </w:rPr>
        <w:t>s</w:t>
      </w:r>
      <w:r w:rsidRPr="00D6256C">
        <w:rPr>
          <w:rFonts w:cs="Arial"/>
          <w:color w:val="000000"/>
          <w:sz w:val="22"/>
          <w:szCs w:val="22"/>
          <w:lang w:eastAsia="en-GB"/>
        </w:rPr>
        <w:t xml:space="preserve">cheme funds available to </w:t>
      </w:r>
      <w:r w:rsidR="00FF426F" w:rsidRPr="00D6256C">
        <w:rPr>
          <w:rFonts w:cs="Arial"/>
          <w:color w:val="000000"/>
          <w:sz w:val="22"/>
          <w:szCs w:val="22"/>
          <w:lang w:eastAsia="en-GB"/>
        </w:rPr>
        <w:t>d</w:t>
      </w:r>
      <w:r w:rsidRPr="00D6256C">
        <w:rPr>
          <w:rFonts w:cs="Arial"/>
          <w:color w:val="000000"/>
          <w:sz w:val="22"/>
          <w:szCs w:val="22"/>
          <w:lang w:eastAsia="en-GB"/>
        </w:rPr>
        <w:t xml:space="preserve">eferred </w:t>
      </w:r>
      <w:r w:rsidR="00FF426F" w:rsidRPr="00D6256C">
        <w:rPr>
          <w:rFonts w:cs="Arial"/>
          <w:color w:val="000000"/>
          <w:sz w:val="22"/>
          <w:szCs w:val="22"/>
          <w:lang w:eastAsia="en-GB"/>
        </w:rPr>
        <w:t>m</w:t>
      </w:r>
      <w:r w:rsidRPr="00D6256C">
        <w:rPr>
          <w:rFonts w:cs="Arial"/>
          <w:color w:val="000000"/>
          <w:sz w:val="22"/>
          <w:szCs w:val="22"/>
          <w:lang w:eastAsia="en-GB"/>
        </w:rPr>
        <w:t xml:space="preserve">embers, has shown the impact of claims resulting from the project are unlikely to produce a material risk to the </w:t>
      </w:r>
      <w:r w:rsidR="00FF426F" w:rsidRPr="00D6256C">
        <w:rPr>
          <w:rFonts w:cs="Arial"/>
          <w:color w:val="000000"/>
          <w:sz w:val="22"/>
          <w:szCs w:val="22"/>
          <w:lang w:eastAsia="en-GB"/>
        </w:rPr>
        <w:t>s</w:t>
      </w:r>
      <w:r w:rsidRPr="00D6256C">
        <w:rPr>
          <w:rFonts w:cs="Arial"/>
          <w:color w:val="000000"/>
          <w:sz w:val="22"/>
          <w:szCs w:val="22"/>
          <w:lang w:eastAsia="en-GB"/>
        </w:rPr>
        <w:t>cheme funds.</w:t>
      </w:r>
    </w:p>
    <w:p w14:paraId="52B02AC1" w14:textId="77777777" w:rsidR="00E376C4" w:rsidRPr="00363983" w:rsidRDefault="00E376C4" w:rsidP="00FF426F">
      <w:pPr>
        <w:ind w:left="426" w:hanging="360"/>
        <w:rPr>
          <w:rFonts w:cs="Arial"/>
          <w:color w:val="000000"/>
          <w:sz w:val="22"/>
          <w:szCs w:val="22"/>
          <w:lang w:eastAsia="en-GB"/>
        </w:rPr>
      </w:pPr>
    </w:p>
    <w:p w14:paraId="4B65155D" w14:textId="77777777" w:rsidR="00E376C4" w:rsidRPr="00D6256C" w:rsidRDefault="00E376C4"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 xml:space="preserve">The </w:t>
      </w:r>
      <w:r w:rsidR="0005390B" w:rsidRPr="00D6256C">
        <w:rPr>
          <w:rFonts w:cs="Arial"/>
          <w:color w:val="000000"/>
          <w:sz w:val="22"/>
          <w:szCs w:val="22"/>
          <w:lang w:eastAsia="en-GB"/>
        </w:rPr>
        <w:t>n</w:t>
      </w:r>
      <w:r w:rsidRPr="00D6256C">
        <w:rPr>
          <w:rFonts w:cs="Arial"/>
          <w:color w:val="000000"/>
          <w:sz w:val="22"/>
          <w:szCs w:val="22"/>
          <w:lang w:eastAsia="en-GB"/>
        </w:rPr>
        <w:t xml:space="preserve">et </w:t>
      </w:r>
      <w:r w:rsidR="0005390B" w:rsidRPr="00D6256C">
        <w:rPr>
          <w:rFonts w:cs="Arial"/>
          <w:color w:val="000000"/>
          <w:sz w:val="22"/>
          <w:szCs w:val="22"/>
          <w:lang w:eastAsia="en-GB"/>
        </w:rPr>
        <w:t>r</w:t>
      </w:r>
      <w:r w:rsidRPr="00D6256C">
        <w:rPr>
          <w:rFonts w:cs="Arial"/>
          <w:color w:val="000000"/>
          <w:sz w:val="22"/>
          <w:szCs w:val="22"/>
          <w:lang w:eastAsia="en-GB"/>
        </w:rPr>
        <w:t xml:space="preserve">isk </w:t>
      </w:r>
      <w:r w:rsidR="00BC5891" w:rsidRPr="00D6256C">
        <w:rPr>
          <w:rFonts w:cs="Arial"/>
          <w:color w:val="000000"/>
          <w:sz w:val="22"/>
          <w:szCs w:val="22"/>
          <w:lang w:eastAsia="en-GB"/>
        </w:rPr>
        <w:t xml:space="preserve">currently </w:t>
      </w:r>
      <w:r w:rsidRPr="00D6256C">
        <w:rPr>
          <w:rFonts w:cs="Arial"/>
          <w:color w:val="000000"/>
          <w:sz w:val="22"/>
          <w:szCs w:val="22"/>
          <w:lang w:eastAsia="en-GB"/>
        </w:rPr>
        <w:t xml:space="preserve">remains the same as the </w:t>
      </w:r>
      <w:r w:rsidR="0005390B" w:rsidRPr="00D6256C">
        <w:rPr>
          <w:rFonts w:cs="Arial"/>
          <w:color w:val="000000"/>
          <w:sz w:val="22"/>
          <w:szCs w:val="22"/>
          <w:lang w:eastAsia="en-GB"/>
        </w:rPr>
        <w:t>t</w:t>
      </w:r>
      <w:r w:rsidRPr="00D6256C">
        <w:rPr>
          <w:rFonts w:cs="Arial"/>
          <w:color w:val="000000"/>
          <w:sz w:val="22"/>
          <w:szCs w:val="22"/>
          <w:lang w:eastAsia="en-GB"/>
        </w:rPr>
        <w:t xml:space="preserve">arget </w:t>
      </w:r>
      <w:r w:rsidR="0005390B" w:rsidRPr="00D6256C">
        <w:rPr>
          <w:rFonts w:cs="Arial"/>
          <w:color w:val="000000"/>
          <w:sz w:val="22"/>
          <w:szCs w:val="22"/>
          <w:lang w:eastAsia="en-GB"/>
        </w:rPr>
        <w:t>r</w:t>
      </w:r>
      <w:r w:rsidRPr="00D6256C">
        <w:rPr>
          <w:rFonts w:cs="Arial"/>
          <w:color w:val="000000"/>
          <w:sz w:val="22"/>
          <w:szCs w:val="22"/>
          <w:lang w:eastAsia="en-GB"/>
        </w:rPr>
        <w:t xml:space="preserve">isk, although </w:t>
      </w:r>
      <w:r w:rsidR="00BC5891" w:rsidRPr="00D6256C">
        <w:rPr>
          <w:rFonts w:cs="Arial"/>
          <w:color w:val="000000"/>
          <w:sz w:val="22"/>
          <w:szCs w:val="22"/>
          <w:lang w:eastAsia="en-GB"/>
        </w:rPr>
        <w:t xml:space="preserve">further analysis following the change of approach will result in a review of the net risk with a view to reducing this to </w:t>
      </w:r>
      <w:r w:rsidR="00FF426F" w:rsidRPr="00D6256C">
        <w:rPr>
          <w:rFonts w:cs="Arial"/>
          <w:color w:val="000000"/>
          <w:sz w:val="22"/>
          <w:szCs w:val="22"/>
          <w:lang w:eastAsia="en-GB"/>
        </w:rPr>
        <w:t>l</w:t>
      </w:r>
      <w:r w:rsidR="00BC5891" w:rsidRPr="00D6256C">
        <w:rPr>
          <w:rFonts w:cs="Arial"/>
          <w:color w:val="000000"/>
          <w:sz w:val="22"/>
          <w:szCs w:val="22"/>
          <w:lang w:eastAsia="en-GB"/>
        </w:rPr>
        <w:t>ow</w:t>
      </w:r>
      <w:r w:rsidR="004A1636" w:rsidRPr="00D6256C">
        <w:rPr>
          <w:rFonts w:cs="Arial"/>
          <w:color w:val="000000"/>
          <w:sz w:val="22"/>
          <w:szCs w:val="22"/>
          <w:lang w:eastAsia="en-GB"/>
        </w:rPr>
        <w:t xml:space="preserve"> if exposure is confirmed as not material</w:t>
      </w:r>
      <w:r w:rsidRPr="00D6256C">
        <w:rPr>
          <w:rFonts w:cs="Arial"/>
          <w:color w:val="000000"/>
          <w:sz w:val="22"/>
          <w:szCs w:val="22"/>
          <w:lang w:eastAsia="en-GB"/>
        </w:rPr>
        <w:t>.</w:t>
      </w:r>
    </w:p>
    <w:p w14:paraId="7FF17629" w14:textId="77777777" w:rsidR="00E376C4" w:rsidRPr="00363983" w:rsidRDefault="00E376C4" w:rsidP="00FF426F">
      <w:pPr>
        <w:ind w:left="426" w:hanging="360"/>
        <w:rPr>
          <w:rFonts w:cs="Arial"/>
          <w:color w:val="000000"/>
          <w:sz w:val="22"/>
          <w:szCs w:val="22"/>
          <w:lang w:eastAsia="en-GB"/>
        </w:rPr>
      </w:pPr>
    </w:p>
    <w:p w14:paraId="6D4EF9E1" w14:textId="77777777" w:rsidR="00E376C4" w:rsidRPr="00D6256C" w:rsidRDefault="00E376C4" w:rsidP="00D6256C">
      <w:pPr>
        <w:pStyle w:val="ListParagraph"/>
        <w:rPr>
          <w:rFonts w:cs="Arial"/>
          <w:b/>
          <w:color w:val="000000"/>
          <w:sz w:val="22"/>
          <w:szCs w:val="22"/>
          <w:lang w:eastAsia="en-GB"/>
        </w:rPr>
      </w:pPr>
      <w:r w:rsidRPr="00D6256C">
        <w:rPr>
          <w:rFonts w:cs="Arial"/>
          <w:b/>
          <w:color w:val="000000"/>
          <w:sz w:val="22"/>
          <w:szCs w:val="22"/>
          <w:lang w:eastAsia="en-GB"/>
        </w:rPr>
        <w:t>Outcomes</w:t>
      </w:r>
    </w:p>
    <w:p w14:paraId="09D517AA" w14:textId="77777777" w:rsidR="00E376C4" w:rsidRPr="00D6256C" w:rsidRDefault="00BC135C" w:rsidP="00B30F5D">
      <w:pPr>
        <w:pStyle w:val="ListParagraph"/>
        <w:numPr>
          <w:ilvl w:val="0"/>
          <w:numId w:val="35"/>
        </w:numPr>
        <w:rPr>
          <w:rFonts w:cs="Arial"/>
          <w:sz w:val="22"/>
          <w:szCs w:val="22"/>
          <w:lang w:eastAsia="en-GB"/>
        </w:rPr>
      </w:pPr>
      <w:r w:rsidRPr="00D6256C">
        <w:rPr>
          <w:rFonts w:cs="Arial"/>
          <w:color w:val="000000"/>
          <w:sz w:val="22"/>
          <w:szCs w:val="22"/>
          <w:lang w:eastAsia="en-GB"/>
        </w:rPr>
        <w:t xml:space="preserve">Changes in the approach to the way a number of outcomes are measured, as mentioned in the previous report, </w:t>
      </w:r>
      <w:r w:rsidR="00456E8D" w:rsidRPr="00D6256C">
        <w:rPr>
          <w:rFonts w:cs="Arial"/>
          <w:color w:val="000000"/>
          <w:sz w:val="22"/>
          <w:szCs w:val="22"/>
          <w:lang w:eastAsia="en-GB"/>
        </w:rPr>
        <w:t xml:space="preserve">have shown significant improvements in the ability to monitor and </w:t>
      </w:r>
      <w:r w:rsidR="00793410" w:rsidRPr="00D6256C">
        <w:rPr>
          <w:rFonts w:cs="Arial"/>
          <w:color w:val="000000"/>
          <w:sz w:val="22"/>
          <w:szCs w:val="22"/>
          <w:lang w:eastAsia="en-GB"/>
        </w:rPr>
        <w:t>manage</w:t>
      </w:r>
      <w:r w:rsidR="00456E8D" w:rsidRPr="00D6256C">
        <w:rPr>
          <w:rFonts w:cs="Arial"/>
          <w:color w:val="000000"/>
          <w:sz w:val="22"/>
          <w:szCs w:val="22"/>
          <w:lang w:eastAsia="en-GB"/>
        </w:rPr>
        <w:t xml:space="preserve"> responses, and the results have reflected this in showing improvements across most measures. As a result of these improvements this risk has been </w:t>
      </w:r>
      <w:r w:rsidR="00456E8D" w:rsidRPr="00D6256C">
        <w:rPr>
          <w:rFonts w:cs="Arial"/>
          <w:b/>
          <w:color w:val="000000"/>
          <w:sz w:val="22"/>
          <w:szCs w:val="22"/>
          <w:lang w:eastAsia="en-GB"/>
        </w:rPr>
        <w:t xml:space="preserve">removed </w:t>
      </w:r>
      <w:r w:rsidR="00456E8D" w:rsidRPr="00D6256C">
        <w:rPr>
          <w:rFonts w:cs="Arial"/>
          <w:color w:val="000000"/>
          <w:sz w:val="22"/>
          <w:szCs w:val="22"/>
          <w:lang w:eastAsia="en-GB"/>
        </w:rPr>
        <w:t>from the key risks for Board consideration.</w:t>
      </w:r>
    </w:p>
    <w:p w14:paraId="4EF99007" w14:textId="77777777" w:rsidR="00E376C4" w:rsidRPr="00363983" w:rsidRDefault="00E376C4" w:rsidP="00FF426F">
      <w:pPr>
        <w:ind w:left="426" w:hanging="360"/>
        <w:rPr>
          <w:rFonts w:cs="Arial"/>
          <w:color w:val="000000"/>
          <w:sz w:val="22"/>
          <w:szCs w:val="22"/>
          <w:lang w:eastAsia="en-GB"/>
        </w:rPr>
      </w:pPr>
    </w:p>
    <w:p w14:paraId="57172A05" w14:textId="77777777" w:rsidR="00E376C4" w:rsidRPr="00D6256C" w:rsidRDefault="00E376C4" w:rsidP="00D6256C">
      <w:pPr>
        <w:pStyle w:val="ListParagraph"/>
        <w:rPr>
          <w:rFonts w:cs="Arial"/>
          <w:b/>
          <w:color w:val="000000"/>
          <w:sz w:val="22"/>
          <w:szCs w:val="22"/>
          <w:lang w:eastAsia="en-GB"/>
        </w:rPr>
      </w:pPr>
      <w:r w:rsidRPr="00D6256C">
        <w:rPr>
          <w:rFonts w:cs="Arial"/>
          <w:b/>
          <w:color w:val="000000"/>
          <w:sz w:val="22"/>
          <w:szCs w:val="22"/>
          <w:lang w:eastAsia="en-GB"/>
        </w:rPr>
        <w:t>Re-location of Administration Services</w:t>
      </w:r>
    </w:p>
    <w:p w14:paraId="2EB3D49D" w14:textId="77777777" w:rsidR="00E376C4" w:rsidRPr="00D6256C" w:rsidRDefault="00EB5FBB"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Following successful completion of th</w:t>
      </w:r>
      <w:r w:rsidR="00456E8D" w:rsidRPr="00D6256C">
        <w:rPr>
          <w:rFonts w:cs="Arial"/>
          <w:color w:val="000000"/>
          <w:sz w:val="22"/>
          <w:szCs w:val="22"/>
          <w:lang w:eastAsia="en-GB"/>
        </w:rPr>
        <w:t>e</w:t>
      </w:r>
      <w:r w:rsidRPr="00D6256C">
        <w:rPr>
          <w:rFonts w:cs="Arial"/>
          <w:color w:val="000000"/>
          <w:sz w:val="22"/>
          <w:szCs w:val="22"/>
          <w:lang w:eastAsia="en-GB"/>
        </w:rPr>
        <w:t xml:space="preserve"> final milestone </w:t>
      </w:r>
      <w:r w:rsidR="00456E8D" w:rsidRPr="00D6256C">
        <w:rPr>
          <w:rFonts w:cs="Arial"/>
          <w:color w:val="000000"/>
          <w:sz w:val="22"/>
          <w:szCs w:val="22"/>
          <w:lang w:eastAsia="en-GB"/>
        </w:rPr>
        <w:t xml:space="preserve">in December, reflecting the fact that all administration services have been delivered in line with expectations and with no detrimental impact from the re-location, </w:t>
      </w:r>
      <w:r w:rsidRPr="00D6256C">
        <w:rPr>
          <w:rFonts w:cs="Arial"/>
          <w:color w:val="000000"/>
          <w:sz w:val="22"/>
          <w:szCs w:val="22"/>
          <w:lang w:eastAsia="en-GB"/>
        </w:rPr>
        <w:t xml:space="preserve">this risk </w:t>
      </w:r>
      <w:r w:rsidR="00456E8D" w:rsidRPr="00D6256C">
        <w:rPr>
          <w:rFonts w:cs="Arial"/>
          <w:color w:val="000000"/>
          <w:sz w:val="22"/>
          <w:szCs w:val="22"/>
          <w:lang w:eastAsia="en-GB"/>
        </w:rPr>
        <w:t>has been</w:t>
      </w:r>
      <w:r w:rsidRPr="00D6256C">
        <w:rPr>
          <w:rFonts w:cs="Arial"/>
          <w:color w:val="000000"/>
          <w:sz w:val="22"/>
          <w:szCs w:val="22"/>
          <w:lang w:eastAsia="en-GB"/>
        </w:rPr>
        <w:t xml:space="preserve"> closed.</w:t>
      </w:r>
    </w:p>
    <w:p w14:paraId="43F059DC" w14:textId="77777777" w:rsidR="00E376C4" w:rsidRPr="00363983" w:rsidRDefault="00E376C4" w:rsidP="00FF426F">
      <w:pPr>
        <w:ind w:left="426" w:hanging="360"/>
        <w:rPr>
          <w:rFonts w:cs="Arial"/>
          <w:color w:val="000000"/>
          <w:sz w:val="22"/>
          <w:szCs w:val="22"/>
          <w:lang w:eastAsia="en-GB"/>
        </w:rPr>
      </w:pPr>
    </w:p>
    <w:p w14:paraId="76B42A0E" w14:textId="77777777" w:rsidR="00E376C4" w:rsidRPr="00D6256C" w:rsidRDefault="00E376C4" w:rsidP="00D6256C">
      <w:pPr>
        <w:pStyle w:val="ListParagraph"/>
        <w:rPr>
          <w:rFonts w:cs="Arial"/>
          <w:b/>
          <w:color w:val="000000"/>
          <w:sz w:val="22"/>
          <w:szCs w:val="22"/>
          <w:lang w:eastAsia="en-GB"/>
        </w:rPr>
      </w:pPr>
      <w:r w:rsidRPr="00D6256C">
        <w:rPr>
          <w:rFonts w:cs="Arial"/>
          <w:b/>
          <w:color w:val="000000"/>
          <w:sz w:val="22"/>
          <w:szCs w:val="22"/>
          <w:lang w:eastAsia="en-GB"/>
        </w:rPr>
        <w:t>Data Quality</w:t>
      </w:r>
    </w:p>
    <w:p w14:paraId="78BE52D1" w14:textId="77777777" w:rsidR="00E376C4" w:rsidRPr="00D6256C" w:rsidRDefault="00243BBB" w:rsidP="00B30F5D">
      <w:pPr>
        <w:pStyle w:val="ListParagraph"/>
        <w:numPr>
          <w:ilvl w:val="0"/>
          <w:numId w:val="35"/>
        </w:numPr>
        <w:rPr>
          <w:rFonts w:cs="Arial"/>
          <w:sz w:val="22"/>
          <w:szCs w:val="22"/>
          <w:lang w:eastAsia="en-GB"/>
        </w:rPr>
      </w:pPr>
      <w:r w:rsidRPr="00D6256C">
        <w:rPr>
          <w:rFonts w:cs="Arial"/>
          <w:sz w:val="22"/>
          <w:szCs w:val="22"/>
          <w:lang w:eastAsia="en-GB"/>
        </w:rPr>
        <w:t xml:space="preserve">A </w:t>
      </w:r>
      <w:r w:rsidRPr="00D6256C">
        <w:rPr>
          <w:rFonts w:cs="Arial"/>
          <w:color w:val="000000"/>
          <w:sz w:val="22"/>
          <w:szCs w:val="22"/>
          <w:lang w:eastAsia="en-GB"/>
        </w:rPr>
        <w:t>Data Strategy</w:t>
      </w:r>
      <w:r w:rsidR="00D55302" w:rsidRPr="00D6256C">
        <w:rPr>
          <w:rFonts w:cs="Arial"/>
          <w:color w:val="000000"/>
          <w:sz w:val="22"/>
          <w:szCs w:val="22"/>
          <w:lang w:eastAsia="en-GB"/>
        </w:rPr>
        <w:t xml:space="preserve"> approach</w:t>
      </w:r>
      <w:r w:rsidRPr="00D6256C">
        <w:rPr>
          <w:rFonts w:cs="Arial"/>
          <w:color w:val="000000"/>
          <w:sz w:val="22"/>
          <w:szCs w:val="22"/>
          <w:lang w:eastAsia="en-GB"/>
        </w:rPr>
        <w:t xml:space="preserve"> has been agreed to deliver improvements and initiatives</w:t>
      </w:r>
      <w:r w:rsidR="00D55302" w:rsidRPr="00D6256C">
        <w:rPr>
          <w:rFonts w:cs="Arial"/>
          <w:color w:val="000000"/>
          <w:sz w:val="22"/>
          <w:szCs w:val="22"/>
          <w:lang w:eastAsia="en-GB"/>
        </w:rPr>
        <w:t xml:space="preserve"> throughout contract year five and beyond; the initial draft is due for distribution in February. </w:t>
      </w:r>
      <w:r w:rsidRPr="00D6256C">
        <w:rPr>
          <w:rFonts w:cs="Arial"/>
          <w:color w:val="000000"/>
          <w:sz w:val="22"/>
          <w:szCs w:val="22"/>
          <w:lang w:eastAsia="en-GB"/>
        </w:rPr>
        <w:t xml:space="preserve"> </w:t>
      </w:r>
    </w:p>
    <w:p w14:paraId="387C262B" w14:textId="77777777" w:rsidR="00E376C4" w:rsidRPr="00363983" w:rsidRDefault="00E376C4" w:rsidP="00FF426F">
      <w:pPr>
        <w:ind w:left="426" w:hanging="360"/>
        <w:rPr>
          <w:rFonts w:cs="Arial"/>
          <w:color w:val="000000"/>
          <w:sz w:val="22"/>
          <w:szCs w:val="22"/>
          <w:lang w:eastAsia="en-GB"/>
        </w:rPr>
      </w:pPr>
    </w:p>
    <w:p w14:paraId="0DD11E69" w14:textId="77777777" w:rsidR="00E376C4" w:rsidRPr="00D6256C" w:rsidRDefault="00E376C4"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 xml:space="preserve">The risk remains at amber as results </w:t>
      </w:r>
      <w:r w:rsidR="008F14F7" w:rsidRPr="00D6256C">
        <w:rPr>
          <w:rFonts w:cs="Arial"/>
          <w:sz w:val="22"/>
          <w:szCs w:val="22"/>
          <w:lang w:eastAsia="en-GB"/>
        </w:rPr>
        <w:t xml:space="preserve">continue to </w:t>
      </w:r>
      <w:r w:rsidRPr="00D6256C">
        <w:rPr>
          <w:rFonts w:cs="Arial"/>
          <w:sz w:val="22"/>
          <w:szCs w:val="22"/>
          <w:lang w:eastAsia="en-GB"/>
        </w:rPr>
        <w:t xml:space="preserve">show </w:t>
      </w:r>
      <w:r w:rsidRPr="00D6256C">
        <w:rPr>
          <w:rFonts w:cs="Arial"/>
          <w:color w:val="000000"/>
          <w:sz w:val="22"/>
          <w:szCs w:val="22"/>
          <w:lang w:eastAsia="en-GB"/>
        </w:rPr>
        <w:t>current targets are not all being achieved due to the scale of planned improvements and the stretching nature of those targets.  Current targets for the quality of common and conditional data are all set at 100%, with an average achieved rate of 9</w:t>
      </w:r>
      <w:r w:rsidR="000308E1" w:rsidRPr="00D6256C">
        <w:rPr>
          <w:rFonts w:cs="Arial"/>
          <w:color w:val="000000"/>
          <w:sz w:val="22"/>
          <w:szCs w:val="22"/>
          <w:lang w:eastAsia="en-GB"/>
        </w:rPr>
        <w:t>4.</w:t>
      </w:r>
      <w:r w:rsidR="00D55302" w:rsidRPr="00D6256C">
        <w:rPr>
          <w:rFonts w:cs="Arial"/>
          <w:color w:val="000000"/>
          <w:sz w:val="22"/>
          <w:szCs w:val="22"/>
          <w:lang w:eastAsia="en-GB"/>
        </w:rPr>
        <w:t>2</w:t>
      </w:r>
      <w:r w:rsidRPr="00D6256C">
        <w:rPr>
          <w:rFonts w:cs="Arial"/>
          <w:color w:val="000000"/>
          <w:sz w:val="22"/>
          <w:szCs w:val="22"/>
          <w:lang w:eastAsia="en-GB"/>
        </w:rPr>
        <w:t>%</w:t>
      </w:r>
      <w:r w:rsidR="000308E1" w:rsidRPr="00D6256C">
        <w:rPr>
          <w:rFonts w:cs="Arial"/>
          <w:color w:val="000000"/>
          <w:sz w:val="22"/>
          <w:szCs w:val="22"/>
          <w:lang w:eastAsia="en-GB"/>
        </w:rPr>
        <w:t>, a</w:t>
      </w:r>
      <w:r w:rsidR="00D55302" w:rsidRPr="00D6256C">
        <w:rPr>
          <w:rFonts w:cs="Arial"/>
          <w:color w:val="000000"/>
          <w:sz w:val="22"/>
          <w:szCs w:val="22"/>
          <w:lang w:eastAsia="en-GB"/>
        </w:rPr>
        <w:t xml:space="preserve"> slight</w:t>
      </w:r>
      <w:r w:rsidR="000308E1" w:rsidRPr="00D6256C">
        <w:rPr>
          <w:rFonts w:cs="Arial"/>
          <w:color w:val="000000"/>
          <w:sz w:val="22"/>
          <w:szCs w:val="22"/>
          <w:lang w:eastAsia="en-GB"/>
        </w:rPr>
        <w:t xml:space="preserve"> </w:t>
      </w:r>
      <w:r w:rsidR="00D55302" w:rsidRPr="00D6256C">
        <w:rPr>
          <w:rFonts w:cs="Arial"/>
          <w:color w:val="000000"/>
          <w:sz w:val="22"/>
          <w:szCs w:val="22"/>
          <w:lang w:eastAsia="en-GB"/>
        </w:rPr>
        <w:t>decrease</w:t>
      </w:r>
      <w:r w:rsidR="000308E1" w:rsidRPr="00D6256C">
        <w:rPr>
          <w:rFonts w:cs="Arial"/>
          <w:color w:val="000000"/>
          <w:sz w:val="22"/>
          <w:szCs w:val="22"/>
          <w:lang w:eastAsia="en-GB"/>
        </w:rPr>
        <w:t xml:space="preserve"> since last reported (9</w:t>
      </w:r>
      <w:r w:rsidR="00D55302" w:rsidRPr="00D6256C">
        <w:rPr>
          <w:rFonts w:cs="Arial"/>
          <w:color w:val="000000"/>
          <w:sz w:val="22"/>
          <w:szCs w:val="22"/>
          <w:lang w:eastAsia="en-GB"/>
        </w:rPr>
        <w:t>4.4</w:t>
      </w:r>
      <w:r w:rsidR="000308E1" w:rsidRPr="00D6256C">
        <w:rPr>
          <w:rFonts w:cs="Arial"/>
          <w:color w:val="000000"/>
          <w:sz w:val="22"/>
          <w:szCs w:val="22"/>
          <w:lang w:eastAsia="en-GB"/>
        </w:rPr>
        <w:t>% previously)</w:t>
      </w:r>
      <w:r w:rsidRPr="00D6256C">
        <w:rPr>
          <w:rFonts w:cs="Arial"/>
          <w:color w:val="000000"/>
          <w:sz w:val="22"/>
          <w:szCs w:val="22"/>
          <w:lang w:eastAsia="en-GB"/>
        </w:rPr>
        <w:t xml:space="preserve">. </w:t>
      </w:r>
    </w:p>
    <w:p w14:paraId="2A884D01" w14:textId="77777777" w:rsidR="00E376C4" w:rsidRPr="00363983" w:rsidRDefault="00E376C4" w:rsidP="00E376C4">
      <w:pPr>
        <w:ind w:left="426"/>
        <w:rPr>
          <w:rFonts w:cs="Arial"/>
          <w:color w:val="000000"/>
          <w:sz w:val="22"/>
          <w:szCs w:val="22"/>
          <w:lang w:eastAsia="en-GB"/>
        </w:rPr>
      </w:pPr>
    </w:p>
    <w:p w14:paraId="49FEF54E" w14:textId="77777777" w:rsidR="00FF426F" w:rsidRDefault="00FF426F" w:rsidP="00FF426F">
      <w:pPr>
        <w:ind w:firstLine="360"/>
        <w:rPr>
          <w:rFonts w:cs="Arial"/>
          <w:b/>
          <w:color w:val="000000"/>
          <w:sz w:val="22"/>
          <w:szCs w:val="22"/>
          <w:lang w:eastAsia="en-GB"/>
        </w:rPr>
      </w:pPr>
    </w:p>
    <w:p w14:paraId="55159849" w14:textId="77777777" w:rsidR="00481F37" w:rsidRPr="00D6256C" w:rsidRDefault="00E376C4" w:rsidP="00D6256C">
      <w:pPr>
        <w:pStyle w:val="ListParagraph"/>
        <w:rPr>
          <w:rFonts w:cs="Arial"/>
          <w:b/>
          <w:color w:val="000000"/>
          <w:sz w:val="22"/>
          <w:szCs w:val="22"/>
          <w:lang w:eastAsia="en-GB"/>
        </w:rPr>
      </w:pPr>
      <w:r w:rsidRPr="00D6256C">
        <w:rPr>
          <w:rFonts w:cs="Arial"/>
          <w:b/>
          <w:color w:val="000000"/>
          <w:sz w:val="22"/>
          <w:szCs w:val="22"/>
          <w:lang w:eastAsia="en-GB"/>
        </w:rPr>
        <w:t>Guaranteed Minimum Pension records</w:t>
      </w:r>
    </w:p>
    <w:p w14:paraId="38801863" w14:textId="77777777" w:rsidR="00A5747E" w:rsidRPr="00D6256C" w:rsidRDefault="003D5F98"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 xml:space="preserve">A GMP project has been signed off and progressed to commence initial work </w:t>
      </w:r>
      <w:r w:rsidR="00FF426F" w:rsidRPr="00D6256C">
        <w:rPr>
          <w:rFonts w:cs="Arial"/>
          <w:color w:val="000000"/>
          <w:sz w:val="22"/>
          <w:szCs w:val="22"/>
          <w:lang w:eastAsia="en-GB"/>
        </w:rPr>
        <w:t xml:space="preserve">to </w:t>
      </w:r>
      <w:r w:rsidRPr="00D6256C">
        <w:rPr>
          <w:rFonts w:cs="Arial"/>
          <w:color w:val="000000"/>
          <w:sz w:val="22"/>
          <w:szCs w:val="22"/>
          <w:lang w:eastAsia="en-GB"/>
        </w:rPr>
        <w:t>reconcile membership data for circa. 11.5k members. This work constitutes stage 2 of an ongoing project and will provide information to inform decisions on further phases.</w:t>
      </w:r>
      <w:r w:rsidR="003D010F" w:rsidRPr="00D6256C">
        <w:rPr>
          <w:rFonts w:cs="Arial"/>
          <w:color w:val="000000"/>
          <w:sz w:val="22"/>
          <w:szCs w:val="22"/>
          <w:lang w:eastAsia="en-GB"/>
        </w:rPr>
        <w:t xml:space="preserve"> A Project Board has been established with Stephen Baker in position as Senior Responsible Officer.</w:t>
      </w:r>
    </w:p>
    <w:p w14:paraId="25346F13" w14:textId="77777777" w:rsidR="009E748A" w:rsidRPr="00363983" w:rsidRDefault="009E748A" w:rsidP="00FF426F">
      <w:pPr>
        <w:pStyle w:val="ListParagraph"/>
        <w:ind w:left="0"/>
        <w:rPr>
          <w:rFonts w:cs="Arial"/>
          <w:color w:val="000000"/>
          <w:sz w:val="22"/>
          <w:szCs w:val="22"/>
          <w:lang w:eastAsia="en-GB"/>
        </w:rPr>
      </w:pPr>
    </w:p>
    <w:p w14:paraId="6795EEF6" w14:textId="77777777" w:rsidR="00A5747E" w:rsidRPr="00D6256C" w:rsidRDefault="00A5747E"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 xml:space="preserve">The Net Risk </w:t>
      </w:r>
      <w:r w:rsidR="003D5F98" w:rsidRPr="00D6256C">
        <w:rPr>
          <w:rFonts w:cs="Arial"/>
          <w:color w:val="000000"/>
          <w:sz w:val="22"/>
          <w:szCs w:val="22"/>
          <w:lang w:eastAsia="en-GB"/>
        </w:rPr>
        <w:t>has been reduced to amber as significant progress has been made to progress, although</w:t>
      </w:r>
      <w:r w:rsidRPr="00D6256C">
        <w:rPr>
          <w:rFonts w:cs="Arial"/>
          <w:color w:val="000000"/>
          <w:sz w:val="22"/>
          <w:szCs w:val="22"/>
          <w:lang w:eastAsia="en-GB"/>
        </w:rPr>
        <w:t xml:space="preserve"> a number of </w:t>
      </w:r>
      <w:r w:rsidR="003D5F98" w:rsidRPr="00D6256C">
        <w:rPr>
          <w:rFonts w:cs="Arial"/>
          <w:color w:val="000000"/>
          <w:sz w:val="22"/>
          <w:szCs w:val="22"/>
          <w:lang w:eastAsia="en-GB"/>
        </w:rPr>
        <w:t xml:space="preserve">policy </w:t>
      </w:r>
      <w:r w:rsidRPr="00D6256C">
        <w:rPr>
          <w:rFonts w:cs="Arial"/>
          <w:color w:val="000000"/>
          <w:sz w:val="22"/>
          <w:szCs w:val="22"/>
          <w:lang w:eastAsia="en-GB"/>
        </w:rPr>
        <w:t>decisions are still required to progress the actions associated with the control of this risk</w:t>
      </w:r>
      <w:r w:rsidR="00C14A68" w:rsidRPr="00D6256C">
        <w:rPr>
          <w:rFonts w:cs="Arial"/>
          <w:color w:val="000000"/>
          <w:sz w:val="22"/>
          <w:szCs w:val="22"/>
          <w:lang w:eastAsia="en-GB"/>
        </w:rPr>
        <w:t>.</w:t>
      </w:r>
    </w:p>
    <w:p w14:paraId="7DFD4302" w14:textId="77777777" w:rsidR="00870467" w:rsidRPr="008507B5" w:rsidRDefault="00870467" w:rsidP="00FF426F">
      <w:pPr>
        <w:pStyle w:val="ListParagraph"/>
        <w:rPr>
          <w:rFonts w:cs="Arial"/>
          <w:color w:val="000000"/>
          <w:sz w:val="22"/>
          <w:szCs w:val="22"/>
          <w:lang w:eastAsia="en-GB"/>
        </w:rPr>
      </w:pPr>
    </w:p>
    <w:p w14:paraId="7800964A" w14:textId="77777777" w:rsidR="00870467" w:rsidRPr="00D6256C" w:rsidRDefault="004B7FBF" w:rsidP="00D6256C">
      <w:pPr>
        <w:pStyle w:val="ListParagraph"/>
        <w:rPr>
          <w:rFonts w:cs="Arial"/>
          <w:b/>
          <w:color w:val="000000"/>
          <w:sz w:val="22"/>
          <w:szCs w:val="22"/>
          <w:lang w:eastAsia="en-GB"/>
        </w:rPr>
      </w:pPr>
      <w:r w:rsidRPr="00D6256C">
        <w:rPr>
          <w:rFonts w:cs="Arial"/>
          <w:b/>
          <w:color w:val="000000"/>
          <w:sz w:val="22"/>
          <w:szCs w:val="22"/>
          <w:lang w:eastAsia="en-GB"/>
        </w:rPr>
        <w:t>Annual Resource Accounts Production</w:t>
      </w:r>
      <w:r w:rsidR="00187280" w:rsidRPr="00D6256C">
        <w:rPr>
          <w:rFonts w:cs="Arial"/>
          <w:b/>
          <w:color w:val="000000"/>
          <w:sz w:val="22"/>
          <w:szCs w:val="22"/>
          <w:lang w:eastAsia="en-GB"/>
        </w:rPr>
        <w:t xml:space="preserve"> (New Item to Key Risks)</w:t>
      </w:r>
    </w:p>
    <w:p w14:paraId="49928ABF" w14:textId="77777777" w:rsidR="00870467" w:rsidRPr="00D6256C" w:rsidRDefault="004B7FBF"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If inadequate controls are in place in respect</w:t>
      </w:r>
      <w:r w:rsidR="00FF426F" w:rsidRPr="00D6256C">
        <w:rPr>
          <w:rFonts w:cs="Arial"/>
          <w:color w:val="000000"/>
          <w:sz w:val="22"/>
          <w:szCs w:val="22"/>
          <w:lang w:eastAsia="en-GB"/>
        </w:rPr>
        <w:t xml:space="preserve"> of the Annual Resource Account </w:t>
      </w:r>
      <w:r w:rsidRPr="00D6256C">
        <w:rPr>
          <w:rFonts w:cs="Arial"/>
          <w:color w:val="000000"/>
          <w:sz w:val="22"/>
          <w:szCs w:val="22"/>
          <w:lang w:eastAsia="en-GB"/>
        </w:rPr>
        <w:t xml:space="preserve">production, there is a risk that the </w:t>
      </w:r>
      <w:r w:rsidR="00793410" w:rsidRPr="00D6256C">
        <w:rPr>
          <w:rFonts w:cs="Arial"/>
          <w:color w:val="000000"/>
          <w:sz w:val="22"/>
          <w:szCs w:val="22"/>
          <w:lang w:eastAsia="en-GB"/>
        </w:rPr>
        <w:t>Teachers’ Pension</w:t>
      </w:r>
      <w:r w:rsidRPr="00D6256C">
        <w:rPr>
          <w:rFonts w:cs="Arial"/>
          <w:color w:val="000000"/>
          <w:sz w:val="22"/>
          <w:szCs w:val="22"/>
          <w:lang w:eastAsia="en-GB"/>
        </w:rPr>
        <w:t xml:space="preserve"> Scheme Resource Accounts might be qualified following the NAO audit.</w:t>
      </w:r>
    </w:p>
    <w:p w14:paraId="15E19097" w14:textId="77777777" w:rsidR="00870467" w:rsidRDefault="00870467" w:rsidP="008507B5">
      <w:pPr>
        <w:rPr>
          <w:rFonts w:cs="Arial"/>
          <w:color w:val="000000"/>
          <w:sz w:val="22"/>
          <w:szCs w:val="22"/>
          <w:lang w:eastAsia="en-GB"/>
        </w:rPr>
      </w:pPr>
    </w:p>
    <w:p w14:paraId="0974A41C" w14:textId="77777777" w:rsidR="00187280" w:rsidRPr="00D6256C" w:rsidRDefault="00187280"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The 9 month accounts are now with the department to finalise by the end of February in time for Deloitte</w:t>
      </w:r>
      <w:r w:rsidR="00B24C03" w:rsidRPr="00D6256C">
        <w:rPr>
          <w:rFonts w:cs="Arial"/>
          <w:color w:val="000000"/>
          <w:sz w:val="22"/>
          <w:szCs w:val="22"/>
          <w:lang w:eastAsia="en-GB"/>
        </w:rPr>
        <w:t>’</w:t>
      </w:r>
      <w:r w:rsidRPr="00D6256C">
        <w:rPr>
          <w:rFonts w:cs="Arial"/>
          <w:color w:val="000000"/>
          <w:sz w:val="22"/>
          <w:szCs w:val="22"/>
          <w:lang w:eastAsia="en-GB"/>
        </w:rPr>
        <w:t xml:space="preserve">s interim audit visit (commencing 29 February for two weeks). TP have drafted plans for the interim and final audits in order to quantify likely resource impacts. The next steps are to meet with Deloitte to clarify the scope of a number of items and the daily plan of work, appointments can then be arranged. </w:t>
      </w:r>
    </w:p>
    <w:p w14:paraId="5AC882F0" w14:textId="77777777" w:rsidR="00187280" w:rsidRPr="00187280" w:rsidRDefault="00187280" w:rsidP="00187280">
      <w:pPr>
        <w:rPr>
          <w:rFonts w:cs="Arial"/>
          <w:color w:val="000000"/>
          <w:sz w:val="22"/>
          <w:szCs w:val="22"/>
          <w:lang w:eastAsia="en-GB"/>
        </w:rPr>
      </w:pPr>
    </w:p>
    <w:p w14:paraId="595416F0" w14:textId="77777777" w:rsidR="00187280" w:rsidRPr="00D6256C" w:rsidRDefault="00187280"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 xml:space="preserve">During January the TPS accounts project board and steering group met to discuss the delivery of the accounts prior to parliamentary recess. The project board has an actions log in place and the steering group a risk register. Key risks identified are – </w:t>
      </w:r>
    </w:p>
    <w:p w14:paraId="0A00E8A8" w14:textId="77777777" w:rsidR="00187280" w:rsidRPr="00187280" w:rsidRDefault="00187280" w:rsidP="00187280">
      <w:pPr>
        <w:rPr>
          <w:rFonts w:cs="Arial"/>
          <w:color w:val="000000"/>
          <w:sz w:val="22"/>
          <w:szCs w:val="22"/>
          <w:lang w:eastAsia="en-GB"/>
        </w:rPr>
      </w:pPr>
    </w:p>
    <w:p w14:paraId="5FEA24FC" w14:textId="77777777" w:rsidR="00187280" w:rsidRPr="00D6256C" w:rsidRDefault="00187280" w:rsidP="00D6256C">
      <w:pPr>
        <w:pStyle w:val="ListParagraph"/>
        <w:numPr>
          <w:ilvl w:val="0"/>
          <w:numId w:val="33"/>
        </w:numPr>
        <w:rPr>
          <w:rFonts w:cs="Arial"/>
          <w:color w:val="000000"/>
          <w:sz w:val="22"/>
          <w:szCs w:val="22"/>
          <w:lang w:eastAsia="en-GB"/>
        </w:rPr>
      </w:pPr>
      <w:r w:rsidRPr="00D6256C">
        <w:rPr>
          <w:rFonts w:cs="Arial"/>
          <w:color w:val="000000"/>
          <w:sz w:val="22"/>
          <w:szCs w:val="22"/>
          <w:lang w:eastAsia="en-GB"/>
        </w:rPr>
        <w:t xml:space="preserve">The date of the final audit (commencing 30 May for four weeks) conflicts with the ARC date of </w:t>
      </w:r>
      <w:r w:rsidR="00793410" w:rsidRPr="00D6256C">
        <w:rPr>
          <w:rFonts w:cs="Arial"/>
          <w:color w:val="000000"/>
          <w:sz w:val="22"/>
          <w:szCs w:val="22"/>
          <w:lang w:eastAsia="en-GB"/>
        </w:rPr>
        <w:t>mid-June</w:t>
      </w:r>
      <w:r w:rsidRPr="00D6256C">
        <w:rPr>
          <w:rFonts w:cs="Arial"/>
          <w:color w:val="000000"/>
          <w:sz w:val="22"/>
          <w:szCs w:val="22"/>
          <w:lang w:eastAsia="en-GB"/>
        </w:rPr>
        <w:t>.</w:t>
      </w:r>
    </w:p>
    <w:p w14:paraId="3499BAFA" w14:textId="77777777" w:rsidR="00D6256C" w:rsidRPr="00187280" w:rsidRDefault="00D6256C" w:rsidP="00D6256C">
      <w:pPr>
        <w:ind w:left="720"/>
        <w:rPr>
          <w:rFonts w:cs="Arial"/>
          <w:color w:val="000000"/>
          <w:sz w:val="22"/>
          <w:szCs w:val="22"/>
          <w:lang w:eastAsia="en-GB"/>
        </w:rPr>
      </w:pPr>
    </w:p>
    <w:p w14:paraId="08A6E416" w14:textId="77777777" w:rsidR="00187280" w:rsidRPr="00D6256C" w:rsidRDefault="00187280" w:rsidP="00D6256C">
      <w:pPr>
        <w:pStyle w:val="ListParagraph"/>
        <w:numPr>
          <w:ilvl w:val="0"/>
          <w:numId w:val="33"/>
        </w:numPr>
        <w:rPr>
          <w:rFonts w:cs="Arial"/>
          <w:color w:val="000000"/>
          <w:sz w:val="22"/>
          <w:szCs w:val="22"/>
          <w:lang w:eastAsia="en-GB"/>
        </w:rPr>
      </w:pPr>
      <w:r w:rsidRPr="00D6256C">
        <w:rPr>
          <w:rFonts w:cs="Arial"/>
          <w:color w:val="000000"/>
          <w:sz w:val="22"/>
          <w:szCs w:val="22"/>
          <w:lang w:eastAsia="en-GB"/>
        </w:rPr>
        <w:t xml:space="preserve">Membership reconciliation – methodology has now been agreed with the NAO but some risks remain around the delivery of this work and its tie back into contributions. </w:t>
      </w:r>
    </w:p>
    <w:p w14:paraId="0588DC9D" w14:textId="77777777" w:rsidR="00187280" w:rsidRPr="00187280" w:rsidRDefault="00187280" w:rsidP="00187280">
      <w:pPr>
        <w:rPr>
          <w:rFonts w:cs="Arial"/>
          <w:color w:val="000000"/>
          <w:sz w:val="22"/>
          <w:szCs w:val="22"/>
          <w:lang w:eastAsia="en-GB"/>
        </w:rPr>
      </w:pPr>
    </w:p>
    <w:p w14:paraId="6E84247C" w14:textId="77777777" w:rsidR="00870467" w:rsidRPr="00D6256C" w:rsidRDefault="00187280"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 xml:space="preserve">Monthly keep in touch (KITs) meetings have been agreed to run </w:t>
      </w:r>
      <w:r w:rsidR="00793410" w:rsidRPr="00D6256C">
        <w:rPr>
          <w:rFonts w:cs="Arial"/>
          <w:color w:val="000000"/>
          <w:sz w:val="22"/>
          <w:szCs w:val="22"/>
          <w:lang w:eastAsia="en-GB"/>
        </w:rPr>
        <w:t>in-between</w:t>
      </w:r>
      <w:r w:rsidRPr="00D6256C">
        <w:rPr>
          <w:rFonts w:cs="Arial"/>
          <w:color w:val="000000"/>
          <w:sz w:val="22"/>
          <w:szCs w:val="22"/>
          <w:lang w:eastAsia="en-GB"/>
        </w:rPr>
        <w:t xml:space="preserve"> the monthly project meetings.</w:t>
      </w:r>
    </w:p>
    <w:p w14:paraId="5E78A4C1" w14:textId="77777777" w:rsidR="00E376C4" w:rsidRPr="00363983" w:rsidRDefault="00E376C4" w:rsidP="00E376C4">
      <w:pPr>
        <w:ind w:left="426"/>
        <w:rPr>
          <w:rFonts w:cs="Arial"/>
          <w:b/>
          <w:color w:val="000000"/>
          <w:szCs w:val="24"/>
          <w:lang w:eastAsia="en-GB"/>
        </w:rPr>
      </w:pPr>
    </w:p>
    <w:p w14:paraId="555555C1" w14:textId="77777777" w:rsidR="00E376C4" w:rsidRPr="00D6256C" w:rsidRDefault="00E376C4" w:rsidP="00D6256C">
      <w:pPr>
        <w:pStyle w:val="ListParagraph"/>
        <w:rPr>
          <w:rFonts w:cs="Arial"/>
          <w:b/>
          <w:color w:val="000000"/>
          <w:szCs w:val="24"/>
          <w:lang w:eastAsia="en-GB"/>
        </w:rPr>
      </w:pPr>
      <w:r w:rsidRPr="00D6256C">
        <w:rPr>
          <w:rFonts w:cs="Arial"/>
          <w:b/>
          <w:color w:val="000000"/>
          <w:szCs w:val="24"/>
          <w:lang w:eastAsia="en-GB"/>
        </w:rPr>
        <w:t>Overview of all Risks</w:t>
      </w:r>
    </w:p>
    <w:p w14:paraId="45C7BE8E" w14:textId="77777777" w:rsidR="00A5747E" w:rsidRPr="00363983" w:rsidRDefault="00A5747E" w:rsidP="00A5747E">
      <w:pPr>
        <w:pStyle w:val="ListParagraph"/>
        <w:rPr>
          <w:rFonts w:cs="Arial"/>
          <w:color w:val="000000"/>
          <w:sz w:val="22"/>
          <w:szCs w:val="22"/>
          <w:lang w:eastAsia="en-GB"/>
        </w:rPr>
      </w:pPr>
    </w:p>
    <w:p w14:paraId="1AE62794" w14:textId="77777777" w:rsidR="00E376C4" w:rsidRPr="00D6256C" w:rsidRDefault="00A5747E"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There are currently 1</w:t>
      </w:r>
      <w:r w:rsidR="00364BF3" w:rsidRPr="00D6256C">
        <w:rPr>
          <w:rFonts w:cs="Arial"/>
          <w:color w:val="000000"/>
          <w:sz w:val="22"/>
          <w:szCs w:val="22"/>
          <w:lang w:eastAsia="en-GB"/>
        </w:rPr>
        <w:t>8</w:t>
      </w:r>
      <w:r w:rsidR="00E376C4" w:rsidRPr="00D6256C">
        <w:rPr>
          <w:rFonts w:cs="Arial"/>
          <w:color w:val="000000"/>
          <w:sz w:val="22"/>
          <w:szCs w:val="22"/>
          <w:lang w:eastAsia="en-GB"/>
        </w:rPr>
        <w:t xml:space="preserve"> </w:t>
      </w:r>
      <w:r w:rsidR="00E376C4" w:rsidRPr="00D6256C">
        <w:rPr>
          <w:rFonts w:cs="Arial"/>
          <w:b/>
          <w:color w:val="000000"/>
          <w:sz w:val="22"/>
          <w:szCs w:val="22"/>
          <w:lang w:eastAsia="en-GB"/>
        </w:rPr>
        <w:t>Strategic Risks</w:t>
      </w:r>
      <w:r w:rsidR="00E376C4" w:rsidRPr="00D6256C">
        <w:rPr>
          <w:rFonts w:cs="Arial"/>
          <w:color w:val="000000"/>
          <w:sz w:val="22"/>
          <w:szCs w:val="22"/>
          <w:lang w:eastAsia="en-GB"/>
        </w:rPr>
        <w:t xml:space="preserve"> under management</w:t>
      </w:r>
      <w:r w:rsidRPr="00D6256C">
        <w:rPr>
          <w:rFonts w:cs="Arial"/>
          <w:color w:val="000000"/>
          <w:sz w:val="22"/>
          <w:szCs w:val="22"/>
          <w:lang w:eastAsia="en-GB"/>
        </w:rPr>
        <w:t xml:space="preserve"> (previously </w:t>
      </w:r>
      <w:r w:rsidR="00364BF3" w:rsidRPr="00D6256C">
        <w:rPr>
          <w:rFonts w:cs="Arial"/>
          <w:color w:val="000000"/>
          <w:sz w:val="22"/>
          <w:szCs w:val="22"/>
          <w:lang w:eastAsia="en-GB"/>
        </w:rPr>
        <w:t>19</w:t>
      </w:r>
      <w:r w:rsidRPr="00D6256C">
        <w:rPr>
          <w:rFonts w:cs="Arial"/>
          <w:color w:val="000000"/>
          <w:sz w:val="22"/>
          <w:szCs w:val="22"/>
          <w:lang w:eastAsia="en-GB"/>
        </w:rPr>
        <w:t>)</w:t>
      </w:r>
      <w:r w:rsidR="00E376C4" w:rsidRPr="00D6256C">
        <w:rPr>
          <w:rFonts w:cs="Arial"/>
          <w:color w:val="000000"/>
          <w:sz w:val="22"/>
          <w:szCs w:val="22"/>
          <w:lang w:eastAsia="en-GB"/>
        </w:rPr>
        <w:t xml:space="preserve">, </w:t>
      </w:r>
      <w:r w:rsidR="00364BF3" w:rsidRPr="00D6256C">
        <w:rPr>
          <w:rFonts w:cs="Arial"/>
          <w:color w:val="000000"/>
          <w:sz w:val="22"/>
          <w:szCs w:val="22"/>
          <w:lang w:eastAsia="en-GB"/>
        </w:rPr>
        <w:t>none</w:t>
      </w:r>
      <w:r w:rsidR="00E376C4" w:rsidRPr="00D6256C">
        <w:rPr>
          <w:rFonts w:cs="Arial"/>
          <w:color w:val="000000"/>
          <w:sz w:val="22"/>
          <w:szCs w:val="22"/>
          <w:lang w:eastAsia="en-GB"/>
        </w:rPr>
        <w:t xml:space="preserve"> of which carry a ‘High’ net risk rating and whic</w:t>
      </w:r>
      <w:r w:rsidR="008312DB" w:rsidRPr="00D6256C">
        <w:rPr>
          <w:rFonts w:cs="Arial"/>
          <w:color w:val="000000"/>
          <w:sz w:val="22"/>
          <w:szCs w:val="22"/>
          <w:lang w:eastAsia="en-GB"/>
        </w:rPr>
        <w:t>h have strong controls in place.</w:t>
      </w:r>
    </w:p>
    <w:p w14:paraId="0A891204" w14:textId="77777777" w:rsidR="00E376C4" w:rsidRPr="00363983" w:rsidRDefault="00E376C4" w:rsidP="00E376C4">
      <w:pPr>
        <w:ind w:left="426"/>
        <w:rPr>
          <w:rFonts w:cs="Arial"/>
          <w:color w:val="000000"/>
          <w:sz w:val="22"/>
          <w:szCs w:val="22"/>
          <w:lang w:eastAsia="en-GB"/>
        </w:rPr>
      </w:pPr>
    </w:p>
    <w:p w14:paraId="4784CE3D" w14:textId="77777777" w:rsidR="00E376C4" w:rsidRPr="00D6256C" w:rsidRDefault="00E376C4" w:rsidP="00B30F5D">
      <w:pPr>
        <w:pStyle w:val="ListParagraph"/>
        <w:numPr>
          <w:ilvl w:val="0"/>
          <w:numId w:val="35"/>
        </w:numPr>
        <w:rPr>
          <w:rFonts w:cs="Arial"/>
          <w:color w:val="000000"/>
          <w:sz w:val="22"/>
          <w:szCs w:val="22"/>
          <w:lang w:eastAsia="en-GB"/>
        </w:rPr>
      </w:pPr>
      <w:r w:rsidRPr="00D6256C">
        <w:rPr>
          <w:rFonts w:cs="Arial"/>
          <w:color w:val="000000"/>
          <w:sz w:val="22"/>
          <w:szCs w:val="22"/>
          <w:lang w:eastAsia="en-GB"/>
        </w:rPr>
        <w:t>I</w:t>
      </w:r>
      <w:r w:rsidR="00A5747E" w:rsidRPr="00D6256C">
        <w:rPr>
          <w:rFonts w:cs="Arial"/>
          <w:color w:val="000000"/>
          <w:sz w:val="22"/>
          <w:szCs w:val="22"/>
          <w:lang w:eastAsia="en-GB"/>
        </w:rPr>
        <w:t>n addition there are a further 1</w:t>
      </w:r>
      <w:r w:rsidR="00364BF3" w:rsidRPr="00D6256C">
        <w:rPr>
          <w:rFonts w:cs="Arial"/>
          <w:color w:val="000000"/>
          <w:sz w:val="22"/>
          <w:szCs w:val="22"/>
          <w:lang w:eastAsia="en-GB"/>
        </w:rPr>
        <w:t>8</w:t>
      </w:r>
      <w:r w:rsidRPr="00D6256C">
        <w:rPr>
          <w:rFonts w:cs="Arial"/>
          <w:color w:val="000000"/>
          <w:sz w:val="22"/>
          <w:szCs w:val="22"/>
          <w:lang w:eastAsia="en-GB"/>
        </w:rPr>
        <w:t xml:space="preserve"> </w:t>
      </w:r>
      <w:r w:rsidRPr="00D6256C">
        <w:rPr>
          <w:rFonts w:cs="Arial"/>
          <w:b/>
          <w:color w:val="000000"/>
          <w:sz w:val="22"/>
          <w:szCs w:val="22"/>
          <w:lang w:eastAsia="en-GB"/>
        </w:rPr>
        <w:t>Service Delivery Risks</w:t>
      </w:r>
      <w:r w:rsidRPr="00D6256C">
        <w:rPr>
          <w:rFonts w:cs="Arial"/>
          <w:color w:val="000000"/>
          <w:sz w:val="22"/>
          <w:szCs w:val="22"/>
          <w:lang w:eastAsia="en-GB"/>
        </w:rPr>
        <w:t xml:space="preserve"> under management</w:t>
      </w:r>
      <w:r w:rsidR="00A5747E" w:rsidRPr="00D6256C">
        <w:rPr>
          <w:rFonts w:cs="Arial"/>
          <w:color w:val="000000"/>
          <w:sz w:val="22"/>
          <w:szCs w:val="22"/>
          <w:lang w:eastAsia="en-GB"/>
        </w:rPr>
        <w:t xml:space="preserve"> (previously </w:t>
      </w:r>
      <w:r w:rsidR="00364BF3" w:rsidRPr="00D6256C">
        <w:rPr>
          <w:rFonts w:cs="Arial"/>
          <w:color w:val="000000"/>
          <w:sz w:val="22"/>
          <w:szCs w:val="22"/>
          <w:lang w:eastAsia="en-GB"/>
        </w:rPr>
        <w:t>17</w:t>
      </w:r>
      <w:r w:rsidR="00A5747E" w:rsidRPr="00D6256C">
        <w:rPr>
          <w:rFonts w:cs="Arial"/>
          <w:color w:val="000000"/>
          <w:sz w:val="22"/>
          <w:szCs w:val="22"/>
          <w:lang w:eastAsia="en-GB"/>
        </w:rPr>
        <w:t>)</w:t>
      </w:r>
      <w:r w:rsidRPr="00D6256C">
        <w:rPr>
          <w:rFonts w:cs="Arial"/>
          <w:color w:val="000000"/>
          <w:sz w:val="22"/>
          <w:szCs w:val="22"/>
          <w:lang w:eastAsia="en-GB"/>
        </w:rPr>
        <w:t xml:space="preserve">, </w:t>
      </w:r>
      <w:r w:rsidR="00364BF3" w:rsidRPr="00D6256C">
        <w:rPr>
          <w:rFonts w:cs="Arial"/>
          <w:color w:val="000000"/>
          <w:sz w:val="22"/>
          <w:szCs w:val="22"/>
          <w:lang w:eastAsia="en-GB"/>
        </w:rPr>
        <w:t xml:space="preserve">none </w:t>
      </w:r>
      <w:r w:rsidRPr="00D6256C">
        <w:rPr>
          <w:rFonts w:cs="Arial"/>
          <w:color w:val="000000"/>
          <w:sz w:val="22"/>
          <w:szCs w:val="22"/>
          <w:lang w:eastAsia="en-GB"/>
        </w:rPr>
        <w:t>of which carr</w:t>
      </w:r>
      <w:r w:rsidR="009D4542" w:rsidRPr="00D6256C">
        <w:rPr>
          <w:rFonts w:cs="Arial"/>
          <w:color w:val="000000"/>
          <w:sz w:val="22"/>
          <w:szCs w:val="22"/>
          <w:lang w:eastAsia="en-GB"/>
        </w:rPr>
        <w:t>ies</w:t>
      </w:r>
      <w:r w:rsidR="008312DB" w:rsidRPr="00D6256C">
        <w:rPr>
          <w:rFonts w:cs="Arial"/>
          <w:color w:val="000000"/>
          <w:sz w:val="22"/>
          <w:szCs w:val="22"/>
          <w:lang w:eastAsia="en-GB"/>
        </w:rPr>
        <w:t xml:space="preserve"> a ‘High’ net risk rating.</w:t>
      </w:r>
    </w:p>
    <w:p w14:paraId="4CE8C922" w14:textId="77777777" w:rsidR="00E376C4" w:rsidRPr="00363983" w:rsidRDefault="00E376C4" w:rsidP="00E376C4">
      <w:pPr>
        <w:ind w:left="426"/>
        <w:rPr>
          <w:rFonts w:cs="Arial"/>
          <w:color w:val="000000"/>
          <w:sz w:val="22"/>
          <w:szCs w:val="22"/>
          <w:lang w:eastAsia="en-GB"/>
        </w:rPr>
      </w:pPr>
    </w:p>
    <w:p w14:paraId="1979086D" w14:textId="77777777" w:rsidR="00E376C4" w:rsidRPr="00363983" w:rsidRDefault="00E376C4" w:rsidP="009D4542">
      <w:pPr>
        <w:pStyle w:val="ListParagraph"/>
        <w:rPr>
          <w:rFonts w:cs="Arial"/>
          <w:b/>
          <w:sz w:val="28"/>
          <w:szCs w:val="28"/>
        </w:rPr>
        <w:sectPr w:rsidR="00E376C4" w:rsidRPr="00363983" w:rsidSect="00DF7A7D">
          <w:headerReference w:type="default" r:id="rId14"/>
          <w:footerReference w:type="default" r:id="rId15"/>
          <w:pgSz w:w="11906" w:h="16838"/>
          <w:pgMar w:top="1440" w:right="1558" w:bottom="1440" w:left="1800" w:header="708" w:footer="708" w:gutter="0"/>
          <w:cols w:space="708"/>
          <w:docGrid w:linePitch="360"/>
        </w:sectPr>
      </w:pPr>
    </w:p>
    <w:p w14:paraId="534506BA" w14:textId="77777777" w:rsidR="00E376C4" w:rsidRPr="00363983" w:rsidRDefault="00E376C4" w:rsidP="00E376C4">
      <w:pPr>
        <w:rPr>
          <w:rFonts w:cs="Arial"/>
          <w:sz w:val="22"/>
          <w:szCs w:val="22"/>
          <w:lang w:val="en-US"/>
        </w:rPr>
      </w:pPr>
      <w:r w:rsidRPr="00363983">
        <w:rPr>
          <w:rFonts w:cs="Arial"/>
          <w:b/>
          <w:sz w:val="28"/>
          <w:szCs w:val="28"/>
        </w:rPr>
        <w:t>Group Internal Audit (GIA) Update</w:t>
      </w:r>
    </w:p>
    <w:p w14:paraId="1A1FF234" w14:textId="77777777" w:rsidR="00E376C4" w:rsidRPr="00363983" w:rsidRDefault="00E376C4" w:rsidP="00E376C4">
      <w:pPr>
        <w:rPr>
          <w:rFonts w:cs="Arial"/>
          <w:sz w:val="22"/>
          <w:szCs w:val="22"/>
          <w:lang w:val="en-US"/>
        </w:rPr>
      </w:pPr>
    </w:p>
    <w:p w14:paraId="569B6631" w14:textId="77777777" w:rsidR="00A120CA" w:rsidRPr="00363983" w:rsidRDefault="00853A42" w:rsidP="00A120CA">
      <w:pPr>
        <w:widowControl/>
        <w:overflowPunct/>
        <w:autoSpaceDE/>
        <w:autoSpaceDN/>
        <w:adjustRightInd/>
        <w:ind w:left="15"/>
        <w:textAlignment w:val="auto"/>
        <w:rPr>
          <w:rFonts w:cs="Arial"/>
          <w:sz w:val="22"/>
          <w:szCs w:val="22"/>
        </w:rPr>
      </w:pPr>
      <w:r w:rsidRPr="00853A42">
        <w:rPr>
          <w:rFonts w:cs="Arial"/>
          <w:sz w:val="22"/>
          <w:szCs w:val="22"/>
          <w:lang w:val="en-US"/>
        </w:rPr>
        <w:t xml:space="preserve">The main focus of GIA activity during the month has been the production of remaining 2015 plan reports, commencing planning for 2016 plan assignments and supporting Capita management to address open audit issues. </w:t>
      </w:r>
      <w:r w:rsidR="00A120CA" w:rsidRPr="00363983">
        <w:rPr>
          <w:rFonts w:cs="Arial"/>
          <w:sz w:val="22"/>
          <w:szCs w:val="22"/>
        </w:rPr>
        <w:t xml:space="preserve"> </w:t>
      </w:r>
    </w:p>
    <w:p w14:paraId="22AC5393" w14:textId="77777777" w:rsidR="00A120CA" w:rsidRPr="00363983" w:rsidRDefault="00A120CA" w:rsidP="00A120CA">
      <w:pPr>
        <w:widowControl/>
        <w:overflowPunct/>
        <w:autoSpaceDE/>
        <w:autoSpaceDN/>
        <w:adjustRightInd/>
        <w:ind w:left="15"/>
        <w:textAlignment w:val="auto"/>
        <w:rPr>
          <w:rFonts w:cs="Arial"/>
          <w:sz w:val="22"/>
          <w:szCs w:val="22"/>
        </w:rPr>
      </w:pPr>
    </w:p>
    <w:p w14:paraId="480EE5D9" w14:textId="77777777" w:rsidR="00853A42" w:rsidRDefault="00853A42" w:rsidP="00853A42">
      <w:pPr>
        <w:widowControl/>
        <w:overflowPunct/>
        <w:autoSpaceDE/>
        <w:autoSpaceDN/>
        <w:adjustRightInd/>
        <w:ind w:left="15"/>
        <w:textAlignment w:val="auto"/>
        <w:rPr>
          <w:rFonts w:cs="Arial"/>
          <w:sz w:val="22"/>
          <w:szCs w:val="22"/>
          <w:lang w:val="en-US"/>
        </w:rPr>
      </w:pPr>
      <w:r w:rsidRPr="00853A42">
        <w:rPr>
          <w:rFonts w:cs="Arial"/>
          <w:sz w:val="22"/>
          <w:szCs w:val="22"/>
          <w:lang w:val="en-US"/>
        </w:rPr>
        <w:t xml:space="preserve">Following the previously reported internal fraud incident, Durham Constabulary has advised that the individual that has been arrested has been re-interviewed on 29 January 2016. Engagement with the Crown Prospection Service is in progress and a timeline for appearing in court will be formally communicated to Capita / DfE (once confirmed).  </w:t>
      </w:r>
    </w:p>
    <w:p w14:paraId="7E949F8D" w14:textId="77777777" w:rsidR="009D0FE9" w:rsidRPr="00853A42" w:rsidRDefault="009D0FE9" w:rsidP="00853A42">
      <w:pPr>
        <w:widowControl/>
        <w:overflowPunct/>
        <w:autoSpaceDE/>
        <w:autoSpaceDN/>
        <w:adjustRightInd/>
        <w:ind w:left="15"/>
        <w:textAlignment w:val="auto"/>
        <w:rPr>
          <w:rFonts w:cs="Arial"/>
          <w:sz w:val="22"/>
          <w:szCs w:val="22"/>
          <w:lang w:val="en-US"/>
        </w:rPr>
      </w:pPr>
    </w:p>
    <w:p w14:paraId="26B9EFBE" w14:textId="77777777" w:rsidR="00A120CA" w:rsidRPr="00363983" w:rsidRDefault="00853A42" w:rsidP="00A120CA">
      <w:pPr>
        <w:widowControl/>
        <w:overflowPunct/>
        <w:autoSpaceDE/>
        <w:autoSpaceDN/>
        <w:adjustRightInd/>
        <w:ind w:left="15"/>
        <w:textAlignment w:val="auto"/>
        <w:rPr>
          <w:rFonts w:cs="Arial"/>
          <w:sz w:val="22"/>
          <w:szCs w:val="22"/>
        </w:rPr>
      </w:pPr>
      <w:r w:rsidRPr="00853A42">
        <w:rPr>
          <w:rFonts w:cs="Arial"/>
          <w:sz w:val="22"/>
          <w:szCs w:val="22"/>
          <w:lang w:val="en-US"/>
        </w:rPr>
        <w:t xml:space="preserve">In addition, GIA note there has been significant operational focus and Hartlink development work during the period to implement the new independent </w:t>
      </w:r>
      <w:proofErr w:type="spellStart"/>
      <w:r w:rsidRPr="00853A42">
        <w:rPr>
          <w:rFonts w:cs="Arial"/>
          <w:sz w:val="22"/>
          <w:szCs w:val="22"/>
          <w:lang w:val="en-US"/>
        </w:rPr>
        <w:t>authorisation</w:t>
      </w:r>
      <w:proofErr w:type="spellEnd"/>
      <w:r w:rsidRPr="00853A42">
        <w:rPr>
          <w:rFonts w:cs="Arial"/>
          <w:sz w:val="22"/>
          <w:szCs w:val="22"/>
          <w:lang w:val="en-US"/>
        </w:rPr>
        <w:t xml:space="preserve"> </w:t>
      </w:r>
      <w:r w:rsidR="009D0FE9">
        <w:rPr>
          <w:rFonts w:cs="Arial"/>
          <w:sz w:val="22"/>
          <w:szCs w:val="22"/>
          <w:lang w:val="en-US"/>
        </w:rPr>
        <w:t>t</w:t>
      </w:r>
      <w:r w:rsidRPr="00853A42">
        <w:rPr>
          <w:rFonts w:cs="Arial"/>
          <w:sz w:val="22"/>
          <w:szCs w:val="22"/>
          <w:lang w:val="en-US"/>
        </w:rPr>
        <w:t>eam across the TPS operation, and associated payment sanctioning control requirements. GIA will be reviewing the revised control framework during early Q2.</w:t>
      </w:r>
    </w:p>
    <w:p w14:paraId="462F07BE" w14:textId="77777777" w:rsidR="00E376C4" w:rsidRDefault="00E376C4" w:rsidP="00E376C4">
      <w:pPr>
        <w:widowControl/>
        <w:overflowPunct/>
        <w:autoSpaceDE/>
        <w:autoSpaceDN/>
        <w:adjustRightInd/>
        <w:ind w:left="15"/>
        <w:jc w:val="center"/>
        <w:textAlignment w:val="auto"/>
        <w:rPr>
          <w:rFonts w:cs="Arial"/>
          <w:b/>
          <w:lang w:eastAsia="en-GB"/>
        </w:rPr>
      </w:pPr>
    </w:p>
    <w:p w14:paraId="1548D4F3" w14:textId="77777777" w:rsidR="009D0FE9" w:rsidRPr="00363983" w:rsidRDefault="009D0FE9" w:rsidP="00E376C4">
      <w:pPr>
        <w:widowControl/>
        <w:overflowPunct/>
        <w:autoSpaceDE/>
        <w:autoSpaceDN/>
        <w:adjustRightInd/>
        <w:ind w:left="15"/>
        <w:jc w:val="center"/>
        <w:textAlignment w:val="auto"/>
        <w:rPr>
          <w:rFonts w:cs="Arial"/>
          <w:b/>
          <w:lang w:eastAsia="en-GB"/>
        </w:rPr>
      </w:pPr>
    </w:p>
    <w:p w14:paraId="261E2859" w14:textId="77777777" w:rsidR="00E376C4" w:rsidRDefault="00E376C4" w:rsidP="00A120CA">
      <w:pPr>
        <w:widowControl/>
        <w:overflowPunct/>
        <w:autoSpaceDE/>
        <w:autoSpaceDN/>
        <w:adjustRightInd/>
        <w:ind w:left="15"/>
        <w:jc w:val="center"/>
        <w:textAlignment w:val="auto"/>
        <w:rPr>
          <w:rFonts w:cs="Arial"/>
          <w:b/>
          <w:lang w:eastAsia="en-GB"/>
        </w:rPr>
      </w:pPr>
      <w:r w:rsidRPr="00363983">
        <w:rPr>
          <w:rFonts w:cs="Arial"/>
          <w:b/>
          <w:lang w:eastAsia="en-GB"/>
        </w:rPr>
        <w:t>Outstanding Issues</w:t>
      </w:r>
    </w:p>
    <w:p w14:paraId="6DFEAF67" w14:textId="77777777" w:rsidR="009D0FE9" w:rsidRDefault="009D0FE9" w:rsidP="00A120CA">
      <w:pPr>
        <w:widowControl/>
        <w:overflowPunct/>
        <w:autoSpaceDE/>
        <w:autoSpaceDN/>
        <w:adjustRightInd/>
        <w:ind w:left="15"/>
        <w:jc w:val="center"/>
        <w:textAlignment w:val="auto"/>
        <w:rPr>
          <w:rFonts w:cs="Arial"/>
          <w:b/>
          <w:lang w:eastAsia="en-GB"/>
        </w:rPr>
      </w:pPr>
    </w:p>
    <w:p w14:paraId="5E9BF0C9" w14:textId="77777777" w:rsidR="00853A42" w:rsidRDefault="00853A42" w:rsidP="00A120CA">
      <w:pPr>
        <w:widowControl/>
        <w:overflowPunct/>
        <w:autoSpaceDE/>
        <w:autoSpaceDN/>
        <w:adjustRightInd/>
        <w:ind w:left="15"/>
        <w:jc w:val="center"/>
        <w:textAlignment w:val="auto"/>
        <w:rPr>
          <w:rFonts w:cs="Arial"/>
          <w:b/>
          <w:lang w:eastAsia="en-GB"/>
        </w:rPr>
      </w:pPr>
    </w:p>
    <w:p w14:paraId="1F713E4A" w14:textId="77777777" w:rsidR="00853A42" w:rsidRPr="00363983" w:rsidRDefault="009415AA" w:rsidP="00A120CA">
      <w:pPr>
        <w:widowControl/>
        <w:overflowPunct/>
        <w:autoSpaceDE/>
        <w:autoSpaceDN/>
        <w:adjustRightInd/>
        <w:ind w:left="15"/>
        <w:jc w:val="center"/>
        <w:textAlignment w:val="auto"/>
        <w:rPr>
          <w:rFonts w:cs="Arial"/>
          <w:b/>
          <w:lang w:eastAsia="en-GB"/>
        </w:rPr>
      </w:pPr>
      <w:r>
        <w:rPr>
          <w:rFonts w:cs="Arial"/>
          <w:b/>
          <w:noProof/>
          <w:lang w:eastAsia="en-GB"/>
        </w:rPr>
        <w:drawing>
          <wp:inline distT="0" distB="0" distL="0" distR="0" wp14:anchorId="18070669" wp14:editId="608DA869">
            <wp:extent cx="6629400" cy="1059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29400" cy="1059180"/>
                    </a:xfrm>
                    <a:prstGeom prst="rect">
                      <a:avLst/>
                    </a:prstGeom>
                    <a:noFill/>
                    <a:ln>
                      <a:noFill/>
                    </a:ln>
                  </pic:spPr>
                </pic:pic>
              </a:graphicData>
            </a:graphic>
          </wp:inline>
        </w:drawing>
      </w:r>
    </w:p>
    <w:p w14:paraId="566F6C9B" w14:textId="77777777" w:rsidR="00A120CA" w:rsidRDefault="00A120CA" w:rsidP="00A120CA">
      <w:pPr>
        <w:widowControl/>
        <w:overflowPunct/>
        <w:autoSpaceDE/>
        <w:autoSpaceDN/>
        <w:adjustRightInd/>
        <w:ind w:left="15"/>
        <w:jc w:val="center"/>
        <w:textAlignment w:val="auto"/>
        <w:rPr>
          <w:rFonts w:cs="Arial"/>
          <w:b/>
          <w:lang w:eastAsia="en-GB"/>
        </w:rPr>
      </w:pPr>
    </w:p>
    <w:p w14:paraId="0BA65A57" w14:textId="77777777" w:rsidR="009D0FE9" w:rsidRPr="00363983" w:rsidRDefault="009D0FE9" w:rsidP="00A120CA">
      <w:pPr>
        <w:widowControl/>
        <w:overflowPunct/>
        <w:autoSpaceDE/>
        <w:autoSpaceDN/>
        <w:adjustRightInd/>
        <w:ind w:left="15"/>
        <w:jc w:val="center"/>
        <w:textAlignment w:val="auto"/>
        <w:rPr>
          <w:rFonts w:cs="Arial"/>
          <w:b/>
          <w:lang w:eastAsia="en-GB"/>
        </w:rPr>
      </w:pPr>
    </w:p>
    <w:p w14:paraId="07E481E4" w14:textId="77777777" w:rsidR="00870467" w:rsidRPr="009D0FE9" w:rsidRDefault="00870467" w:rsidP="008507B5">
      <w:pPr>
        <w:widowControl/>
        <w:overflowPunct/>
        <w:autoSpaceDE/>
        <w:autoSpaceDN/>
        <w:adjustRightInd/>
        <w:ind w:left="15"/>
        <w:textAlignment w:val="auto"/>
        <w:rPr>
          <w:rFonts w:cs="Arial"/>
          <w:sz w:val="22"/>
          <w:szCs w:val="22"/>
          <w:lang w:val="en-US" w:eastAsia="en-GB"/>
        </w:rPr>
      </w:pPr>
      <w:r w:rsidRPr="009D0FE9">
        <w:rPr>
          <w:rFonts w:cs="Arial"/>
          <w:sz w:val="22"/>
          <w:szCs w:val="22"/>
          <w:lang w:val="en-US" w:eastAsia="en-GB"/>
        </w:rPr>
        <w:t xml:space="preserve">There are three overdue actions in the 0-30 day category (1 High and 2 Medium) that TPS management has advised will be fully remediated during February 2016. </w:t>
      </w:r>
    </w:p>
    <w:p w14:paraId="6457C9D7" w14:textId="77777777" w:rsidR="00870467" w:rsidRPr="009D0FE9" w:rsidRDefault="00870467" w:rsidP="008507B5">
      <w:pPr>
        <w:widowControl/>
        <w:overflowPunct/>
        <w:autoSpaceDE/>
        <w:autoSpaceDN/>
        <w:adjustRightInd/>
        <w:ind w:left="15"/>
        <w:textAlignment w:val="auto"/>
        <w:rPr>
          <w:rFonts w:cs="Arial"/>
          <w:sz w:val="22"/>
          <w:szCs w:val="22"/>
          <w:lang w:val="en-US" w:eastAsia="en-GB"/>
        </w:rPr>
      </w:pPr>
    </w:p>
    <w:p w14:paraId="16E717EC" w14:textId="77777777" w:rsidR="00A120CA" w:rsidRDefault="00870467" w:rsidP="00A120CA">
      <w:pPr>
        <w:rPr>
          <w:rFonts w:cs="Arial"/>
          <w:sz w:val="22"/>
          <w:szCs w:val="22"/>
          <w:lang w:eastAsia="en-GB"/>
        </w:rPr>
      </w:pPr>
      <w:r w:rsidRPr="009D0FE9">
        <w:rPr>
          <w:rFonts w:cs="Arial"/>
          <w:sz w:val="22"/>
          <w:szCs w:val="22"/>
          <w:lang w:val="en-US" w:eastAsia="en-GB"/>
        </w:rPr>
        <w:t xml:space="preserve">In relation to the ‘High’ risk rated action, this relates to the implementation of a formal ‘lockdown’ process on Hartlink bereavement member records and is currently subject to user testing following IT development. GIA note the residual risk has been significantly reduced on account of the wider preventative / detective controls that have been implemented during the period via the new independent </w:t>
      </w:r>
      <w:proofErr w:type="spellStart"/>
      <w:r w:rsidRPr="009D0FE9">
        <w:rPr>
          <w:rFonts w:cs="Arial"/>
          <w:sz w:val="22"/>
          <w:szCs w:val="22"/>
          <w:lang w:val="en-US" w:eastAsia="en-GB"/>
        </w:rPr>
        <w:t>authorisation</w:t>
      </w:r>
      <w:proofErr w:type="spellEnd"/>
      <w:r w:rsidRPr="009D0FE9">
        <w:rPr>
          <w:rFonts w:cs="Arial"/>
          <w:sz w:val="22"/>
          <w:szCs w:val="22"/>
          <w:lang w:val="en-US" w:eastAsia="en-GB"/>
        </w:rPr>
        <w:t xml:space="preserve"> </w:t>
      </w:r>
      <w:r w:rsidR="009D0FE9">
        <w:rPr>
          <w:rFonts w:cs="Arial"/>
          <w:sz w:val="22"/>
          <w:szCs w:val="22"/>
          <w:lang w:val="en-US" w:eastAsia="en-GB"/>
        </w:rPr>
        <w:t>t</w:t>
      </w:r>
      <w:r w:rsidRPr="009D0FE9">
        <w:rPr>
          <w:rFonts w:cs="Arial"/>
          <w:sz w:val="22"/>
          <w:szCs w:val="22"/>
          <w:lang w:val="en-US" w:eastAsia="en-GB"/>
        </w:rPr>
        <w:t>eam</w:t>
      </w:r>
      <w:r w:rsidRPr="008507B5">
        <w:rPr>
          <w:rFonts w:cs="Arial"/>
          <w:lang w:val="en-US" w:eastAsia="en-GB"/>
        </w:rPr>
        <w:t>.</w:t>
      </w:r>
      <w:r w:rsidR="00A120CA" w:rsidRPr="00363983">
        <w:rPr>
          <w:rFonts w:cs="Arial"/>
          <w:sz w:val="22"/>
          <w:szCs w:val="22"/>
          <w:lang w:eastAsia="en-GB"/>
        </w:rPr>
        <w:t xml:space="preserve"> </w:t>
      </w:r>
    </w:p>
    <w:p w14:paraId="3A8D71E8" w14:textId="77777777" w:rsidR="009D0FE9" w:rsidRPr="00363983" w:rsidRDefault="009D0FE9" w:rsidP="00A120CA">
      <w:pPr>
        <w:rPr>
          <w:rFonts w:cs="Arial"/>
          <w:sz w:val="22"/>
          <w:szCs w:val="22"/>
          <w:lang w:eastAsia="en-GB"/>
        </w:rPr>
      </w:pPr>
    </w:p>
    <w:p w14:paraId="5F579B75" w14:textId="77777777" w:rsidR="00870467" w:rsidRDefault="00E376C4" w:rsidP="009D0FE9">
      <w:pPr>
        <w:pStyle w:val="Heading2"/>
        <w:spacing w:before="0"/>
        <w:rPr>
          <w:noProof/>
          <w:lang w:eastAsia="en-GB"/>
        </w:rPr>
      </w:pPr>
      <w:r w:rsidRPr="00363983">
        <w:rPr>
          <w:rFonts w:cs="Arial"/>
        </w:rPr>
        <w:t>Progress against Audit Plan for 2015</w:t>
      </w:r>
      <w:r w:rsidR="00380E1A">
        <w:rPr>
          <w:rFonts w:cs="Arial"/>
        </w:rPr>
        <w:t>/16</w:t>
      </w:r>
    </w:p>
    <w:tbl>
      <w:tblPr>
        <w:tblW w:w="1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25"/>
        <w:gridCol w:w="500"/>
        <w:gridCol w:w="500"/>
        <w:gridCol w:w="500"/>
        <w:gridCol w:w="500"/>
        <w:gridCol w:w="1100"/>
        <w:gridCol w:w="1100"/>
        <w:gridCol w:w="1000"/>
        <w:gridCol w:w="900"/>
        <w:gridCol w:w="1000"/>
        <w:gridCol w:w="1000"/>
        <w:gridCol w:w="1000"/>
        <w:gridCol w:w="800"/>
        <w:gridCol w:w="500"/>
        <w:gridCol w:w="500"/>
        <w:gridCol w:w="500"/>
        <w:gridCol w:w="500"/>
      </w:tblGrid>
      <w:tr w:rsidR="00AE0C1F" w:rsidRPr="00824DE2" w14:paraId="1FD02F6F" w14:textId="77777777" w:rsidTr="00AE0C1F">
        <w:trPr>
          <w:cantSplit/>
          <w:trHeight w:val="1134"/>
          <w:tblHeader/>
        </w:trPr>
        <w:tc>
          <w:tcPr>
            <w:tcW w:w="2325" w:type="dxa"/>
            <w:shd w:val="clear" w:color="auto" w:fill="004E73"/>
            <w:vAlign w:val="center"/>
          </w:tcPr>
          <w:p w14:paraId="3EF3D0F7" w14:textId="77777777" w:rsidR="00AE0C1F" w:rsidRPr="00286917" w:rsidRDefault="00AE0C1F" w:rsidP="003A0A4B">
            <w:pPr>
              <w:pStyle w:val="TableHeading"/>
              <w:jc w:val="center"/>
            </w:pPr>
            <w:r w:rsidRPr="00286917">
              <w:rPr>
                <w:sz w:val="22"/>
                <w:szCs w:val="22"/>
              </w:rPr>
              <w:t>Audit Title</w:t>
            </w:r>
          </w:p>
        </w:tc>
        <w:tc>
          <w:tcPr>
            <w:tcW w:w="500" w:type="dxa"/>
            <w:shd w:val="clear" w:color="auto" w:fill="004E73"/>
            <w:vAlign w:val="center"/>
          </w:tcPr>
          <w:p w14:paraId="2AA45811" w14:textId="77777777" w:rsidR="00AE0C1F" w:rsidRPr="00286917" w:rsidRDefault="00AE0C1F" w:rsidP="003A0A4B">
            <w:pPr>
              <w:pStyle w:val="TableHeading"/>
              <w:jc w:val="center"/>
            </w:pPr>
            <w:r w:rsidRPr="00286917">
              <w:rPr>
                <w:sz w:val="22"/>
                <w:szCs w:val="22"/>
              </w:rPr>
              <w:t>Q1</w:t>
            </w:r>
          </w:p>
        </w:tc>
        <w:tc>
          <w:tcPr>
            <w:tcW w:w="500" w:type="dxa"/>
            <w:shd w:val="clear" w:color="auto" w:fill="004E73"/>
            <w:vAlign w:val="center"/>
          </w:tcPr>
          <w:p w14:paraId="7DD350D3" w14:textId="77777777" w:rsidR="00AE0C1F" w:rsidRPr="00286917" w:rsidRDefault="00AE0C1F" w:rsidP="003A0A4B">
            <w:pPr>
              <w:pStyle w:val="TableHeading"/>
              <w:jc w:val="center"/>
            </w:pPr>
            <w:r w:rsidRPr="00286917">
              <w:rPr>
                <w:sz w:val="22"/>
                <w:szCs w:val="22"/>
              </w:rPr>
              <w:t>Q2</w:t>
            </w:r>
          </w:p>
        </w:tc>
        <w:tc>
          <w:tcPr>
            <w:tcW w:w="500" w:type="dxa"/>
            <w:shd w:val="clear" w:color="auto" w:fill="004E73"/>
            <w:vAlign w:val="center"/>
          </w:tcPr>
          <w:p w14:paraId="2ED0A7E3" w14:textId="77777777" w:rsidR="00AE0C1F" w:rsidRPr="00286917" w:rsidRDefault="00AE0C1F" w:rsidP="003A0A4B">
            <w:pPr>
              <w:pStyle w:val="TableHeading"/>
              <w:jc w:val="center"/>
            </w:pPr>
            <w:r w:rsidRPr="00286917">
              <w:rPr>
                <w:sz w:val="22"/>
                <w:szCs w:val="22"/>
              </w:rPr>
              <w:t>Q3</w:t>
            </w:r>
          </w:p>
        </w:tc>
        <w:tc>
          <w:tcPr>
            <w:tcW w:w="500" w:type="dxa"/>
            <w:shd w:val="clear" w:color="auto" w:fill="004E73"/>
            <w:vAlign w:val="center"/>
          </w:tcPr>
          <w:p w14:paraId="15C58543" w14:textId="77777777" w:rsidR="00AE0C1F" w:rsidRPr="00286917" w:rsidRDefault="00AE0C1F" w:rsidP="003A0A4B">
            <w:pPr>
              <w:pStyle w:val="TableHeading"/>
              <w:jc w:val="center"/>
            </w:pPr>
            <w:r w:rsidRPr="00286917">
              <w:rPr>
                <w:sz w:val="22"/>
                <w:szCs w:val="22"/>
              </w:rPr>
              <w:t>Q4</w:t>
            </w:r>
          </w:p>
        </w:tc>
        <w:tc>
          <w:tcPr>
            <w:tcW w:w="1100" w:type="dxa"/>
            <w:shd w:val="clear" w:color="auto" w:fill="004E73"/>
            <w:tcMar>
              <w:left w:w="113" w:type="dxa"/>
              <w:right w:w="85" w:type="dxa"/>
            </w:tcMar>
            <w:vAlign w:val="center"/>
          </w:tcPr>
          <w:p w14:paraId="55960DFE" w14:textId="77777777" w:rsidR="00AE0C1F" w:rsidRPr="00286917" w:rsidRDefault="00AE0C1F" w:rsidP="003A0A4B">
            <w:pPr>
              <w:pStyle w:val="TableHeading"/>
              <w:jc w:val="center"/>
            </w:pPr>
            <w:r w:rsidRPr="00286917">
              <w:rPr>
                <w:sz w:val="22"/>
                <w:szCs w:val="22"/>
              </w:rPr>
              <w:t>Current Status</w:t>
            </w:r>
          </w:p>
        </w:tc>
        <w:tc>
          <w:tcPr>
            <w:tcW w:w="1100" w:type="dxa"/>
            <w:tcBorders>
              <w:bottom w:val="single" w:sz="4" w:space="0" w:color="auto"/>
            </w:tcBorders>
            <w:shd w:val="clear" w:color="auto" w:fill="004E73"/>
          </w:tcPr>
          <w:p w14:paraId="78A39B04" w14:textId="77777777" w:rsidR="00AE0C1F" w:rsidRPr="00286917" w:rsidRDefault="00AE0C1F" w:rsidP="003A0A4B">
            <w:pPr>
              <w:pStyle w:val="TableHeading"/>
              <w:jc w:val="center"/>
            </w:pPr>
            <w:r w:rsidRPr="00286917">
              <w:rPr>
                <w:sz w:val="22"/>
                <w:szCs w:val="22"/>
              </w:rPr>
              <w:t xml:space="preserve">Target Final Draft </w:t>
            </w:r>
            <w:proofErr w:type="spellStart"/>
            <w:r w:rsidRPr="00286917">
              <w:rPr>
                <w:sz w:val="22"/>
                <w:szCs w:val="22"/>
              </w:rPr>
              <w:t>ToR</w:t>
            </w:r>
            <w:proofErr w:type="spellEnd"/>
          </w:p>
        </w:tc>
        <w:tc>
          <w:tcPr>
            <w:tcW w:w="1000" w:type="dxa"/>
            <w:tcBorders>
              <w:bottom w:val="single" w:sz="4" w:space="0" w:color="auto"/>
            </w:tcBorders>
            <w:shd w:val="clear" w:color="auto" w:fill="004E73"/>
          </w:tcPr>
          <w:p w14:paraId="377EEF2D" w14:textId="77777777" w:rsidR="00AE0C1F" w:rsidRPr="00286917" w:rsidRDefault="00AE0C1F" w:rsidP="003A0A4B">
            <w:pPr>
              <w:pStyle w:val="TableHeading"/>
              <w:jc w:val="center"/>
            </w:pPr>
            <w:r w:rsidRPr="00286917">
              <w:rPr>
                <w:sz w:val="22"/>
                <w:szCs w:val="22"/>
              </w:rPr>
              <w:t xml:space="preserve">Actual Final Draft </w:t>
            </w:r>
            <w:proofErr w:type="spellStart"/>
            <w:r w:rsidRPr="00286917">
              <w:rPr>
                <w:sz w:val="22"/>
                <w:szCs w:val="22"/>
              </w:rPr>
              <w:t>ToR</w:t>
            </w:r>
            <w:proofErr w:type="spellEnd"/>
          </w:p>
        </w:tc>
        <w:tc>
          <w:tcPr>
            <w:tcW w:w="900" w:type="dxa"/>
            <w:tcBorders>
              <w:bottom w:val="single" w:sz="4" w:space="0" w:color="auto"/>
            </w:tcBorders>
            <w:shd w:val="clear" w:color="auto" w:fill="004E73"/>
          </w:tcPr>
          <w:p w14:paraId="1BAA5B74" w14:textId="77777777" w:rsidR="00AE0C1F" w:rsidRPr="00286917" w:rsidRDefault="00AE0C1F" w:rsidP="003A0A4B">
            <w:pPr>
              <w:pStyle w:val="TableHeading"/>
              <w:jc w:val="center"/>
            </w:pPr>
            <w:r w:rsidRPr="00286917">
              <w:rPr>
                <w:sz w:val="22"/>
                <w:szCs w:val="22"/>
              </w:rPr>
              <w:t xml:space="preserve">Final </w:t>
            </w:r>
            <w:proofErr w:type="spellStart"/>
            <w:r w:rsidRPr="00286917">
              <w:rPr>
                <w:sz w:val="22"/>
                <w:szCs w:val="22"/>
              </w:rPr>
              <w:t>ToR</w:t>
            </w:r>
            <w:proofErr w:type="spellEnd"/>
          </w:p>
        </w:tc>
        <w:tc>
          <w:tcPr>
            <w:tcW w:w="1000" w:type="dxa"/>
            <w:tcBorders>
              <w:bottom w:val="single" w:sz="4" w:space="0" w:color="auto"/>
            </w:tcBorders>
            <w:shd w:val="clear" w:color="auto" w:fill="004E73"/>
          </w:tcPr>
          <w:p w14:paraId="71833D44" w14:textId="77777777" w:rsidR="00AE0C1F" w:rsidRPr="00286917" w:rsidRDefault="00AE0C1F" w:rsidP="003A0A4B">
            <w:pPr>
              <w:pStyle w:val="TableHeading"/>
              <w:jc w:val="center"/>
            </w:pPr>
            <w:r w:rsidRPr="00286917">
              <w:rPr>
                <w:sz w:val="22"/>
                <w:szCs w:val="22"/>
              </w:rPr>
              <w:t>Target Final Draft Report</w:t>
            </w:r>
          </w:p>
        </w:tc>
        <w:tc>
          <w:tcPr>
            <w:tcW w:w="1000" w:type="dxa"/>
            <w:tcBorders>
              <w:bottom w:val="single" w:sz="4" w:space="0" w:color="auto"/>
            </w:tcBorders>
            <w:shd w:val="clear" w:color="auto" w:fill="004E73"/>
          </w:tcPr>
          <w:p w14:paraId="52D24885" w14:textId="77777777" w:rsidR="00AE0C1F" w:rsidRPr="00286917" w:rsidRDefault="00AE0C1F" w:rsidP="003A0A4B">
            <w:pPr>
              <w:pStyle w:val="TableHeading"/>
              <w:jc w:val="center"/>
            </w:pPr>
            <w:r w:rsidRPr="00286917">
              <w:rPr>
                <w:sz w:val="22"/>
                <w:szCs w:val="22"/>
              </w:rPr>
              <w:t>Actual Final Draft Report</w:t>
            </w:r>
          </w:p>
        </w:tc>
        <w:tc>
          <w:tcPr>
            <w:tcW w:w="1000" w:type="dxa"/>
            <w:tcBorders>
              <w:bottom w:val="single" w:sz="4" w:space="0" w:color="auto"/>
            </w:tcBorders>
            <w:shd w:val="clear" w:color="auto" w:fill="004E73"/>
          </w:tcPr>
          <w:p w14:paraId="68350908" w14:textId="77777777" w:rsidR="00AE0C1F" w:rsidRPr="00286917" w:rsidRDefault="00AE0C1F" w:rsidP="003A0A4B">
            <w:pPr>
              <w:pStyle w:val="TableHeading"/>
              <w:jc w:val="center"/>
            </w:pPr>
            <w:r w:rsidRPr="00286917">
              <w:rPr>
                <w:sz w:val="22"/>
                <w:szCs w:val="22"/>
              </w:rPr>
              <w:t>Final Report</w:t>
            </w:r>
          </w:p>
        </w:tc>
        <w:tc>
          <w:tcPr>
            <w:tcW w:w="800" w:type="dxa"/>
            <w:tcBorders>
              <w:bottom w:val="single" w:sz="4" w:space="0" w:color="auto"/>
            </w:tcBorders>
            <w:shd w:val="clear" w:color="auto" w:fill="004E73"/>
            <w:vAlign w:val="center"/>
          </w:tcPr>
          <w:p w14:paraId="55A85544" w14:textId="77777777" w:rsidR="00AE0C1F" w:rsidRPr="00286917" w:rsidRDefault="00AE0C1F" w:rsidP="003A0A4B">
            <w:pPr>
              <w:pStyle w:val="TableHeading"/>
              <w:jc w:val="center"/>
            </w:pPr>
            <w:r>
              <w:rPr>
                <w:sz w:val="22"/>
                <w:szCs w:val="22"/>
              </w:rPr>
              <w:t>E/IR</w:t>
            </w:r>
            <w:r w:rsidRPr="00286917">
              <w:rPr>
                <w:sz w:val="22"/>
                <w:szCs w:val="22"/>
              </w:rPr>
              <w:t xml:space="preserve">/ </w:t>
            </w:r>
            <w:r>
              <w:rPr>
                <w:sz w:val="22"/>
                <w:szCs w:val="22"/>
              </w:rPr>
              <w:t>S</w:t>
            </w:r>
            <w:r w:rsidRPr="00286917">
              <w:rPr>
                <w:sz w:val="22"/>
                <w:szCs w:val="22"/>
              </w:rPr>
              <w:t>IR/</w:t>
            </w:r>
            <w:r>
              <w:rPr>
                <w:sz w:val="22"/>
                <w:szCs w:val="22"/>
              </w:rPr>
              <w:t>I</w:t>
            </w:r>
            <w:r>
              <w:rPr>
                <w:rFonts w:ascii="Arial Bold" w:hAnsi="Arial Bold"/>
                <w:sz w:val="22"/>
                <w:szCs w:val="22"/>
                <w:vertAlign w:val="superscript"/>
              </w:rPr>
              <w:t>1</w:t>
            </w:r>
          </w:p>
        </w:tc>
        <w:tc>
          <w:tcPr>
            <w:tcW w:w="500" w:type="dxa"/>
            <w:tcBorders>
              <w:bottom w:val="single" w:sz="4" w:space="0" w:color="auto"/>
            </w:tcBorders>
            <w:shd w:val="clear" w:color="auto" w:fill="004E73"/>
            <w:textDirection w:val="btLr"/>
            <w:vAlign w:val="center"/>
          </w:tcPr>
          <w:p w14:paraId="35DBF7FB" w14:textId="77777777" w:rsidR="00AE0C1F" w:rsidRPr="00286917" w:rsidRDefault="00AE0C1F" w:rsidP="00AE0C1F">
            <w:pPr>
              <w:pStyle w:val="TableHeading"/>
              <w:ind w:left="113" w:right="113"/>
              <w:jc w:val="center"/>
            </w:pPr>
            <w:r>
              <w:rPr>
                <w:sz w:val="22"/>
                <w:szCs w:val="22"/>
              </w:rPr>
              <w:t>Critical</w:t>
            </w:r>
          </w:p>
        </w:tc>
        <w:tc>
          <w:tcPr>
            <w:tcW w:w="500" w:type="dxa"/>
            <w:tcBorders>
              <w:bottom w:val="single" w:sz="4" w:space="0" w:color="auto"/>
            </w:tcBorders>
            <w:shd w:val="clear" w:color="auto" w:fill="004E73"/>
            <w:textDirection w:val="btLr"/>
            <w:vAlign w:val="center"/>
          </w:tcPr>
          <w:p w14:paraId="52C52FB3" w14:textId="77777777" w:rsidR="00AE0C1F" w:rsidRPr="00286917" w:rsidRDefault="00AE0C1F" w:rsidP="00AE0C1F">
            <w:pPr>
              <w:pStyle w:val="TableHeading"/>
              <w:ind w:left="113" w:right="113"/>
              <w:jc w:val="center"/>
            </w:pPr>
            <w:r>
              <w:t>High</w:t>
            </w:r>
          </w:p>
        </w:tc>
        <w:tc>
          <w:tcPr>
            <w:tcW w:w="500" w:type="dxa"/>
            <w:tcBorders>
              <w:bottom w:val="single" w:sz="4" w:space="0" w:color="auto"/>
            </w:tcBorders>
            <w:shd w:val="clear" w:color="auto" w:fill="004E73"/>
            <w:textDirection w:val="btLr"/>
            <w:vAlign w:val="center"/>
          </w:tcPr>
          <w:p w14:paraId="71C3C5DC" w14:textId="77777777" w:rsidR="00AE0C1F" w:rsidRPr="00286917" w:rsidRDefault="00AE0C1F" w:rsidP="00AE0C1F">
            <w:pPr>
              <w:pStyle w:val="TableHeading"/>
              <w:ind w:left="113" w:right="113"/>
              <w:jc w:val="center"/>
            </w:pPr>
            <w:r w:rsidRPr="00286917">
              <w:rPr>
                <w:sz w:val="22"/>
                <w:szCs w:val="22"/>
              </w:rPr>
              <w:t>M</w:t>
            </w:r>
            <w:r>
              <w:rPr>
                <w:sz w:val="22"/>
                <w:szCs w:val="22"/>
              </w:rPr>
              <w:t>edium</w:t>
            </w:r>
          </w:p>
        </w:tc>
        <w:tc>
          <w:tcPr>
            <w:tcW w:w="500" w:type="dxa"/>
            <w:tcBorders>
              <w:bottom w:val="single" w:sz="4" w:space="0" w:color="auto"/>
            </w:tcBorders>
            <w:shd w:val="clear" w:color="auto" w:fill="004E73"/>
            <w:textDirection w:val="btLr"/>
            <w:vAlign w:val="center"/>
          </w:tcPr>
          <w:p w14:paraId="7E8A6EF9" w14:textId="77777777" w:rsidR="00AE0C1F" w:rsidRPr="00286917" w:rsidRDefault="00AE0C1F" w:rsidP="00AE0C1F">
            <w:pPr>
              <w:pStyle w:val="TableHeading"/>
              <w:ind w:left="113" w:right="113"/>
              <w:jc w:val="center"/>
            </w:pPr>
            <w:r w:rsidRPr="00286917">
              <w:rPr>
                <w:sz w:val="22"/>
                <w:szCs w:val="22"/>
              </w:rPr>
              <w:t>L</w:t>
            </w:r>
            <w:r>
              <w:rPr>
                <w:sz w:val="22"/>
                <w:szCs w:val="22"/>
              </w:rPr>
              <w:t>ow</w:t>
            </w:r>
          </w:p>
        </w:tc>
      </w:tr>
      <w:tr w:rsidR="00AE0C1F" w:rsidRPr="008B4DDE" w14:paraId="74886258" w14:textId="77777777" w:rsidTr="003A0A4B">
        <w:trPr>
          <w:trHeight w:val="454"/>
        </w:trPr>
        <w:tc>
          <w:tcPr>
            <w:tcW w:w="2325" w:type="dxa"/>
            <w:tcMar>
              <w:left w:w="85" w:type="dxa"/>
              <w:right w:w="85" w:type="dxa"/>
            </w:tcMar>
            <w:vAlign w:val="center"/>
          </w:tcPr>
          <w:p w14:paraId="10B87B3C" w14:textId="77777777" w:rsidR="00AE0C1F" w:rsidRPr="00286917" w:rsidRDefault="00AE0C1F" w:rsidP="003A0A4B">
            <w:pPr>
              <w:rPr>
                <w:sz w:val="18"/>
                <w:szCs w:val="18"/>
              </w:rPr>
            </w:pPr>
            <w:r>
              <w:rPr>
                <w:sz w:val="18"/>
                <w:szCs w:val="18"/>
              </w:rPr>
              <w:t>TP06 Deferred Members Project (2015)</w:t>
            </w:r>
          </w:p>
        </w:tc>
        <w:tc>
          <w:tcPr>
            <w:tcW w:w="500" w:type="dxa"/>
            <w:vAlign w:val="center"/>
          </w:tcPr>
          <w:p w14:paraId="105C7255" w14:textId="77777777" w:rsidR="00AE0C1F" w:rsidRPr="00286917" w:rsidRDefault="00AE0C1F" w:rsidP="003A0A4B">
            <w:pPr>
              <w:jc w:val="center"/>
              <w:rPr>
                <w:rFonts w:cs="Arial"/>
                <w:sz w:val="18"/>
                <w:szCs w:val="18"/>
              </w:rPr>
            </w:pPr>
          </w:p>
        </w:tc>
        <w:tc>
          <w:tcPr>
            <w:tcW w:w="500" w:type="dxa"/>
            <w:vAlign w:val="center"/>
          </w:tcPr>
          <w:p w14:paraId="459AEFEF" w14:textId="77777777" w:rsidR="00AE0C1F" w:rsidRPr="00286917" w:rsidRDefault="00AE0C1F" w:rsidP="003A0A4B">
            <w:pPr>
              <w:jc w:val="center"/>
              <w:rPr>
                <w:rFonts w:cs="Arial"/>
                <w:sz w:val="18"/>
                <w:szCs w:val="18"/>
              </w:rPr>
            </w:pPr>
          </w:p>
        </w:tc>
        <w:tc>
          <w:tcPr>
            <w:tcW w:w="500" w:type="dxa"/>
            <w:vAlign w:val="center"/>
          </w:tcPr>
          <w:p w14:paraId="63F3817C" w14:textId="77777777" w:rsidR="00AE0C1F" w:rsidRPr="00286917" w:rsidRDefault="00AE0C1F" w:rsidP="003A0A4B">
            <w:pPr>
              <w:jc w:val="center"/>
              <w:rPr>
                <w:rFonts w:cs="Arial"/>
                <w:sz w:val="18"/>
                <w:szCs w:val="18"/>
              </w:rPr>
            </w:pPr>
            <w:r w:rsidRPr="00EA57A2">
              <w:rPr>
                <w:rFonts w:cs="Arial"/>
              </w:rPr>
              <w:sym w:font="Wingdings" w:char="F0FC"/>
            </w:r>
          </w:p>
        </w:tc>
        <w:tc>
          <w:tcPr>
            <w:tcW w:w="500" w:type="dxa"/>
            <w:vAlign w:val="center"/>
          </w:tcPr>
          <w:p w14:paraId="0FBB4DD6" w14:textId="77777777" w:rsidR="00AE0C1F" w:rsidRPr="00286917" w:rsidRDefault="00AE0C1F" w:rsidP="003A0A4B">
            <w:pPr>
              <w:jc w:val="center"/>
              <w:rPr>
                <w:rFonts w:cs="Arial"/>
                <w:sz w:val="18"/>
                <w:szCs w:val="18"/>
              </w:rPr>
            </w:pPr>
          </w:p>
        </w:tc>
        <w:tc>
          <w:tcPr>
            <w:tcW w:w="1100" w:type="dxa"/>
            <w:tcMar>
              <w:left w:w="113" w:type="dxa"/>
              <w:right w:w="85" w:type="dxa"/>
            </w:tcMar>
            <w:vAlign w:val="center"/>
          </w:tcPr>
          <w:p w14:paraId="1FA5D1C7" w14:textId="77777777" w:rsidR="00AE0C1F" w:rsidRPr="00286917" w:rsidRDefault="00AE0C1F" w:rsidP="003A0A4B">
            <w:pPr>
              <w:ind w:left="-113" w:right="-85"/>
              <w:jc w:val="center"/>
              <w:rPr>
                <w:sz w:val="18"/>
                <w:szCs w:val="18"/>
              </w:rPr>
            </w:pPr>
            <w:r>
              <w:rPr>
                <w:sz w:val="18"/>
                <w:szCs w:val="18"/>
              </w:rPr>
              <w:t>Final Draft Report</w:t>
            </w:r>
          </w:p>
        </w:tc>
        <w:tc>
          <w:tcPr>
            <w:tcW w:w="1100" w:type="dxa"/>
            <w:vAlign w:val="center"/>
          </w:tcPr>
          <w:p w14:paraId="376D7A43" w14:textId="77777777" w:rsidR="00AE0C1F" w:rsidRPr="00286917" w:rsidRDefault="00AE0C1F" w:rsidP="003A0A4B">
            <w:pPr>
              <w:jc w:val="center"/>
              <w:rPr>
                <w:sz w:val="18"/>
                <w:szCs w:val="18"/>
              </w:rPr>
            </w:pPr>
            <w:r>
              <w:rPr>
                <w:sz w:val="18"/>
                <w:szCs w:val="18"/>
              </w:rPr>
              <w:t>Jun 2015</w:t>
            </w:r>
          </w:p>
        </w:tc>
        <w:tc>
          <w:tcPr>
            <w:tcW w:w="1000" w:type="dxa"/>
            <w:tcBorders>
              <w:bottom w:val="single" w:sz="4" w:space="0" w:color="auto"/>
            </w:tcBorders>
            <w:shd w:val="clear" w:color="auto" w:fill="00B050"/>
            <w:vAlign w:val="center"/>
          </w:tcPr>
          <w:p w14:paraId="7DF8344D" w14:textId="77777777" w:rsidR="00AE0C1F" w:rsidRPr="00286917" w:rsidRDefault="00AE0C1F" w:rsidP="003A0A4B">
            <w:pPr>
              <w:jc w:val="center"/>
              <w:rPr>
                <w:sz w:val="18"/>
                <w:szCs w:val="18"/>
              </w:rPr>
            </w:pPr>
            <w:r>
              <w:rPr>
                <w:sz w:val="18"/>
                <w:szCs w:val="18"/>
              </w:rPr>
              <w:t>Jun 2015</w:t>
            </w:r>
          </w:p>
        </w:tc>
        <w:tc>
          <w:tcPr>
            <w:tcW w:w="900" w:type="dxa"/>
            <w:shd w:val="clear" w:color="auto" w:fill="auto"/>
            <w:vAlign w:val="center"/>
          </w:tcPr>
          <w:p w14:paraId="35FB779E" w14:textId="77777777" w:rsidR="00AE0C1F" w:rsidRPr="00286917" w:rsidRDefault="00AE0C1F" w:rsidP="003A0A4B">
            <w:pPr>
              <w:jc w:val="center"/>
              <w:rPr>
                <w:sz w:val="18"/>
                <w:szCs w:val="18"/>
              </w:rPr>
            </w:pPr>
            <w:r>
              <w:rPr>
                <w:sz w:val="18"/>
                <w:szCs w:val="18"/>
              </w:rPr>
              <w:t>13/07/15</w:t>
            </w:r>
          </w:p>
        </w:tc>
        <w:tc>
          <w:tcPr>
            <w:tcW w:w="1000" w:type="dxa"/>
            <w:shd w:val="clear" w:color="auto" w:fill="auto"/>
            <w:vAlign w:val="center"/>
          </w:tcPr>
          <w:p w14:paraId="0B28B5CE" w14:textId="77777777" w:rsidR="00AE0C1F" w:rsidRPr="00286917" w:rsidRDefault="00AE0C1F" w:rsidP="003A0A4B">
            <w:pPr>
              <w:jc w:val="center"/>
              <w:rPr>
                <w:sz w:val="18"/>
                <w:szCs w:val="18"/>
              </w:rPr>
            </w:pPr>
            <w:r>
              <w:rPr>
                <w:sz w:val="18"/>
                <w:szCs w:val="18"/>
              </w:rPr>
              <w:t>Dec 2015</w:t>
            </w:r>
          </w:p>
        </w:tc>
        <w:tc>
          <w:tcPr>
            <w:tcW w:w="1000" w:type="dxa"/>
            <w:tcBorders>
              <w:bottom w:val="single" w:sz="4" w:space="0" w:color="auto"/>
            </w:tcBorders>
            <w:shd w:val="clear" w:color="auto" w:fill="FFC000"/>
            <w:vAlign w:val="center"/>
          </w:tcPr>
          <w:p w14:paraId="33D3454D" w14:textId="77777777" w:rsidR="00AE0C1F" w:rsidRPr="005E2B9C" w:rsidRDefault="00AE0C1F" w:rsidP="003A0A4B">
            <w:pPr>
              <w:jc w:val="center"/>
              <w:rPr>
                <w:i/>
                <w:sz w:val="18"/>
                <w:szCs w:val="18"/>
              </w:rPr>
            </w:pPr>
            <w:r w:rsidRPr="005E2B9C">
              <w:rPr>
                <w:i/>
                <w:sz w:val="18"/>
                <w:szCs w:val="18"/>
              </w:rPr>
              <w:t>02/02/16</w:t>
            </w:r>
          </w:p>
        </w:tc>
        <w:tc>
          <w:tcPr>
            <w:tcW w:w="1000" w:type="dxa"/>
            <w:shd w:val="clear" w:color="auto" w:fill="auto"/>
            <w:vAlign w:val="center"/>
          </w:tcPr>
          <w:p w14:paraId="4B166DEB" w14:textId="77777777" w:rsidR="00AE0C1F" w:rsidRPr="005E2B9C" w:rsidRDefault="00AE0C1F" w:rsidP="003A0A4B">
            <w:pPr>
              <w:rPr>
                <w:i/>
                <w:sz w:val="18"/>
                <w:szCs w:val="18"/>
              </w:rPr>
            </w:pPr>
          </w:p>
        </w:tc>
        <w:tc>
          <w:tcPr>
            <w:tcW w:w="800" w:type="dxa"/>
            <w:shd w:val="clear" w:color="auto" w:fill="auto"/>
            <w:vAlign w:val="center"/>
          </w:tcPr>
          <w:p w14:paraId="3683AD22" w14:textId="77777777" w:rsidR="00AE0C1F" w:rsidRPr="005E2B9C" w:rsidRDefault="00AE0C1F" w:rsidP="003A0A4B">
            <w:pPr>
              <w:jc w:val="center"/>
              <w:rPr>
                <w:i/>
                <w:sz w:val="18"/>
                <w:szCs w:val="18"/>
              </w:rPr>
            </w:pPr>
            <w:r w:rsidRPr="005E2B9C">
              <w:rPr>
                <w:i/>
                <w:sz w:val="18"/>
                <w:szCs w:val="18"/>
              </w:rPr>
              <w:t>E</w:t>
            </w:r>
          </w:p>
        </w:tc>
        <w:tc>
          <w:tcPr>
            <w:tcW w:w="500" w:type="dxa"/>
            <w:shd w:val="clear" w:color="auto" w:fill="auto"/>
            <w:vAlign w:val="center"/>
          </w:tcPr>
          <w:p w14:paraId="7495C63E" w14:textId="77777777" w:rsidR="00AE0C1F" w:rsidRPr="005E2B9C" w:rsidRDefault="00AE0C1F" w:rsidP="003A0A4B">
            <w:pPr>
              <w:jc w:val="center"/>
              <w:rPr>
                <w:i/>
                <w:sz w:val="18"/>
                <w:szCs w:val="18"/>
              </w:rPr>
            </w:pPr>
            <w:r w:rsidRPr="005E2B9C">
              <w:rPr>
                <w:i/>
                <w:sz w:val="18"/>
                <w:szCs w:val="18"/>
              </w:rPr>
              <w:t>-</w:t>
            </w:r>
          </w:p>
        </w:tc>
        <w:tc>
          <w:tcPr>
            <w:tcW w:w="500" w:type="dxa"/>
            <w:shd w:val="clear" w:color="auto" w:fill="auto"/>
            <w:vAlign w:val="center"/>
          </w:tcPr>
          <w:p w14:paraId="30E33102" w14:textId="77777777" w:rsidR="00AE0C1F" w:rsidRPr="005E2B9C" w:rsidRDefault="00AE0C1F" w:rsidP="003A0A4B">
            <w:pPr>
              <w:jc w:val="center"/>
              <w:rPr>
                <w:i/>
                <w:sz w:val="18"/>
                <w:szCs w:val="18"/>
              </w:rPr>
            </w:pPr>
            <w:r w:rsidRPr="005E2B9C">
              <w:rPr>
                <w:i/>
                <w:sz w:val="18"/>
                <w:szCs w:val="18"/>
              </w:rPr>
              <w:t>-</w:t>
            </w:r>
          </w:p>
        </w:tc>
        <w:tc>
          <w:tcPr>
            <w:tcW w:w="500" w:type="dxa"/>
            <w:shd w:val="clear" w:color="auto" w:fill="auto"/>
            <w:vAlign w:val="center"/>
          </w:tcPr>
          <w:p w14:paraId="16DBF691" w14:textId="77777777" w:rsidR="00AE0C1F" w:rsidRPr="005E2B9C" w:rsidRDefault="00AE0C1F" w:rsidP="003A0A4B">
            <w:pPr>
              <w:jc w:val="center"/>
              <w:rPr>
                <w:i/>
                <w:sz w:val="18"/>
                <w:szCs w:val="18"/>
              </w:rPr>
            </w:pPr>
            <w:r w:rsidRPr="005E2B9C">
              <w:rPr>
                <w:i/>
                <w:sz w:val="18"/>
                <w:szCs w:val="18"/>
              </w:rPr>
              <w:t>1</w:t>
            </w:r>
          </w:p>
        </w:tc>
        <w:tc>
          <w:tcPr>
            <w:tcW w:w="500" w:type="dxa"/>
            <w:shd w:val="clear" w:color="auto" w:fill="auto"/>
            <w:vAlign w:val="center"/>
          </w:tcPr>
          <w:p w14:paraId="0F8ECE2E" w14:textId="77777777" w:rsidR="00AE0C1F" w:rsidRPr="005E2B9C" w:rsidRDefault="00AE0C1F" w:rsidP="003A0A4B">
            <w:pPr>
              <w:jc w:val="center"/>
              <w:rPr>
                <w:i/>
                <w:sz w:val="18"/>
                <w:szCs w:val="18"/>
              </w:rPr>
            </w:pPr>
            <w:r w:rsidRPr="005E2B9C">
              <w:rPr>
                <w:i/>
                <w:sz w:val="18"/>
                <w:szCs w:val="18"/>
              </w:rPr>
              <w:t>1</w:t>
            </w:r>
          </w:p>
        </w:tc>
      </w:tr>
      <w:tr w:rsidR="00AE0C1F" w:rsidRPr="008B4DDE" w14:paraId="37357740" w14:textId="77777777" w:rsidTr="003A0A4B">
        <w:trPr>
          <w:trHeight w:val="454"/>
        </w:trPr>
        <w:tc>
          <w:tcPr>
            <w:tcW w:w="2325" w:type="dxa"/>
            <w:tcMar>
              <w:left w:w="85" w:type="dxa"/>
              <w:right w:w="85" w:type="dxa"/>
            </w:tcMar>
            <w:vAlign w:val="center"/>
          </w:tcPr>
          <w:p w14:paraId="2F31CD8B" w14:textId="77777777" w:rsidR="00AE0C1F" w:rsidRPr="00286917" w:rsidRDefault="00AE0C1F" w:rsidP="003A0A4B">
            <w:pPr>
              <w:jc w:val="both"/>
              <w:rPr>
                <w:sz w:val="18"/>
                <w:szCs w:val="18"/>
              </w:rPr>
            </w:pPr>
            <w:r>
              <w:rPr>
                <w:sz w:val="18"/>
                <w:szCs w:val="18"/>
              </w:rPr>
              <w:t>IT02 RMH Environment  (2015)</w:t>
            </w:r>
          </w:p>
        </w:tc>
        <w:tc>
          <w:tcPr>
            <w:tcW w:w="500" w:type="dxa"/>
            <w:vAlign w:val="center"/>
          </w:tcPr>
          <w:p w14:paraId="24A725D7" w14:textId="77777777" w:rsidR="00AE0C1F" w:rsidRPr="00286917" w:rsidRDefault="00AE0C1F" w:rsidP="003A0A4B">
            <w:pPr>
              <w:jc w:val="center"/>
              <w:rPr>
                <w:rFonts w:cs="Arial"/>
                <w:sz w:val="18"/>
                <w:szCs w:val="18"/>
              </w:rPr>
            </w:pPr>
          </w:p>
        </w:tc>
        <w:tc>
          <w:tcPr>
            <w:tcW w:w="500" w:type="dxa"/>
            <w:vAlign w:val="center"/>
          </w:tcPr>
          <w:p w14:paraId="3B636280" w14:textId="77777777" w:rsidR="00AE0C1F" w:rsidRPr="00286917" w:rsidRDefault="00AE0C1F" w:rsidP="003A0A4B">
            <w:pPr>
              <w:jc w:val="center"/>
              <w:rPr>
                <w:rFonts w:cs="Arial"/>
                <w:sz w:val="18"/>
                <w:szCs w:val="18"/>
              </w:rPr>
            </w:pPr>
          </w:p>
        </w:tc>
        <w:tc>
          <w:tcPr>
            <w:tcW w:w="500" w:type="dxa"/>
            <w:vAlign w:val="center"/>
          </w:tcPr>
          <w:p w14:paraId="6EC6A795" w14:textId="77777777" w:rsidR="00AE0C1F" w:rsidRPr="00286917" w:rsidRDefault="00AE0C1F" w:rsidP="003A0A4B">
            <w:pPr>
              <w:jc w:val="center"/>
              <w:rPr>
                <w:rFonts w:cs="Arial"/>
                <w:sz w:val="18"/>
                <w:szCs w:val="18"/>
              </w:rPr>
            </w:pPr>
          </w:p>
        </w:tc>
        <w:tc>
          <w:tcPr>
            <w:tcW w:w="500" w:type="dxa"/>
            <w:vAlign w:val="center"/>
          </w:tcPr>
          <w:p w14:paraId="5617EC39" w14:textId="77777777" w:rsidR="00AE0C1F" w:rsidRPr="00286917" w:rsidRDefault="00AE0C1F" w:rsidP="003A0A4B">
            <w:pPr>
              <w:jc w:val="center"/>
              <w:rPr>
                <w:rFonts w:cs="Arial"/>
                <w:sz w:val="18"/>
                <w:szCs w:val="18"/>
              </w:rPr>
            </w:pPr>
            <w:r w:rsidRPr="00EA57A2">
              <w:rPr>
                <w:rFonts w:cs="Arial"/>
              </w:rPr>
              <w:sym w:font="Wingdings" w:char="F0FC"/>
            </w:r>
          </w:p>
        </w:tc>
        <w:tc>
          <w:tcPr>
            <w:tcW w:w="1100" w:type="dxa"/>
            <w:tcMar>
              <w:left w:w="113" w:type="dxa"/>
              <w:right w:w="85" w:type="dxa"/>
            </w:tcMar>
            <w:vAlign w:val="center"/>
          </w:tcPr>
          <w:p w14:paraId="6ECE3287" w14:textId="77777777" w:rsidR="00AE0C1F" w:rsidRDefault="00AE0C1F" w:rsidP="003A0A4B">
            <w:pPr>
              <w:ind w:left="-113" w:right="-85"/>
              <w:jc w:val="center"/>
              <w:rPr>
                <w:sz w:val="18"/>
                <w:szCs w:val="18"/>
              </w:rPr>
            </w:pPr>
            <w:r>
              <w:rPr>
                <w:sz w:val="18"/>
                <w:szCs w:val="18"/>
              </w:rPr>
              <w:t>Draft Report</w:t>
            </w:r>
          </w:p>
        </w:tc>
        <w:tc>
          <w:tcPr>
            <w:tcW w:w="1100" w:type="dxa"/>
            <w:vAlign w:val="center"/>
          </w:tcPr>
          <w:p w14:paraId="77754D7D" w14:textId="77777777" w:rsidR="00AE0C1F" w:rsidRDefault="00AE0C1F" w:rsidP="003A0A4B">
            <w:pPr>
              <w:jc w:val="center"/>
              <w:rPr>
                <w:color w:val="000000"/>
                <w:sz w:val="18"/>
                <w:szCs w:val="18"/>
              </w:rPr>
            </w:pPr>
            <w:r>
              <w:rPr>
                <w:color w:val="000000"/>
                <w:sz w:val="18"/>
                <w:szCs w:val="18"/>
              </w:rPr>
              <w:t>Oct 2015</w:t>
            </w:r>
          </w:p>
        </w:tc>
        <w:tc>
          <w:tcPr>
            <w:tcW w:w="1000" w:type="dxa"/>
            <w:tcBorders>
              <w:bottom w:val="single" w:sz="4" w:space="0" w:color="auto"/>
            </w:tcBorders>
            <w:shd w:val="clear" w:color="auto" w:fill="FFC000"/>
            <w:vAlign w:val="center"/>
          </w:tcPr>
          <w:p w14:paraId="6A2ABC8D" w14:textId="77777777" w:rsidR="00AE0C1F" w:rsidRPr="00286917" w:rsidRDefault="00AE0C1F" w:rsidP="003A0A4B">
            <w:pPr>
              <w:jc w:val="center"/>
              <w:rPr>
                <w:sz w:val="18"/>
                <w:szCs w:val="18"/>
              </w:rPr>
            </w:pPr>
            <w:r>
              <w:rPr>
                <w:sz w:val="18"/>
                <w:szCs w:val="18"/>
              </w:rPr>
              <w:t>Nov 2015</w:t>
            </w:r>
          </w:p>
        </w:tc>
        <w:tc>
          <w:tcPr>
            <w:tcW w:w="900" w:type="dxa"/>
            <w:shd w:val="clear" w:color="auto" w:fill="auto"/>
            <w:vAlign w:val="center"/>
          </w:tcPr>
          <w:p w14:paraId="04906F14" w14:textId="77777777" w:rsidR="00AE0C1F" w:rsidRPr="00286917" w:rsidRDefault="00AE0C1F" w:rsidP="003A0A4B">
            <w:pPr>
              <w:jc w:val="center"/>
              <w:rPr>
                <w:sz w:val="18"/>
                <w:szCs w:val="18"/>
              </w:rPr>
            </w:pPr>
            <w:r>
              <w:rPr>
                <w:sz w:val="18"/>
                <w:szCs w:val="18"/>
              </w:rPr>
              <w:t>24/11/15</w:t>
            </w:r>
          </w:p>
        </w:tc>
        <w:tc>
          <w:tcPr>
            <w:tcW w:w="1000" w:type="dxa"/>
            <w:shd w:val="clear" w:color="auto" w:fill="auto"/>
            <w:vAlign w:val="center"/>
          </w:tcPr>
          <w:p w14:paraId="3401FD6D" w14:textId="77777777" w:rsidR="00AE0C1F" w:rsidRDefault="00AE0C1F" w:rsidP="003A0A4B">
            <w:pPr>
              <w:jc w:val="center"/>
              <w:rPr>
                <w:sz w:val="18"/>
                <w:szCs w:val="18"/>
              </w:rPr>
            </w:pPr>
            <w:r>
              <w:rPr>
                <w:sz w:val="18"/>
                <w:szCs w:val="18"/>
              </w:rPr>
              <w:t>Jan 2016</w:t>
            </w:r>
          </w:p>
        </w:tc>
        <w:tc>
          <w:tcPr>
            <w:tcW w:w="1000" w:type="dxa"/>
            <w:tcBorders>
              <w:bottom w:val="single" w:sz="4" w:space="0" w:color="auto"/>
            </w:tcBorders>
            <w:shd w:val="clear" w:color="auto" w:fill="auto"/>
            <w:vAlign w:val="center"/>
          </w:tcPr>
          <w:p w14:paraId="4B640A0D" w14:textId="77777777" w:rsidR="00AE0C1F" w:rsidRPr="00286917" w:rsidRDefault="00AE0C1F" w:rsidP="003A0A4B">
            <w:pPr>
              <w:jc w:val="center"/>
              <w:rPr>
                <w:sz w:val="18"/>
                <w:szCs w:val="18"/>
              </w:rPr>
            </w:pPr>
          </w:p>
        </w:tc>
        <w:tc>
          <w:tcPr>
            <w:tcW w:w="1000" w:type="dxa"/>
            <w:shd w:val="clear" w:color="auto" w:fill="auto"/>
            <w:vAlign w:val="center"/>
          </w:tcPr>
          <w:p w14:paraId="57E26B30" w14:textId="77777777" w:rsidR="00AE0C1F" w:rsidRPr="00286917" w:rsidRDefault="00AE0C1F" w:rsidP="003A0A4B">
            <w:pPr>
              <w:jc w:val="center"/>
              <w:rPr>
                <w:sz w:val="18"/>
                <w:szCs w:val="18"/>
              </w:rPr>
            </w:pPr>
          </w:p>
        </w:tc>
        <w:tc>
          <w:tcPr>
            <w:tcW w:w="800" w:type="dxa"/>
            <w:shd w:val="clear" w:color="auto" w:fill="auto"/>
            <w:vAlign w:val="center"/>
          </w:tcPr>
          <w:p w14:paraId="243701CE" w14:textId="77777777" w:rsidR="00AE0C1F" w:rsidRPr="00286917" w:rsidRDefault="00AE0C1F" w:rsidP="003A0A4B">
            <w:pPr>
              <w:jc w:val="center"/>
              <w:rPr>
                <w:sz w:val="18"/>
                <w:szCs w:val="18"/>
              </w:rPr>
            </w:pPr>
          </w:p>
        </w:tc>
        <w:tc>
          <w:tcPr>
            <w:tcW w:w="500" w:type="dxa"/>
            <w:shd w:val="clear" w:color="auto" w:fill="auto"/>
            <w:vAlign w:val="center"/>
          </w:tcPr>
          <w:p w14:paraId="6D4D0EDB" w14:textId="77777777" w:rsidR="00AE0C1F" w:rsidRPr="00286917" w:rsidRDefault="00AE0C1F" w:rsidP="003A0A4B">
            <w:pPr>
              <w:jc w:val="center"/>
              <w:rPr>
                <w:sz w:val="18"/>
                <w:szCs w:val="18"/>
              </w:rPr>
            </w:pPr>
          </w:p>
        </w:tc>
        <w:tc>
          <w:tcPr>
            <w:tcW w:w="500" w:type="dxa"/>
            <w:shd w:val="clear" w:color="auto" w:fill="auto"/>
            <w:vAlign w:val="center"/>
          </w:tcPr>
          <w:p w14:paraId="403FCB4A" w14:textId="77777777" w:rsidR="00AE0C1F" w:rsidRPr="00286917" w:rsidRDefault="00AE0C1F" w:rsidP="003A0A4B">
            <w:pPr>
              <w:jc w:val="center"/>
              <w:rPr>
                <w:sz w:val="18"/>
                <w:szCs w:val="18"/>
              </w:rPr>
            </w:pPr>
          </w:p>
        </w:tc>
        <w:tc>
          <w:tcPr>
            <w:tcW w:w="500" w:type="dxa"/>
            <w:shd w:val="clear" w:color="auto" w:fill="auto"/>
            <w:vAlign w:val="center"/>
          </w:tcPr>
          <w:p w14:paraId="6A66A6BA" w14:textId="77777777" w:rsidR="00AE0C1F" w:rsidRPr="00286917" w:rsidRDefault="00AE0C1F" w:rsidP="003A0A4B">
            <w:pPr>
              <w:jc w:val="center"/>
              <w:rPr>
                <w:sz w:val="18"/>
                <w:szCs w:val="18"/>
              </w:rPr>
            </w:pPr>
          </w:p>
        </w:tc>
        <w:tc>
          <w:tcPr>
            <w:tcW w:w="500" w:type="dxa"/>
            <w:shd w:val="clear" w:color="auto" w:fill="auto"/>
            <w:vAlign w:val="center"/>
          </w:tcPr>
          <w:p w14:paraId="7F172D65" w14:textId="77777777" w:rsidR="00AE0C1F" w:rsidRPr="00286917" w:rsidRDefault="00AE0C1F" w:rsidP="003A0A4B">
            <w:pPr>
              <w:jc w:val="center"/>
              <w:rPr>
                <w:sz w:val="18"/>
                <w:szCs w:val="18"/>
              </w:rPr>
            </w:pPr>
          </w:p>
        </w:tc>
      </w:tr>
      <w:tr w:rsidR="00AE0C1F" w:rsidRPr="008B4DDE" w14:paraId="4E9705CE" w14:textId="77777777" w:rsidTr="003A0A4B">
        <w:trPr>
          <w:trHeight w:val="454"/>
        </w:trPr>
        <w:tc>
          <w:tcPr>
            <w:tcW w:w="2325" w:type="dxa"/>
            <w:tcMar>
              <w:left w:w="85" w:type="dxa"/>
              <w:right w:w="85" w:type="dxa"/>
            </w:tcMar>
            <w:vAlign w:val="center"/>
          </w:tcPr>
          <w:p w14:paraId="192C99F6" w14:textId="77777777" w:rsidR="00AE0C1F" w:rsidRDefault="00AE0C1F" w:rsidP="003A0A4B">
            <w:pPr>
              <w:jc w:val="both"/>
              <w:rPr>
                <w:sz w:val="18"/>
                <w:szCs w:val="18"/>
              </w:rPr>
            </w:pPr>
            <w:r>
              <w:rPr>
                <w:sz w:val="18"/>
                <w:szCs w:val="18"/>
              </w:rPr>
              <w:t>TP09 Scheme Reform – Operational Effectiveness (2015)</w:t>
            </w:r>
          </w:p>
        </w:tc>
        <w:tc>
          <w:tcPr>
            <w:tcW w:w="500" w:type="dxa"/>
            <w:vAlign w:val="center"/>
          </w:tcPr>
          <w:p w14:paraId="5F1B1F53" w14:textId="77777777" w:rsidR="00AE0C1F" w:rsidRPr="00286917" w:rsidRDefault="00AE0C1F" w:rsidP="003A0A4B">
            <w:pPr>
              <w:jc w:val="center"/>
              <w:rPr>
                <w:rFonts w:cs="Arial"/>
                <w:sz w:val="18"/>
                <w:szCs w:val="18"/>
              </w:rPr>
            </w:pPr>
          </w:p>
        </w:tc>
        <w:tc>
          <w:tcPr>
            <w:tcW w:w="500" w:type="dxa"/>
            <w:vAlign w:val="center"/>
          </w:tcPr>
          <w:p w14:paraId="2E8D8C65" w14:textId="77777777" w:rsidR="00AE0C1F" w:rsidRPr="00286917" w:rsidRDefault="00AE0C1F" w:rsidP="003A0A4B">
            <w:pPr>
              <w:jc w:val="center"/>
              <w:rPr>
                <w:rFonts w:cs="Arial"/>
                <w:sz w:val="18"/>
                <w:szCs w:val="18"/>
              </w:rPr>
            </w:pPr>
          </w:p>
        </w:tc>
        <w:tc>
          <w:tcPr>
            <w:tcW w:w="500" w:type="dxa"/>
            <w:vAlign w:val="center"/>
          </w:tcPr>
          <w:p w14:paraId="074FBEFC" w14:textId="77777777" w:rsidR="00AE0C1F" w:rsidRDefault="00AE0C1F" w:rsidP="003A0A4B">
            <w:pPr>
              <w:jc w:val="center"/>
              <w:rPr>
                <w:rFonts w:cs="Arial"/>
                <w:sz w:val="18"/>
                <w:szCs w:val="18"/>
              </w:rPr>
            </w:pPr>
            <w:r w:rsidRPr="00EA57A2">
              <w:rPr>
                <w:rFonts w:cs="Arial"/>
              </w:rPr>
              <w:sym w:font="Wingdings" w:char="F0FC"/>
            </w:r>
          </w:p>
        </w:tc>
        <w:tc>
          <w:tcPr>
            <w:tcW w:w="500" w:type="dxa"/>
            <w:vAlign w:val="center"/>
          </w:tcPr>
          <w:p w14:paraId="195E772E" w14:textId="77777777" w:rsidR="00AE0C1F" w:rsidRPr="00286917" w:rsidRDefault="00AE0C1F" w:rsidP="003A0A4B">
            <w:pPr>
              <w:jc w:val="center"/>
              <w:rPr>
                <w:rFonts w:cs="Arial"/>
                <w:sz w:val="18"/>
                <w:szCs w:val="18"/>
              </w:rPr>
            </w:pPr>
            <w:r w:rsidRPr="00EA57A2">
              <w:rPr>
                <w:rFonts w:cs="Arial"/>
              </w:rPr>
              <w:sym w:font="Wingdings" w:char="F0FC"/>
            </w:r>
          </w:p>
        </w:tc>
        <w:tc>
          <w:tcPr>
            <w:tcW w:w="1100" w:type="dxa"/>
            <w:tcMar>
              <w:left w:w="113" w:type="dxa"/>
              <w:right w:w="85" w:type="dxa"/>
            </w:tcMar>
            <w:vAlign w:val="center"/>
          </w:tcPr>
          <w:p w14:paraId="580EEAF0" w14:textId="77777777" w:rsidR="00AE0C1F" w:rsidRDefault="00AE0C1F" w:rsidP="003A0A4B">
            <w:pPr>
              <w:ind w:left="-113" w:right="-85"/>
              <w:jc w:val="center"/>
              <w:rPr>
                <w:sz w:val="18"/>
                <w:szCs w:val="18"/>
              </w:rPr>
            </w:pPr>
            <w:r>
              <w:rPr>
                <w:sz w:val="18"/>
                <w:szCs w:val="18"/>
              </w:rPr>
              <w:t>Draft Report</w:t>
            </w:r>
          </w:p>
        </w:tc>
        <w:tc>
          <w:tcPr>
            <w:tcW w:w="1100" w:type="dxa"/>
            <w:vAlign w:val="center"/>
          </w:tcPr>
          <w:p w14:paraId="4F57E11D" w14:textId="77777777" w:rsidR="00AE0C1F" w:rsidRDefault="00AE0C1F" w:rsidP="003A0A4B">
            <w:pPr>
              <w:jc w:val="center"/>
              <w:rPr>
                <w:color w:val="000000"/>
                <w:sz w:val="18"/>
                <w:szCs w:val="18"/>
              </w:rPr>
            </w:pPr>
            <w:r>
              <w:rPr>
                <w:color w:val="000000"/>
                <w:sz w:val="18"/>
                <w:szCs w:val="18"/>
              </w:rPr>
              <w:t>Sep 2015</w:t>
            </w:r>
          </w:p>
        </w:tc>
        <w:tc>
          <w:tcPr>
            <w:tcW w:w="1000" w:type="dxa"/>
            <w:tcBorders>
              <w:bottom w:val="single" w:sz="4" w:space="0" w:color="auto"/>
            </w:tcBorders>
            <w:shd w:val="clear" w:color="auto" w:fill="00B050"/>
            <w:vAlign w:val="center"/>
          </w:tcPr>
          <w:p w14:paraId="7963ECE6" w14:textId="77777777" w:rsidR="00AE0C1F" w:rsidRPr="00286917" w:rsidRDefault="00AE0C1F" w:rsidP="003A0A4B">
            <w:pPr>
              <w:jc w:val="center"/>
              <w:rPr>
                <w:sz w:val="18"/>
                <w:szCs w:val="18"/>
              </w:rPr>
            </w:pPr>
            <w:r>
              <w:rPr>
                <w:sz w:val="18"/>
                <w:szCs w:val="18"/>
              </w:rPr>
              <w:t>Sep 2015</w:t>
            </w:r>
          </w:p>
        </w:tc>
        <w:tc>
          <w:tcPr>
            <w:tcW w:w="900" w:type="dxa"/>
            <w:shd w:val="clear" w:color="auto" w:fill="auto"/>
            <w:vAlign w:val="center"/>
          </w:tcPr>
          <w:p w14:paraId="09842BD1" w14:textId="77777777" w:rsidR="00AE0C1F" w:rsidRPr="00286917" w:rsidRDefault="00AE0C1F" w:rsidP="003A0A4B">
            <w:pPr>
              <w:jc w:val="center"/>
              <w:rPr>
                <w:sz w:val="18"/>
                <w:szCs w:val="18"/>
              </w:rPr>
            </w:pPr>
            <w:r>
              <w:rPr>
                <w:sz w:val="18"/>
                <w:szCs w:val="18"/>
              </w:rPr>
              <w:t>12/10/15</w:t>
            </w:r>
          </w:p>
        </w:tc>
        <w:tc>
          <w:tcPr>
            <w:tcW w:w="1000" w:type="dxa"/>
            <w:shd w:val="clear" w:color="auto" w:fill="auto"/>
            <w:vAlign w:val="center"/>
          </w:tcPr>
          <w:p w14:paraId="2E91B8EF" w14:textId="77777777" w:rsidR="00AE0C1F" w:rsidRDefault="00AE0C1F" w:rsidP="003A0A4B">
            <w:pPr>
              <w:jc w:val="center"/>
              <w:rPr>
                <w:sz w:val="18"/>
                <w:szCs w:val="18"/>
              </w:rPr>
            </w:pPr>
            <w:r>
              <w:rPr>
                <w:sz w:val="18"/>
                <w:szCs w:val="18"/>
              </w:rPr>
              <w:t>Dec 2015</w:t>
            </w:r>
          </w:p>
        </w:tc>
        <w:tc>
          <w:tcPr>
            <w:tcW w:w="1000" w:type="dxa"/>
            <w:tcBorders>
              <w:bottom w:val="single" w:sz="4" w:space="0" w:color="auto"/>
            </w:tcBorders>
            <w:shd w:val="clear" w:color="auto" w:fill="auto"/>
            <w:vAlign w:val="center"/>
          </w:tcPr>
          <w:p w14:paraId="277071A8" w14:textId="77777777" w:rsidR="00AE0C1F" w:rsidRPr="00286917" w:rsidRDefault="00AE0C1F" w:rsidP="003A0A4B">
            <w:pPr>
              <w:jc w:val="center"/>
              <w:rPr>
                <w:sz w:val="18"/>
                <w:szCs w:val="18"/>
              </w:rPr>
            </w:pPr>
          </w:p>
        </w:tc>
        <w:tc>
          <w:tcPr>
            <w:tcW w:w="1000" w:type="dxa"/>
            <w:shd w:val="clear" w:color="auto" w:fill="auto"/>
            <w:vAlign w:val="center"/>
          </w:tcPr>
          <w:p w14:paraId="1FC502CA" w14:textId="77777777" w:rsidR="00AE0C1F" w:rsidRPr="00286917" w:rsidRDefault="00AE0C1F" w:rsidP="003A0A4B">
            <w:pPr>
              <w:jc w:val="center"/>
              <w:rPr>
                <w:sz w:val="18"/>
                <w:szCs w:val="18"/>
              </w:rPr>
            </w:pPr>
          </w:p>
        </w:tc>
        <w:tc>
          <w:tcPr>
            <w:tcW w:w="800" w:type="dxa"/>
            <w:shd w:val="clear" w:color="auto" w:fill="auto"/>
            <w:vAlign w:val="center"/>
          </w:tcPr>
          <w:p w14:paraId="6408C12B" w14:textId="77777777" w:rsidR="00AE0C1F" w:rsidRPr="00286917" w:rsidRDefault="00AE0C1F" w:rsidP="003A0A4B">
            <w:pPr>
              <w:jc w:val="center"/>
              <w:rPr>
                <w:sz w:val="18"/>
                <w:szCs w:val="18"/>
              </w:rPr>
            </w:pPr>
          </w:p>
        </w:tc>
        <w:tc>
          <w:tcPr>
            <w:tcW w:w="500" w:type="dxa"/>
            <w:shd w:val="clear" w:color="auto" w:fill="auto"/>
            <w:vAlign w:val="center"/>
          </w:tcPr>
          <w:p w14:paraId="3EE77AE5" w14:textId="77777777" w:rsidR="00AE0C1F" w:rsidRPr="00286917" w:rsidRDefault="00AE0C1F" w:rsidP="003A0A4B">
            <w:pPr>
              <w:jc w:val="center"/>
              <w:rPr>
                <w:sz w:val="18"/>
                <w:szCs w:val="18"/>
              </w:rPr>
            </w:pPr>
          </w:p>
        </w:tc>
        <w:tc>
          <w:tcPr>
            <w:tcW w:w="500" w:type="dxa"/>
            <w:shd w:val="clear" w:color="auto" w:fill="auto"/>
            <w:vAlign w:val="center"/>
          </w:tcPr>
          <w:p w14:paraId="516268B9" w14:textId="77777777" w:rsidR="00AE0C1F" w:rsidRPr="00286917" w:rsidRDefault="00AE0C1F" w:rsidP="003A0A4B">
            <w:pPr>
              <w:jc w:val="center"/>
              <w:rPr>
                <w:sz w:val="18"/>
                <w:szCs w:val="18"/>
              </w:rPr>
            </w:pPr>
          </w:p>
        </w:tc>
        <w:tc>
          <w:tcPr>
            <w:tcW w:w="500" w:type="dxa"/>
            <w:shd w:val="clear" w:color="auto" w:fill="auto"/>
            <w:vAlign w:val="center"/>
          </w:tcPr>
          <w:p w14:paraId="475870A0" w14:textId="77777777" w:rsidR="00AE0C1F" w:rsidRPr="00286917" w:rsidRDefault="00AE0C1F" w:rsidP="003A0A4B">
            <w:pPr>
              <w:jc w:val="center"/>
              <w:rPr>
                <w:sz w:val="18"/>
                <w:szCs w:val="18"/>
              </w:rPr>
            </w:pPr>
          </w:p>
        </w:tc>
        <w:tc>
          <w:tcPr>
            <w:tcW w:w="500" w:type="dxa"/>
            <w:shd w:val="clear" w:color="auto" w:fill="auto"/>
            <w:vAlign w:val="center"/>
          </w:tcPr>
          <w:p w14:paraId="26E587CA" w14:textId="77777777" w:rsidR="00AE0C1F" w:rsidRPr="00286917" w:rsidRDefault="00AE0C1F" w:rsidP="003A0A4B">
            <w:pPr>
              <w:jc w:val="center"/>
              <w:rPr>
                <w:sz w:val="18"/>
                <w:szCs w:val="18"/>
              </w:rPr>
            </w:pPr>
          </w:p>
        </w:tc>
      </w:tr>
      <w:tr w:rsidR="00AE0C1F" w:rsidRPr="008B4DDE" w14:paraId="6B45AC16" w14:textId="77777777" w:rsidTr="003A0A4B">
        <w:trPr>
          <w:trHeight w:val="454"/>
        </w:trPr>
        <w:tc>
          <w:tcPr>
            <w:tcW w:w="2325" w:type="dxa"/>
            <w:tcMar>
              <w:left w:w="85" w:type="dxa"/>
              <w:right w:w="85" w:type="dxa"/>
            </w:tcMar>
            <w:vAlign w:val="center"/>
          </w:tcPr>
          <w:p w14:paraId="12C69D3C" w14:textId="77777777" w:rsidR="00AE0C1F" w:rsidRPr="005E2B9C" w:rsidRDefault="00AE0C1F" w:rsidP="003A0A4B">
            <w:pPr>
              <w:jc w:val="both"/>
              <w:rPr>
                <w:rFonts w:cs="Arial"/>
                <w:sz w:val="18"/>
                <w:szCs w:val="18"/>
              </w:rPr>
            </w:pPr>
            <w:r w:rsidRPr="005E2B9C">
              <w:rPr>
                <w:rFonts w:cs="Arial"/>
                <w:sz w:val="18"/>
                <w:szCs w:val="18"/>
              </w:rPr>
              <w:t>CIBS Service Level Management and Reporting</w:t>
            </w:r>
          </w:p>
        </w:tc>
        <w:tc>
          <w:tcPr>
            <w:tcW w:w="500" w:type="dxa"/>
            <w:vAlign w:val="center"/>
          </w:tcPr>
          <w:p w14:paraId="688AC1C3" w14:textId="77777777" w:rsidR="00AE0C1F" w:rsidRPr="00286917" w:rsidRDefault="00AE0C1F" w:rsidP="003A0A4B">
            <w:pPr>
              <w:jc w:val="center"/>
              <w:rPr>
                <w:rFonts w:cs="Arial"/>
                <w:sz w:val="18"/>
                <w:szCs w:val="18"/>
              </w:rPr>
            </w:pPr>
            <w:r w:rsidRPr="00EA57A2">
              <w:rPr>
                <w:rFonts w:cs="Arial"/>
              </w:rPr>
              <w:sym w:font="Wingdings" w:char="F0FC"/>
            </w:r>
          </w:p>
        </w:tc>
        <w:tc>
          <w:tcPr>
            <w:tcW w:w="500" w:type="dxa"/>
            <w:vAlign w:val="center"/>
          </w:tcPr>
          <w:p w14:paraId="2E38542C" w14:textId="77777777" w:rsidR="00AE0C1F" w:rsidRPr="00286917" w:rsidRDefault="00AE0C1F" w:rsidP="003A0A4B">
            <w:pPr>
              <w:jc w:val="center"/>
              <w:rPr>
                <w:rFonts w:cs="Arial"/>
                <w:sz w:val="18"/>
                <w:szCs w:val="18"/>
              </w:rPr>
            </w:pPr>
          </w:p>
        </w:tc>
        <w:tc>
          <w:tcPr>
            <w:tcW w:w="500" w:type="dxa"/>
            <w:vAlign w:val="center"/>
          </w:tcPr>
          <w:p w14:paraId="4201D8E7" w14:textId="77777777" w:rsidR="00AE0C1F" w:rsidRDefault="00AE0C1F" w:rsidP="003A0A4B">
            <w:pPr>
              <w:jc w:val="center"/>
              <w:rPr>
                <w:rFonts w:cs="Arial"/>
                <w:sz w:val="18"/>
                <w:szCs w:val="18"/>
              </w:rPr>
            </w:pPr>
          </w:p>
        </w:tc>
        <w:tc>
          <w:tcPr>
            <w:tcW w:w="500" w:type="dxa"/>
            <w:vAlign w:val="center"/>
          </w:tcPr>
          <w:p w14:paraId="5BEAE33E" w14:textId="77777777" w:rsidR="00AE0C1F" w:rsidRDefault="00AE0C1F" w:rsidP="003A0A4B">
            <w:pPr>
              <w:jc w:val="center"/>
              <w:rPr>
                <w:rFonts w:cs="Arial"/>
                <w:sz w:val="18"/>
                <w:szCs w:val="18"/>
              </w:rPr>
            </w:pPr>
          </w:p>
        </w:tc>
        <w:tc>
          <w:tcPr>
            <w:tcW w:w="1100" w:type="dxa"/>
            <w:tcMar>
              <w:left w:w="113" w:type="dxa"/>
              <w:right w:w="85" w:type="dxa"/>
            </w:tcMar>
            <w:vAlign w:val="center"/>
          </w:tcPr>
          <w:p w14:paraId="5D1CACBF" w14:textId="77777777" w:rsidR="00AE0C1F" w:rsidRDefault="00AE0C1F" w:rsidP="003A0A4B">
            <w:pPr>
              <w:ind w:left="-113" w:right="-85"/>
              <w:jc w:val="center"/>
              <w:rPr>
                <w:sz w:val="18"/>
                <w:szCs w:val="18"/>
              </w:rPr>
            </w:pPr>
            <w:r>
              <w:rPr>
                <w:sz w:val="18"/>
                <w:szCs w:val="18"/>
              </w:rPr>
              <w:t>Draft TOR</w:t>
            </w:r>
          </w:p>
        </w:tc>
        <w:tc>
          <w:tcPr>
            <w:tcW w:w="1100" w:type="dxa"/>
            <w:vAlign w:val="center"/>
          </w:tcPr>
          <w:p w14:paraId="301BF274" w14:textId="77777777" w:rsidR="00AE0C1F" w:rsidRDefault="00AE0C1F" w:rsidP="003A0A4B">
            <w:pPr>
              <w:jc w:val="center"/>
              <w:rPr>
                <w:color w:val="000000"/>
                <w:sz w:val="18"/>
                <w:szCs w:val="18"/>
              </w:rPr>
            </w:pPr>
            <w:r>
              <w:rPr>
                <w:color w:val="000000"/>
                <w:sz w:val="18"/>
                <w:szCs w:val="18"/>
              </w:rPr>
              <w:t>Feb 2016</w:t>
            </w:r>
          </w:p>
        </w:tc>
        <w:tc>
          <w:tcPr>
            <w:tcW w:w="1000" w:type="dxa"/>
            <w:tcBorders>
              <w:bottom w:val="single" w:sz="4" w:space="0" w:color="auto"/>
            </w:tcBorders>
            <w:shd w:val="clear" w:color="auto" w:fill="auto"/>
            <w:vAlign w:val="center"/>
          </w:tcPr>
          <w:p w14:paraId="3B312887" w14:textId="77777777" w:rsidR="00AE0C1F" w:rsidRDefault="00AE0C1F" w:rsidP="003A0A4B">
            <w:pPr>
              <w:jc w:val="center"/>
              <w:rPr>
                <w:sz w:val="18"/>
                <w:szCs w:val="18"/>
              </w:rPr>
            </w:pPr>
          </w:p>
        </w:tc>
        <w:tc>
          <w:tcPr>
            <w:tcW w:w="900" w:type="dxa"/>
            <w:shd w:val="clear" w:color="auto" w:fill="auto"/>
            <w:vAlign w:val="center"/>
          </w:tcPr>
          <w:p w14:paraId="67EC9B75" w14:textId="77777777" w:rsidR="00AE0C1F" w:rsidRDefault="00AE0C1F" w:rsidP="003A0A4B">
            <w:pPr>
              <w:jc w:val="center"/>
              <w:rPr>
                <w:sz w:val="18"/>
                <w:szCs w:val="18"/>
              </w:rPr>
            </w:pPr>
          </w:p>
        </w:tc>
        <w:tc>
          <w:tcPr>
            <w:tcW w:w="1000" w:type="dxa"/>
            <w:shd w:val="clear" w:color="auto" w:fill="auto"/>
            <w:vAlign w:val="center"/>
          </w:tcPr>
          <w:p w14:paraId="7B14BE3A" w14:textId="77777777" w:rsidR="00AE0C1F" w:rsidRDefault="00AE0C1F" w:rsidP="003A0A4B">
            <w:pPr>
              <w:jc w:val="center"/>
              <w:rPr>
                <w:sz w:val="18"/>
                <w:szCs w:val="18"/>
              </w:rPr>
            </w:pPr>
          </w:p>
        </w:tc>
        <w:tc>
          <w:tcPr>
            <w:tcW w:w="1000" w:type="dxa"/>
            <w:tcBorders>
              <w:bottom w:val="single" w:sz="4" w:space="0" w:color="auto"/>
            </w:tcBorders>
            <w:shd w:val="clear" w:color="auto" w:fill="auto"/>
            <w:vAlign w:val="center"/>
          </w:tcPr>
          <w:p w14:paraId="65D2B865" w14:textId="77777777" w:rsidR="00AE0C1F" w:rsidRPr="00286917" w:rsidRDefault="00AE0C1F" w:rsidP="003A0A4B">
            <w:pPr>
              <w:jc w:val="center"/>
              <w:rPr>
                <w:sz w:val="18"/>
                <w:szCs w:val="18"/>
              </w:rPr>
            </w:pPr>
          </w:p>
        </w:tc>
        <w:tc>
          <w:tcPr>
            <w:tcW w:w="1000" w:type="dxa"/>
            <w:shd w:val="clear" w:color="auto" w:fill="auto"/>
            <w:vAlign w:val="center"/>
          </w:tcPr>
          <w:p w14:paraId="5FF8E829" w14:textId="77777777" w:rsidR="00AE0C1F" w:rsidRPr="00286917" w:rsidRDefault="00AE0C1F" w:rsidP="003A0A4B">
            <w:pPr>
              <w:jc w:val="center"/>
              <w:rPr>
                <w:sz w:val="18"/>
                <w:szCs w:val="18"/>
              </w:rPr>
            </w:pPr>
          </w:p>
        </w:tc>
        <w:tc>
          <w:tcPr>
            <w:tcW w:w="800" w:type="dxa"/>
            <w:shd w:val="clear" w:color="auto" w:fill="auto"/>
            <w:vAlign w:val="center"/>
          </w:tcPr>
          <w:p w14:paraId="6AEF5531" w14:textId="77777777" w:rsidR="00AE0C1F" w:rsidRPr="00286917" w:rsidRDefault="00AE0C1F" w:rsidP="003A0A4B">
            <w:pPr>
              <w:jc w:val="center"/>
              <w:rPr>
                <w:sz w:val="18"/>
                <w:szCs w:val="18"/>
              </w:rPr>
            </w:pPr>
          </w:p>
        </w:tc>
        <w:tc>
          <w:tcPr>
            <w:tcW w:w="500" w:type="dxa"/>
            <w:shd w:val="clear" w:color="auto" w:fill="auto"/>
            <w:vAlign w:val="center"/>
          </w:tcPr>
          <w:p w14:paraId="7AA43301" w14:textId="77777777" w:rsidR="00AE0C1F" w:rsidRPr="00286917" w:rsidRDefault="00AE0C1F" w:rsidP="003A0A4B">
            <w:pPr>
              <w:jc w:val="center"/>
              <w:rPr>
                <w:sz w:val="18"/>
                <w:szCs w:val="18"/>
              </w:rPr>
            </w:pPr>
          </w:p>
        </w:tc>
        <w:tc>
          <w:tcPr>
            <w:tcW w:w="500" w:type="dxa"/>
            <w:shd w:val="clear" w:color="auto" w:fill="auto"/>
            <w:vAlign w:val="center"/>
          </w:tcPr>
          <w:p w14:paraId="0845B776" w14:textId="77777777" w:rsidR="00AE0C1F" w:rsidRPr="00286917" w:rsidRDefault="00AE0C1F" w:rsidP="003A0A4B">
            <w:pPr>
              <w:jc w:val="center"/>
              <w:rPr>
                <w:sz w:val="18"/>
                <w:szCs w:val="18"/>
              </w:rPr>
            </w:pPr>
          </w:p>
        </w:tc>
        <w:tc>
          <w:tcPr>
            <w:tcW w:w="500" w:type="dxa"/>
            <w:shd w:val="clear" w:color="auto" w:fill="auto"/>
            <w:vAlign w:val="center"/>
          </w:tcPr>
          <w:p w14:paraId="759BD459" w14:textId="77777777" w:rsidR="00AE0C1F" w:rsidRPr="00286917" w:rsidRDefault="00AE0C1F" w:rsidP="003A0A4B">
            <w:pPr>
              <w:jc w:val="center"/>
              <w:rPr>
                <w:sz w:val="18"/>
                <w:szCs w:val="18"/>
              </w:rPr>
            </w:pPr>
          </w:p>
        </w:tc>
        <w:tc>
          <w:tcPr>
            <w:tcW w:w="500" w:type="dxa"/>
            <w:shd w:val="clear" w:color="auto" w:fill="auto"/>
            <w:vAlign w:val="center"/>
          </w:tcPr>
          <w:p w14:paraId="762E5A28" w14:textId="77777777" w:rsidR="00AE0C1F" w:rsidRPr="00286917" w:rsidRDefault="00AE0C1F" w:rsidP="003A0A4B">
            <w:pPr>
              <w:jc w:val="center"/>
              <w:rPr>
                <w:sz w:val="18"/>
                <w:szCs w:val="18"/>
              </w:rPr>
            </w:pPr>
          </w:p>
        </w:tc>
      </w:tr>
      <w:tr w:rsidR="00AE0C1F" w:rsidRPr="008B4DDE" w14:paraId="5E104293" w14:textId="77777777" w:rsidTr="003A0A4B">
        <w:trPr>
          <w:trHeight w:val="454"/>
        </w:trPr>
        <w:tc>
          <w:tcPr>
            <w:tcW w:w="2325" w:type="dxa"/>
            <w:tcMar>
              <w:left w:w="85" w:type="dxa"/>
              <w:right w:w="85" w:type="dxa"/>
            </w:tcMar>
            <w:vAlign w:val="center"/>
          </w:tcPr>
          <w:p w14:paraId="6AE7B60F" w14:textId="77777777" w:rsidR="00AE0C1F" w:rsidRPr="005E2B9C" w:rsidRDefault="00AE0C1F" w:rsidP="003A0A4B">
            <w:pPr>
              <w:jc w:val="both"/>
              <w:rPr>
                <w:rFonts w:cs="Arial"/>
                <w:sz w:val="18"/>
                <w:szCs w:val="18"/>
              </w:rPr>
            </w:pPr>
            <w:r w:rsidRPr="005E2B9C">
              <w:rPr>
                <w:rFonts w:cs="Arial"/>
                <w:sz w:val="18"/>
                <w:szCs w:val="18"/>
              </w:rPr>
              <w:t>CIBS Quality Management</w:t>
            </w:r>
          </w:p>
        </w:tc>
        <w:tc>
          <w:tcPr>
            <w:tcW w:w="500" w:type="dxa"/>
            <w:vAlign w:val="center"/>
          </w:tcPr>
          <w:p w14:paraId="56405735" w14:textId="77777777" w:rsidR="00AE0C1F" w:rsidRPr="00286917" w:rsidRDefault="00AE0C1F" w:rsidP="003A0A4B">
            <w:pPr>
              <w:jc w:val="center"/>
              <w:rPr>
                <w:rFonts w:cs="Arial"/>
                <w:sz w:val="18"/>
                <w:szCs w:val="18"/>
              </w:rPr>
            </w:pPr>
            <w:r w:rsidRPr="00EA57A2">
              <w:rPr>
                <w:rFonts w:cs="Arial"/>
              </w:rPr>
              <w:sym w:font="Wingdings" w:char="F0FC"/>
            </w:r>
          </w:p>
        </w:tc>
        <w:tc>
          <w:tcPr>
            <w:tcW w:w="500" w:type="dxa"/>
            <w:vAlign w:val="center"/>
          </w:tcPr>
          <w:p w14:paraId="7D5E6C89" w14:textId="77777777" w:rsidR="00AE0C1F" w:rsidRPr="00286917" w:rsidRDefault="00AE0C1F" w:rsidP="003A0A4B">
            <w:pPr>
              <w:jc w:val="center"/>
              <w:rPr>
                <w:rFonts w:cs="Arial"/>
                <w:sz w:val="18"/>
                <w:szCs w:val="18"/>
              </w:rPr>
            </w:pPr>
          </w:p>
        </w:tc>
        <w:tc>
          <w:tcPr>
            <w:tcW w:w="500" w:type="dxa"/>
            <w:vAlign w:val="center"/>
          </w:tcPr>
          <w:p w14:paraId="2A76AD45" w14:textId="77777777" w:rsidR="00AE0C1F" w:rsidRDefault="00AE0C1F" w:rsidP="003A0A4B">
            <w:pPr>
              <w:jc w:val="center"/>
              <w:rPr>
                <w:rFonts w:cs="Arial"/>
                <w:sz w:val="18"/>
                <w:szCs w:val="18"/>
              </w:rPr>
            </w:pPr>
          </w:p>
        </w:tc>
        <w:tc>
          <w:tcPr>
            <w:tcW w:w="500" w:type="dxa"/>
            <w:vAlign w:val="center"/>
          </w:tcPr>
          <w:p w14:paraId="25E20051" w14:textId="77777777" w:rsidR="00AE0C1F" w:rsidRDefault="00AE0C1F" w:rsidP="003A0A4B">
            <w:pPr>
              <w:jc w:val="center"/>
              <w:rPr>
                <w:rFonts w:cs="Arial"/>
                <w:sz w:val="18"/>
                <w:szCs w:val="18"/>
              </w:rPr>
            </w:pPr>
          </w:p>
        </w:tc>
        <w:tc>
          <w:tcPr>
            <w:tcW w:w="1100" w:type="dxa"/>
            <w:tcMar>
              <w:left w:w="113" w:type="dxa"/>
              <w:right w:w="85" w:type="dxa"/>
            </w:tcMar>
            <w:vAlign w:val="center"/>
          </w:tcPr>
          <w:p w14:paraId="6A32EB81" w14:textId="77777777" w:rsidR="00AE0C1F" w:rsidRDefault="00AE0C1F" w:rsidP="003A0A4B">
            <w:pPr>
              <w:ind w:left="-113" w:right="-85"/>
              <w:jc w:val="center"/>
              <w:rPr>
                <w:sz w:val="18"/>
                <w:szCs w:val="18"/>
              </w:rPr>
            </w:pPr>
            <w:r>
              <w:rPr>
                <w:sz w:val="18"/>
                <w:szCs w:val="18"/>
              </w:rPr>
              <w:t>Planning</w:t>
            </w:r>
          </w:p>
        </w:tc>
        <w:tc>
          <w:tcPr>
            <w:tcW w:w="1100" w:type="dxa"/>
            <w:vAlign w:val="center"/>
          </w:tcPr>
          <w:p w14:paraId="3E81AA07" w14:textId="77777777" w:rsidR="00AE0C1F" w:rsidRDefault="00AE0C1F" w:rsidP="003A0A4B">
            <w:pPr>
              <w:jc w:val="center"/>
              <w:rPr>
                <w:color w:val="000000"/>
                <w:sz w:val="18"/>
                <w:szCs w:val="18"/>
              </w:rPr>
            </w:pPr>
            <w:r>
              <w:rPr>
                <w:color w:val="000000"/>
                <w:sz w:val="18"/>
                <w:szCs w:val="18"/>
              </w:rPr>
              <w:t>Feb 2016</w:t>
            </w:r>
          </w:p>
        </w:tc>
        <w:tc>
          <w:tcPr>
            <w:tcW w:w="1000" w:type="dxa"/>
            <w:tcBorders>
              <w:bottom w:val="single" w:sz="4" w:space="0" w:color="auto"/>
            </w:tcBorders>
            <w:shd w:val="clear" w:color="auto" w:fill="auto"/>
            <w:vAlign w:val="center"/>
          </w:tcPr>
          <w:p w14:paraId="0F64932E" w14:textId="77777777" w:rsidR="00AE0C1F" w:rsidRDefault="00AE0C1F" w:rsidP="003A0A4B">
            <w:pPr>
              <w:jc w:val="center"/>
              <w:rPr>
                <w:sz w:val="18"/>
                <w:szCs w:val="18"/>
              </w:rPr>
            </w:pPr>
          </w:p>
        </w:tc>
        <w:tc>
          <w:tcPr>
            <w:tcW w:w="900" w:type="dxa"/>
            <w:shd w:val="clear" w:color="auto" w:fill="auto"/>
            <w:vAlign w:val="center"/>
          </w:tcPr>
          <w:p w14:paraId="206F0DE0" w14:textId="77777777" w:rsidR="00AE0C1F" w:rsidRDefault="00AE0C1F" w:rsidP="003A0A4B">
            <w:pPr>
              <w:jc w:val="center"/>
              <w:rPr>
                <w:sz w:val="18"/>
                <w:szCs w:val="18"/>
              </w:rPr>
            </w:pPr>
          </w:p>
        </w:tc>
        <w:tc>
          <w:tcPr>
            <w:tcW w:w="1000" w:type="dxa"/>
            <w:shd w:val="clear" w:color="auto" w:fill="auto"/>
            <w:vAlign w:val="center"/>
          </w:tcPr>
          <w:p w14:paraId="5F740CC3" w14:textId="77777777" w:rsidR="00AE0C1F" w:rsidRDefault="00AE0C1F" w:rsidP="003A0A4B">
            <w:pPr>
              <w:jc w:val="center"/>
              <w:rPr>
                <w:sz w:val="18"/>
                <w:szCs w:val="18"/>
              </w:rPr>
            </w:pPr>
          </w:p>
        </w:tc>
        <w:tc>
          <w:tcPr>
            <w:tcW w:w="1000" w:type="dxa"/>
            <w:tcBorders>
              <w:bottom w:val="single" w:sz="4" w:space="0" w:color="auto"/>
            </w:tcBorders>
            <w:shd w:val="clear" w:color="auto" w:fill="auto"/>
            <w:vAlign w:val="center"/>
          </w:tcPr>
          <w:p w14:paraId="021A6C23" w14:textId="77777777" w:rsidR="00AE0C1F" w:rsidRPr="00286917" w:rsidRDefault="00AE0C1F" w:rsidP="003A0A4B">
            <w:pPr>
              <w:jc w:val="center"/>
              <w:rPr>
                <w:sz w:val="18"/>
                <w:szCs w:val="18"/>
              </w:rPr>
            </w:pPr>
          </w:p>
        </w:tc>
        <w:tc>
          <w:tcPr>
            <w:tcW w:w="1000" w:type="dxa"/>
            <w:shd w:val="clear" w:color="auto" w:fill="auto"/>
            <w:vAlign w:val="center"/>
          </w:tcPr>
          <w:p w14:paraId="4AB31F48" w14:textId="77777777" w:rsidR="00AE0C1F" w:rsidRPr="00286917" w:rsidRDefault="00AE0C1F" w:rsidP="003A0A4B">
            <w:pPr>
              <w:jc w:val="center"/>
              <w:rPr>
                <w:sz w:val="18"/>
                <w:szCs w:val="18"/>
              </w:rPr>
            </w:pPr>
          </w:p>
        </w:tc>
        <w:tc>
          <w:tcPr>
            <w:tcW w:w="800" w:type="dxa"/>
            <w:shd w:val="clear" w:color="auto" w:fill="auto"/>
            <w:vAlign w:val="center"/>
          </w:tcPr>
          <w:p w14:paraId="54C3D936" w14:textId="77777777" w:rsidR="00AE0C1F" w:rsidRPr="00286917" w:rsidRDefault="00AE0C1F" w:rsidP="003A0A4B">
            <w:pPr>
              <w:jc w:val="center"/>
              <w:rPr>
                <w:sz w:val="18"/>
                <w:szCs w:val="18"/>
              </w:rPr>
            </w:pPr>
          </w:p>
        </w:tc>
        <w:tc>
          <w:tcPr>
            <w:tcW w:w="500" w:type="dxa"/>
            <w:shd w:val="clear" w:color="auto" w:fill="auto"/>
            <w:vAlign w:val="center"/>
          </w:tcPr>
          <w:p w14:paraId="7870C51B" w14:textId="77777777" w:rsidR="00AE0C1F" w:rsidRPr="00286917" w:rsidRDefault="00AE0C1F" w:rsidP="003A0A4B">
            <w:pPr>
              <w:jc w:val="center"/>
              <w:rPr>
                <w:sz w:val="18"/>
                <w:szCs w:val="18"/>
              </w:rPr>
            </w:pPr>
          </w:p>
        </w:tc>
        <w:tc>
          <w:tcPr>
            <w:tcW w:w="500" w:type="dxa"/>
            <w:shd w:val="clear" w:color="auto" w:fill="auto"/>
            <w:vAlign w:val="center"/>
          </w:tcPr>
          <w:p w14:paraId="19468A82" w14:textId="77777777" w:rsidR="00AE0C1F" w:rsidRPr="00286917" w:rsidRDefault="00AE0C1F" w:rsidP="003A0A4B">
            <w:pPr>
              <w:jc w:val="center"/>
              <w:rPr>
                <w:sz w:val="18"/>
                <w:szCs w:val="18"/>
              </w:rPr>
            </w:pPr>
          </w:p>
        </w:tc>
        <w:tc>
          <w:tcPr>
            <w:tcW w:w="500" w:type="dxa"/>
            <w:shd w:val="clear" w:color="auto" w:fill="auto"/>
            <w:vAlign w:val="center"/>
          </w:tcPr>
          <w:p w14:paraId="423C4DB5" w14:textId="77777777" w:rsidR="00AE0C1F" w:rsidRPr="00286917" w:rsidRDefault="00AE0C1F" w:rsidP="003A0A4B">
            <w:pPr>
              <w:jc w:val="center"/>
              <w:rPr>
                <w:sz w:val="18"/>
                <w:szCs w:val="18"/>
              </w:rPr>
            </w:pPr>
          </w:p>
        </w:tc>
        <w:tc>
          <w:tcPr>
            <w:tcW w:w="500" w:type="dxa"/>
            <w:shd w:val="clear" w:color="auto" w:fill="auto"/>
            <w:vAlign w:val="center"/>
          </w:tcPr>
          <w:p w14:paraId="1E7DE03D" w14:textId="77777777" w:rsidR="00AE0C1F" w:rsidRPr="00286917" w:rsidRDefault="00AE0C1F" w:rsidP="003A0A4B">
            <w:pPr>
              <w:jc w:val="center"/>
              <w:rPr>
                <w:sz w:val="18"/>
                <w:szCs w:val="18"/>
              </w:rPr>
            </w:pPr>
          </w:p>
        </w:tc>
      </w:tr>
      <w:tr w:rsidR="00AE0C1F" w:rsidRPr="008B4DDE" w14:paraId="07616AC7" w14:textId="77777777" w:rsidTr="003A0A4B">
        <w:trPr>
          <w:trHeight w:val="454"/>
        </w:trPr>
        <w:tc>
          <w:tcPr>
            <w:tcW w:w="2325" w:type="dxa"/>
            <w:tcMar>
              <w:left w:w="85" w:type="dxa"/>
              <w:right w:w="85" w:type="dxa"/>
            </w:tcMar>
            <w:vAlign w:val="center"/>
          </w:tcPr>
          <w:p w14:paraId="30D6E702" w14:textId="77777777" w:rsidR="00AE0C1F" w:rsidRPr="005E2B9C" w:rsidRDefault="00AE0C1F" w:rsidP="003A0A4B">
            <w:pPr>
              <w:jc w:val="both"/>
              <w:rPr>
                <w:rFonts w:cs="Arial"/>
                <w:sz w:val="18"/>
                <w:szCs w:val="18"/>
              </w:rPr>
            </w:pPr>
            <w:r w:rsidRPr="005E2B9C">
              <w:rPr>
                <w:rFonts w:cs="Arial"/>
                <w:sz w:val="18"/>
                <w:szCs w:val="18"/>
              </w:rPr>
              <w:t>CIBS Pension Administration – TPS Scheme Accounting</w:t>
            </w:r>
          </w:p>
        </w:tc>
        <w:tc>
          <w:tcPr>
            <w:tcW w:w="500" w:type="dxa"/>
            <w:vAlign w:val="center"/>
          </w:tcPr>
          <w:p w14:paraId="3F68F6E4" w14:textId="77777777" w:rsidR="00AE0C1F" w:rsidRPr="00286917" w:rsidRDefault="00AE0C1F" w:rsidP="003A0A4B">
            <w:pPr>
              <w:jc w:val="center"/>
              <w:rPr>
                <w:rFonts w:cs="Arial"/>
                <w:sz w:val="18"/>
                <w:szCs w:val="18"/>
              </w:rPr>
            </w:pPr>
            <w:r w:rsidRPr="00EA57A2">
              <w:rPr>
                <w:rFonts w:cs="Arial"/>
              </w:rPr>
              <w:sym w:font="Wingdings" w:char="F0FC"/>
            </w:r>
          </w:p>
        </w:tc>
        <w:tc>
          <w:tcPr>
            <w:tcW w:w="500" w:type="dxa"/>
            <w:vAlign w:val="center"/>
          </w:tcPr>
          <w:p w14:paraId="38D46763" w14:textId="77777777" w:rsidR="00AE0C1F" w:rsidRPr="00286917" w:rsidRDefault="00AE0C1F" w:rsidP="003A0A4B">
            <w:pPr>
              <w:jc w:val="center"/>
              <w:rPr>
                <w:rFonts w:cs="Arial"/>
                <w:sz w:val="18"/>
                <w:szCs w:val="18"/>
              </w:rPr>
            </w:pPr>
          </w:p>
        </w:tc>
        <w:tc>
          <w:tcPr>
            <w:tcW w:w="500" w:type="dxa"/>
            <w:vAlign w:val="center"/>
          </w:tcPr>
          <w:p w14:paraId="478F23A5" w14:textId="77777777" w:rsidR="00AE0C1F" w:rsidRDefault="00AE0C1F" w:rsidP="003A0A4B">
            <w:pPr>
              <w:jc w:val="center"/>
              <w:rPr>
                <w:rFonts w:cs="Arial"/>
                <w:sz w:val="18"/>
                <w:szCs w:val="18"/>
              </w:rPr>
            </w:pPr>
          </w:p>
        </w:tc>
        <w:tc>
          <w:tcPr>
            <w:tcW w:w="500" w:type="dxa"/>
            <w:vAlign w:val="center"/>
          </w:tcPr>
          <w:p w14:paraId="5957533F" w14:textId="77777777" w:rsidR="00AE0C1F" w:rsidRDefault="00AE0C1F" w:rsidP="003A0A4B">
            <w:pPr>
              <w:jc w:val="center"/>
              <w:rPr>
                <w:rFonts w:cs="Arial"/>
                <w:sz w:val="18"/>
                <w:szCs w:val="18"/>
              </w:rPr>
            </w:pPr>
          </w:p>
        </w:tc>
        <w:tc>
          <w:tcPr>
            <w:tcW w:w="1100" w:type="dxa"/>
            <w:tcMar>
              <w:left w:w="113" w:type="dxa"/>
              <w:right w:w="85" w:type="dxa"/>
            </w:tcMar>
            <w:vAlign w:val="center"/>
          </w:tcPr>
          <w:p w14:paraId="06217DB8" w14:textId="77777777" w:rsidR="00AE0C1F" w:rsidRDefault="00AE0C1F" w:rsidP="003A0A4B">
            <w:pPr>
              <w:ind w:left="-113" w:right="-85"/>
              <w:jc w:val="center"/>
              <w:rPr>
                <w:sz w:val="18"/>
                <w:szCs w:val="18"/>
              </w:rPr>
            </w:pPr>
            <w:r>
              <w:rPr>
                <w:sz w:val="18"/>
                <w:szCs w:val="18"/>
              </w:rPr>
              <w:t>Final Draft TOR</w:t>
            </w:r>
          </w:p>
        </w:tc>
        <w:tc>
          <w:tcPr>
            <w:tcW w:w="1100" w:type="dxa"/>
            <w:vAlign w:val="center"/>
          </w:tcPr>
          <w:p w14:paraId="4DE0A98D" w14:textId="77777777" w:rsidR="00AE0C1F" w:rsidRDefault="00AE0C1F" w:rsidP="003A0A4B">
            <w:pPr>
              <w:jc w:val="center"/>
              <w:rPr>
                <w:color w:val="000000"/>
                <w:sz w:val="18"/>
                <w:szCs w:val="18"/>
              </w:rPr>
            </w:pPr>
            <w:r>
              <w:rPr>
                <w:color w:val="000000"/>
                <w:sz w:val="18"/>
                <w:szCs w:val="18"/>
              </w:rPr>
              <w:t>Feb 2016</w:t>
            </w:r>
          </w:p>
        </w:tc>
        <w:tc>
          <w:tcPr>
            <w:tcW w:w="1000" w:type="dxa"/>
            <w:tcBorders>
              <w:bottom w:val="single" w:sz="4" w:space="0" w:color="auto"/>
            </w:tcBorders>
            <w:shd w:val="clear" w:color="auto" w:fill="auto"/>
            <w:vAlign w:val="center"/>
          </w:tcPr>
          <w:p w14:paraId="3ED5586B" w14:textId="77777777" w:rsidR="00AE0C1F" w:rsidRDefault="00AE0C1F" w:rsidP="003A0A4B">
            <w:pPr>
              <w:jc w:val="center"/>
              <w:rPr>
                <w:sz w:val="18"/>
                <w:szCs w:val="18"/>
              </w:rPr>
            </w:pPr>
          </w:p>
        </w:tc>
        <w:tc>
          <w:tcPr>
            <w:tcW w:w="900" w:type="dxa"/>
            <w:shd w:val="clear" w:color="auto" w:fill="auto"/>
            <w:vAlign w:val="center"/>
          </w:tcPr>
          <w:p w14:paraId="19ADE4AE" w14:textId="77777777" w:rsidR="00AE0C1F" w:rsidRDefault="00AE0C1F" w:rsidP="003A0A4B">
            <w:pPr>
              <w:jc w:val="center"/>
              <w:rPr>
                <w:sz w:val="18"/>
                <w:szCs w:val="18"/>
              </w:rPr>
            </w:pPr>
          </w:p>
        </w:tc>
        <w:tc>
          <w:tcPr>
            <w:tcW w:w="1000" w:type="dxa"/>
            <w:shd w:val="clear" w:color="auto" w:fill="auto"/>
            <w:vAlign w:val="center"/>
          </w:tcPr>
          <w:p w14:paraId="3F2A9897" w14:textId="77777777" w:rsidR="00AE0C1F" w:rsidRDefault="00AE0C1F" w:rsidP="003A0A4B">
            <w:pPr>
              <w:jc w:val="center"/>
              <w:rPr>
                <w:sz w:val="18"/>
                <w:szCs w:val="18"/>
              </w:rPr>
            </w:pPr>
          </w:p>
        </w:tc>
        <w:tc>
          <w:tcPr>
            <w:tcW w:w="1000" w:type="dxa"/>
            <w:tcBorders>
              <w:bottom w:val="single" w:sz="4" w:space="0" w:color="auto"/>
            </w:tcBorders>
            <w:shd w:val="clear" w:color="auto" w:fill="auto"/>
            <w:vAlign w:val="center"/>
          </w:tcPr>
          <w:p w14:paraId="602CA73B" w14:textId="77777777" w:rsidR="00AE0C1F" w:rsidRPr="00286917" w:rsidRDefault="00AE0C1F" w:rsidP="003A0A4B">
            <w:pPr>
              <w:jc w:val="center"/>
              <w:rPr>
                <w:sz w:val="18"/>
                <w:szCs w:val="18"/>
              </w:rPr>
            </w:pPr>
          </w:p>
        </w:tc>
        <w:tc>
          <w:tcPr>
            <w:tcW w:w="1000" w:type="dxa"/>
            <w:shd w:val="clear" w:color="auto" w:fill="auto"/>
            <w:vAlign w:val="center"/>
          </w:tcPr>
          <w:p w14:paraId="2C185C20" w14:textId="77777777" w:rsidR="00AE0C1F" w:rsidRPr="00286917" w:rsidRDefault="00AE0C1F" w:rsidP="003A0A4B">
            <w:pPr>
              <w:jc w:val="center"/>
              <w:rPr>
                <w:sz w:val="18"/>
                <w:szCs w:val="18"/>
              </w:rPr>
            </w:pPr>
          </w:p>
        </w:tc>
        <w:tc>
          <w:tcPr>
            <w:tcW w:w="800" w:type="dxa"/>
            <w:shd w:val="clear" w:color="auto" w:fill="auto"/>
            <w:vAlign w:val="center"/>
          </w:tcPr>
          <w:p w14:paraId="3D92FB5C" w14:textId="77777777" w:rsidR="00AE0C1F" w:rsidRPr="00286917" w:rsidRDefault="00AE0C1F" w:rsidP="003A0A4B">
            <w:pPr>
              <w:jc w:val="center"/>
              <w:rPr>
                <w:sz w:val="18"/>
                <w:szCs w:val="18"/>
              </w:rPr>
            </w:pPr>
          </w:p>
        </w:tc>
        <w:tc>
          <w:tcPr>
            <w:tcW w:w="500" w:type="dxa"/>
            <w:shd w:val="clear" w:color="auto" w:fill="auto"/>
            <w:vAlign w:val="center"/>
          </w:tcPr>
          <w:p w14:paraId="4AC1DA0E" w14:textId="77777777" w:rsidR="00AE0C1F" w:rsidRPr="00286917" w:rsidRDefault="00AE0C1F" w:rsidP="003A0A4B">
            <w:pPr>
              <w:jc w:val="center"/>
              <w:rPr>
                <w:sz w:val="18"/>
                <w:szCs w:val="18"/>
              </w:rPr>
            </w:pPr>
          </w:p>
        </w:tc>
        <w:tc>
          <w:tcPr>
            <w:tcW w:w="500" w:type="dxa"/>
            <w:shd w:val="clear" w:color="auto" w:fill="auto"/>
            <w:vAlign w:val="center"/>
          </w:tcPr>
          <w:p w14:paraId="09D71891" w14:textId="77777777" w:rsidR="00AE0C1F" w:rsidRPr="00286917" w:rsidRDefault="00AE0C1F" w:rsidP="003A0A4B">
            <w:pPr>
              <w:jc w:val="center"/>
              <w:rPr>
                <w:sz w:val="18"/>
                <w:szCs w:val="18"/>
              </w:rPr>
            </w:pPr>
          </w:p>
        </w:tc>
        <w:tc>
          <w:tcPr>
            <w:tcW w:w="500" w:type="dxa"/>
            <w:shd w:val="clear" w:color="auto" w:fill="auto"/>
            <w:vAlign w:val="center"/>
          </w:tcPr>
          <w:p w14:paraId="1BD61F1C" w14:textId="77777777" w:rsidR="00AE0C1F" w:rsidRPr="00286917" w:rsidRDefault="00AE0C1F" w:rsidP="003A0A4B">
            <w:pPr>
              <w:jc w:val="center"/>
              <w:rPr>
                <w:sz w:val="18"/>
                <w:szCs w:val="18"/>
              </w:rPr>
            </w:pPr>
          </w:p>
        </w:tc>
        <w:tc>
          <w:tcPr>
            <w:tcW w:w="500" w:type="dxa"/>
            <w:shd w:val="clear" w:color="auto" w:fill="auto"/>
            <w:vAlign w:val="center"/>
          </w:tcPr>
          <w:p w14:paraId="00744400" w14:textId="77777777" w:rsidR="00AE0C1F" w:rsidRPr="00286917" w:rsidRDefault="00AE0C1F" w:rsidP="003A0A4B">
            <w:pPr>
              <w:jc w:val="center"/>
              <w:rPr>
                <w:sz w:val="18"/>
                <w:szCs w:val="18"/>
              </w:rPr>
            </w:pPr>
          </w:p>
        </w:tc>
      </w:tr>
      <w:tr w:rsidR="00AE0C1F" w:rsidRPr="008B4DDE" w14:paraId="76EABB44" w14:textId="77777777" w:rsidTr="003A0A4B">
        <w:trPr>
          <w:trHeight w:val="454"/>
        </w:trPr>
        <w:tc>
          <w:tcPr>
            <w:tcW w:w="2325" w:type="dxa"/>
            <w:tcMar>
              <w:left w:w="85" w:type="dxa"/>
              <w:right w:w="85" w:type="dxa"/>
            </w:tcMar>
            <w:vAlign w:val="center"/>
          </w:tcPr>
          <w:p w14:paraId="3F49FF4E" w14:textId="77777777" w:rsidR="00AE0C1F" w:rsidRPr="005E2B9C" w:rsidRDefault="00AE0C1F" w:rsidP="003A0A4B">
            <w:pPr>
              <w:jc w:val="both"/>
              <w:rPr>
                <w:rFonts w:cs="Arial"/>
                <w:sz w:val="18"/>
                <w:szCs w:val="18"/>
              </w:rPr>
            </w:pPr>
            <w:r w:rsidRPr="005E2B9C">
              <w:rPr>
                <w:rFonts w:cs="Arial"/>
                <w:sz w:val="18"/>
                <w:szCs w:val="18"/>
              </w:rPr>
              <w:t>CIBS Financial Crime</w:t>
            </w:r>
          </w:p>
        </w:tc>
        <w:tc>
          <w:tcPr>
            <w:tcW w:w="500" w:type="dxa"/>
            <w:vAlign w:val="center"/>
          </w:tcPr>
          <w:p w14:paraId="14D41C5B" w14:textId="77777777" w:rsidR="00AE0C1F" w:rsidRPr="00EA57A2" w:rsidRDefault="00AE0C1F" w:rsidP="003A0A4B">
            <w:pPr>
              <w:jc w:val="center"/>
              <w:rPr>
                <w:rFonts w:cs="Arial"/>
              </w:rPr>
            </w:pPr>
          </w:p>
        </w:tc>
        <w:tc>
          <w:tcPr>
            <w:tcW w:w="500" w:type="dxa"/>
            <w:vAlign w:val="center"/>
          </w:tcPr>
          <w:p w14:paraId="28509618" w14:textId="77777777" w:rsidR="00AE0C1F" w:rsidRPr="00EA57A2" w:rsidRDefault="00AE0C1F" w:rsidP="003A0A4B">
            <w:pPr>
              <w:jc w:val="center"/>
              <w:rPr>
                <w:rFonts w:cs="Arial"/>
              </w:rPr>
            </w:pPr>
          </w:p>
        </w:tc>
        <w:tc>
          <w:tcPr>
            <w:tcW w:w="500" w:type="dxa"/>
            <w:vAlign w:val="center"/>
          </w:tcPr>
          <w:p w14:paraId="369AD1B0" w14:textId="77777777" w:rsidR="00AE0C1F" w:rsidRPr="00EA57A2" w:rsidRDefault="00AE0C1F" w:rsidP="003A0A4B">
            <w:pPr>
              <w:jc w:val="center"/>
              <w:rPr>
                <w:rFonts w:cs="Arial"/>
              </w:rPr>
            </w:pPr>
            <w:r w:rsidRPr="00EA57A2">
              <w:rPr>
                <w:rFonts w:cs="Arial"/>
              </w:rPr>
              <w:sym w:font="Wingdings" w:char="F0FC"/>
            </w:r>
          </w:p>
        </w:tc>
        <w:tc>
          <w:tcPr>
            <w:tcW w:w="500" w:type="dxa"/>
            <w:vAlign w:val="center"/>
          </w:tcPr>
          <w:p w14:paraId="6C6B24E7" w14:textId="77777777" w:rsidR="00AE0C1F" w:rsidRPr="00EA57A2" w:rsidRDefault="00AE0C1F" w:rsidP="003A0A4B">
            <w:pPr>
              <w:jc w:val="center"/>
              <w:rPr>
                <w:rFonts w:cs="Arial"/>
              </w:rPr>
            </w:pPr>
          </w:p>
        </w:tc>
        <w:tc>
          <w:tcPr>
            <w:tcW w:w="1100" w:type="dxa"/>
            <w:tcMar>
              <w:left w:w="113" w:type="dxa"/>
              <w:right w:w="85" w:type="dxa"/>
            </w:tcMar>
            <w:vAlign w:val="center"/>
          </w:tcPr>
          <w:p w14:paraId="65739532" w14:textId="77777777" w:rsidR="00AE0C1F" w:rsidRDefault="00AE0C1F" w:rsidP="003A0A4B">
            <w:pPr>
              <w:ind w:left="-113" w:right="-85"/>
              <w:jc w:val="center"/>
              <w:rPr>
                <w:sz w:val="18"/>
                <w:szCs w:val="18"/>
              </w:rPr>
            </w:pPr>
            <w:r>
              <w:rPr>
                <w:sz w:val="18"/>
                <w:szCs w:val="18"/>
              </w:rPr>
              <w:t>Not Started</w:t>
            </w:r>
          </w:p>
        </w:tc>
        <w:tc>
          <w:tcPr>
            <w:tcW w:w="1100" w:type="dxa"/>
            <w:vAlign w:val="center"/>
          </w:tcPr>
          <w:p w14:paraId="1E2F92EE" w14:textId="77777777" w:rsidR="00AE0C1F" w:rsidRDefault="00AE0C1F" w:rsidP="003A0A4B">
            <w:pPr>
              <w:jc w:val="center"/>
              <w:rPr>
                <w:color w:val="000000"/>
                <w:sz w:val="18"/>
                <w:szCs w:val="18"/>
              </w:rPr>
            </w:pPr>
            <w:r>
              <w:rPr>
                <w:color w:val="000000"/>
                <w:sz w:val="18"/>
                <w:szCs w:val="18"/>
              </w:rPr>
              <w:t>Jul 2016</w:t>
            </w:r>
          </w:p>
        </w:tc>
        <w:tc>
          <w:tcPr>
            <w:tcW w:w="1000" w:type="dxa"/>
            <w:tcBorders>
              <w:bottom w:val="single" w:sz="4" w:space="0" w:color="auto"/>
            </w:tcBorders>
            <w:shd w:val="clear" w:color="auto" w:fill="auto"/>
            <w:vAlign w:val="center"/>
          </w:tcPr>
          <w:p w14:paraId="2224804A" w14:textId="77777777" w:rsidR="00AE0C1F" w:rsidRDefault="00AE0C1F" w:rsidP="003A0A4B">
            <w:pPr>
              <w:jc w:val="center"/>
              <w:rPr>
                <w:sz w:val="18"/>
                <w:szCs w:val="18"/>
              </w:rPr>
            </w:pPr>
          </w:p>
        </w:tc>
        <w:tc>
          <w:tcPr>
            <w:tcW w:w="900" w:type="dxa"/>
            <w:shd w:val="clear" w:color="auto" w:fill="auto"/>
            <w:vAlign w:val="center"/>
          </w:tcPr>
          <w:p w14:paraId="6D5A69D3" w14:textId="77777777" w:rsidR="00AE0C1F" w:rsidRDefault="00AE0C1F" w:rsidP="003A0A4B">
            <w:pPr>
              <w:jc w:val="center"/>
              <w:rPr>
                <w:sz w:val="18"/>
                <w:szCs w:val="18"/>
              </w:rPr>
            </w:pPr>
          </w:p>
        </w:tc>
        <w:tc>
          <w:tcPr>
            <w:tcW w:w="1000" w:type="dxa"/>
            <w:shd w:val="clear" w:color="auto" w:fill="auto"/>
            <w:vAlign w:val="center"/>
          </w:tcPr>
          <w:p w14:paraId="409AC6C7" w14:textId="77777777" w:rsidR="00AE0C1F" w:rsidRDefault="00AE0C1F" w:rsidP="003A0A4B">
            <w:pPr>
              <w:jc w:val="center"/>
              <w:rPr>
                <w:sz w:val="18"/>
                <w:szCs w:val="18"/>
              </w:rPr>
            </w:pPr>
          </w:p>
        </w:tc>
        <w:tc>
          <w:tcPr>
            <w:tcW w:w="1000" w:type="dxa"/>
            <w:tcBorders>
              <w:bottom w:val="single" w:sz="4" w:space="0" w:color="auto"/>
            </w:tcBorders>
            <w:shd w:val="clear" w:color="auto" w:fill="auto"/>
            <w:vAlign w:val="center"/>
          </w:tcPr>
          <w:p w14:paraId="0CC89531" w14:textId="77777777" w:rsidR="00AE0C1F" w:rsidRPr="00286917" w:rsidRDefault="00AE0C1F" w:rsidP="003A0A4B">
            <w:pPr>
              <w:jc w:val="center"/>
              <w:rPr>
                <w:sz w:val="18"/>
                <w:szCs w:val="18"/>
              </w:rPr>
            </w:pPr>
          </w:p>
        </w:tc>
        <w:tc>
          <w:tcPr>
            <w:tcW w:w="1000" w:type="dxa"/>
            <w:shd w:val="clear" w:color="auto" w:fill="auto"/>
            <w:vAlign w:val="center"/>
          </w:tcPr>
          <w:p w14:paraId="06102490" w14:textId="77777777" w:rsidR="00AE0C1F" w:rsidRPr="00286917" w:rsidRDefault="00AE0C1F" w:rsidP="003A0A4B">
            <w:pPr>
              <w:jc w:val="center"/>
              <w:rPr>
                <w:sz w:val="18"/>
                <w:szCs w:val="18"/>
              </w:rPr>
            </w:pPr>
          </w:p>
        </w:tc>
        <w:tc>
          <w:tcPr>
            <w:tcW w:w="800" w:type="dxa"/>
            <w:shd w:val="clear" w:color="auto" w:fill="auto"/>
            <w:vAlign w:val="center"/>
          </w:tcPr>
          <w:p w14:paraId="34575EC9" w14:textId="77777777" w:rsidR="00AE0C1F" w:rsidRPr="00286917" w:rsidRDefault="00AE0C1F" w:rsidP="003A0A4B">
            <w:pPr>
              <w:jc w:val="center"/>
              <w:rPr>
                <w:sz w:val="18"/>
                <w:szCs w:val="18"/>
              </w:rPr>
            </w:pPr>
          </w:p>
        </w:tc>
        <w:tc>
          <w:tcPr>
            <w:tcW w:w="500" w:type="dxa"/>
            <w:shd w:val="clear" w:color="auto" w:fill="auto"/>
            <w:vAlign w:val="center"/>
          </w:tcPr>
          <w:p w14:paraId="16DC20E2" w14:textId="77777777" w:rsidR="00AE0C1F" w:rsidRPr="00286917" w:rsidRDefault="00AE0C1F" w:rsidP="003A0A4B">
            <w:pPr>
              <w:jc w:val="center"/>
              <w:rPr>
                <w:sz w:val="18"/>
                <w:szCs w:val="18"/>
              </w:rPr>
            </w:pPr>
          </w:p>
        </w:tc>
        <w:tc>
          <w:tcPr>
            <w:tcW w:w="500" w:type="dxa"/>
            <w:shd w:val="clear" w:color="auto" w:fill="auto"/>
            <w:vAlign w:val="center"/>
          </w:tcPr>
          <w:p w14:paraId="15E64C1B" w14:textId="77777777" w:rsidR="00AE0C1F" w:rsidRPr="00286917" w:rsidRDefault="00AE0C1F" w:rsidP="003A0A4B">
            <w:pPr>
              <w:jc w:val="center"/>
              <w:rPr>
                <w:sz w:val="18"/>
                <w:szCs w:val="18"/>
              </w:rPr>
            </w:pPr>
          </w:p>
        </w:tc>
        <w:tc>
          <w:tcPr>
            <w:tcW w:w="500" w:type="dxa"/>
            <w:shd w:val="clear" w:color="auto" w:fill="auto"/>
            <w:vAlign w:val="center"/>
          </w:tcPr>
          <w:p w14:paraId="3F025EA8" w14:textId="77777777" w:rsidR="00AE0C1F" w:rsidRPr="00286917" w:rsidRDefault="00AE0C1F" w:rsidP="003A0A4B">
            <w:pPr>
              <w:jc w:val="center"/>
              <w:rPr>
                <w:sz w:val="18"/>
                <w:szCs w:val="18"/>
              </w:rPr>
            </w:pPr>
          </w:p>
        </w:tc>
        <w:tc>
          <w:tcPr>
            <w:tcW w:w="500" w:type="dxa"/>
            <w:shd w:val="clear" w:color="auto" w:fill="auto"/>
            <w:vAlign w:val="center"/>
          </w:tcPr>
          <w:p w14:paraId="58F62B5F" w14:textId="77777777" w:rsidR="00AE0C1F" w:rsidRPr="00286917" w:rsidRDefault="00AE0C1F" w:rsidP="003A0A4B">
            <w:pPr>
              <w:jc w:val="center"/>
              <w:rPr>
                <w:sz w:val="18"/>
                <w:szCs w:val="18"/>
              </w:rPr>
            </w:pPr>
          </w:p>
        </w:tc>
      </w:tr>
      <w:tr w:rsidR="00AE0C1F" w:rsidRPr="008B4DDE" w14:paraId="5CBF57BF" w14:textId="77777777" w:rsidTr="003A0A4B">
        <w:trPr>
          <w:trHeight w:val="454"/>
        </w:trPr>
        <w:tc>
          <w:tcPr>
            <w:tcW w:w="2325" w:type="dxa"/>
            <w:tcMar>
              <w:left w:w="85" w:type="dxa"/>
              <w:right w:w="85" w:type="dxa"/>
            </w:tcMar>
            <w:vAlign w:val="center"/>
          </w:tcPr>
          <w:p w14:paraId="261F2527" w14:textId="77777777" w:rsidR="00AE0C1F" w:rsidRPr="005E2B9C" w:rsidRDefault="00AE0C1F" w:rsidP="003A0A4B">
            <w:pPr>
              <w:jc w:val="both"/>
              <w:rPr>
                <w:rFonts w:cs="Arial"/>
                <w:sz w:val="18"/>
                <w:szCs w:val="18"/>
              </w:rPr>
            </w:pPr>
            <w:r w:rsidRPr="005E2B9C">
              <w:rPr>
                <w:rFonts w:cs="Arial"/>
                <w:sz w:val="18"/>
                <w:szCs w:val="18"/>
              </w:rPr>
              <w:t>CIBS Data Integrity – Member Records</w:t>
            </w:r>
          </w:p>
        </w:tc>
        <w:tc>
          <w:tcPr>
            <w:tcW w:w="500" w:type="dxa"/>
            <w:vAlign w:val="center"/>
          </w:tcPr>
          <w:p w14:paraId="13E10FFA" w14:textId="77777777" w:rsidR="00AE0C1F" w:rsidRPr="00EA57A2" w:rsidRDefault="00AE0C1F" w:rsidP="003A0A4B">
            <w:pPr>
              <w:jc w:val="center"/>
              <w:rPr>
                <w:rFonts w:cs="Arial"/>
              </w:rPr>
            </w:pPr>
          </w:p>
        </w:tc>
        <w:tc>
          <w:tcPr>
            <w:tcW w:w="500" w:type="dxa"/>
            <w:vAlign w:val="center"/>
          </w:tcPr>
          <w:p w14:paraId="3C2EB63F" w14:textId="77777777" w:rsidR="00AE0C1F" w:rsidRPr="00EA57A2" w:rsidRDefault="00AE0C1F" w:rsidP="003A0A4B">
            <w:pPr>
              <w:jc w:val="center"/>
              <w:rPr>
                <w:rFonts w:cs="Arial"/>
              </w:rPr>
            </w:pPr>
            <w:r w:rsidRPr="00EA57A2">
              <w:rPr>
                <w:rFonts w:cs="Arial"/>
              </w:rPr>
              <w:sym w:font="Wingdings" w:char="F0FC"/>
            </w:r>
          </w:p>
        </w:tc>
        <w:tc>
          <w:tcPr>
            <w:tcW w:w="500" w:type="dxa"/>
            <w:vAlign w:val="center"/>
          </w:tcPr>
          <w:p w14:paraId="67127337" w14:textId="77777777" w:rsidR="00AE0C1F" w:rsidRPr="00EA57A2" w:rsidRDefault="00AE0C1F" w:rsidP="003A0A4B">
            <w:pPr>
              <w:jc w:val="center"/>
              <w:rPr>
                <w:rFonts w:cs="Arial"/>
              </w:rPr>
            </w:pPr>
          </w:p>
        </w:tc>
        <w:tc>
          <w:tcPr>
            <w:tcW w:w="500" w:type="dxa"/>
            <w:vAlign w:val="center"/>
          </w:tcPr>
          <w:p w14:paraId="49DAE723" w14:textId="77777777" w:rsidR="00AE0C1F" w:rsidRPr="00EA57A2" w:rsidRDefault="00AE0C1F" w:rsidP="003A0A4B">
            <w:pPr>
              <w:jc w:val="center"/>
              <w:rPr>
                <w:rFonts w:cs="Arial"/>
              </w:rPr>
            </w:pPr>
          </w:p>
        </w:tc>
        <w:tc>
          <w:tcPr>
            <w:tcW w:w="1100" w:type="dxa"/>
            <w:tcMar>
              <w:left w:w="113" w:type="dxa"/>
              <w:right w:w="85" w:type="dxa"/>
            </w:tcMar>
            <w:vAlign w:val="center"/>
          </w:tcPr>
          <w:p w14:paraId="6DE2019A" w14:textId="77777777" w:rsidR="00AE0C1F" w:rsidRDefault="00AE0C1F" w:rsidP="003A0A4B">
            <w:pPr>
              <w:ind w:left="-113" w:right="-85"/>
              <w:jc w:val="center"/>
            </w:pPr>
            <w:r w:rsidRPr="00C6799F">
              <w:rPr>
                <w:sz w:val="18"/>
                <w:szCs w:val="18"/>
              </w:rPr>
              <w:t>Not Started</w:t>
            </w:r>
          </w:p>
        </w:tc>
        <w:tc>
          <w:tcPr>
            <w:tcW w:w="1100" w:type="dxa"/>
            <w:vAlign w:val="center"/>
          </w:tcPr>
          <w:p w14:paraId="126473A0" w14:textId="77777777" w:rsidR="00AE0C1F" w:rsidRDefault="00AE0C1F" w:rsidP="003A0A4B">
            <w:pPr>
              <w:jc w:val="center"/>
              <w:rPr>
                <w:color w:val="000000"/>
                <w:sz w:val="18"/>
                <w:szCs w:val="18"/>
              </w:rPr>
            </w:pPr>
            <w:r>
              <w:rPr>
                <w:color w:val="000000"/>
                <w:sz w:val="18"/>
                <w:szCs w:val="18"/>
              </w:rPr>
              <w:t>Apr 2016</w:t>
            </w:r>
          </w:p>
        </w:tc>
        <w:tc>
          <w:tcPr>
            <w:tcW w:w="1000" w:type="dxa"/>
            <w:tcBorders>
              <w:bottom w:val="single" w:sz="4" w:space="0" w:color="auto"/>
            </w:tcBorders>
            <w:shd w:val="clear" w:color="auto" w:fill="auto"/>
            <w:vAlign w:val="center"/>
          </w:tcPr>
          <w:p w14:paraId="32B46C36" w14:textId="77777777" w:rsidR="00AE0C1F" w:rsidRDefault="00AE0C1F" w:rsidP="003A0A4B">
            <w:pPr>
              <w:jc w:val="center"/>
              <w:rPr>
                <w:sz w:val="18"/>
                <w:szCs w:val="18"/>
              </w:rPr>
            </w:pPr>
          </w:p>
        </w:tc>
        <w:tc>
          <w:tcPr>
            <w:tcW w:w="900" w:type="dxa"/>
            <w:shd w:val="clear" w:color="auto" w:fill="auto"/>
            <w:vAlign w:val="center"/>
          </w:tcPr>
          <w:p w14:paraId="4EA8181A" w14:textId="77777777" w:rsidR="00AE0C1F" w:rsidRDefault="00AE0C1F" w:rsidP="003A0A4B">
            <w:pPr>
              <w:jc w:val="center"/>
              <w:rPr>
                <w:sz w:val="18"/>
                <w:szCs w:val="18"/>
              </w:rPr>
            </w:pPr>
          </w:p>
        </w:tc>
        <w:tc>
          <w:tcPr>
            <w:tcW w:w="1000" w:type="dxa"/>
            <w:shd w:val="clear" w:color="auto" w:fill="auto"/>
            <w:vAlign w:val="center"/>
          </w:tcPr>
          <w:p w14:paraId="21B17809" w14:textId="77777777" w:rsidR="00AE0C1F" w:rsidRDefault="00AE0C1F" w:rsidP="003A0A4B">
            <w:pPr>
              <w:jc w:val="center"/>
              <w:rPr>
                <w:sz w:val="18"/>
                <w:szCs w:val="18"/>
              </w:rPr>
            </w:pPr>
          </w:p>
        </w:tc>
        <w:tc>
          <w:tcPr>
            <w:tcW w:w="1000" w:type="dxa"/>
            <w:tcBorders>
              <w:bottom w:val="single" w:sz="4" w:space="0" w:color="auto"/>
            </w:tcBorders>
            <w:shd w:val="clear" w:color="auto" w:fill="auto"/>
            <w:vAlign w:val="center"/>
          </w:tcPr>
          <w:p w14:paraId="3056BBE6" w14:textId="77777777" w:rsidR="00AE0C1F" w:rsidRPr="00286917" w:rsidRDefault="00AE0C1F" w:rsidP="003A0A4B">
            <w:pPr>
              <w:jc w:val="center"/>
              <w:rPr>
                <w:sz w:val="18"/>
                <w:szCs w:val="18"/>
              </w:rPr>
            </w:pPr>
          </w:p>
        </w:tc>
        <w:tc>
          <w:tcPr>
            <w:tcW w:w="1000" w:type="dxa"/>
            <w:shd w:val="clear" w:color="auto" w:fill="auto"/>
            <w:vAlign w:val="center"/>
          </w:tcPr>
          <w:p w14:paraId="0A733D1A" w14:textId="77777777" w:rsidR="00AE0C1F" w:rsidRPr="00286917" w:rsidRDefault="00AE0C1F" w:rsidP="003A0A4B">
            <w:pPr>
              <w:jc w:val="center"/>
              <w:rPr>
                <w:sz w:val="18"/>
                <w:szCs w:val="18"/>
              </w:rPr>
            </w:pPr>
          </w:p>
        </w:tc>
        <w:tc>
          <w:tcPr>
            <w:tcW w:w="800" w:type="dxa"/>
            <w:shd w:val="clear" w:color="auto" w:fill="auto"/>
            <w:vAlign w:val="center"/>
          </w:tcPr>
          <w:p w14:paraId="01FBBA0F" w14:textId="77777777" w:rsidR="00AE0C1F" w:rsidRPr="00286917" w:rsidRDefault="00AE0C1F" w:rsidP="003A0A4B">
            <w:pPr>
              <w:jc w:val="center"/>
              <w:rPr>
                <w:sz w:val="18"/>
                <w:szCs w:val="18"/>
              </w:rPr>
            </w:pPr>
          </w:p>
        </w:tc>
        <w:tc>
          <w:tcPr>
            <w:tcW w:w="500" w:type="dxa"/>
            <w:shd w:val="clear" w:color="auto" w:fill="auto"/>
            <w:vAlign w:val="center"/>
          </w:tcPr>
          <w:p w14:paraId="311D79FD" w14:textId="77777777" w:rsidR="00AE0C1F" w:rsidRPr="00286917" w:rsidRDefault="00AE0C1F" w:rsidP="003A0A4B">
            <w:pPr>
              <w:jc w:val="center"/>
              <w:rPr>
                <w:sz w:val="18"/>
                <w:szCs w:val="18"/>
              </w:rPr>
            </w:pPr>
          </w:p>
        </w:tc>
        <w:tc>
          <w:tcPr>
            <w:tcW w:w="500" w:type="dxa"/>
            <w:shd w:val="clear" w:color="auto" w:fill="auto"/>
            <w:vAlign w:val="center"/>
          </w:tcPr>
          <w:p w14:paraId="52DD9CA7" w14:textId="77777777" w:rsidR="00AE0C1F" w:rsidRPr="00286917" w:rsidRDefault="00AE0C1F" w:rsidP="003A0A4B">
            <w:pPr>
              <w:jc w:val="center"/>
              <w:rPr>
                <w:sz w:val="18"/>
                <w:szCs w:val="18"/>
              </w:rPr>
            </w:pPr>
          </w:p>
        </w:tc>
        <w:tc>
          <w:tcPr>
            <w:tcW w:w="500" w:type="dxa"/>
            <w:shd w:val="clear" w:color="auto" w:fill="auto"/>
            <w:vAlign w:val="center"/>
          </w:tcPr>
          <w:p w14:paraId="1ACF96ED" w14:textId="77777777" w:rsidR="00AE0C1F" w:rsidRPr="00286917" w:rsidRDefault="00AE0C1F" w:rsidP="003A0A4B">
            <w:pPr>
              <w:jc w:val="center"/>
              <w:rPr>
                <w:sz w:val="18"/>
                <w:szCs w:val="18"/>
              </w:rPr>
            </w:pPr>
          </w:p>
        </w:tc>
        <w:tc>
          <w:tcPr>
            <w:tcW w:w="500" w:type="dxa"/>
            <w:shd w:val="clear" w:color="auto" w:fill="auto"/>
            <w:vAlign w:val="center"/>
          </w:tcPr>
          <w:p w14:paraId="28DDB6ED" w14:textId="77777777" w:rsidR="00AE0C1F" w:rsidRPr="00286917" w:rsidRDefault="00AE0C1F" w:rsidP="003A0A4B">
            <w:pPr>
              <w:jc w:val="center"/>
              <w:rPr>
                <w:sz w:val="18"/>
                <w:szCs w:val="18"/>
              </w:rPr>
            </w:pPr>
          </w:p>
        </w:tc>
      </w:tr>
      <w:tr w:rsidR="00AE0C1F" w:rsidRPr="008B4DDE" w14:paraId="630A101D" w14:textId="77777777" w:rsidTr="003A0A4B">
        <w:trPr>
          <w:trHeight w:val="454"/>
        </w:trPr>
        <w:tc>
          <w:tcPr>
            <w:tcW w:w="2325" w:type="dxa"/>
            <w:tcMar>
              <w:left w:w="85" w:type="dxa"/>
              <w:right w:w="85" w:type="dxa"/>
            </w:tcMar>
            <w:vAlign w:val="center"/>
          </w:tcPr>
          <w:p w14:paraId="33961653" w14:textId="77777777" w:rsidR="00AE0C1F" w:rsidRPr="005E2B9C" w:rsidRDefault="00AE0C1F" w:rsidP="003A0A4B">
            <w:pPr>
              <w:jc w:val="both"/>
              <w:rPr>
                <w:rFonts w:cs="Arial"/>
                <w:sz w:val="18"/>
                <w:szCs w:val="18"/>
              </w:rPr>
            </w:pPr>
            <w:r w:rsidRPr="005E2B9C">
              <w:rPr>
                <w:rFonts w:cs="Arial"/>
                <w:sz w:val="18"/>
                <w:szCs w:val="18"/>
              </w:rPr>
              <w:t>CIBS TPS Internal Fraud Follow Up Controls Evaluation</w:t>
            </w:r>
          </w:p>
        </w:tc>
        <w:tc>
          <w:tcPr>
            <w:tcW w:w="500" w:type="dxa"/>
            <w:vAlign w:val="center"/>
          </w:tcPr>
          <w:p w14:paraId="1FE34320" w14:textId="77777777" w:rsidR="00AE0C1F" w:rsidRPr="00EA57A2" w:rsidRDefault="00AE0C1F" w:rsidP="003A0A4B">
            <w:pPr>
              <w:jc w:val="center"/>
              <w:rPr>
                <w:rFonts w:cs="Arial"/>
              </w:rPr>
            </w:pPr>
          </w:p>
        </w:tc>
        <w:tc>
          <w:tcPr>
            <w:tcW w:w="500" w:type="dxa"/>
            <w:vAlign w:val="center"/>
          </w:tcPr>
          <w:p w14:paraId="6C92D559" w14:textId="77777777" w:rsidR="00AE0C1F" w:rsidRPr="00EA57A2" w:rsidRDefault="00AE0C1F" w:rsidP="003A0A4B">
            <w:pPr>
              <w:jc w:val="center"/>
              <w:rPr>
                <w:rFonts w:cs="Arial"/>
              </w:rPr>
            </w:pPr>
            <w:r w:rsidRPr="00EA57A2">
              <w:rPr>
                <w:rFonts w:cs="Arial"/>
              </w:rPr>
              <w:sym w:font="Wingdings" w:char="F0FC"/>
            </w:r>
          </w:p>
        </w:tc>
        <w:tc>
          <w:tcPr>
            <w:tcW w:w="500" w:type="dxa"/>
            <w:vAlign w:val="center"/>
          </w:tcPr>
          <w:p w14:paraId="580FB669" w14:textId="77777777" w:rsidR="00AE0C1F" w:rsidRPr="00EA57A2" w:rsidRDefault="00AE0C1F" w:rsidP="003A0A4B">
            <w:pPr>
              <w:jc w:val="center"/>
              <w:rPr>
                <w:rFonts w:cs="Arial"/>
              </w:rPr>
            </w:pPr>
          </w:p>
        </w:tc>
        <w:tc>
          <w:tcPr>
            <w:tcW w:w="500" w:type="dxa"/>
            <w:vAlign w:val="center"/>
          </w:tcPr>
          <w:p w14:paraId="6DD5B661" w14:textId="77777777" w:rsidR="00AE0C1F" w:rsidRPr="00EA57A2" w:rsidRDefault="00AE0C1F" w:rsidP="003A0A4B">
            <w:pPr>
              <w:jc w:val="center"/>
              <w:rPr>
                <w:rFonts w:cs="Arial"/>
              </w:rPr>
            </w:pPr>
          </w:p>
        </w:tc>
        <w:tc>
          <w:tcPr>
            <w:tcW w:w="1100" w:type="dxa"/>
            <w:tcMar>
              <w:left w:w="113" w:type="dxa"/>
              <w:right w:w="85" w:type="dxa"/>
            </w:tcMar>
            <w:vAlign w:val="center"/>
          </w:tcPr>
          <w:p w14:paraId="3AC29815" w14:textId="77777777" w:rsidR="00AE0C1F" w:rsidRDefault="00AE0C1F" w:rsidP="003A0A4B">
            <w:pPr>
              <w:ind w:left="-113" w:right="-85"/>
              <w:jc w:val="center"/>
            </w:pPr>
            <w:r>
              <w:rPr>
                <w:sz w:val="18"/>
                <w:szCs w:val="18"/>
              </w:rPr>
              <w:t>Planning</w:t>
            </w:r>
          </w:p>
        </w:tc>
        <w:tc>
          <w:tcPr>
            <w:tcW w:w="1100" w:type="dxa"/>
            <w:vAlign w:val="center"/>
          </w:tcPr>
          <w:p w14:paraId="5651263C" w14:textId="77777777" w:rsidR="00AE0C1F" w:rsidRDefault="00AE0C1F" w:rsidP="003A0A4B">
            <w:pPr>
              <w:jc w:val="center"/>
              <w:rPr>
                <w:color w:val="000000"/>
                <w:sz w:val="18"/>
                <w:szCs w:val="18"/>
              </w:rPr>
            </w:pPr>
            <w:r>
              <w:rPr>
                <w:color w:val="000000"/>
                <w:sz w:val="18"/>
                <w:szCs w:val="18"/>
              </w:rPr>
              <w:t>Mar 2016</w:t>
            </w:r>
          </w:p>
        </w:tc>
        <w:tc>
          <w:tcPr>
            <w:tcW w:w="1000" w:type="dxa"/>
            <w:tcBorders>
              <w:bottom w:val="single" w:sz="4" w:space="0" w:color="auto"/>
            </w:tcBorders>
            <w:shd w:val="clear" w:color="auto" w:fill="auto"/>
            <w:vAlign w:val="center"/>
          </w:tcPr>
          <w:p w14:paraId="0234A604" w14:textId="77777777" w:rsidR="00AE0C1F" w:rsidRDefault="00AE0C1F" w:rsidP="003A0A4B">
            <w:pPr>
              <w:jc w:val="center"/>
              <w:rPr>
                <w:sz w:val="18"/>
                <w:szCs w:val="18"/>
              </w:rPr>
            </w:pPr>
          </w:p>
        </w:tc>
        <w:tc>
          <w:tcPr>
            <w:tcW w:w="900" w:type="dxa"/>
            <w:shd w:val="clear" w:color="auto" w:fill="auto"/>
            <w:vAlign w:val="center"/>
          </w:tcPr>
          <w:p w14:paraId="38D18F3E" w14:textId="77777777" w:rsidR="00AE0C1F" w:rsidRDefault="00AE0C1F" w:rsidP="003A0A4B">
            <w:pPr>
              <w:jc w:val="center"/>
              <w:rPr>
                <w:sz w:val="18"/>
                <w:szCs w:val="18"/>
              </w:rPr>
            </w:pPr>
          </w:p>
        </w:tc>
        <w:tc>
          <w:tcPr>
            <w:tcW w:w="1000" w:type="dxa"/>
            <w:shd w:val="clear" w:color="auto" w:fill="auto"/>
            <w:vAlign w:val="center"/>
          </w:tcPr>
          <w:p w14:paraId="5A71024F" w14:textId="77777777" w:rsidR="00AE0C1F" w:rsidRDefault="00AE0C1F" w:rsidP="003A0A4B">
            <w:pPr>
              <w:jc w:val="center"/>
              <w:rPr>
                <w:sz w:val="18"/>
                <w:szCs w:val="18"/>
              </w:rPr>
            </w:pPr>
          </w:p>
        </w:tc>
        <w:tc>
          <w:tcPr>
            <w:tcW w:w="1000" w:type="dxa"/>
            <w:tcBorders>
              <w:bottom w:val="single" w:sz="4" w:space="0" w:color="auto"/>
            </w:tcBorders>
            <w:shd w:val="clear" w:color="auto" w:fill="auto"/>
            <w:vAlign w:val="center"/>
          </w:tcPr>
          <w:p w14:paraId="3C7277CD" w14:textId="77777777" w:rsidR="00AE0C1F" w:rsidRPr="00286917" w:rsidRDefault="00AE0C1F" w:rsidP="003A0A4B">
            <w:pPr>
              <w:jc w:val="center"/>
              <w:rPr>
                <w:sz w:val="18"/>
                <w:szCs w:val="18"/>
              </w:rPr>
            </w:pPr>
          </w:p>
        </w:tc>
        <w:tc>
          <w:tcPr>
            <w:tcW w:w="1000" w:type="dxa"/>
            <w:shd w:val="clear" w:color="auto" w:fill="auto"/>
            <w:vAlign w:val="center"/>
          </w:tcPr>
          <w:p w14:paraId="0E6ACAEB" w14:textId="77777777" w:rsidR="00AE0C1F" w:rsidRPr="00286917" w:rsidRDefault="00AE0C1F" w:rsidP="003A0A4B">
            <w:pPr>
              <w:jc w:val="center"/>
              <w:rPr>
                <w:sz w:val="18"/>
                <w:szCs w:val="18"/>
              </w:rPr>
            </w:pPr>
          </w:p>
        </w:tc>
        <w:tc>
          <w:tcPr>
            <w:tcW w:w="800" w:type="dxa"/>
            <w:shd w:val="clear" w:color="auto" w:fill="auto"/>
            <w:vAlign w:val="center"/>
          </w:tcPr>
          <w:p w14:paraId="31F74BE0" w14:textId="77777777" w:rsidR="00AE0C1F" w:rsidRPr="00286917" w:rsidRDefault="00AE0C1F" w:rsidP="003A0A4B">
            <w:pPr>
              <w:jc w:val="center"/>
              <w:rPr>
                <w:sz w:val="18"/>
                <w:szCs w:val="18"/>
              </w:rPr>
            </w:pPr>
          </w:p>
        </w:tc>
        <w:tc>
          <w:tcPr>
            <w:tcW w:w="500" w:type="dxa"/>
            <w:shd w:val="clear" w:color="auto" w:fill="auto"/>
            <w:vAlign w:val="center"/>
          </w:tcPr>
          <w:p w14:paraId="7726942F" w14:textId="77777777" w:rsidR="00AE0C1F" w:rsidRPr="00286917" w:rsidRDefault="00AE0C1F" w:rsidP="003A0A4B">
            <w:pPr>
              <w:jc w:val="center"/>
              <w:rPr>
                <w:sz w:val="18"/>
                <w:szCs w:val="18"/>
              </w:rPr>
            </w:pPr>
          </w:p>
        </w:tc>
        <w:tc>
          <w:tcPr>
            <w:tcW w:w="500" w:type="dxa"/>
            <w:shd w:val="clear" w:color="auto" w:fill="auto"/>
            <w:vAlign w:val="center"/>
          </w:tcPr>
          <w:p w14:paraId="1E0FB7AD" w14:textId="77777777" w:rsidR="00AE0C1F" w:rsidRPr="00286917" w:rsidRDefault="00AE0C1F" w:rsidP="003A0A4B">
            <w:pPr>
              <w:jc w:val="center"/>
              <w:rPr>
                <w:sz w:val="18"/>
                <w:szCs w:val="18"/>
              </w:rPr>
            </w:pPr>
          </w:p>
        </w:tc>
        <w:tc>
          <w:tcPr>
            <w:tcW w:w="500" w:type="dxa"/>
            <w:shd w:val="clear" w:color="auto" w:fill="auto"/>
            <w:vAlign w:val="center"/>
          </w:tcPr>
          <w:p w14:paraId="5C063133" w14:textId="77777777" w:rsidR="00AE0C1F" w:rsidRPr="00286917" w:rsidRDefault="00AE0C1F" w:rsidP="003A0A4B">
            <w:pPr>
              <w:jc w:val="center"/>
              <w:rPr>
                <w:sz w:val="18"/>
                <w:szCs w:val="18"/>
              </w:rPr>
            </w:pPr>
          </w:p>
        </w:tc>
        <w:tc>
          <w:tcPr>
            <w:tcW w:w="500" w:type="dxa"/>
            <w:shd w:val="clear" w:color="auto" w:fill="auto"/>
            <w:vAlign w:val="center"/>
          </w:tcPr>
          <w:p w14:paraId="749A6B0F" w14:textId="77777777" w:rsidR="00AE0C1F" w:rsidRPr="00286917" w:rsidRDefault="00AE0C1F" w:rsidP="003A0A4B">
            <w:pPr>
              <w:jc w:val="center"/>
              <w:rPr>
                <w:sz w:val="18"/>
                <w:szCs w:val="18"/>
              </w:rPr>
            </w:pPr>
          </w:p>
        </w:tc>
      </w:tr>
      <w:tr w:rsidR="00AE0C1F" w:rsidRPr="008B4DDE" w14:paraId="0672F27C" w14:textId="77777777" w:rsidTr="003A0A4B">
        <w:trPr>
          <w:trHeight w:val="454"/>
        </w:trPr>
        <w:tc>
          <w:tcPr>
            <w:tcW w:w="2325" w:type="dxa"/>
            <w:tcMar>
              <w:left w:w="85" w:type="dxa"/>
              <w:right w:w="85" w:type="dxa"/>
            </w:tcMar>
            <w:vAlign w:val="center"/>
          </w:tcPr>
          <w:p w14:paraId="14191782" w14:textId="77777777" w:rsidR="00AE0C1F" w:rsidRPr="005E2B9C" w:rsidRDefault="00AE0C1F" w:rsidP="003A0A4B">
            <w:pPr>
              <w:jc w:val="both"/>
              <w:rPr>
                <w:rFonts w:cs="Arial"/>
                <w:sz w:val="18"/>
                <w:szCs w:val="18"/>
              </w:rPr>
            </w:pPr>
            <w:r w:rsidRPr="005E2B9C">
              <w:rPr>
                <w:rFonts w:cs="Arial"/>
                <w:sz w:val="18"/>
                <w:szCs w:val="18"/>
              </w:rPr>
              <w:t>CIBS Regulatory Compliance – Legal</w:t>
            </w:r>
          </w:p>
        </w:tc>
        <w:tc>
          <w:tcPr>
            <w:tcW w:w="500" w:type="dxa"/>
            <w:vAlign w:val="center"/>
          </w:tcPr>
          <w:p w14:paraId="21A78A14" w14:textId="77777777" w:rsidR="00AE0C1F" w:rsidRPr="00EA57A2" w:rsidRDefault="00AE0C1F" w:rsidP="003A0A4B">
            <w:pPr>
              <w:jc w:val="center"/>
              <w:rPr>
                <w:rFonts w:cs="Arial"/>
              </w:rPr>
            </w:pPr>
          </w:p>
        </w:tc>
        <w:tc>
          <w:tcPr>
            <w:tcW w:w="500" w:type="dxa"/>
            <w:vAlign w:val="center"/>
          </w:tcPr>
          <w:p w14:paraId="3368EF6B" w14:textId="77777777" w:rsidR="00AE0C1F" w:rsidRPr="00EA57A2" w:rsidRDefault="00AE0C1F" w:rsidP="003A0A4B">
            <w:pPr>
              <w:jc w:val="center"/>
              <w:rPr>
                <w:rFonts w:cs="Arial"/>
              </w:rPr>
            </w:pPr>
          </w:p>
        </w:tc>
        <w:tc>
          <w:tcPr>
            <w:tcW w:w="500" w:type="dxa"/>
            <w:vAlign w:val="center"/>
          </w:tcPr>
          <w:p w14:paraId="5BB5A0A7" w14:textId="77777777" w:rsidR="00AE0C1F" w:rsidRPr="00EA57A2" w:rsidRDefault="00AE0C1F" w:rsidP="003A0A4B">
            <w:pPr>
              <w:jc w:val="center"/>
              <w:rPr>
                <w:rFonts w:cs="Arial"/>
              </w:rPr>
            </w:pPr>
            <w:r w:rsidRPr="00EA57A2">
              <w:rPr>
                <w:rFonts w:cs="Arial"/>
              </w:rPr>
              <w:sym w:font="Wingdings" w:char="F0FC"/>
            </w:r>
          </w:p>
        </w:tc>
        <w:tc>
          <w:tcPr>
            <w:tcW w:w="500" w:type="dxa"/>
            <w:vAlign w:val="center"/>
          </w:tcPr>
          <w:p w14:paraId="61E11D21" w14:textId="77777777" w:rsidR="00AE0C1F" w:rsidRPr="00EA57A2" w:rsidRDefault="00AE0C1F" w:rsidP="003A0A4B">
            <w:pPr>
              <w:jc w:val="center"/>
              <w:rPr>
                <w:rFonts w:cs="Arial"/>
              </w:rPr>
            </w:pPr>
          </w:p>
        </w:tc>
        <w:tc>
          <w:tcPr>
            <w:tcW w:w="1100" w:type="dxa"/>
            <w:tcMar>
              <w:left w:w="113" w:type="dxa"/>
              <w:right w:w="85" w:type="dxa"/>
            </w:tcMar>
            <w:vAlign w:val="center"/>
          </w:tcPr>
          <w:p w14:paraId="14275B80" w14:textId="77777777" w:rsidR="00AE0C1F" w:rsidRDefault="00AE0C1F" w:rsidP="003A0A4B">
            <w:pPr>
              <w:ind w:left="-113" w:right="-85"/>
              <w:jc w:val="center"/>
            </w:pPr>
            <w:r w:rsidRPr="00C6799F">
              <w:rPr>
                <w:sz w:val="18"/>
                <w:szCs w:val="18"/>
              </w:rPr>
              <w:t>Not Started</w:t>
            </w:r>
          </w:p>
        </w:tc>
        <w:tc>
          <w:tcPr>
            <w:tcW w:w="1100" w:type="dxa"/>
            <w:vAlign w:val="center"/>
          </w:tcPr>
          <w:p w14:paraId="44EDEF2D" w14:textId="77777777" w:rsidR="00AE0C1F" w:rsidRDefault="00AE0C1F" w:rsidP="003A0A4B">
            <w:pPr>
              <w:jc w:val="center"/>
              <w:rPr>
                <w:color w:val="000000"/>
                <w:sz w:val="18"/>
                <w:szCs w:val="18"/>
              </w:rPr>
            </w:pPr>
            <w:r>
              <w:rPr>
                <w:color w:val="000000"/>
                <w:sz w:val="18"/>
                <w:szCs w:val="18"/>
              </w:rPr>
              <w:t>Jun 2016</w:t>
            </w:r>
          </w:p>
        </w:tc>
        <w:tc>
          <w:tcPr>
            <w:tcW w:w="1000" w:type="dxa"/>
            <w:tcBorders>
              <w:bottom w:val="single" w:sz="4" w:space="0" w:color="auto"/>
            </w:tcBorders>
            <w:shd w:val="clear" w:color="auto" w:fill="auto"/>
            <w:vAlign w:val="center"/>
          </w:tcPr>
          <w:p w14:paraId="76FD7B98" w14:textId="77777777" w:rsidR="00AE0C1F" w:rsidRDefault="00AE0C1F" w:rsidP="003A0A4B">
            <w:pPr>
              <w:jc w:val="center"/>
              <w:rPr>
                <w:sz w:val="18"/>
                <w:szCs w:val="18"/>
              </w:rPr>
            </w:pPr>
          </w:p>
        </w:tc>
        <w:tc>
          <w:tcPr>
            <w:tcW w:w="900" w:type="dxa"/>
            <w:shd w:val="clear" w:color="auto" w:fill="auto"/>
            <w:vAlign w:val="center"/>
          </w:tcPr>
          <w:p w14:paraId="757B65C9" w14:textId="77777777" w:rsidR="00AE0C1F" w:rsidRDefault="00AE0C1F" w:rsidP="003A0A4B">
            <w:pPr>
              <w:jc w:val="center"/>
              <w:rPr>
                <w:sz w:val="18"/>
                <w:szCs w:val="18"/>
              </w:rPr>
            </w:pPr>
          </w:p>
        </w:tc>
        <w:tc>
          <w:tcPr>
            <w:tcW w:w="1000" w:type="dxa"/>
            <w:shd w:val="clear" w:color="auto" w:fill="auto"/>
            <w:vAlign w:val="center"/>
          </w:tcPr>
          <w:p w14:paraId="19FCBBB2" w14:textId="77777777" w:rsidR="00AE0C1F" w:rsidRDefault="00AE0C1F" w:rsidP="003A0A4B">
            <w:pPr>
              <w:jc w:val="center"/>
              <w:rPr>
                <w:sz w:val="18"/>
                <w:szCs w:val="18"/>
              </w:rPr>
            </w:pPr>
          </w:p>
        </w:tc>
        <w:tc>
          <w:tcPr>
            <w:tcW w:w="1000" w:type="dxa"/>
            <w:tcBorders>
              <w:bottom w:val="single" w:sz="4" w:space="0" w:color="auto"/>
            </w:tcBorders>
            <w:shd w:val="clear" w:color="auto" w:fill="auto"/>
            <w:vAlign w:val="center"/>
          </w:tcPr>
          <w:p w14:paraId="0FB94FE4" w14:textId="77777777" w:rsidR="00AE0C1F" w:rsidRPr="00286917" w:rsidRDefault="00AE0C1F" w:rsidP="003A0A4B">
            <w:pPr>
              <w:jc w:val="center"/>
              <w:rPr>
                <w:sz w:val="18"/>
                <w:szCs w:val="18"/>
              </w:rPr>
            </w:pPr>
          </w:p>
        </w:tc>
        <w:tc>
          <w:tcPr>
            <w:tcW w:w="1000" w:type="dxa"/>
            <w:shd w:val="clear" w:color="auto" w:fill="auto"/>
            <w:vAlign w:val="center"/>
          </w:tcPr>
          <w:p w14:paraId="533AA875" w14:textId="77777777" w:rsidR="00AE0C1F" w:rsidRPr="00286917" w:rsidRDefault="00AE0C1F" w:rsidP="003A0A4B">
            <w:pPr>
              <w:jc w:val="center"/>
              <w:rPr>
                <w:sz w:val="18"/>
                <w:szCs w:val="18"/>
              </w:rPr>
            </w:pPr>
          </w:p>
        </w:tc>
        <w:tc>
          <w:tcPr>
            <w:tcW w:w="800" w:type="dxa"/>
            <w:shd w:val="clear" w:color="auto" w:fill="auto"/>
            <w:vAlign w:val="center"/>
          </w:tcPr>
          <w:p w14:paraId="0C5D670D" w14:textId="77777777" w:rsidR="00AE0C1F" w:rsidRPr="00286917" w:rsidRDefault="00AE0C1F" w:rsidP="003A0A4B">
            <w:pPr>
              <w:jc w:val="center"/>
              <w:rPr>
                <w:sz w:val="18"/>
                <w:szCs w:val="18"/>
              </w:rPr>
            </w:pPr>
          </w:p>
        </w:tc>
        <w:tc>
          <w:tcPr>
            <w:tcW w:w="500" w:type="dxa"/>
            <w:shd w:val="clear" w:color="auto" w:fill="auto"/>
            <w:vAlign w:val="center"/>
          </w:tcPr>
          <w:p w14:paraId="76470954" w14:textId="77777777" w:rsidR="00AE0C1F" w:rsidRPr="00286917" w:rsidRDefault="00AE0C1F" w:rsidP="003A0A4B">
            <w:pPr>
              <w:jc w:val="center"/>
              <w:rPr>
                <w:sz w:val="18"/>
                <w:szCs w:val="18"/>
              </w:rPr>
            </w:pPr>
          </w:p>
        </w:tc>
        <w:tc>
          <w:tcPr>
            <w:tcW w:w="500" w:type="dxa"/>
            <w:shd w:val="clear" w:color="auto" w:fill="auto"/>
            <w:vAlign w:val="center"/>
          </w:tcPr>
          <w:p w14:paraId="1E3DD0C8" w14:textId="77777777" w:rsidR="00AE0C1F" w:rsidRPr="00286917" w:rsidRDefault="00AE0C1F" w:rsidP="003A0A4B">
            <w:pPr>
              <w:jc w:val="center"/>
              <w:rPr>
                <w:sz w:val="18"/>
                <w:szCs w:val="18"/>
              </w:rPr>
            </w:pPr>
          </w:p>
        </w:tc>
        <w:tc>
          <w:tcPr>
            <w:tcW w:w="500" w:type="dxa"/>
            <w:shd w:val="clear" w:color="auto" w:fill="auto"/>
            <w:vAlign w:val="center"/>
          </w:tcPr>
          <w:p w14:paraId="447F4679" w14:textId="77777777" w:rsidR="00AE0C1F" w:rsidRPr="00286917" w:rsidRDefault="00AE0C1F" w:rsidP="003A0A4B">
            <w:pPr>
              <w:jc w:val="center"/>
              <w:rPr>
                <w:sz w:val="18"/>
                <w:szCs w:val="18"/>
              </w:rPr>
            </w:pPr>
          </w:p>
        </w:tc>
        <w:tc>
          <w:tcPr>
            <w:tcW w:w="500" w:type="dxa"/>
            <w:shd w:val="clear" w:color="auto" w:fill="auto"/>
            <w:vAlign w:val="center"/>
          </w:tcPr>
          <w:p w14:paraId="61BF642D" w14:textId="77777777" w:rsidR="00AE0C1F" w:rsidRPr="00286917" w:rsidRDefault="00AE0C1F" w:rsidP="003A0A4B">
            <w:pPr>
              <w:jc w:val="center"/>
              <w:rPr>
                <w:sz w:val="18"/>
                <w:szCs w:val="18"/>
              </w:rPr>
            </w:pPr>
          </w:p>
        </w:tc>
      </w:tr>
      <w:tr w:rsidR="00AE0C1F" w:rsidRPr="008B4DDE" w14:paraId="017B5F5F" w14:textId="77777777" w:rsidTr="003A0A4B">
        <w:trPr>
          <w:trHeight w:val="454"/>
        </w:trPr>
        <w:tc>
          <w:tcPr>
            <w:tcW w:w="2325" w:type="dxa"/>
            <w:tcMar>
              <w:left w:w="85" w:type="dxa"/>
              <w:right w:w="85" w:type="dxa"/>
            </w:tcMar>
            <w:vAlign w:val="center"/>
          </w:tcPr>
          <w:p w14:paraId="02CD3440" w14:textId="77777777" w:rsidR="00AE0C1F" w:rsidRPr="005E2B9C" w:rsidRDefault="00AE0C1F" w:rsidP="003A0A4B">
            <w:pPr>
              <w:jc w:val="both"/>
              <w:rPr>
                <w:rFonts w:cs="Arial"/>
                <w:sz w:val="18"/>
                <w:szCs w:val="18"/>
              </w:rPr>
            </w:pPr>
            <w:r w:rsidRPr="005E2B9C">
              <w:rPr>
                <w:rFonts w:cs="Arial"/>
                <w:sz w:val="18"/>
                <w:szCs w:val="18"/>
              </w:rPr>
              <w:t>CIBS IT Application Management (including TPS) Hartlink Change)</w:t>
            </w:r>
          </w:p>
        </w:tc>
        <w:tc>
          <w:tcPr>
            <w:tcW w:w="500" w:type="dxa"/>
            <w:vAlign w:val="center"/>
          </w:tcPr>
          <w:p w14:paraId="155A2D61" w14:textId="77777777" w:rsidR="00AE0C1F" w:rsidRPr="00286917" w:rsidRDefault="00AE0C1F" w:rsidP="003A0A4B">
            <w:pPr>
              <w:jc w:val="center"/>
              <w:rPr>
                <w:rFonts w:cs="Arial"/>
                <w:sz w:val="18"/>
                <w:szCs w:val="18"/>
              </w:rPr>
            </w:pPr>
          </w:p>
        </w:tc>
        <w:tc>
          <w:tcPr>
            <w:tcW w:w="500" w:type="dxa"/>
            <w:vAlign w:val="center"/>
          </w:tcPr>
          <w:p w14:paraId="3F8BA993" w14:textId="77777777" w:rsidR="00AE0C1F" w:rsidRPr="00286917" w:rsidRDefault="00AE0C1F" w:rsidP="003A0A4B">
            <w:pPr>
              <w:jc w:val="center"/>
              <w:rPr>
                <w:rFonts w:cs="Arial"/>
                <w:sz w:val="18"/>
                <w:szCs w:val="18"/>
              </w:rPr>
            </w:pPr>
            <w:r w:rsidRPr="00EA57A2">
              <w:rPr>
                <w:rFonts w:cs="Arial"/>
              </w:rPr>
              <w:sym w:font="Wingdings" w:char="F0FC"/>
            </w:r>
          </w:p>
        </w:tc>
        <w:tc>
          <w:tcPr>
            <w:tcW w:w="500" w:type="dxa"/>
            <w:vAlign w:val="center"/>
          </w:tcPr>
          <w:p w14:paraId="6BF533E2" w14:textId="77777777" w:rsidR="00AE0C1F" w:rsidRDefault="00AE0C1F" w:rsidP="003A0A4B">
            <w:pPr>
              <w:jc w:val="center"/>
              <w:rPr>
                <w:rFonts w:cs="Arial"/>
                <w:sz w:val="18"/>
                <w:szCs w:val="18"/>
              </w:rPr>
            </w:pPr>
          </w:p>
        </w:tc>
        <w:tc>
          <w:tcPr>
            <w:tcW w:w="500" w:type="dxa"/>
            <w:vAlign w:val="center"/>
          </w:tcPr>
          <w:p w14:paraId="38D449E2" w14:textId="77777777" w:rsidR="00AE0C1F" w:rsidRDefault="00AE0C1F" w:rsidP="003A0A4B">
            <w:pPr>
              <w:jc w:val="center"/>
              <w:rPr>
                <w:rFonts w:cs="Arial"/>
                <w:sz w:val="18"/>
                <w:szCs w:val="18"/>
              </w:rPr>
            </w:pPr>
          </w:p>
        </w:tc>
        <w:tc>
          <w:tcPr>
            <w:tcW w:w="1100" w:type="dxa"/>
            <w:tcMar>
              <w:left w:w="113" w:type="dxa"/>
              <w:right w:w="85" w:type="dxa"/>
            </w:tcMar>
            <w:vAlign w:val="center"/>
          </w:tcPr>
          <w:p w14:paraId="4323226B" w14:textId="77777777" w:rsidR="00AE0C1F" w:rsidRDefault="00AE0C1F" w:rsidP="003A0A4B">
            <w:pPr>
              <w:ind w:left="-113" w:right="-85"/>
              <w:jc w:val="center"/>
            </w:pPr>
            <w:r w:rsidRPr="00C6799F">
              <w:rPr>
                <w:sz w:val="18"/>
                <w:szCs w:val="18"/>
              </w:rPr>
              <w:t>Not Started</w:t>
            </w:r>
          </w:p>
        </w:tc>
        <w:tc>
          <w:tcPr>
            <w:tcW w:w="1100" w:type="dxa"/>
            <w:vAlign w:val="center"/>
          </w:tcPr>
          <w:p w14:paraId="35EC2901" w14:textId="77777777" w:rsidR="00AE0C1F" w:rsidRDefault="00AE0C1F" w:rsidP="003A0A4B">
            <w:pPr>
              <w:jc w:val="center"/>
              <w:rPr>
                <w:color w:val="000000"/>
                <w:sz w:val="18"/>
                <w:szCs w:val="18"/>
              </w:rPr>
            </w:pPr>
            <w:r>
              <w:rPr>
                <w:color w:val="000000"/>
                <w:sz w:val="18"/>
                <w:szCs w:val="18"/>
              </w:rPr>
              <w:t>May 2016</w:t>
            </w:r>
          </w:p>
        </w:tc>
        <w:tc>
          <w:tcPr>
            <w:tcW w:w="1000" w:type="dxa"/>
            <w:tcBorders>
              <w:bottom w:val="single" w:sz="4" w:space="0" w:color="auto"/>
            </w:tcBorders>
            <w:shd w:val="clear" w:color="auto" w:fill="auto"/>
            <w:vAlign w:val="center"/>
          </w:tcPr>
          <w:p w14:paraId="3FEDE5CD" w14:textId="77777777" w:rsidR="00AE0C1F" w:rsidRDefault="00AE0C1F" w:rsidP="003A0A4B">
            <w:pPr>
              <w:jc w:val="center"/>
              <w:rPr>
                <w:sz w:val="18"/>
                <w:szCs w:val="18"/>
              </w:rPr>
            </w:pPr>
          </w:p>
        </w:tc>
        <w:tc>
          <w:tcPr>
            <w:tcW w:w="900" w:type="dxa"/>
            <w:shd w:val="clear" w:color="auto" w:fill="auto"/>
            <w:vAlign w:val="center"/>
          </w:tcPr>
          <w:p w14:paraId="2495CC88" w14:textId="77777777" w:rsidR="00AE0C1F" w:rsidRDefault="00AE0C1F" w:rsidP="003A0A4B">
            <w:pPr>
              <w:jc w:val="center"/>
              <w:rPr>
                <w:sz w:val="18"/>
                <w:szCs w:val="18"/>
              </w:rPr>
            </w:pPr>
          </w:p>
        </w:tc>
        <w:tc>
          <w:tcPr>
            <w:tcW w:w="1000" w:type="dxa"/>
            <w:shd w:val="clear" w:color="auto" w:fill="auto"/>
            <w:vAlign w:val="center"/>
          </w:tcPr>
          <w:p w14:paraId="21D435D4" w14:textId="77777777" w:rsidR="00AE0C1F" w:rsidRDefault="00AE0C1F" w:rsidP="003A0A4B">
            <w:pPr>
              <w:jc w:val="center"/>
              <w:rPr>
                <w:sz w:val="18"/>
                <w:szCs w:val="18"/>
              </w:rPr>
            </w:pPr>
          </w:p>
        </w:tc>
        <w:tc>
          <w:tcPr>
            <w:tcW w:w="1000" w:type="dxa"/>
            <w:tcBorders>
              <w:bottom w:val="single" w:sz="4" w:space="0" w:color="auto"/>
            </w:tcBorders>
            <w:shd w:val="clear" w:color="auto" w:fill="auto"/>
            <w:vAlign w:val="center"/>
          </w:tcPr>
          <w:p w14:paraId="6521D73C" w14:textId="77777777" w:rsidR="00AE0C1F" w:rsidRPr="00286917" w:rsidRDefault="00AE0C1F" w:rsidP="003A0A4B">
            <w:pPr>
              <w:jc w:val="center"/>
              <w:rPr>
                <w:sz w:val="18"/>
                <w:szCs w:val="18"/>
              </w:rPr>
            </w:pPr>
          </w:p>
        </w:tc>
        <w:tc>
          <w:tcPr>
            <w:tcW w:w="1000" w:type="dxa"/>
            <w:shd w:val="clear" w:color="auto" w:fill="auto"/>
            <w:vAlign w:val="center"/>
          </w:tcPr>
          <w:p w14:paraId="5E4B151A" w14:textId="77777777" w:rsidR="00AE0C1F" w:rsidRPr="00286917" w:rsidRDefault="00AE0C1F" w:rsidP="003A0A4B">
            <w:pPr>
              <w:jc w:val="center"/>
              <w:rPr>
                <w:sz w:val="18"/>
                <w:szCs w:val="18"/>
              </w:rPr>
            </w:pPr>
          </w:p>
        </w:tc>
        <w:tc>
          <w:tcPr>
            <w:tcW w:w="800" w:type="dxa"/>
            <w:shd w:val="clear" w:color="auto" w:fill="auto"/>
            <w:vAlign w:val="center"/>
          </w:tcPr>
          <w:p w14:paraId="01756D67" w14:textId="77777777" w:rsidR="00AE0C1F" w:rsidRPr="00286917" w:rsidRDefault="00AE0C1F" w:rsidP="003A0A4B">
            <w:pPr>
              <w:jc w:val="center"/>
              <w:rPr>
                <w:sz w:val="18"/>
                <w:szCs w:val="18"/>
              </w:rPr>
            </w:pPr>
          </w:p>
        </w:tc>
        <w:tc>
          <w:tcPr>
            <w:tcW w:w="500" w:type="dxa"/>
            <w:shd w:val="clear" w:color="auto" w:fill="auto"/>
            <w:vAlign w:val="center"/>
          </w:tcPr>
          <w:p w14:paraId="10F2AB90" w14:textId="77777777" w:rsidR="00AE0C1F" w:rsidRPr="00286917" w:rsidRDefault="00AE0C1F" w:rsidP="003A0A4B">
            <w:pPr>
              <w:jc w:val="center"/>
              <w:rPr>
                <w:sz w:val="18"/>
                <w:szCs w:val="18"/>
              </w:rPr>
            </w:pPr>
          </w:p>
        </w:tc>
        <w:tc>
          <w:tcPr>
            <w:tcW w:w="500" w:type="dxa"/>
            <w:shd w:val="clear" w:color="auto" w:fill="auto"/>
            <w:vAlign w:val="center"/>
          </w:tcPr>
          <w:p w14:paraId="48AC6E0F" w14:textId="77777777" w:rsidR="00AE0C1F" w:rsidRPr="00286917" w:rsidRDefault="00AE0C1F" w:rsidP="003A0A4B">
            <w:pPr>
              <w:jc w:val="center"/>
              <w:rPr>
                <w:sz w:val="18"/>
                <w:szCs w:val="18"/>
              </w:rPr>
            </w:pPr>
          </w:p>
        </w:tc>
        <w:tc>
          <w:tcPr>
            <w:tcW w:w="500" w:type="dxa"/>
            <w:shd w:val="clear" w:color="auto" w:fill="auto"/>
            <w:vAlign w:val="center"/>
          </w:tcPr>
          <w:p w14:paraId="1A070404" w14:textId="77777777" w:rsidR="00AE0C1F" w:rsidRPr="00286917" w:rsidRDefault="00AE0C1F" w:rsidP="003A0A4B">
            <w:pPr>
              <w:jc w:val="center"/>
              <w:rPr>
                <w:sz w:val="18"/>
                <w:szCs w:val="18"/>
              </w:rPr>
            </w:pPr>
          </w:p>
        </w:tc>
        <w:tc>
          <w:tcPr>
            <w:tcW w:w="500" w:type="dxa"/>
            <w:shd w:val="clear" w:color="auto" w:fill="auto"/>
            <w:vAlign w:val="center"/>
          </w:tcPr>
          <w:p w14:paraId="1A31BF0F" w14:textId="77777777" w:rsidR="00AE0C1F" w:rsidRPr="00286917" w:rsidRDefault="00AE0C1F" w:rsidP="003A0A4B">
            <w:pPr>
              <w:jc w:val="center"/>
              <w:rPr>
                <w:sz w:val="18"/>
                <w:szCs w:val="18"/>
              </w:rPr>
            </w:pPr>
          </w:p>
        </w:tc>
      </w:tr>
      <w:tr w:rsidR="00AE0C1F" w:rsidRPr="008B4DDE" w14:paraId="42390AC3" w14:textId="77777777" w:rsidTr="003A0A4B">
        <w:trPr>
          <w:trHeight w:val="454"/>
        </w:trPr>
        <w:tc>
          <w:tcPr>
            <w:tcW w:w="2325" w:type="dxa"/>
            <w:tcMar>
              <w:left w:w="85" w:type="dxa"/>
              <w:right w:w="85" w:type="dxa"/>
            </w:tcMar>
            <w:vAlign w:val="center"/>
          </w:tcPr>
          <w:p w14:paraId="75066679" w14:textId="77777777" w:rsidR="00AE0C1F" w:rsidRPr="005E2B9C" w:rsidRDefault="00AE0C1F" w:rsidP="003A0A4B">
            <w:pPr>
              <w:jc w:val="both"/>
              <w:rPr>
                <w:rFonts w:cs="Arial"/>
                <w:sz w:val="18"/>
                <w:szCs w:val="18"/>
              </w:rPr>
            </w:pPr>
            <w:r w:rsidRPr="005E2B9C">
              <w:rPr>
                <w:rFonts w:cs="Arial"/>
                <w:sz w:val="18"/>
                <w:szCs w:val="18"/>
              </w:rPr>
              <w:t>CIBS Business Continuity / Disaster Recovery</w:t>
            </w:r>
          </w:p>
        </w:tc>
        <w:tc>
          <w:tcPr>
            <w:tcW w:w="500" w:type="dxa"/>
            <w:vAlign w:val="center"/>
          </w:tcPr>
          <w:p w14:paraId="11961B2F" w14:textId="77777777" w:rsidR="00AE0C1F" w:rsidRPr="00286917" w:rsidRDefault="00AE0C1F" w:rsidP="003A0A4B">
            <w:pPr>
              <w:jc w:val="center"/>
              <w:rPr>
                <w:rFonts w:cs="Arial"/>
                <w:sz w:val="18"/>
                <w:szCs w:val="18"/>
              </w:rPr>
            </w:pPr>
          </w:p>
        </w:tc>
        <w:tc>
          <w:tcPr>
            <w:tcW w:w="500" w:type="dxa"/>
            <w:vAlign w:val="center"/>
          </w:tcPr>
          <w:p w14:paraId="469D963E" w14:textId="77777777" w:rsidR="00AE0C1F" w:rsidRPr="00286917" w:rsidRDefault="00AE0C1F" w:rsidP="003A0A4B">
            <w:pPr>
              <w:jc w:val="center"/>
              <w:rPr>
                <w:rFonts w:cs="Arial"/>
                <w:sz w:val="18"/>
                <w:szCs w:val="18"/>
              </w:rPr>
            </w:pPr>
          </w:p>
        </w:tc>
        <w:tc>
          <w:tcPr>
            <w:tcW w:w="500" w:type="dxa"/>
            <w:vAlign w:val="center"/>
          </w:tcPr>
          <w:p w14:paraId="26999CE5" w14:textId="77777777" w:rsidR="00AE0C1F" w:rsidRDefault="00AE0C1F" w:rsidP="003A0A4B">
            <w:pPr>
              <w:jc w:val="center"/>
              <w:rPr>
                <w:rFonts w:cs="Arial"/>
                <w:sz w:val="18"/>
                <w:szCs w:val="18"/>
              </w:rPr>
            </w:pPr>
          </w:p>
        </w:tc>
        <w:tc>
          <w:tcPr>
            <w:tcW w:w="500" w:type="dxa"/>
            <w:vAlign w:val="center"/>
          </w:tcPr>
          <w:p w14:paraId="6E24C4E5" w14:textId="77777777" w:rsidR="00AE0C1F" w:rsidRDefault="00AE0C1F" w:rsidP="003A0A4B">
            <w:pPr>
              <w:jc w:val="center"/>
              <w:rPr>
                <w:rFonts w:cs="Arial"/>
                <w:sz w:val="18"/>
                <w:szCs w:val="18"/>
              </w:rPr>
            </w:pPr>
            <w:r w:rsidRPr="00EA57A2">
              <w:rPr>
                <w:rFonts w:cs="Arial"/>
              </w:rPr>
              <w:sym w:font="Wingdings" w:char="F0FC"/>
            </w:r>
          </w:p>
        </w:tc>
        <w:tc>
          <w:tcPr>
            <w:tcW w:w="1100" w:type="dxa"/>
            <w:tcMar>
              <w:left w:w="113" w:type="dxa"/>
              <w:right w:w="85" w:type="dxa"/>
            </w:tcMar>
            <w:vAlign w:val="center"/>
          </w:tcPr>
          <w:p w14:paraId="13A27EE1" w14:textId="77777777" w:rsidR="00AE0C1F" w:rsidRDefault="00AE0C1F" w:rsidP="003A0A4B">
            <w:pPr>
              <w:ind w:left="-113" w:right="-85"/>
              <w:jc w:val="center"/>
            </w:pPr>
            <w:r w:rsidRPr="00C6799F">
              <w:rPr>
                <w:sz w:val="18"/>
                <w:szCs w:val="18"/>
              </w:rPr>
              <w:t>Not Started</w:t>
            </w:r>
          </w:p>
        </w:tc>
        <w:tc>
          <w:tcPr>
            <w:tcW w:w="1100" w:type="dxa"/>
            <w:vAlign w:val="center"/>
          </w:tcPr>
          <w:p w14:paraId="5BEA309D" w14:textId="77777777" w:rsidR="00AE0C1F" w:rsidRDefault="00AE0C1F" w:rsidP="003A0A4B">
            <w:pPr>
              <w:jc w:val="center"/>
              <w:rPr>
                <w:color w:val="000000"/>
                <w:sz w:val="18"/>
                <w:szCs w:val="18"/>
              </w:rPr>
            </w:pPr>
            <w:r>
              <w:rPr>
                <w:color w:val="000000"/>
                <w:sz w:val="18"/>
                <w:szCs w:val="18"/>
              </w:rPr>
              <w:t>Sep 2016</w:t>
            </w:r>
          </w:p>
        </w:tc>
        <w:tc>
          <w:tcPr>
            <w:tcW w:w="1000" w:type="dxa"/>
            <w:tcBorders>
              <w:bottom w:val="single" w:sz="4" w:space="0" w:color="auto"/>
            </w:tcBorders>
            <w:shd w:val="clear" w:color="auto" w:fill="auto"/>
            <w:vAlign w:val="center"/>
          </w:tcPr>
          <w:p w14:paraId="4257DDB0" w14:textId="77777777" w:rsidR="00AE0C1F" w:rsidRDefault="00AE0C1F" w:rsidP="003A0A4B">
            <w:pPr>
              <w:jc w:val="center"/>
              <w:rPr>
                <w:sz w:val="18"/>
                <w:szCs w:val="18"/>
              </w:rPr>
            </w:pPr>
          </w:p>
        </w:tc>
        <w:tc>
          <w:tcPr>
            <w:tcW w:w="900" w:type="dxa"/>
            <w:shd w:val="clear" w:color="auto" w:fill="auto"/>
            <w:vAlign w:val="center"/>
          </w:tcPr>
          <w:p w14:paraId="3FE07CEF" w14:textId="77777777" w:rsidR="00AE0C1F" w:rsidRDefault="00AE0C1F" w:rsidP="003A0A4B">
            <w:pPr>
              <w:jc w:val="center"/>
              <w:rPr>
                <w:sz w:val="18"/>
                <w:szCs w:val="18"/>
              </w:rPr>
            </w:pPr>
          </w:p>
        </w:tc>
        <w:tc>
          <w:tcPr>
            <w:tcW w:w="1000" w:type="dxa"/>
            <w:shd w:val="clear" w:color="auto" w:fill="auto"/>
            <w:vAlign w:val="center"/>
          </w:tcPr>
          <w:p w14:paraId="2225A80E" w14:textId="77777777" w:rsidR="00AE0C1F" w:rsidRDefault="00AE0C1F" w:rsidP="003A0A4B">
            <w:pPr>
              <w:jc w:val="center"/>
              <w:rPr>
                <w:sz w:val="18"/>
                <w:szCs w:val="18"/>
              </w:rPr>
            </w:pPr>
          </w:p>
        </w:tc>
        <w:tc>
          <w:tcPr>
            <w:tcW w:w="1000" w:type="dxa"/>
            <w:tcBorders>
              <w:bottom w:val="single" w:sz="4" w:space="0" w:color="auto"/>
            </w:tcBorders>
            <w:shd w:val="clear" w:color="auto" w:fill="auto"/>
            <w:vAlign w:val="center"/>
          </w:tcPr>
          <w:p w14:paraId="19ACE2A7" w14:textId="77777777" w:rsidR="00AE0C1F" w:rsidRPr="00286917" w:rsidRDefault="00AE0C1F" w:rsidP="003A0A4B">
            <w:pPr>
              <w:jc w:val="center"/>
              <w:rPr>
                <w:sz w:val="18"/>
                <w:szCs w:val="18"/>
              </w:rPr>
            </w:pPr>
          </w:p>
        </w:tc>
        <w:tc>
          <w:tcPr>
            <w:tcW w:w="1000" w:type="dxa"/>
            <w:shd w:val="clear" w:color="auto" w:fill="auto"/>
            <w:vAlign w:val="center"/>
          </w:tcPr>
          <w:p w14:paraId="187FD1AC" w14:textId="77777777" w:rsidR="00AE0C1F" w:rsidRPr="00286917" w:rsidRDefault="00AE0C1F" w:rsidP="003A0A4B">
            <w:pPr>
              <w:jc w:val="center"/>
              <w:rPr>
                <w:sz w:val="18"/>
                <w:szCs w:val="18"/>
              </w:rPr>
            </w:pPr>
          </w:p>
        </w:tc>
        <w:tc>
          <w:tcPr>
            <w:tcW w:w="800" w:type="dxa"/>
            <w:shd w:val="clear" w:color="auto" w:fill="auto"/>
            <w:vAlign w:val="center"/>
          </w:tcPr>
          <w:p w14:paraId="7A9B8561" w14:textId="77777777" w:rsidR="00AE0C1F" w:rsidRPr="00286917" w:rsidRDefault="00AE0C1F" w:rsidP="003A0A4B">
            <w:pPr>
              <w:jc w:val="center"/>
              <w:rPr>
                <w:sz w:val="18"/>
                <w:szCs w:val="18"/>
              </w:rPr>
            </w:pPr>
          </w:p>
        </w:tc>
        <w:tc>
          <w:tcPr>
            <w:tcW w:w="500" w:type="dxa"/>
            <w:shd w:val="clear" w:color="auto" w:fill="auto"/>
            <w:vAlign w:val="center"/>
          </w:tcPr>
          <w:p w14:paraId="3B58C889" w14:textId="77777777" w:rsidR="00AE0C1F" w:rsidRPr="00286917" w:rsidRDefault="00AE0C1F" w:rsidP="003A0A4B">
            <w:pPr>
              <w:jc w:val="center"/>
              <w:rPr>
                <w:sz w:val="18"/>
                <w:szCs w:val="18"/>
              </w:rPr>
            </w:pPr>
          </w:p>
        </w:tc>
        <w:tc>
          <w:tcPr>
            <w:tcW w:w="500" w:type="dxa"/>
            <w:shd w:val="clear" w:color="auto" w:fill="auto"/>
            <w:vAlign w:val="center"/>
          </w:tcPr>
          <w:p w14:paraId="5811F1A1" w14:textId="77777777" w:rsidR="00AE0C1F" w:rsidRPr="00286917" w:rsidRDefault="00AE0C1F" w:rsidP="003A0A4B">
            <w:pPr>
              <w:jc w:val="center"/>
              <w:rPr>
                <w:sz w:val="18"/>
                <w:szCs w:val="18"/>
              </w:rPr>
            </w:pPr>
          </w:p>
        </w:tc>
        <w:tc>
          <w:tcPr>
            <w:tcW w:w="500" w:type="dxa"/>
            <w:shd w:val="clear" w:color="auto" w:fill="auto"/>
            <w:vAlign w:val="center"/>
          </w:tcPr>
          <w:p w14:paraId="436FA0BA" w14:textId="77777777" w:rsidR="00AE0C1F" w:rsidRPr="00286917" w:rsidRDefault="00AE0C1F" w:rsidP="003A0A4B">
            <w:pPr>
              <w:jc w:val="center"/>
              <w:rPr>
                <w:sz w:val="18"/>
                <w:szCs w:val="18"/>
              </w:rPr>
            </w:pPr>
          </w:p>
        </w:tc>
        <w:tc>
          <w:tcPr>
            <w:tcW w:w="500" w:type="dxa"/>
            <w:shd w:val="clear" w:color="auto" w:fill="auto"/>
            <w:vAlign w:val="center"/>
          </w:tcPr>
          <w:p w14:paraId="2C75E759" w14:textId="77777777" w:rsidR="00AE0C1F" w:rsidRPr="00286917" w:rsidRDefault="00AE0C1F" w:rsidP="003A0A4B">
            <w:pPr>
              <w:jc w:val="center"/>
              <w:rPr>
                <w:sz w:val="18"/>
                <w:szCs w:val="18"/>
              </w:rPr>
            </w:pPr>
          </w:p>
        </w:tc>
      </w:tr>
      <w:tr w:rsidR="00AE0C1F" w:rsidRPr="008B4DDE" w14:paraId="19B528C3" w14:textId="77777777" w:rsidTr="003A0A4B">
        <w:trPr>
          <w:trHeight w:val="454"/>
        </w:trPr>
        <w:tc>
          <w:tcPr>
            <w:tcW w:w="2325" w:type="dxa"/>
            <w:tcMar>
              <w:left w:w="85" w:type="dxa"/>
              <w:right w:w="85" w:type="dxa"/>
            </w:tcMar>
            <w:vAlign w:val="center"/>
          </w:tcPr>
          <w:p w14:paraId="215EB4FB" w14:textId="77777777" w:rsidR="00AE0C1F" w:rsidRPr="005E2B9C" w:rsidRDefault="00AE0C1F" w:rsidP="003A0A4B">
            <w:pPr>
              <w:jc w:val="both"/>
              <w:rPr>
                <w:sz w:val="18"/>
                <w:szCs w:val="18"/>
              </w:rPr>
            </w:pPr>
            <w:r w:rsidRPr="005E2B9C">
              <w:rPr>
                <w:rFonts w:cs="Arial"/>
                <w:sz w:val="18"/>
                <w:szCs w:val="18"/>
              </w:rPr>
              <w:t>Annual Assurance Statement</w:t>
            </w:r>
            <w:r>
              <w:rPr>
                <w:rFonts w:cs="Arial"/>
                <w:sz w:val="18"/>
                <w:szCs w:val="18"/>
              </w:rPr>
              <w:t xml:space="preserve"> (2015 / 2016)</w:t>
            </w:r>
          </w:p>
        </w:tc>
        <w:tc>
          <w:tcPr>
            <w:tcW w:w="500" w:type="dxa"/>
            <w:vAlign w:val="center"/>
          </w:tcPr>
          <w:p w14:paraId="4951C85D" w14:textId="77777777" w:rsidR="00AE0C1F" w:rsidRPr="00286917" w:rsidRDefault="00AE0C1F" w:rsidP="003A0A4B">
            <w:pPr>
              <w:jc w:val="center"/>
              <w:rPr>
                <w:rFonts w:cs="Arial"/>
                <w:sz w:val="18"/>
                <w:szCs w:val="18"/>
              </w:rPr>
            </w:pPr>
            <w:r w:rsidRPr="00EA57A2">
              <w:rPr>
                <w:rFonts w:cs="Arial"/>
              </w:rPr>
              <w:sym w:font="Wingdings" w:char="F0FC"/>
            </w:r>
          </w:p>
        </w:tc>
        <w:tc>
          <w:tcPr>
            <w:tcW w:w="500" w:type="dxa"/>
            <w:vAlign w:val="center"/>
          </w:tcPr>
          <w:p w14:paraId="6180870D" w14:textId="77777777" w:rsidR="00AE0C1F" w:rsidRPr="00286917" w:rsidRDefault="00AE0C1F" w:rsidP="003A0A4B">
            <w:pPr>
              <w:jc w:val="center"/>
              <w:rPr>
                <w:rFonts w:cs="Arial"/>
                <w:sz w:val="18"/>
                <w:szCs w:val="18"/>
              </w:rPr>
            </w:pPr>
          </w:p>
        </w:tc>
        <w:tc>
          <w:tcPr>
            <w:tcW w:w="500" w:type="dxa"/>
            <w:vAlign w:val="center"/>
          </w:tcPr>
          <w:p w14:paraId="1AC9F3D0" w14:textId="77777777" w:rsidR="00AE0C1F" w:rsidRDefault="00AE0C1F" w:rsidP="003A0A4B">
            <w:pPr>
              <w:jc w:val="center"/>
              <w:rPr>
                <w:rFonts w:cs="Arial"/>
                <w:sz w:val="18"/>
                <w:szCs w:val="18"/>
              </w:rPr>
            </w:pPr>
          </w:p>
        </w:tc>
        <w:tc>
          <w:tcPr>
            <w:tcW w:w="500" w:type="dxa"/>
            <w:vAlign w:val="center"/>
          </w:tcPr>
          <w:p w14:paraId="509B303A" w14:textId="77777777" w:rsidR="00AE0C1F" w:rsidRDefault="00AE0C1F" w:rsidP="003A0A4B">
            <w:pPr>
              <w:jc w:val="center"/>
              <w:rPr>
                <w:rFonts w:cs="Arial"/>
                <w:sz w:val="18"/>
                <w:szCs w:val="18"/>
              </w:rPr>
            </w:pPr>
          </w:p>
        </w:tc>
        <w:tc>
          <w:tcPr>
            <w:tcW w:w="1100" w:type="dxa"/>
            <w:tcMar>
              <w:left w:w="113" w:type="dxa"/>
              <w:right w:w="85" w:type="dxa"/>
            </w:tcMar>
            <w:vAlign w:val="center"/>
          </w:tcPr>
          <w:p w14:paraId="6C960DB7" w14:textId="77777777" w:rsidR="00AE0C1F" w:rsidRDefault="00AE0C1F" w:rsidP="003A0A4B">
            <w:pPr>
              <w:ind w:left="-113" w:right="-85"/>
              <w:jc w:val="center"/>
            </w:pPr>
            <w:r w:rsidRPr="00C6799F">
              <w:rPr>
                <w:sz w:val="18"/>
                <w:szCs w:val="18"/>
              </w:rPr>
              <w:t>Not Started</w:t>
            </w:r>
          </w:p>
        </w:tc>
        <w:tc>
          <w:tcPr>
            <w:tcW w:w="1100" w:type="dxa"/>
            <w:vAlign w:val="center"/>
          </w:tcPr>
          <w:p w14:paraId="53990DDB" w14:textId="77777777" w:rsidR="00AE0C1F" w:rsidRDefault="00AE0C1F" w:rsidP="003A0A4B">
            <w:pPr>
              <w:jc w:val="center"/>
              <w:rPr>
                <w:color w:val="000000"/>
                <w:sz w:val="18"/>
                <w:szCs w:val="18"/>
              </w:rPr>
            </w:pPr>
            <w:r>
              <w:rPr>
                <w:color w:val="000000"/>
                <w:sz w:val="18"/>
                <w:szCs w:val="18"/>
              </w:rPr>
              <w:t>Apr 2016</w:t>
            </w:r>
          </w:p>
        </w:tc>
        <w:tc>
          <w:tcPr>
            <w:tcW w:w="1000" w:type="dxa"/>
            <w:tcBorders>
              <w:bottom w:val="single" w:sz="4" w:space="0" w:color="auto"/>
            </w:tcBorders>
            <w:shd w:val="clear" w:color="auto" w:fill="auto"/>
            <w:vAlign w:val="center"/>
          </w:tcPr>
          <w:p w14:paraId="31B56573" w14:textId="77777777" w:rsidR="00AE0C1F" w:rsidRDefault="00AE0C1F" w:rsidP="003A0A4B">
            <w:pPr>
              <w:jc w:val="center"/>
              <w:rPr>
                <w:sz w:val="18"/>
                <w:szCs w:val="18"/>
              </w:rPr>
            </w:pPr>
          </w:p>
        </w:tc>
        <w:tc>
          <w:tcPr>
            <w:tcW w:w="900" w:type="dxa"/>
            <w:shd w:val="clear" w:color="auto" w:fill="auto"/>
            <w:vAlign w:val="center"/>
          </w:tcPr>
          <w:p w14:paraId="1701ACEB" w14:textId="77777777" w:rsidR="00AE0C1F" w:rsidRDefault="00AE0C1F" w:rsidP="003A0A4B">
            <w:pPr>
              <w:jc w:val="center"/>
              <w:rPr>
                <w:sz w:val="18"/>
                <w:szCs w:val="18"/>
              </w:rPr>
            </w:pPr>
          </w:p>
        </w:tc>
        <w:tc>
          <w:tcPr>
            <w:tcW w:w="1000" w:type="dxa"/>
            <w:shd w:val="clear" w:color="auto" w:fill="auto"/>
            <w:vAlign w:val="center"/>
          </w:tcPr>
          <w:p w14:paraId="3653796E" w14:textId="77777777" w:rsidR="00AE0C1F" w:rsidRDefault="00AE0C1F" w:rsidP="003A0A4B">
            <w:pPr>
              <w:jc w:val="center"/>
              <w:rPr>
                <w:sz w:val="18"/>
                <w:szCs w:val="18"/>
              </w:rPr>
            </w:pPr>
          </w:p>
        </w:tc>
        <w:tc>
          <w:tcPr>
            <w:tcW w:w="1000" w:type="dxa"/>
            <w:tcBorders>
              <w:bottom w:val="single" w:sz="4" w:space="0" w:color="auto"/>
            </w:tcBorders>
            <w:shd w:val="clear" w:color="auto" w:fill="auto"/>
            <w:vAlign w:val="center"/>
          </w:tcPr>
          <w:p w14:paraId="3B66446F" w14:textId="77777777" w:rsidR="00AE0C1F" w:rsidRPr="00286917" w:rsidRDefault="00AE0C1F" w:rsidP="003A0A4B">
            <w:pPr>
              <w:jc w:val="center"/>
              <w:rPr>
                <w:sz w:val="18"/>
                <w:szCs w:val="18"/>
              </w:rPr>
            </w:pPr>
          </w:p>
        </w:tc>
        <w:tc>
          <w:tcPr>
            <w:tcW w:w="1000" w:type="dxa"/>
            <w:shd w:val="clear" w:color="auto" w:fill="auto"/>
            <w:vAlign w:val="center"/>
          </w:tcPr>
          <w:p w14:paraId="5D5C1723" w14:textId="77777777" w:rsidR="00AE0C1F" w:rsidRPr="00286917" w:rsidRDefault="00AE0C1F" w:rsidP="003A0A4B">
            <w:pPr>
              <w:jc w:val="center"/>
              <w:rPr>
                <w:sz w:val="18"/>
                <w:szCs w:val="18"/>
              </w:rPr>
            </w:pPr>
          </w:p>
        </w:tc>
        <w:tc>
          <w:tcPr>
            <w:tcW w:w="800" w:type="dxa"/>
            <w:shd w:val="clear" w:color="auto" w:fill="auto"/>
            <w:vAlign w:val="center"/>
          </w:tcPr>
          <w:p w14:paraId="30F07820" w14:textId="77777777" w:rsidR="00AE0C1F" w:rsidRPr="00286917" w:rsidRDefault="00AE0C1F" w:rsidP="003A0A4B">
            <w:pPr>
              <w:jc w:val="center"/>
              <w:rPr>
                <w:sz w:val="18"/>
                <w:szCs w:val="18"/>
              </w:rPr>
            </w:pPr>
          </w:p>
        </w:tc>
        <w:tc>
          <w:tcPr>
            <w:tcW w:w="500" w:type="dxa"/>
            <w:shd w:val="clear" w:color="auto" w:fill="auto"/>
            <w:vAlign w:val="center"/>
          </w:tcPr>
          <w:p w14:paraId="143D385F" w14:textId="77777777" w:rsidR="00AE0C1F" w:rsidRPr="00286917" w:rsidRDefault="00AE0C1F" w:rsidP="003A0A4B">
            <w:pPr>
              <w:jc w:val="center"/>
              <w:rPr>
                <w:sz w:val="18"/>
                <w:szCs w:val="18"/>
              </w:rPr>
            </w:pPr>
          </w:p>
        </w:tc>
        <w:tc>
          <w:tcPr>
            <w:tcW w:w="500" w:type="dxa"/>
            <w:shd w:val="clear" w:color="auto" w:fill="auto"/>
            <w:vAlign w:val="center"/>
          </w:tcPr>
          <w:p w14:paraId="0BA858B3" w14:textId="77777777" w:rsidR="00AE0C1F" w:rsidRPr="00286917" w:rsidRDefault="00AE0C1F" w:rsidP="003A0A4B">
            <w:pPr>
              <w:jc w:val="center"/>
              <w:rPr>
                <w:sz w:val="18"/>
                <w:szCs w:val="18"/>
              </w:rPr>
            </w:pPr>
          </w:p>
        </w:tc>
        <w:tc>
          <w:tcPr>
            <w:tcW w:w="500" w:type="dxa"/>
            <w:shd w:val="clear" w:color="auto" w:fill="auto"/>
            <w:vAlign w:val="center"/>
          </w:tcPr>
          <w:p w14:paraId="545F89BE" w14:textId="77777777" w:rsidR="00AE0C1F" w:rsidRPr="00286917" w:rsidRDefault="00AE0C1F" w:rsidP="003A0A4B">
            <w:pPr>
              <w:jc w:val="center"/>
              <w:rPr>
                <w:sz w:val="18"/>
                <w:szCs w:val="18"/>
              </w:rPr>
            </w:pPr>
          </w:p>
        </w:tc>
        <w:tc>
          <w:tcPr>
            <w:tcW w:w="500" w:type="dxa"/>
            <w:shd w:val="clear" w:color="auto" w:fill="auto"/>
            <w:vAlign w:val="center"/>
          </w:tcPr>
          <w:p w14:paraId="70341922" w14:textId="77777777" w:rsidR="00AE0C1F" w:rsidRPr="00286917" w:rsidRDefault="00AE0C1F" w:rsidP="003A0A4B">
            <w:pPr>
              <w:jc w:val="center"/>
              <w:rPr>
                <w:sz w:val="18"/>
                <w:szCs w:val="18"/>
              </w:rPr>
            </w:pPr>
          </w:p>
        </w:tc>
      </w:tr>
    </w:tbl>
    <w:p w14:paraId="55E97A9C" w14:textId="77777777" w:rsidR="006A4A6F" w:rsidRPr="00363983" w:rsidRDefault="00AE0C1F" w:rsidP="00AE0C1F">
      <w:pPr>
        <w:pStyle w:val="Heading1"/>
        <w:keepNext w:val="0"/>
        <w:spacing w:before="0"/>
        <w:jc w:val="both"/>
        <w:rPr>
          <w:rFonts w:cs="Arial"/>
        </w:rPr>
      </w:pPr>
      <w:r w:rsidRPr="009C3786">
        <w:rPr>
          <w:color w:val="000000"/>
          <w:sz w:val="20"/>
          <w:u w:val="single"/>
        </w:rPr>
        <w:t>KEY:</w:t>
      </w:r>
      <w:r>
        <w:rPr>
          <w:color w:val="000000"/>
          <w:sz w:val="20"/>
          <w:u w:val="single"/>
        </w:rPr>
        <w:t xml:space="preserve">  </w:t>
      </w:r>
      <w:r>
        <w:rPr>
          <w:sz w:val="20"/>
          <w:vertAlign w:val="superscript"/>
        </w:rPr>
        <w:t>1</w:t>
      </w:r>
      <w:r>
        <w:rPr>
          <w:sz w:val="20"/>
        </w:rPr>
        <w:t>Report Rating: E=Effective; IR=Improvement Required;</w:t>
      </w:r>
      <w:r w:rsidRPr="00364C2F">
        <w:rPr>
          <w:sz w:val="20"/>
        </w:rPr>
        <w:t xml:space="preserve"> </w:t>
      </w:r>
      <w:r>
        <w:rPr>
          <w:sz w:val="20"/>
        </w:rPr>
        <w:t>SIR=Significant Improvement Required; I=Ineffective</w:t>
      </w:r>
    </w:p>
    <w:sectPr w:rsidR="006A4A6F" w:rsidRPr="00363983" w:rsidSect="00E376C4">
      <w:headerReference w:type="default" r:id="rId17"/>
      <w:pgSz w:w="16838" w:h="11906" w:orient="landscape"/>
      <w:pgMar w:top="1797"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46DE2" w14:textId="77777777" w:rsidR="00782A57" w:rsidRDefault="00782A57">
      <w:r>
        <w:separator/>
      </w:r>
    </w:p>
  </w:endnote>
  <w:endnote w:type="continuationSeparator" w:id="0">
    <w:p w14:paraId="15B23113" w14:textId="77777777" w:rsidR="00782A57" w:rsidRDefault="0078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235240"/>
      <w:docPartObj>
        <w:docPartGallery w:val="Page Numbers (Bottom of Page)"/>
        <w:docPartUnique/>
      </w:docPartObj>
    </w:sdtPr>
    <w:sdtEndPr>
      <w:rPr>
        <w:noProof/>
      </w:rPr>
    </w:sdtEndPr>
    <w:sdtContent>
      <w:p w14:paraId="20425711" w14:textId="77777777" w:rsidR="00853A42" w:rsidRDefault="00D6256C">
        <w:pPr>
          <w:pStyle w:val="Footer"/>
          <w:jc w:val="center"/>
        </w:pPr>
        <w:r>
          <w:fldChar w:fldCharType="begin"/>
        </w:r>
        <w:r>
          <w:instrText xml:space="preserve"> PAGE   \* MERGEFORMAT </w:instrText>
        </w:r>
        <w:r>
          <w:fldChar w:fldCharType="separate"/>
        </w:r>
        <w:r w:rsidR="009B46FC">
          <w:rPr>
            <w:noProof/>
          </w:rPr>
          <w:t>4</w:t>
        </w:r>
        <w:r>
          <w:rPr>
            <w:noProof/>
          </w:rPr>
          <w:fldChar w:fldCharType="end"/>
        </w:r>
      </w:p>
    </w:sdtContent>
  </w:sdt>
  <w:p w14:paraId="2C12FD92" w14:textId="77777777" w:rsidR="00853A42" w:rsidRDefault="00853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2B2D1" w14:textId="77777777" w:rsidR="00782A57" w:rsidRDefault="00782A57">
      <w:r>
        <w:separator/>
      </w:r>
    </w:p>
  </w:footnote>
  <w:footnote w:type="continuationSeparator" w:id="0">
    <w:p w14:paraId="5380A156" w14:textId="77777777" w:rsidR="00782A57" w:rsidRDefault="00782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6F880" w14:textId="77777777" w:rsidR="00853A42" w:rsidRPr="003A7442" w:rsidRDefault="003A7442">
    <w:pPr>
      <w:pStyle w:val="Header"/>
      <w:rPr>
        <w:b/>
      </w:rPr>
    </w:pPr>
    <w:r w:rsidRPr="003A7442">
      <w:rPr>
        <w:b/>
      </w:rPr>
      <w:t>Paper 7 (agenda item 5</w:t>
    </w:r>
    <w:proofErr w:type="gramStart"/>
    <w:r w:rsidRPr="003A7442">
      <w:rPr>
        <w:b/>
      </w:rPr>
      <w:t>)</w:t>
    </w:r>
    <w:proofErr w:type="gramEnd"/>
    <w:r w:rsidRPr="003A7442">
      <w:rPr>
        <w:b/>
      </w:rPr>
      <w:ptab w:relativeTo="margin" w:alignment="center" w:leader="none"/>
    </w:r>
    <w:r w:rsidRPr="003A7442">
      <w:rPr>
        <w:b/>
      </w:rPr>
      <w:ptab w:relativeTo="margin" w:alignment="right" w:leader="none"/>
    </w:r>
    <w:r w:rsidRPr="003A7442">
      <w:rPr>
        <w:b/>
      </w:rPr>
      <w:t>TPSPB 9 March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5460A" w14:textId="77777777" w:rsidR="00204C99" w:rsidRDefault="00204C99" w:rsidP="00204C99">
    <w:pPr>
      <w:pStyle w:val="Header"/>
    </w:pPr>
    <w:r>
      <w:t xml:space="preserve">TPSPB Meeting 9 March 2016                                   </w:t>
    </w:r>
    <w:r w:rsidRPr="00DB11C4">
      <w:rPr>
        <w:b/>
        <w:color w:val="FF0000"/>
      </w:rPr>
      <w:t>V</w:t>
    </w:r>
    <w:r>
      <w:rPr>
        <w:b/>
        <w:color w:val="FF0000"/>
      </w:rPr>
      <w:t>2</w:t>
    </w:r>
    <w:r w:rsidRPr="00DB11C4">
      <w:rPr>
        <w:b/>
        <w:color w:val="FF0000"/>
      </w:rPr>
      <w:t xml:space="preserve"> </w:t>
    </w:r>
    <w:r>
      <w:rPr>
        <w:b/>
        <w:color w:val="FF0000"/>
      </w:rPr>
      <w:t>18</w:t>
    </w:r>
    <w:r w:rsidRPr="00DB11C4">
      <w:rPr>
        <w:b/>
        <w:color w:val="FF0000"/>
      </w:rPr>
      <w:t>0216</w:t>
    </w:r>
    <w:r>
      <w:rPr>
        <w:b/>
        <w:color w:val="FF0000"/>
      </w:rPr>
      <w:t xml:space="preserve">                                        </w:t>
    </w:r>
    <w:r>
      <w:t xml:space="preserve">Paper 6 (for review) </w:t>
    </w:r>
    <w:proofErr w:type="gramStart"/>
    <w:r>
      <w:t>-  Agenda</w:t>
    </w:r>
    <w:proofErr w:type="gramEnd"/>
    <w:r>
      <w:t xml:space="preserve"> Item 5</w:t>
    </w:r>
  </w:p>
  <w:p w14:paraId="79ECF76C" w14:textId="77777777" w:rsidR="00853A42" w:rsidRDefault="00853A42">
    <w:pPr>
      <w:pStyle w:val="Header"/>
    </w:pPr>
  </w:p>
  <w:p w14:paraId="12DCEBF0" w14:textId="77777777" w:rsidR="00853A42" w:rsidRDefault="00853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2309"/>
    <w:multiLevelType w:val="hybridMultilevel"/>
    <w:tmpl w:val="F014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881E3D"/>
    <w:multiLevelType w:val="hybridMultilevel"/>
    <w:tmpl w:val="5D224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B10184"/>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E705C5"/>
    <w:multiLevelType w:val="hybridMultilevel"/>
    <w:tmpl w:val="75F813FA"/>
    <w:lvl w:ilvl="0" w:tplc="A5E48AA0">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054CA9"/>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93280E"/>
    <w:multiLevelType w:val="hybridMultilevel"/>
    <w:tmpl w:val="78EA3384"/>
    <w:lvl w:ilvl="0" w:tplc="861C85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235A5D74"/>
    <w:multiLevelType w:val="hybridMultilevel"/>
    <w:tmpl w:val="CA4669C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nsid w:val="312A579A"/>
    <w:multiLevelType w:val="hybridMultilevel"/>
    <w:tmpl w:val="086C88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330272"/>
    <w:multiLevelType w:val="hybridMultilevel"/>
    <w:tmpl w:val="DB76DE7A"/>
    <w:lvl w:ilvl="0" w:tplc="92EE57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AE042F"/>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CC00B7"/>
    <w:multiLevelType w:val="hybridMultilevel"/>
    <w:tmpl w:val="4210D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nsid w:val="48EB2ADD"/>
    <w:multiLevelType w:val="hybridMultilevel"/>
    <w:tmpl w:val="2E4A2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23A42F4"/>
    <w:multiLevelType w:val="hybridMultilevel"/>
    <w:tmpl w:val="93406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529F76F0"/>
    <w:multiLevelType w:val="hybridMultilevel"/>
    <w:tmpl w:val="69961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0C4026"/>
    <w:multiLevelType w:val="hybridMultilevel"/>
    <w:tmpl w:val="6046E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8525B4"/>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71379A"/>
    <w:multiLevelType w:val="hybridMultilevel"/>
    <w:tmpl w:val="79C60A1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6A0769D2"/>
    <w:multiLevelType w:val="hybridMultilevel"/>
    <w:tmpl w:val="C1E4E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C467B0C"/>
    <w:multiLevelType w:val="hybridMultilevel"/>
    <w:tmpl w:val="7EE8E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B73C2D"/>
    <w:multiLevelType w:val="hybridMultilevel"/>
    <w:tmpl w:val="8CE6E6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nsid w:val="71E53C4F"/>
    <w:multiLevelType w:val="hybridMultilevel"/>
    <w:tmpl w:val="C5725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2115127"/>
    <w:multiLevelType w:val="hybridMultilevel"/>
    <w:tmpl w:val="F8B025A2"/>
    <w:lvl w:ilvl="0" w:tplc="17544CE0">
      <w:start w:val="1"/>
      <w:numFmt w:val="decimal"/>
      <w:lvlText w:val="%1."/>
      <w:lvlJc w:val="left"/>
      <w:pPr>
        <w:ind w:left="720" w:hanging="360"/>
      </w:pPr>
      <w:rPr>
        <w:rFonts w:hint="default"/>
        <w:b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B35D65"/>
    <w:multiLevelType w:val="hybridMultilevel"/>
    <w:tmpl w:val="FD507B52"/>
    <w:lvl w:ilvl="0" w:tplc="6D76AAA8">
      <w:start w:val="1"/>
      <w:numFmt w:val="decimal"/>
      <w:lvlText w:val="%1."/>
      <w:lvlJc w:val="left"/>
      <w:pPr>
        <w:ind w:left="720" w:hanging="360"/>
      </w:pPr>
      <w:rPr>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44C47ED"/>
    <w:multiLevelType w:val="hybridMultilevel"/>
    <w:tmpl w:val="5524A6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54073CA"/>
    <w:multiLevelType w:val="hybridMultilevel"/>
    <w:tmpl w:val="D2F6C1FA"/>
    <w:lvl w:ilvl="0" w:tplc="27C4128C">
      <w:start w:val="1"/>
      <w:numFmt w:val="bullet"/>
      <w:lvlText w:val="•"/>
      <w:lvlJc w:val="left"/>
      <w:pPr>
        <w:tabs>
          <w:tab w:val="num" w:pos="720"/>
        </w:tabs>
        <w:ind w:left="720" w:hanging="360"/>
      </w:pPr>
      <w:rPr>
        <w:rFonts w:ascii="Arial" w:hAnsi="Arial" w:hint="default"/>
      </w:rPr>
    </w:lvl>
    <w:lvl w:ilvl="1" w:tplc="CCC2AA5E" w:tentative="1">
      <w:start w:val="1"/>
      <w:numFmt w:val="bullet"/>
      <w:lvlText w:val="•"/>
      <w:lvlJc w:val="left"/>
      <w:pPr>
        <w:tabs>
          <w:tab w:val="num" w:pos="1440"/>
        </w:tabs>
        <w:ind w:left="1440" w:hanging="360"/>
      </w:pPr>
      <w:rPr>
        <w:rFonts w:ascii="Arial" w:hAnsi="Arial" w:hint="default"/>
      </w:rPr>
    </w:lvl>
    <w:lvl w:ilvl="2" w:tplc="62AE01CC" w:tentative="1">
      <w:start w:val="1"/>
      <w:numFmt w:val="bullet"/>
      <w:lvlText w:val="•"/>
      <w:lvlJc w:val="left"/>
      <w:pPr>
        <w:tabs>
          <w:tab w:val="num" w:pos="2160"/>
        </w:tabs>
        <w:ind w:left="2160" w:hanging="360"/>
      </w:pPr>
      <w:rPr>
        <w:rFonts w:ascii="Arial" w:hAnsi="Arial" w:hint="default"/>
      </w:rPr>
    </w:lvl>
    <w:lvl w:ilvl="3" w:tplc="5C7EE67C" w:tentative="1">
      <w:start w:val="1"/>
      <w:numFmt w:val="bullet"/>
      <w:lvlText w:val="•"/>
      <w:lvlJc w:val="left"/>
      <w:pPr>
        <w:tabs>
          <w:tab w:val="num" w:pos="2880"/>
        </w:tabs>
        <w:ind w:left="2880" w:hanging="360"/>
      </w:pPr>
      <w:rPr>
        <w:rFonts w:ascii="Arial" w:hAnsi="Arial" w:hint="default"/>
      </w:rPr>
    </w:lvl>
    <w:lvl w:ilvl="4" w:tplc="D5F0CE8C" w:tentative="1">
      <w:start w:val="1"/>
      <w:numFmt w:val="bullet"/>
      <w:lvlText w:val="•"/>
      <w:lvlJc w:val="left"/>
      <w:pPr>
        <w:tabs>
          <w:tab w:val="num" w:pos="3600"/>
        </w:tabs>
        <w:ind w:left="3600" w:hanging="360"/>
      </w:pPr>
      <w:rPr>
        <w:rFonts w:ascii="Arial" w:hAnsi="Arial" w:hint="default"/>
      </w:rPr>
    </w:lvl>
    <w:lvl w:ilvl="5" w:tplc="694AB266" w:tentative="1">
      <w:start w:val="1"/>
      <w:numFmt w:val="bullet"/>
      <w:lvlText w:val="•"/>
      <w:lvlJc w:val="left"/>
      <w:pPr>
        <w:tabs>
          <w:tab w:val="num" w:pos="4320"/>
        </w:tabs>
        <w:ind w:left="4320" w:hanging="360"/>
      </w:pPr>
      <w:rPr>
        <w:rFonts w:ascii="Arial" w:hAnsi="Arial" w:hint="default"/>
      </w:rPr>
    </w:lvl>
    <w:lvl w:ilvl="6" w:tplc="78B07094" w:tentative="1">
      <w:start w:val="1"/>
      <w:numFmt w:val="bullet"/>
      <w:lvlText w:val="•"/>
      <w:lvlJc w:val="left"/>
      <w:pPr>
        <w:tabs>
          <w:tab w:val="num" w:pos="5040"/>
        </w:tabs>
        <w:ind w:left="5040" w:hanging="360"/>
      </w:pPr>
      <w:rPr>
        <w:rFonts w:ascii="Arial" w:hAnsi="Arial" w:hint="default"/>
      </w:rPr>
    </w:lvl>
    <w:lvl w:ilvl="7" w:tplc="38F80CAA" w:tentative="1">
      <w:start w:val="1"/>
      <w:numFmt w:val="bullet"/>
      <w:lvlText w:val="•"/>
      <w:lvlJc w:val="left"/>
      <w:pPr>
        <w:tabs>
          <w:tab w:val="num" w:pos="5760"/>
        </w:tabs>
        <w:ind w:left="5760" w:hanging="360"/>
      </w:pPr>
      <w:rPr>
        <w:rFonts w:ascii="Arial" w:hAnsi="Arial" w:hint="default"/>
      </w:rPr>
    </w:lvl>
    <w:lvl w:ilvl="8" w:tplc="42669022" w:tentative="1">
      <w:start w:val="1"/>
      <w:numFmt w:val="bullet"/>
      <w:lvlText w:val="•"/>
      <w:lvlJc w:val="left"/>
      <w:pPr>
        <w:tabs>
          <w:tab w:val="num" w:pos="6480"/>
        </w:tabs>
        <w:ind w:left="6480" w:hanging="360"/>
      </w:pPr>
      <w:rPr>
        <w:rFonts w:ascii="Arial" w:hAnsi="Arial" w:hint="default"/>
      </w:rPr>
    </w:lvl>
  </w:abstractNum>
  <w:abstractNum w:abstractNumId="31">
    <w:nsid w:val="763823E9"/>
    <w:multiLevelType w:val="hybridMultilevel"/>
    <w:tmpl w:val="9992E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6EE508C"/>
    <w:multiLevelType w:val="hybridMultilevel"/>
    <w:tmpl w:val="C8AE3896"/>
    <w:lvl w:ilvl="0" w:tplc="7F50AB2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947591E"/>
    <w:multiLevelType w:val="hybridMultilevel"/>
    <w:tmpl w:val="23D4DF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8"/>
  </w:num>
  <w:num w:numId="3">
    <w:abstractNumId w:val="34"/>
  </w:num>
  <w:num w:numId="4">
    <w:abstractNumId w:val="6"/>
  </w:num>
  <w:num w:numId="5">
    <w:abstractNumId w:val="16"/>
  </w:num>
  <w:num w:numId="6">
    <w:abstractNumId w:val="24"/>
  </w:num>
  <w:num w:numId="7">
    <w:abstractNumId w:val="18"/>
  </w:num>
  <w:num w:numId="8">
    <w:abstractNumId w:val="3"/>
  </w:num>
  <w:num w:numId="9">
    <w:abstractNumId w:val="12"/>
  </w:num>
  <w:num w:numId="10">
    <w:abstractNumId w:val="29"/>
  </w:num>
  <w:num w:numId="11">
    <w:abstractNumId w:val="30"/>
  </w:num>
  <w:num w:numId="12">
    <w:abstractNumId w:val="26"/>
  </w:num>
  <w:num w:numId="13">
    <w:abstractNumId w:val="19"/>
  </w:num>
  <w:num w:numId="14">
    <w:abstractNumId w:val="27"/>
  </w:num>
  <w:num w:numId="15">
    <w:abstractNumId w:val="0"/>
  </w:num>
  <w:num w:numId="16">
    <w:abstractNumId w:val="2"/>
  </w:num>
  <w:num w:numId="17">
    <w:abstractNumId w:val="11"/>
  </w:num>
  <w:num w:numId="18">
    <w:abstractNumId w:val="20"/>
  </w:num>
  <w:num w:numId="19">
    <w:abstractNumId w:val="4"/>
  </w:num>
  <w:num w:numId="20">
    <w:abstractNumId w:val="14"/>
  </w:num>
  <w:num w:numId="21">
    <w:abstractNumId w:val="21"/>
  </w:num>
  <w:num w:numId="22">
    <w:abstractNumId w:val="7"/>
  </w:num>
  <w:num w:numId="23">
    <w:abstractNumId w:val="28"/>
  </w:num>
  <w:num w:numId="24">
    <w:abstractNumId w:val="5"/>
  </w:num>
  <w:num w:numId="25">
    <w:abstractNumId w:val="10"/>
  </w:num>
  <w:num w:numId="26">
    <w:abstractNumId w:val="25"/>
  </w:num>
  <w:num w:numId="27">
    <w:abstractNumId w:val="33"/>
  </w:num>
  <w:num w:numId="28">
    <w:abstractNumId w:val="23"/>
  </w:num>
  <w:num w:numId="29">
    <w:abstractNumId w:val="9"/>
  </w:num>
  <w:num w:numId="30">
    <w:abstractNumId w:val="1"/>
  </w:num>
  <w:num w:numId="31">
    <w:abstractNumId w:val="17"/>
  </w:num>
  <w:num w:numId="32">
    <w:abstractNumId w:val="31"/>
  </w:num>
  <w:num w:numId="33">
    <w:abstractNumId w:val="15"/>
  </w:num>
  <w:num w:numId="34">
    <w:abstractNumId w:val="2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xtSDMeuPp3iwpJ2ic8myg01sS7s=" w:salt="2ZEx6W0CUz4tx/veTO9Vc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06"/>
    <w:rsid w:val="00000089"/>
    <w:rsid w:val="00011F78"/>
    <w:rsid w:val="00015EC6"/>
    <w:rsid w:val="00022DB6"/>
    <w:rsid w:val="000247E1"/>
    <w:rsid w:val="00026A23"/>
    <w:rsid w:val="000308E1"/>
    <w:rsid w:val="00034168"/>
    <w:rsid w:val="000402FC"/>
    <w:rsid w:val="00041864"/>
    <w:rsid w:val="0004776A"/>
    <w:rsid w:val="0005390B"/>
    <w:rsid w:val="00057F28"/>
    <w:rsid w:val="00060377"/>
    <w:rsid w:val="000833EF"/>
    <w:rsid w:val="00083D20"/>
    <w:rsid w:val="000A0C1B"/>
    <w:rsid w:val="000A3070"/>
    <w:rsid w:val="000A3CCB"/>
    <w:rsid w:val="000A7B4B"/>
    <w:rsid w:val="000A7DC3"/>
    <w:rsid w:val="000B1468"/>
    <w:rsid w:val="000B5580"/>
    <w:rsid w:val="000C4018"/>
    <w:rsid w:val="000D62D8"/>
    <w:rsid w:val="000F302B"/>
    <w:rsid w:val="000F4E59"/>
    <w:rsid w:val="0011509D"/>
    <w:rsid w:val="00116F59"/>
    <w:rsid w:val="00117BDE"/>
    <w:rsid w:val="00123ACB"/>
    <w:rsid w:val="001362FD"/>
    <w:rsid w:val="001366BB"/>
    <w:rsid w:val="001372F2"/>
    <w:rsid w:val="00143B05"/>
    <w:rsid w:val="00153F85"/>
    <w:rsid w:val="00174BCF"/>
    <w:rsid w:val="00176043"/>
    <w:rsid w:val="00180A06"/>
    <w:rsid w:val="00182783"/>
    <w:rsid w:val="00187280"/>
    <w:rsid w:val="00187F8F"/>
    <w:rsid w:val="00195F8E"/>
    <w:rsid w:val="001A54FA"/>
    <w:rsid w:val="001B05C8"/>
    <w:rsid w:val="001B0DDF"/>
    <w:rsid w:val="001B6DF9"/>
    <w:rsid w:val="001B777C"/>
    <w:rsid w:val="001C1651"/>
    <w:rsid w:val="001C699E"/>
    <w:rsid w:val="001D044D"/>
    <w:rsid w:val="001D2E21"/>
    <w:rsid w:val="001D55BC"/>
    <w:rsid w:val="001D5890"/>
    <w:rsid w:val="001D7FB3"/>
    <w:rsid w:val="001E774E"/>
    <w:rsid w:val="001F1E4A"/>
    <w:rsid w:val="002009C2"/>
    <w:rsid w:val="00202C41"/>
    <w:rsid w:val="00204C99"/>
    <w:rsid w:val="00205FB9"/>
    <w:rsid w:val="00211C37"/>
    <w:rsid w:val="00212D24"/>
    <w:rsid w:val="00217581"/>
    <w:rsid w:val="00223723"/>
    <w:rsid w:val="00226366"/>
    <w:rsid w:val="002335B0"/>
    <w:rsid w:val="002337EC"/>
    <w:rsid w:val="002338A1"/>
    <w:rsid w:val="0024290E"/>
    <w:rsid w:val="00242D2E"/>
    <w:rsid w:val="00243BBB"/>
    <w:rsid w:val="0024599B"/>
    <w:rsid w:val="00252D14"/>
    <w:rsid w:val="00252E33"/>
    <w:rsid w:val="00261949"/>
    <w:rsid w:val="00266064"/>
    <w:rsid w:val="00267EE0"/>
    <w:rsid w:val="002749B8"/>
    <w:rsid w:val="0027611C"/>
    <w:rsid w:val="00283203"/>
    <w:rsid w:val="002840D0"/>
    <w:rsid w:val="00295EFC"/>
    <w:rsid w:val="002A2352"/>
    <w:rsid w:val="002A66BE"/>
    <w:rsid w:val="002B2F43"/>
    <w:rsid w:val="002B651E"/>
    <w:rsid w:val="002C7359"/>
    <w:rsid w:val="002D2A7A"/>
    <w:rsid w:val="002D6D75"/>
    <w:rsid w:val="002E057D"/>
    <w:rsid w:val="002E28FA"/>
    <w:rsid w:val="002F06F7"/>
    <w:rsid w:val="002F6007"/>
    <w:rsid w:val="002F7DFE"/>
    <w:rsid w:val="00304F43"/>
    <w:rsid w:val="00306F7F"/>
    <w:rsid w:val="00310708"/>
    <w:rsid w:val="00311C8A"/>
    <w:rsid w:val="00312BD3"/>
    <w:rsid w:val="00321970"/>
    <w:rsid w:val="00322AAE"/>
    <w:rsid w:val="00336872"/>
    <w:rsid w:val="00342B5C"/>
    <w:rsid w:val="003467A7"/>
    <w:rsid w:val="00347A3B"/>
    <w:rsid w:val="003503BE"/>
    <w:rsid w:val="00356245"/>
    <w:rsid w:val="00363983"/>
    <w:rsid w:val="00364BF3"/>
    <w:rsid w:val="00367EEB"/>
    <w:rsid w:val="00370895"/>
    <w:rsid w:val="00374620"/>
    <w:rsid w:val="00375273"/>
    <w:rsid w:val="00380E1A"/>
    <w:rsid w:val="00392AE9"/>
    <w:rsid w:val="003A2F92"/>
    <w:rsid w:val="003A7442"/>
    <w:rsid w:val="003B3240"/>
    <w:rsid w:val="003B78F9"/>
    <w:rsid w:val="003C4F9C"/>
    <w:rsid w:val="003C6272"/>
    <w:rsid w:val="003D010F"/>
    <w:rsid w:val="003D5F98"/>
    <w:rsid w:val="003D74A2"/>
    <w:rsid w:val="003D7A13"/>
    <w:rsid w:val="003E064F"/>
    <w:rsid w:val="003E1B86"/>
    <w:rsid w:val="003F1643"/>
    <w:rsid w:val="003F3C61"/>
    <w:rsid w:val="003F771B"/>
    <w:rsid w:val="00402829"/>
    <w:rsid w:val="004302F0"/>
    <w:rsid w:val="00430DC5"/>
    <w:rsid w:val="00433910"/>
    <w:rsid w:val="004430C5"/>
    <w:rsid w:val="0045014A"/>
    <w:rsid w:val="00450D89"/>
    <w:rsid w:val="004533A7"/>
    <w:rsid w:val="00454C2C"/>
    <w:rsid w:val="00456E8D"/>
    <w:rsid w:val="0045765A"/>
    <w:rsid w:val="00460505"/>
    <w:rsid w:val="00463122"/>
    <w:rsid w:val="00470EB2"/>
    <w:rsid w:val="00471773"/>
    <w:rsid w:val="00471ABD"/>
    <w:rsid w:val="0048038D"/>
    <w:rsid w:val="00480E77"/>
    <w:rsid w:val="004811C6"/>
    <w:rsid w:val="00481F37"/>
    <w:rsid w:val="00484C39"/>
    <w:rsid w:val="004955D9"/>
    <w:rsid w:val="004A1636"/>
    <w:rsid w:val="004B17C9"/>
    <w:rsid w:val="004B7FBF"/>
    <w:rsid w:val="004C4A2B"/>
    <w:rsid w:val="004E633C"/>
    <w:rsid w:val="004F3191"/>
    <w:rsid w:val="00511CA5"/>
    <w:rsid w:val="005128FA"/>
    <w:rsid w:val="005150CE"/>
    <w:rsid w:val="00522588"/>
    <w:rsid w:val="005248A4"/>
    <w:rsid w:val="00530814"/>
    <w:rsid w:val="00533406"/>
    <w:rsid w:val="00537911"/>
    <w:rsid w:val="00542CD0"/>
    <w:rsid w:val="005435BD"/>
    <w:rsid w:val="00545301"/>
    <w:rsid w:val="00546012"/>
    <w:rsid w:val="005500C1"/>
    <w:rsid w:val="00553534"/>
    <w:rsid w:val="00565333"/>
    <w:rsid w:val="005661A4"/>
    <w:rsid w:val="00571387"/>
    <w:rsid w:val="00574197"/>
    <w:rsid w:val="00580DCC"/>
    <w:rsid w:val="00591B39"/>
    <w:rsid w:val="00592809"/>
    <w:rsid w:val="00593F22"/>
    <w:rsid w:val="005B1967"/>
    <w:rsid w:val="005B1CC3"/>
    <w:rsid w:val="005B5A07"/>
    <w:rsid w:val="005C1372"/>
    <w:rsid w:val="005C2AB4"/>
    <w:rsid w:val="005D087C"/>
    <w:rsid w:val="005D688A"/>
    <w:rsid w:val="005E4B0F"/>
    <w:rsid w:val="005F1289"/>
    <w:rsid w:val="005F7B8B"/>
    <w:rsid w:val="00604D9F"/>
    <w:rsid w:val="00605974"/>
    <w:rsid w:val="00606BB2"/>
    <w:rsid w:val="00607A4B"/>
    <w:rsid w:val="00610B44"/>
    <w:rsid w:val="00615241"/>
    <w:rsid w:val="00617765"/>
    <w:rsid w:val="00622379"/>
    <w:rsid w:val="0062704E"/>
    <w:rsid w:val="00632A7A"/>
    <w:rsid w:val="00634682"/>
    <w:rsid w:val="0063507E"/>
    <w:rsid w:val="006351F8"/>
    <w:rsid w:val="006363E9"/>
    <w:rsid w:val="006545A6"/>
    <w:rsid w:val="0066213D"/>
    <w:rsid w:val="00667DFE"/>
    <w:rsid w:val="00677C1A"/>
    <w:rsid w:val="00682993"/>
    <w:rsid w:val="006858D6"/>
    <w:rsid w:val="006869D6"/>
    <w:rsid w:val="00687908"/>
    <w:rsid w:val="006910A2"/>
    <w:rsid w:val="00695F57"/>
    <w:rsid w:val="006A0189"/>
    <w:rsid w:val="006A1127"/>
    <w:rsid w:val="006A2F72"/>
    <w:rsid w:val="006A31F2"/>
    <w:rsid w:val="006A3278"/>
    <w:rsid w:val="006A4A6F"/>
    <w:rsid w:val="006B0976"/>
    <w:rsid w:val="006C1EB7"/>
    <w:rsid w:val="006C7483"/>
    <w:rsid w:val="006D0C35"/>
    <w:rsid w:val="006D3EBD"/>
    <w:rsid w:val="006E6F0B"/>
    <w:rsid w:val="006E6FB4"/>
    <w:rsid w:val="006F4284"/>
    <w:rsid w:val="007104E4"/>
    <w:rsid w:val="00711F15"/>
    <w:rsid w:val="007205F4"/>
    <w:rsid w:val="00720DAA"/>
    <w:rsid w:val="00731CDB"/>
    <w:rsid w:val="007442BB"/>
    <w:rsid w:val="007463C5"/>
    <w:rsid w:val="00746846"/>
    <w:rsid w:val="007509C7"/>
    <w:rsid w:val="007510C3"/>
    <w:rsid w:val="007516D1"/>
    <w:rsid w:val="00761BFA"/>
    <w:rsid w:val="007639E2"/>
    <w:rsid w:val="0076458E"/>
    <w:rsid w:val="00767063"/>
    <w:rsid w:val="00772C48"/>
    <w:rsid w:val="00773FF3"/>
    <w:rsid w:val="0078040E"/>
    <w:rsid w:val="00782A57"/>
    <w:rsid w:val="00793410"/>
    <w:rsid w:val="00793F0F"/>
    <w:rsid w:val="007940AE"/>
    <w:rsid w:val="007A10F9"/>
    <w:rsid w:val="007A2CDE"/>
    <w:rsid w:val="007A4C02"/>
    <w:rsid w:val="007B476F"/>
    <w:rsid w:val="007B49CD"/>
    <w:rsid w:val="007B593B"/>
    <w:rsid w:val="007B5A46"/>
    <w:rsid w:val="007C1BC2"/>
    <w:rsid w:val="007C7F73"/>
    <w:rsid w:val="007D0DBA"/>
    <w:rsid w:val="007D4D58"/>
    <w:rsid w:val="007D4DB0"/>
    <w:rsid w:val="007D6230"/>
    <w:rsid w:val="007E3DC2"/>
    <w:rsid w:val="007F073B"/>
    <w:rsid w:val="00805C72"/>
    <w:rsid w:val="00805CEA"/>
    <w:rsid w:val="00806F15"/>
    <w:rsid w:val="00821A7C"/>
    <w:rsid w:val="00831225"/>
    <w:rsid w:val="008312DB"/>
    <w:rsid w:val="008321E7"/>
    <w:rsid w:val="008428AB"/>
    <w:rsid w:val="00844135"/>
    <w:rsid w:val="008507B5"/>
    <w:rsid w:val="00853A42"/>
    <w:rsid w:val="00863664"/>
    <w:rsid w:val="0086662B"/>
    <w:rsid w:val="00870467"/>
    <w:rsid w:val="0088151C"/>
    <w:rsid w:val="008817AB"/>
    <w:rsid w:val="008843A4"/>
    <w:rsid w:val="008B1C49"/>
    <w:rsid w:val="008B67CC"/>
    <w:rsid w:val="008B746D"/>
    <w:rsid w:val="008C2748"/>
    <w:rsid w:val="008D1228"/>
    <w:rsid w:val="008D340F"/>
    <w:rsid w:val="008E07A8"/>
    <w:rsid w:val="008E3BDA"/>
    <w:rsid w:val="008E5853"/>
    <w:rsid w:val="008F14F7"/>
    <w:rsid w:val="008F3DB1"/>
    <w:rsid w:val="008F452F"/>
    <w:rsid w:val="00902A95"/>
    <w:rsid w:val="00904253"/>
    <w:rsid w:val="00905ADC"/>
    <w:rsid w:val="00906C33"/>
    <w:rsid w:val="009173AF"/>
    <w:rsid w:val="0093133B"/>
    <w:rsid w:val="00932946"/>
    <w:rsid w:val="009415AA"/>
    <w:rsid w:val="009424FA"/>
    <w:rsid w:val="009426CB"/>
    <w:rsid w:val="009427B5"/>
    <w:rsid w:val="0095214C"/>
    <w:rsid w:val="00952EA3"/>
    <w:rsid w:val="009559DC"/>
    <w:rsid w:val="00957AD5"/>
    <w:rsid w:val="00963073"/>
    <w:rsid w:val="00965446"/>
    <w:rsid w:val="0097315A"/>
    <w:rsid w:val="009762A4"/>
    <w:rsid w:val="00984EAD"/>
    <w:rsid w:val="009961F8"/>
    <w:rsid w:val="009A2B05"/>
    <w:rsid w:val="009A3F0A"/>
    <w:rsid w:val="009A64D1"/>
    <w:rsid w:val="009B2692"/>
    <w:rsid w:val="009B287D"/>
    <w:rsid w:val="009B3EFE"/>
    <w:rsid w:val="009B46FC"/>
    <w:rsid w:val="009B493A"/>
    <w:rsid w:val="009B4FCC"/>
    <w:rsid w:val="009B7E66"/>
    <w:rsid w:val="009D03AA"/>
    <w:rsid w:val="009D0FE9"/>
    <w:rsid w:val="009D3D73"/>
    <w:rsid w:val="009D4542"/>
    <w:rsid w:val="009D5DF9"/>
    <w:rsid w:val="009E525D"/>
    <w:rsid w:val="009E73AD"/>
    <w:rsid w:val="009E748A"/>
    <w:rsid w:val="009F5357"/>
    <w:rsid w:val="009F74DD"/>
    <w:rsid w:val="009F7653"/>
    <w:rsid w:val="00A00569"/>
    <w:rsid w:val="00A0392C"/>
    <w:rsid w:val="00A120CA"/>
    <w:rsid w:val="00A12D3A"/>
    <w:rsid w:val="00A135C6"/>
    <w:rsid w:val="00A21E85"/>
    <w:rsid w:val="00A25800"/>
    <w:rsid w:val="00A26D11"/>
    <w:rsid w:val="00A2712A"/>
    <w:rsid w:val="00A3306B"/>
    <w:rsid w:val="00A36044"/>
    <w:rsid w:val="00A366A9"/>
    <w:rsid w:val="00A43ED1"/>
    <w:rsid w:val="00A46912"/>
    <w:rsid w:val="00A504A1"/>
    <w:rsid w:val="00A564E4"/>
    <w:rsid w:val="00A5747E"/>
    <w:rsid w:val="00A6036A"/>
    <w:rsid w:val="00A64099"/>
    <w:rsid w:val="00A96425"/>
    <w:rsid w:val="00A979F1"/>
    <w:rsid w:val="00AB3B3C"/>
    <w:rsid w:val="00AB4A1C"/>
    <w:rsid w:val="00AB6016"/>
    <w:rsid w:val="00AC2A37"/>
    <w:rsid w:val="00AD0E50"/>
    <w:rsid w:val="00AD632D"/>
    <w:rsid w:val="00AD640F"/>
    <w:rsid w:val="00AD7A0B"/>
    <w:rsid w:val="00AE0C1F"/>
    <w:rsid w:val="00AF0554"/>
    <w:rsid w:val="00AF1C07"/>
    <w:rsid w:val="00AF3507"/>
    <w:rsid w:val="00AF737F"/>
    <w:rsid w:val="00B006DF"/>
    <w:rsid w:val="00B05496"/>
    <w:rsid w:val="00B05ECD"/>
    <w:rsid w:val="00B06172"/>
    <w:rsid w:val="00B16A24"/>
    <w:rsid w:val="00B16A8C"/>
    <w:rsid w:val="00B174D2"/>
    <w:rsid w:val="00B240CF"/>
    <w:rsid w:val="00B24C03"/>
    <w:rsid w:val="00B275C1"/>
    <w:rsid w:val="00B305C9"/>
    <w:rsid w:val="00B30F5D"/>
    <w:rsid w:val="00B608DF"/>
    <w:rsid w:val="00B62931"/>
    <w:rsid w:val="00B6522B"/>
    <w:rsid w:val="00B65709"/>
    <w:rsid w:val="00B65BD8"/>
    <w:rsid w:val="00B67DF2"/>
    <w:rsid w:val="00B8232C"/>
    <w:rsid w:val="00B84723"/>
    <w:rsid w:val="00B84C65"/>
    <w:rsid w:val="00B85BF7"/>
    <w:rsid w:val="00B939CC"/>
    <w:rsid w:val="00BA1580"/>
    <w:rsid w:val="00BA52B9"/>
    <w:rsid w:val="00BB3850"/>
    <w:rsid w:val="00BC135C"/>
    <w:rsid w:val="00BC3919"/>
    <w:rsid w:val="00BC547B"/>
    <w:rsid w:val="00BC5891"/>
    <w:rsid w:val="00BC7D86"/>
    <w:rsid w:val="00BD4B6C"/>
    <w:rsid w:val="00BF06D2"/>
    <w:rsid w:val="00BF55F6"/>
    <w:rsid w:val="00C14A68"/>
    <w:rsid w:val="00C37933"/>
    <w:rsid w:val="00C408C7"/>
    <w:rsid w:val="00C463F2"/>
    <w:rsid w:val="00C47EEA"/>
    <w:rsid w:val="00C519D0"/>
    <w:rsid w:val="00C52C74"/>
    <w:rsid w:val="00C5630B"/>
    <w:rsid w:val="00C70ACB"/>
    <w:rsid w:val="00C74109"/>
    <w:rsid w:val="00C74AC6"/>
    <w:rsid w:val="00C75969"/>
    <w:rsid w:val="00C82EB1"/>
    <w:rsid w:val="00C8363C"/>
    <w:rsid w:val="00C91809"/>
    <w:rsid w:val="00C93BA2"/>
    <w:rsid w:val="00CA4FEC"/>
    <w:rsid w:val="00CB62A2"/>
    <w:rsid w:val="00CC133A"/>
    <w:rsid w:val="00CD7921"/>
    <w:rsid w:val="00CE084B"/>
    <w:rsid w:val="00CE4249"/>
    <w:rsid w:val="00CF626D"/>
    <w:rsid w:val="00D02D57"/>
    <w:rsid w:val="00D100D7"/>
    <w:rsid w:val="00D118D6"/>
    <w:rsid w:val="00D15B5B"/>
    <w:rsid w:val="00D20266"/>
    <w:rsid w:val="00D20C29"/>
    <w:rsid w:val="00D31A61"/>
    <w:rsid w:val="00D33842"/>
    <w:rsid w:val="00D47915"/>
    <w:rsid w:val="00D525DC"/>
    <w:rsid w:val="00D55302"/>
    <w:rsid w:val="00D55B52"/>
    <w:rsid w:val="00D57D6E"/>
    <w:rsid w:val="00D61F5A"/>
    <w:rsid w:val="00D6256C"/>
    <w:rsid w:val="00D649F9"/>
    <w:rsid w:val="00D656C2"/>
    <w:rsid w:val="00D718AE"/>
    <w:rsid w:val="00D74921"/>
    <w:rsid w:val="00D74FAA"/>
    <w:rsid w:val="00D76097"/>
    <w:rsid w:val="00D901A6"/>
    <w:rsid w:val="00D90C00"/>
    <w:rsid w:val="00D914BD"/>
    <w:rsid w:val="00D93D67"/>
    <w:rsid w:val="00D96604"/>
    <w:rsid w:val="00D97D60"/>
    <w:rsid w:val="00D97FCD"/>
    <w:rsid w:val="00DA6823"/>
    <w:rsid w:val="00DB1DC4"/>
    <w:rsid w:val="00DB4C12"/>
    <w:rsid w:val="00DB6E90"/>
    <w:rsid w:val="00DB7A9E"/>
    <w:rsid w:val="00DC6BD2"/>
    <w:rsid w:val="00DD1A10"/>
    <w:rsid w:val="00DD2403"/>
    <w:rsid w:val="00DD5F52"/>
    <w:rsid w:val="00DD742A"/>
    <w:rsid w:val="00DF1F9D"/>
    <w:rsid w:val="00DF771B"/>
    <w:rsid w:val="00DF7A7D"/>
    <w:rsid w:val="00E0081E"/>
    <w:rsid w:val="00E02094"/>
    <w:rsid w:val="00E05A7C"/>
    <w:rsid w:val="00E07439"/>
    <w:rsid w:val="00E10F4C"/>
    <w:rsid w:val="00E115AB"/>
    <w:rsid w:val="00E1714C"/>
    <w:rsid w:val="00E23885"/>
    <w:rsid w:val="00E2419F"/>
    <w:rsid w:val="00E2665A"/>
    <w:rsid w:val="00E3226F"/>
    <w:rsid w:val="00E366D6"/>
    <w:rsid w:val="00E376C4"/>
    <w:rsid w:val="00E46593"/>
    <w:rsid w:val="00E4793A"/>
    <w:rsid w:val="00E57F0D"/>
    <w:rsid w:val="00E63D8B"/>
    <w:rsid w:val="00E74849"/>
    <w:rsid w:val="00E749AF"/>
    <w:rsid w:val="00E81F4B"/>
    <w:rsid w:val="00E8261A"/>
    <w:rsid w:val="00E83F97"/>
    <w:rsid w:val="00E904C3"/>
    <w:rsid w:val="00E920C0"/>
    <w:rsid w:val="00E97659"/>
    <w:rsid w:val="00EA11BE"/>
    <w:rsid w:val="00EA4CE6"/>
    <w:rsid w:val="00EA5F6D"/>
    <w:rsid w:val="00EB5FBB"/>
    <w:rsid w:val="00EB7ACE"/>
    <w:rsid w:val="00EC644A"/>
    <w:rsid w:val="00EC6A3F"/>
    <w:rsid w:val="00ED6A94"/>
    <w:rsid w:val="00EE4F35"/>
    <w:rsid w:val="00EE7286"/>
    <w:rsid w:val="00EF05F5"/>
    <w:rsid w:val="00EF5A60"/>
    <w:rsid w:val="00EF5C60"/>
    <w:rsid w:val="00F118C4"/>
    <w:rsid w:val="00F11DAF"/>
    <w:rsid w:val="00F22F63"/>
    <w:rsid w:val="00F30554"/>
    <w:rsid w:val="00F348D2"/>
    <w:rsid w:val="00F40672"/>
    <w:rsid w:val="00F4325D"/>
    <w:rsid w:val="00F4485F"/>
    <w:rsid w:val="00F44B6A"/>
    <w:rsid w:val="00F521C7"/>
    <w:rsid w:val="00F569A2"/>
    <w:rsid w:val="00F56CCB"/>
    <w:rsid w:val="00F60108"/>
    <w:rsid w:val="00F60BF8"/>
    <w:rsid w:val="00F64863"/>
    <w:rsid w:val="00F846C2"/>
    <w:rsid w:val="00F902F2"/>
    <w:rsid w:val="00F960C1"/>
    <w:rsid w:val="00FA0331"/>
    <w:rsid w:val="00FA4C3D"/>
    <w:rsid w:val="00FA6DD0"/>
    <w:rsid w:val="00FB0768"/>
    <w:rsid w:val="00FB7CE1"/>
    <w:rsid w:val="00FC0359"/>
    <w:rsid w:val="00FC049C"/>
    <w:rsid w:val="00FC1C0E"/>
    <w:rsid w:val="00FC5ED8"/>
    <w:rsid w:val="00FF2516"/>
    <w:rsid w:val="00FF426F"/>
    <w:rsid w:val="00FF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F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table" w:styleId="TableGrid">
    <w:name w:val="Table Grid"/>
    <w:basedOn w:val="TableNormal"/>
    <w:rsid w:val="00D9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rsid w:val="008E07A8"/>
    <w:pPr>
      <w:widowControl/>
      <w:overflowPunct/>
      <w:autoSpaceDE/>
      <w:autoSpaceDN/>
      <w:adjustRightInd/>
      <w:textAlignment w:val="auto"/>
    </w:pPr>
    <w:rPr>
      <w:b/>
      <w:color w:val="FFFFFF"/>
      <w:szCs w:val="24"/>
      <w:lang w:eastAsia="en-GB"/>
    </w:rPr>
  </w:style>
  <w:style w:type="paragraph" w:styleId="CommentSubject">
    <w:name w:val="annotation subject"/>
    <w:basedOn w:val="CommentText"/>
    <w:next w:val="CommentText"/>
    <w:link w:val="CommentSubjectChar"/>
    <w:rsid w:val="00984EAD"/>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984EAD"/>
    <w:rPr>
      <w:rFonts w:ascii="Arial" w:hAnsi="Arial"/>
      <w:b/>
      <w:bCs/>
      <w:lang w:eastAsia="en-US"/>
    </w:rPr>
  </w:style>
  <w:style w:type="character" w:customStyle="1" w:styleId="Heading2Char">
    <w:name w:val="Heading 2 Char"/>
    <w:aliases w:val="Numbered - 2 Char"/>
    <w:basedOn w:val="DefaultParagraphFont"/>
    <w:link w:val="Heading2"/>
    <w:uiPriority w:val="9"/>
    <w:rsid w:val="00C5630B"/>
    <w:rPr>
      <w:rFonts w:ascii="Arial" w:hAnsi="Arial"/>
      <w:b/>
      <w:kern w:val="28"/>
      <w:sz w:val="24"/>
      <w:lang w:eastAsia="en-US"/>
    </w:rPr>
  </w:style>
  <w:style w:type="character" w:customStyle="1" w:styleId="HeaderChar">
    <w:name w:val="Header Char"/>
    <w:basedOn w:val="DefaultParagraphFont"/>
    <w:link w:val="Header"/>
    <w:uiPriority w:val="99"/>
    <w:rsid w:val="00B62931"/>
    <w:rPr>
      <w:rFonts w:ascii="Arial" w:hAnsi="Arial"/>
      <w:sz w:val="24"/>
      <w:lang w:eastAsia="en-US"/>
    </w:rPr>
  </w:style>
  <w:style w:type="character" w:customStyle="1" w:styleId="FooterChar">
    <w:name w:val="Footer Char"/>
    <w:basedOn w:val="DefaultParagraphFont"/>
    <w:link w:val="Footer"/>
    <w:uiPriority w:val="99"/>
    <w:rsid w:val="00E376C4"/>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table" w:styleId="TableGrid">
    <w:name w:val="Table Grid"/>
    <w:basedOn w:val="TableNormal"/>
    <w:rsid w:val="00D9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rsid w:val="008E07A8"/>
    <w:pPr>
      <w:widowControl/>
      <w:overflowPunct/>
      <w:autoSpaceDE/>
      <w:autoSpaceDN/>
      <w:adjustRightInd/>
      <w:textAlignment w:val="auto"/>
    </w:pPr>
    <w:rPr>
      <w:b/>
      <w:color w:val="FFFFFF"/>
      <w:szCs w:val="24"/>
      <w:lang w:eastAsia="en-GB"/>
    </w:rPr>
  </w:style>
  <w:style w:type="paragraph" w:styleId="CommentSubject">
    <w:name w:val="annotation subject"/>
    <w:basedOn w:val="CommentText"/>
    <w:next w:val="CommentText"/>
    <w:link w:val="CommentSubjectChar"/>
    <w:rsid w:val="00984EAD"/>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984EAD"/>
    <w:rPr>
      <w:rFonts w:ascii="Arial" w:hAnsi="Arial"/>
      <w:b/>
      <w:bCs/>
      <w:lang w:eastAsia="en-US"/>
    </w:rPr>
  </w:style>
  <w:style w:type="character" w:customStyle="1" w:styleId="Heading2Char">
    <w:name w:val="Heading 2 Char"/>
    <w:aliases w:val="Numbered - 2 Char"/>
    <w:basedOn w:val="DefaultParagraphFont"/>
    <w:link w:val="Heading2"/>
    <w:uiPriority w:val="9"/>
    <w:rsid w:val="00C5630B"/>
    <w:rPr>
      <w:rFonts w:ascii="Arial" w:hAnsi="Arial"/>
      <w:b/>
      <w:kern w:val="28"/>
      <w:sz w:val="24"/>
      <w:lang w:eastAsia="en-US"/>
    </w:rPr>
  </w:style>
  <w:style w:type="character" w:customStyle="1" w:styleId="HeaderChar">
    <w:name w:val="Header Char"/>
    <w:basedOn w:val="DefaultParagraphFont"/>
    <w:link w:val="Header"/>
    <w:uiPriority w:val="99"/>
    <w:rsid w:val="00B62931"/>
    <w:rPr>
      <w:rFonts w:ascii="Arial" w:hAnsi="Arial"/>
      <w:sz w:val="24"/>
      <w:lang w:eastAsia="en-US"/>
    </w:rPr>
  </w:style>
  <w:style w:type="character" w:customStyle="1" w:styleId="FooterChar">
    <w:name w:val="Footer Char"/>
    <w:basedOn w:val="DefaultParagraphFont"/>
    <w:link w:val="Footer"/>
    <w:uiPriority w:val="99"/>
    <w:rsid w:val="00E376C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3383">
      <w:bodyDiv w:val="1"/>
      <w:marLeft w:val="0"/>
      <w:marRight w:val="0"/>
      <w:marTop w:val="0"/>
      <w:marBottom w:val="0"/>
      <w:divBdr>
        <w:top w:val="none" w:sz="0" w:space="0" w:color="auto"/>
        <w:left w:val="none" w:sz="0" w:space="0" w:color="auto"/>
        <w:bottom w:val="none" w:sz="0" w:space="0" w:color="auto"/>
        <w:right w:val="none" w:sz="0" w:space="0" w:color="auto"/>
      </w:divBdr>
    </w:div>
    <w:div w:id="797841174">
      <w:bodyDiv w:val="1"/>
      <w:marLeft w:val="0"/>
      <w:marRight w:val="0"/>
      <w:marTop w:val="0"/>
      <w:marBottom w:val="0"/>
      <w:divBdr>
        <w:top w:val="none" w:sz="0" w:space="0" w:color="auto"/>
        <w:left w:val="none" w:sz="0" w:space="0" w:color="auto"/>
        <w:bottom w:val="none" w:sz="0" w:space="0" w:color="auto"/>
        <w:right w:val="none" w:sz="0" w:space="0" w:color="auto"/>
      </w:divBdr>
    </w:div>
    <w:div w:id="20227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HKPH4XM4QHZ4-1883831546-2370</_dlc_DocId>
    <_dlc_DocIdUrl xmlns="b8cb3cbd-ce5c-4a72-9da4-9013f91c5903">
      <Url>http://workplaces/sites/ttg/d/_layouts/DocIdRedir.aspx?ID=HKPH4XM4QHZ4-1883831546-2370</Url>
      <Description>HKPH4XM4QHZ4-1883831546-2370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Other briefing" ma:contentTypeID="0x0101007F645D6FBA204A029FECB8BFC6578C39005279853530254253B886E13194843F8A003AA4A7828D8545A79A93568014812349002741AE071A82164A951099DAC91C981E" ma:contentTypeVersion="10" ma:contentTypeDescription="For any briefing which is not in relation to a department policy. Records retained for 10 years." ma:contentTypeScope="" ma:versionID="abd293a70f62aa9918e800bccf3177c6">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f1ed8ca4c01d447e78761025de8a1810"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4812349"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20AD-6A30-474B-A38D-9DD98722032F}"/>
</file>

<file path=customXml/itemProps2.xml><?xml version="1.0" encoding="utf-8"?>
<ds:datastoreItem xmlns:ds="http://schemas.openxmlformats.org/officeDocument/2006/customXml" ds:itemID="{323EFAE5-661B-4E04-A512-C73AC9E9CE24}"/>
</file>

<file path=customXml/itemProps3.xml><?xml version="1.0" encoding="utf-8"?>
<ds:datastoreItem xmlns:ds="http://schemas.openxmlformats.org/officeDocument/2006/customXml" ds:itemID="{4A59D045-B0F2-4F2E-B883-F8A801916E75}"/>
</file>

<file path=customXml/itemProps4.xml><?xml version="1.0" encoding="utf-8"?>
<ds:datastoreItem xmlns:ds="http://schemas.openxmlformats.org/officeDocument/2006/customXml" ds:itemID="{FCD95AA3-EDB4-4EAE-A54C-A18F484BD2E0}"/>
</file>

<file path=customXml/itemProps5.xml><?xml version="1.0" encoding="utf-8"?>
<ds:datastoreItem xmlns:ds="http://schemas.openxmlformats.org/officeDocument/2006/customXml" ds:itemID="{E9258687-9CB4-44C9-9ACD-FC79EB696553}"/>
</file>

<file path=customXml/itemProps6.xml><?xml version="1.0" encoding="utf-8"?>
<ds:datastoreItem xmlns:ds="http://schemas.openxmlformats.org/officeDocument/2006/customXml" ds:itemID="{A117B90B-A593-4732-8DB4-F51EEA19AE3A}"/>
</file>

<file path=docProps/app.xml><?xml version="1.0" encoding="utf-8"?>
<Properties xmlns="http://schemas.openxmlformats.org/officeDocument/2006/extended-properties" xmlns:vt="http://schemas.openxmlformats.org/officeDocument/2006/docPropsVTypes">
  <Template>F8FCD0B8</Template>
  <TotalTime>13</TotalTime>
  <Pages>8</Pages>
  <Words>2678</Words>
  <Characters>14609</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Final finance, risk and audit paper for 3 June 15</vt:lpstr>
    </vt:vector>
  </TitlesOfParts>
  <Company>Employment Benefits</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finance, risk and audit paper for 3 June 15</dc:title>
  <dc:creator>WILLIAMS, Sue (CIOG)</dc:creator>
  <cp:lastModifiedBy>CAMMACK, Karen</cp:lastModifiedBy>
  <cp:revision>5</cp:revision>
  <cp:lastPrinted>2015-11-25T15:15:00Z</cp:lastPrinted>
  <dcterms:created xsi:type="dcterms:W3CDTF">2016-03-11T14:31:00Z</dcterms:created>
  <dcterms:modified xsi:type="dcterms:W3CDTF">2016-03-11T14:43:00Z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0x0101007F645D6FBA204A029FECB8BFC6578C39005279853530254253B886E13194843F8A003AA4A7828D8545A79A93568014812349002741AE071A82164A951099DAC91C981E</vt:lpwstr>
  </property>
  <property fmtid="{D5CDD505-2E9C-101B-9397-08002B2CF9AE}" pid="3" name="IWPOrganisationalUnit">
    <vt:lpwstr>5;#DfE|cc08a6d4-dfde-4d0f-bd85-069ebcef80d5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3;#Official|0884c477-2e62-47ea-b19c-5af6e91124c5</vt:lpwstr>
  </property>
  <property fmtid="{D5CDD505-2E9C-101B-9397-08002B2CF9AE}" pid="9" name="_dlc_DocIdItemGuid">
    <vt:lpwstr>eb7090e0-51fb-44e6-94e2-d2838204b050</vt:lpwstr>
  </property>
</Properties>
</file>