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CA870" w14:textId="77777777" w:rsidR="00533406" w:rsidRPr="00EB7ACE" w:rsidRDefault="00533406" w:rsidP="00C8363C">
      <w:pPr>
        <w:pStyle w:val="DeptBullets"/>
        <w:numPr>
          <w:ilvl w:val="0"/>
          <w:numId w:val="0"/>
        </w:numPr>
        <w:ind w:right="-99"/>
        <w:rPr>
          <w:rFonts w:asciiTheme="minorHAnsi" w:hAnsiTheme="minorHAnsi"/>
          <w:b/>
          <w:sz w:val="22"/>
          <w:szCs w:val="22"/>
        </w:rPr>
      </w:pPr>
      <w:bookmarkStart w:id="0" w:name="_GoBack"/>
      <w:bookmarkEnd w:id="0"/>
      <w:r w:rsidRPr="00EB7ACE">
        <w:rPr>
          <w:rFonts w:asciiTheme="minorHAnsi" w:hAnsiTheme="minorHAnsi"/>
          <w:b/>
          <w:sz w:val="22"/>
          <w:szCs w:val="22"/>
        </w:rPr>
        <w:t>T</w:t>
      </w:r>
      <w:r w:rsidR="00D901A6" w:rsidRPr="00EB7ACE">
        <w:rPr>
          <w:rFonts w:asciiTheme="minorHAnsi" w:hAnsiTheme="minorHAnsi"/>
          <w:b/>
          <w:sz w:val="22"/>
          <w:szCs w:val="22"/>
        </w:rPr>
        <w:t xml:space="preserve">eachers’ Pension Scheme </w:t>
      </w:r>
      <w:r w:rsidRPr="00EB7ACE">
        <w:rPr>
          <w:rFonts w:asciiTheme="minorHAnsi" w:hAnsiTheme="minorHAnsi"/>
          <w:b/>
          <w:sz w:val="22"/>
          <w:szCs w:val="22"/>
        </w:rPr>
        <w:t>Pension Board</w:t>
      </w:r>
      <w:r w:rsidR="00695F57">
        <w:rPr>
          <w:rFonts w:asciiTheme="minorHAnsi" w:hAnsiTheme="minorHAnsi"/>
          <w:b/>
          <w:sz w:val="22"/>
          <w:szCs w:val="22"/>
        </w:rPr>
        <w:t xml:space="preserve"> </w:t>
      </w:r>
      <w:r w:rsidR="00B62931">
        <w:rPr>
          <w:rFonts w:asciiTheme="minorHAnsi" w:hAnsiTheme="minorHAnsi"/>
          <w:b/>
          <w:sz w:val="22"/>
          <w:szCs w:val="22"/>
        </w:rPr>
        <w:t>Finance, Risk and Audit Report.</w:t>
      </w:r>
    </w:p>
    <w:p w14:paraId="3E66C56D" w14:textId="77777777" w:rsidR="002F6007" w:rsidRDefault="00533406" w:rsidP="002F6007">
      <w:pPr>
        <w:rPr>
          <w:rFonts w:ascii="Calibri" w:hAnsi="Calibri" w:cs="Calibri"/>
          <w:b/>
          <w:sz w:val="22"/>
          <w:szCs w:val="22"/>
          <w:u w:val="single"/>
        </w:rPr>
      </w:pPr>
      <w:r w:rsidRPr="00EB7ACE">
        <w:rPr>
          <w:rFonts w:asciiTheme="minorHAnsi" w:hAnsiTheme="minorHAnsi"/>
          <w:sz w:val="22"/>
          <w:szCs w:val="22"/>
        </w:rPr>
        <w:t xml:space="preserve">The purpose of this document is to advise the </w:t>
      </w:r>
      <w:r w:rsidR="00F11DAF" w:rsidRPr="00EB7ACE">
        <w:rPr>
          <w:rFonts w:asciiTheme="minorHAnsi" w:hAnsiTheme="minorHAnsi"/>
          <w:sz w:val="22"/>
          <w:szCs w:val="22"/>
        </w:rPr>
        <w:t>B</w:t>
      </w:r>
      <w:r w:rsidRPr="00EB7ACE">
        <w:rPr>
          <w:rFonts w:asciiTheme="minorHAnsi" w:hAnsiTheme="minorHAnsi"/>
          <w:sz w:val="22"/>
          <w:szCs w:val="22"/>
        </w:rPr>
        <w:t xml:space="preserve">oard of recent key events relating to the </w:t>
      </w:r>
      <w:r w:rsidR="002F6007">
        <w:rPr>
          <w:rFonts w:asciiTheme="minorHAnsi" w:hAnsiTheme="minorHAnsi"/>
          <w:sz w:val="22"/>
          <w:szCs w:val="22"/>
        </w:rPr>
        <w:t xml:space="preserve">financial management, risk and auditing of the </w:t>
      </w:r>
      <w:r w:rsidRPr="00EB7ACE">
        <w:rPr>
          <w:rFonts w:asciiTheme="minorHAnsi" w:hAnsiTheme="minorHAnsi"/>
          <w:sz w:val="22"/>
          <w:szCs w:val="22"/>
        </w:rPr>
        <w:t>scheme.</w:t>
      </w:r>
      <w:r w:rsidR="002F6007" w:rsidRPr="002F6007">
        <w:rPr>
          <w:rFonts w:ascii="Calibri" w:hAnsi="Calibri" w:cs="Calibri"/>
          <w:b/>
          <w:sz w:val="22"/>
          <w:szCs w:val="22"/>
          <w:u w:val="single"/>
        </w:rPr>
        <w:t xml:space="preserve"> </w:t>
      </w:r>
    </w:p>
    <w:p w14:paraId="07B0C04A" w14:textId="77777777" w:rsidR="002F6007" w:rsidRDefault="002F6007" w:rsidP="002F6007">
      <w:pPr>
        <w:rPr>
          <w:rFonts w:ascii="Calibri" w:hAnsi="Calibri" w:cs="Calibri"/>
          <w:b/>
          <w:sz w:val="22"/>
          <w:szCs w:val="22"/>
          <w:u w:val="single"/>
        </w:rPr>
      </w:pPr>
    </w:p>
    <w:p w14:paraId="22CD9A9F" w14:textId="77777777" w:rsidR="002F6007" w:rsidRDefault="00EE7286" w:rsidP="002F6007">
      <w:pPr>
        <w:jc w:val="center"/>
        <w:rPr>
          <w:rFonts w:ascii="Calibri" w:hAnsi="Calibri" w:cs="Calibri"/>
          <w:b/>
          <w:sz w:val="28"/>
          <w:szCs w:val="28"/>
        </w:rPr>
      </w:pPr>
      <w:r>
        <w:rPr>
          <w:rFonts w:ascii="Calibri" w:hAnsi="Calibri" w:cs="Calibri"/>
          <w:b/>
          <w:sz w:val="28"/>
          <w:szCs w:val="28"/>
        </w:rPr>
        <w:t>Finance</w:t>
      </w:r>
      <w:r w:rsidR="00000089">
        <w:rPr>
          <w:rFonts w:ascii="Calibri" w:hAnsi="Calibri" w:cs="Calibri"/>
          <w:b/>
          <w:sz w:val="28"/>
          <w:szCs w:val="28"/>
        </w:rPr>
        <w:t xml:space="preserve"> </w:t>
      </w:r>
    </w:p>
    <w:p w14:paraId="44B18108" w14:textId="77777777" w:rsidR="002F6007" w:rsidRPr="002F6007" w:rsidRDefault="002F6007" w:rsidP="002F6007">
      <w:pPr>
        <w:jc w:val="center"/>
        <w:rPr>
          <w:rFonts w:ascii="Calibri" w:hAnsi="Calibri" w:cs="Calibri"/>
          <w:b/>
          <w:sz w:val="28"/>
          <w:szCs w:val="28"/>
        </w:rPr>
      </w:pPr>
    </w:p>
    <w:tbl>
      <w:tblPr>
        <w:tblStyle w:val="TableGrid"/>
        <w:tblW w:w="0" w:type="auto"/>
        <w:tblInd w:w="108" w:type="dxa"/>
        <w:tblLook w:val="04A0" w:firstRow="1" w:lastRow="0" w:firstColumn="1" w:lastColumn="0" w:noHBand="0" w:noVBand="1"/>
      </w:tblPr>
      <w:tblGrid>
        <w:gridCol w:w="7230"/>
        <w:gridCol w:w="1134"/>
      </w:tblGrid>
      <w:tr w:rsidR="00DC6BD2" w:rsidRPr="00EB7ACE" w14:paraId="2CCB5F23" w14:textId="77777777" w:rsidTr="00DC6BD2">
        <w:tc>
          <w:tcPr>
            <w:tcW w:w="7230" w:type="dxa"/>
          </w:tcPr>
          <w:p w14:paraId="68AFDD61" w14:textId="77777777" w:rsidR="00DC6BD2" w:rsidRPr="00EB7ACE" w:rsidRDefault="00DC6BD2" w:rsidP="00311C8A">
            <w:pPr>
              <w:rPr>
                <w:rFonts w:asciiTheme="minorHAnsi" w:hAnsiTheme="minorHAnsi" w:cs="Arial"/>
                <w:b/>
                <w:color w:val="000000"/>
                <w:sz w:val="22"/>
                <w:szCs w:val="22"/>
                <w:lang w:eastAsia="en-GB"/>
              </w:rPr>
            </w:pPr>
          </w:p>
          <w:p w14:paraId="3DCCCB66" w14:textId="77777777" w:rsidR="00DC6BD2" w:rsidRPr="00EB7ACE" w:rsidRDefault="002F6007" w:rsidP="00311C8A">
            <w:pPr>
              <w:rPr>
                <w:rFonts w:asciiTheme="minorHAnsi" w:hAnsiTheme="minorHAnsi" w:cs="Arial"/>
                <w:b/>
                <w:color w:val="000000"/>
                <w:sz w:val="22"/>
                <w:szCs w:val="22"/>
                <w:lang w:eastAsia="en-GB"/>
              </w:rPr>
            </w:pPr>
            <w:r>
              <w:rPr>
                <w:rFonts w:asciiTheme="minorHAnsi" w:hAnsiTheme="minorHAnsi" w:cs="Arial"/>
                <w:b/>
                <w:color w:val="000000"/>
                <w:sz w:val="22"/>
                <w:szCs w:val="22"/>
                <w:lang w:eastAsia="en-GB"/>
              </w:rPr>
              <w:t>Cash Income and Expenditure</w:t>
            </w:r>
          </w:p>
          <w:p w14:paraId="74A3D6E0" w14:textId="77777777" w:rsidR="00DC6BD2" w:rsidRPr="00EB7ACE" w:rsidRDefault="00DC6BD2" w:rsidP="00311C8A">
            <w:pPr>
              <w:rPr>
                <w:rFonts w:asciiTheme="minorHAnsi" w:hAnsiTheme="minorHAnsi" w:cs="Arial"/>
                <w:b/>
                <w:sz w:val="22"/>
                <w:szCs w:val="22"/>
              </w:rPr>
            </w:pPr>
          </w:p>
        </w:tc>
        <w:tc>
          <w:tcPr>
            <w:tcW w:w="1134" w:type="dxa"/>
            <w:shd w:val="clear" w:color="auto" w:fill="00B050"/>
          </w:tcPr>
          <w:p w14:paraId="4C7752E0" w14:textId="77777777" w:rsidR="00DC6BD2" w:rsidRPr="00EB7ACE" w:rsidRDefault="00DC6BD2" w:rsidP="00311C8A">
            <w:pPr>
              <w:rPr>
                <w:rFonts w:asciiTheme="minorHAnsi" w:hAnsiTheme="minorHAnsi" w:cs="Calibri"/>
                <w:color w:val="00B050"/>
                <w:sz w:val="22"/>
                <w:szCs w:val="22"/>
              </w:rPr>
            </w:pPr>
          </w:p>
          <w:p w14:paraId="18B32CD3" w14:textId="77777777" w:rsidR="00DC6BD2" w:rsidRPr="00EB7ACE" w:rsidRDefault="00DC6BD2" w:rsidP="00DC6BD2">
            <w:pPr>
              <w:rPr>
                <w:rFonts w:asciiTheme="minorHAnsi" w:hAnsiTheme="minorHAnsi" w:cs="Calibri"/>
                <w:color w:val="00B050"/>
                <w:sz w:val="22"/>
                <w:szCs w:val="22"/>
              </w:rPr>
            </w:pPr>
          </w:p>
        </w:tc>
      </w:tr>
    </w:tbl>
    <w:p w14:paraId="110D9C4E" w14:textId="77777777" w:rsidR="00984EAD" w:rsidRPr="00984EAD" w:rsidRDefault="00984EAD" w:rsidP="00984EAD">
      <w:pPr>
        <w:pStyle w:val="ListParagraph"/>
        <w:widowControl/>
        <w:overflowPunct/>
        <w:autoSpaceDE/>
        <w:autoSpaceDN/>
        <w:adjustRightInd/>
        <w:spacing w:line="276" w:lineRule="auto"/>
        <w:textAlignment w:val="auto"/>
        <w:rPr>
          <w:rFonts w:cs="Arial"/>
          <w:sz w:val="20"/>
        </w:rPr>
      </w:pPr>
    </w:p>
    <w:p w14:paraId="523226F7" w14:textId="66C5234C" w:rsidR="005661A4" w:rsidRPr="005C2AB4" w:rsidRDefault="006F4284" w:rsidP="00481F37">
      <w:pPr>
        <w:pStyle w:val="ListParagraph"/>
        <w:widowControl/>
        <w:numPr>
          <w:ilvl w:val="0"/>
          <w:numId w:val="14"/>
        </w:numPr>
        <w:tabs>
          <w:tab w:val="left" w:pos="8222"/>
        </w:tabs>
        <w:overflowPunct/>
        <w:autoSpaceDE/>
        <w:autoSpaceDN/>
        <w:adjustRightInd/>
        <w:spacing w:line="276" w:lineRule="auto"/>
        <w:ind w:right="-58"/>
        <w:textAlignment w:val="auto"/>
        <w:rPr>
          <w:rFonts w:asciiTheme="minorHAnsi" w:hAnsiTheme="minorHAnsi" w:cs="Arial"/>
          <w:sz w:val="22"/>
          <w:szCs w:val="22"/>
        </w:rPr>
      </w:pPr>
      <w:r w:rsidRPr="00BF06D2">
        <w:rPr>
          <w:rFonts w:asciiTheme="minorHAnsi" w:hAnsiTheme="minorHAnsi"/>
          <w:color w:val="000000" w:themeColor="text1"/>
          <w:sz w:val="22"/>
          <w:szCs w:val="22"/>
        </w:rPr>
        <w:t xml:space="preserve">At the end of </w:t>
      </w:r>
      <w:r>
        <w:rPr>
          <w:rFonts w:asciiTheme="minorHAnsi" w:hAnsiTheme="minorHAnsi"/>
          <w:color w:val="000000" w:themeColor="text1"/>
          <w:sz w:val="22"/>
          <w:szCs w:val="22"/>
        </w:rPr>
        <w:t xml:space="preserve">July the </w:t>
      </w:r>
      <w:r w:rsidR="005661A4">
        <w:rPr>
          <w:rFonts w:asciiTheme="minorHAnsi" w:hAnsiTheme="minorHAnsi"/>
          <w:color w:val="000000" w:themeColor="text1"/>
          <w:sz w:val="22"/>
          <w:szCs w:val="22"/>
        </w:rPr>
        <w:t xml:space="preserve">scheme had received 1.5% less income in 2015-16 financial </w:t>
      </w:r>
      <w:r w:rsidR="00C8363C">
        <w:rPr>
          <w:rFonts w:asciiTheme="minorHAnsi" w:hAnsiTheme="minorHAnsi"/>
          <w:color w:val="000000" w:themeColor="text1"/>
          <w:sz w:val="22"/>
          <w:szCs w:val="22"/>
        </w:rPr>
        <w:t>y</w:t>
      </w:r>
      <w:r w:rsidR="005661A4">
        <w:rPr>
          <w:rFonts w:asciiTheme="minorHAnsi" w:hAnsiTheme="minorHAnsi"/>
          <w:color w:val="000000" w:themeColor="text1"/>
          <w:sz w:val="22"/>
          <w:szCs w:val="22"/>
        </w:rPr>
        <w:t xml:space="preserve">ear </w:t>
      </w:r>
      <w:r>
        <w:rPr>
          <w:rFonts w:asciiTheme="minorHAnsi" w:hAnsiTheme="minorHAnsi"/>
          <w:color w:val="000000" w:themeColor="text1"/>
          <w:sz w:val="22"/>
          <w:szCs w:val="22"/>
        </w:rPr>
        <w:t>tha</w:t>
      </w:r>
      <w:r w:rsidR="00471773">
        <w:rPr>
          <w:rFonts w:asciiTheme="minorHAnsi" w:hAnsiTheme="minorHAnsi"/>
          <w:color w:val="000000" w:themeColor="text1"/>
          <w:sz w:val="22"/>
          <w:szCs w:val="22"/>
        </w:rPr>
        <w:t>n</w:t>
      </w:r>
      <w:r w:rsidR="005661A4">
        <w:rPr>
          <w:rFonts w:asciiTheme="minorHAnsi" w:hAnsiTheme="minorHAnsi"/>
          <w:color w:val="000000" w:themeColor="text1"/>
          <w:sz w:val="22"/>
          <w:szCs w:val="22"/>
        </w:rPr>
        <w:t xml:space="preserve"> was</w:t>
      </w:r>
      <w:r w:rsidR="00471773">
        <w:rPr>
          <w:rFonts w:asciiTheme="minorHAnsi" w:hAnsiTheme="minorHAnsi"/>
          <w:color w:val="000000" w:themeColor="text1"/>
          <w:sz w:val="22"/>
          <w:szCs w:val="22"/>
        </w:rPr>
        <w:t xml:space="preserve"> anticipated - </w:t>
      </w:r>
      <w:r>
        <w:rPr>
          <w:rFonts w:asciiTheme="minorHAnsi" w:hAnsiTheme="minorHAnsi"/>
          <w:color w:val="000000" w:themeColor="text1"/>
          <w:sz w:val="22"/>
          <w:szCs w:val="22"/>
        </w:rPr>
        <w:t>equating to £29.8</w:t>
      </w:r>
      <w:r w:rsidRPr="00BF06D2">
        <w:rPr>
          <w:rFonts w:asciiTheme="minorHAnsi" w:hAnsiTheme="minorHAnsi"/>
          <w:color w:val="000000" w:themeColor="text1"/>
          <w:sz w:val="22"/>
          <w:szCs w:val="22"/>
        </w:rPr>
        <w:t xml:space="preserve">m on </w:t>
      </w:r>
      <w:r>
        <w:rPr>
          <w:rFonts w:asciiTheme="minorHAnsi" w:hAnsiTheme="minorHAnsi"/>
          <w:color w:val="000000" w:themeColor="text1"/>
          <w:sz w:val="22"/>
          <w:szCs w:val="22"/>
        </w:rPr>
        <w:t>a forecasted £1.94</w:t>
      </w:r>
      <w:r w:rsidRPr="00BF06D2">
        <w:rPr>
          <w:rFonts w:asciiTheme="minorHAnsi" w:hAnsiTheme="minorHAnsi"/>
          <w:color w:val="000000" w:themeColor="text1"/>
          <w:sz w:val="22"/>
          <w:szCs w:val="22"/>
        </w:rPr>
        <w:t>b</w:t>
      </w:r>
      <w:r w:rsidR="005661A4">
        <w:rPr>
          <w:rFonts w:asciiTheme="minorHAnsi" w:hAnsiTheme="minorHAnsi"/>
          <w:color w:val="000000" w:themeColor="text1"/>
          <w:sz w:val="22"/>
          <w:szCs w:val="22"/>
        </w:rPr>
        <w:t xml:space="preserve">.  The variance is </w:t>
      </w:r>
      <w:r w:rsidR="005661A4" w:rsidRPr="00794AAA">
        <w:rPr>
          <w:rFonts w:ascii="Calibri" w:hAnsi="Calibri" w:cs="Calibri"/>
          <w:sz w:val="22"/>
          <w:szCs w:val="22"/>
        </w:rPr>
        <w:t xml:space="preserve">solely attributable to </w:t>
      </w:r>
      <w:r w:rsidR="005661A4">
        <w:rPr>
          <w:rFonts w:ascii="Calibri" w:hAnsi="Calibri" w:cs="Calibri"/>
          <w:sz w:val="22"/>
          <w:szCs w:val="22"/>
        </w:rPr>
        <w:t xml:space="preserve">a shortfall in </w:t>
      </w:r>
      <w:r w:rsidR="005661A4" w:rsidRPr="00794AAA">
        <w:rPr>
          <w:rFonts w:ascii="Calibri" w:hAnsi="Calibri" w:cs="Calibri"/>
          <w:sz w:val="22"/>
          <w:szCs w:val="22"/>
        </w:rPr>
        <w:t>contributions</w:t>
      </w:r>
      <w:r w:rsidR="005661A4">
        <w:rPr>
          <w:rFonts w:ascii="Calibri" w:hAnsi="Calibri" w:cs="Calibri"/>
          <w:sz w:val="22"/>
          <w:szCs w:val="22"/>
        </w:rPr>
        <w:t>.  On a positive note, t</w:t>
      </w:r>
      <w:r w:rsidR="005661A4" w:rsidRPr="00794AAA">
        <w:rPr>
          <w:rFonts w:ascii="Calibri" w:hAnsi="Calibri" w:cs="Calibri"/>
          <w:sz w:val="22"/>
          <w:szCs w:val="22"/>
        </w:rPr>
        <w:t xml:space="preserve">he </w:t>
      </w:r>
      <w:r w:rsidR="005661A4">
        <w:rPr>
          <w:rFonts w:ascii="Calibri" w:hAnsi="Calibri" w:cs="Calibri"/>
          <w:sz w:val="22"/>
          <w:szCs w:val="22"/>
        </w:rPr>
        <w:t xml:space="preserve">under collection of contributions continues to reduce and in July </w:t>
      </w:r>
      <w:r w:rsidR="005661A4" w:rsidRPr="00794AAA">
        <w:rPr>
          <w:rFonts w:ascii="Calibri" w:hAnsi="Calibri" w:cs="Calibri"/>
          <w:sz w:val="22"/>
          <w:szCs w:val="22"/>
        </w:rPr>
        <w:t xml:space="preserve">was half that seen in </w:t>
      </w:r>
      <w:r w:rsidR="005661A4">
        <w:rPr>
          <w:rFonts w:ascii="Calibri" w:hAnsi="Calibri" w:cs="Calibri"/>
          <w:sz w:val="22"/>
          <w:szCs w:val="22"/>
        </w:rPr>
        <w:t>June at £4.1m</w:t>
      </w:r>
      <w:r w:rsidR="005661A4" w:rsidRPr="00794AAA">
        <w:rPr>
          <w:rFonts w:ascii="Calibri" w:hAnsi="Calibri" w:cs="Calibri"/>
          <w:sz w:val="22"/>
          <w:szCs w:val="22"/>
        </w:rPr>
        <w:t xml:space="preserve"> or 0.8% less than fo</w:t>
      </w:r>
      <w:r w:rsidR="005661A4">
        <w:rPr>
          <w:rFonts w:ascii="Calibri" w:hAnsi="Calibri" w:cs="Calibri"/>
          <w:sz w:val="22"/>
          <w:szCs w:val="22"/>
        </w:rPr>
        <w:t>recast.</w:t>
      </w:r>
    </w:p>
    <w:p w14:paraId="690DA845" w14:textId="77777777" w:rsidR="005661A4" w:rsidRPr="005C2AB4" w:rsidRDefault="005661A4" w:rsidP="005C2AB4">
      <w:pPr>
        <w:pStyle w:val="ListParagraph"/>
        <w:widowControl/>
        <w:overflowPunct/>
        <w:autoSpaceDE/>
        <w:autoSpaceDN/>
        <w:adjustRightInd/>
        <w:spacing w:line="276" w:lineRule="auto"/>
        <w:ind w:right="611"/>
        <w:textAlignment w:val="auto"/>
        <w:rPr>
          <w:rFonts w:asciiTheme="minorHAnsi" w:hAnsiTheme="minorHAnsi" w:cs="Arial"/>
          <w:sz w:val="22"/>
          <w:szCs w:val="22"/>
        </w:rPr>
      </w:pPr>
    </w:p>
    <w:p w14:paraId="4BFD5767" w14:textId="4C54F504" w:rsidR="006F4284" w:rsidRPr="00BF06D2" w:rsidRDefault="005661A4" w:rsidP="00481F37">
      <w:pPr>
        <w:pStyle w:val="ListParagraph"/>
        <w:widowControl/>
        <w:numPr>
          <w:ilvl w:val="0"/>
          <w:numId w:val="14"/>
        </w:numPr>
        <w:overflowPunct/>
        <w:autoSpaceDE/>
        <w:autoSpaceDN/>
        <w:adjustRightInd/>
        <w:spacing w:line="276" w:lineRule="auto"/>
        <w:ind w:right="-58"/>
        <w:textAlignment w:val="auto"/>
        <w:rPr>
          <w:rFonts w:asciiTheme="minorHAnsi" w:hAnsiTheme="minorHAnsi" w:cs="Arial"/>
          <w:sz w:val="22"/>
          <w:szCs w:val="22"/>
        </w:rPr>
      </w:pPr>
      <w:r>
        <w:rPr>
          <w:rFonts w:asciiTheme="minorHAnsi" w:hAnsiTheme="minorHAnsi"/>
          <w:color w:val="000000" w:themeColor="text1"/>
          <w:sz w:val="22"/>
          <w:szCs w:val="22"/>
        </w:rPr>
        <w:t>T</w:t>
      </w:r>
      <w:r w:rsidR="006F4284">
        <w:rPr>
          <w:rFonts w:asciiTheme="minorHAnsi" w:hAnsiTheme="minorHAnsi" w:cs="Arial"/>
          <w:sz w:val="22"/>
          <w:szCs w:val="22"/>
        </w:rPr>
        <w:t xml:space="preserve">he </w:t>
      </w:r>
      <w:r>
        <w:rPr>
          <w:rFonts w:asciiTheme="minorHAnsi" w:hAnsiTheme="minorHAnsi" w:cs="Arial"/>
          <w:sz w:val="22"/>
          <w:szCs w:val="22"/>
        </w:rPr>
        <w:t xml:space="preserve">year-to-date </w:t>
      </w:r>
      <w:r w:rsidR="006F4284" w:rsidRPr="00BF06D2">
        <w:rPr>
          <w:rFonts w:asciiTheme="minorHAnsi" w:hAnsiTheme="minorHAnsi" w:cs="Arial"/>
          <w:sz w:val="22"/>
          <w:szCs w:val="22"/>
        </w:rPr>
        <w:t xml:space="preserve">expenditure variance </w:t>
      </w:r>
      <w:r w:rsidR="00BA1580">
        <w:rPr>
          <w:rFonts w:asciiTheme="minorHAnsi" w:hAnsiTheme="minorHAnsi" w:cs="Arial"/>
          <w:sz w:val="22"/>
          <w:szCs w:val="22"/>
        </w:rPr>
        <w:t>by comparison was 0% or just £0.1m</w:t>
      </w:r>
      <w:r w:rsidR="006F4284">
        <w:rPr>
          <w:rFonts w:asciiTheme="minorHAnsi" w:hAnsiTheme="minorHAnsi" w:cs="Arial"/>
          <w:sz w:val="22"/>
          <w:szCs w:val="22"/>
        </w:rPr>
        <w:t xml:space="preserve"> under</w:t>
      </w:r>
      <w:r w:rsidR="006F4284" w:rsidRPr="00BF06D2">
        <w:rPr>
          <w:rFonts w:asciiTheme="minorHAnsi" w:hAnsiTheme="minorHAnsi" w:cs="Arial"/>
          <w:sz w:val="22"/>
          <w:szCs w:val="22"/>
        </w:rPr>
        <w:t xml:space="preserve"> the forecast</w:t>
      </w:r>
      <w:r w:rsidR="006F4284">
        <w:rPr>
          <w:rFonts w:asciiTheme="minorHAnsi" w:hAnsiTheme="minorHAnsi" w:cs="Arial"/>
          <w:sz w:val="22"/>
          <w:szCs w:val="22"/>
        </w:rPr>
        <w:t xml:space="preserve"> of £2.98b</w:t>
      </w:r>
      <w:r w:rsidR="006F4284" w:rsidRPr="00BF06D2">
        <w:rPr>
          <w:rFonts w:asciiTheme="minorHAnsi" w:hAnsiTheme="minorHAnsi" w:cs="Arial"/>
          <w:sz w:val="22"/>
          <w:szCs w:val="22"/>
        </w:rPr>
        <w:t>.</w:t>
      </w:r>
      <w:r w:rsidR="006F4284">
        <w:rPr>
          <w:rFonts w:asciiTheme="minorHAnsi" w:hAnsiTheme="minorHAnsi" w:cs="Arial"/>
          <w:sz w:val="22"/>
          <w:szCs w:val="22"/>
        </w:rPr>
        <w:t xml:space="preserve"> This wa</w:t>
      </w:r>
      <w:r w:rsidR="006F4284" w:rsidRPr="00BF06D2">
        <w:rPr>
          <w:rFonts w:asciiTheme="minorHAnsi" w:hAnsiTheme="minorHAnsi" w:cs="Arial"/>
          <w:sz w:val="22"/>
          <w:szCs w:val="22"/>
        </w:rPr>
        <w:t>s</w:t>
      </w:r>
      <w:r w:rsidR="006F4284">
        <w:rPr>
          <w:rFonts w:asciiTheme="minorHAnsi" w:hAnsiTheme="minorHAnsi" w:cs="Arial"/>
          <w:sz w:val="22"/>
          <w:szCs w:val="22"/>
        </w:rPr>
        <w:t xml:space="preserve"> despite </w:t>
      </w:r>
      <w:r>
        <w:rPr>
          <w:rFonts w:asciiTheme="minorHAnsi" w:hAnsiTheme="minorHAnsi" w:cs="Arial"/>
          <w:sz w:val="22"/>
          <w:szCs w:val="22"/>
        </w:rPr>
        <w:t xml:space="preserve">an </w:t>
      </w:r>
      <w:r w:rsidR="006F4284">
        <w:rPr>
          <w:rFonts w:asciiTheme="minorHAnsi" w:hAnsiTheme="minorHAnsi" w:cs="Arial"/>
          <w:sz w:val="22"/>
          <w:szCs w:val="22"/>
        </w:rPr>
        <w:t xml:space="preserve">additional £38m in respect of ‘transfer out’ expenditure incurred in May as a result of the deadline for the cessation of overseas transfers from Defined Benefit schemes. </w:t>
      </w:r>
    </w:p>
    <w:p w14:paraId="2C201AA9" w14:textId="77777777" w:rsidR="00471773" w:rsidRPr="00471773" w:rsidRDefault="00471773" w:rsidP="00471773">
      <w:pPr>
        <w:rPr>
          <w:rFonts w:ascii="Calibri" w:hAnsi="Calibri" w:cs="Calibri"/>
          <w:sz w:val="22"/>
          <w:szCs w:val="22"/>
        </w:rPr>
      </w:pPr>
    </w:p>
    <w:p w14:paraId="66AB8349" w14:textId="48D53A48" w:rsidR="000C4018" w:rsidRDefault="001E774E" w:rsidP="00481F37">
      <w:pPr>
        <w:pStyle w:val="ListParagraph"/>
        <w:numPr>
          <w:ilvl w:val="0"/>
          <w:numId w:val="14"/>
        </w:numPr>
        <w:ind w:right="-58"/>
        <w:rPr>
          <w:rFonts w:ascii="Calibri" w:hAnsi="Calibri" w:cs="Calibri"/>
          <w:sz w:val="22"/>
          <w:szCs w:val="22"/>
        </w:rPr>
      </w:pPr>
      <w:r w:rsidRPr="000C4018">
        <w:rPr>
          <w:rFonts w:asciiTheme="minorHAnsi" w:hAnsiTheme="minorHAnsi"/>
          <w:color w:val="000000" w:themeColor="text1"/>
          <w:sz w:val="22"/>
          <w:szCs w:val="22"/>
        </w:rPr>
        <w:t xml:space="preserve">Expenditure </w:t>
      </w:r>
      <w:r w:rsidR="000C4018">
        <w:rPr>
          <w:rFonts w:asciiTheme="minorHAnsi" w:hAnsiTheme="minorHAnsi"/>
          <w:color w:val="000000" w:themeColor="text1"/>
          <w:sz w:val="22"/>
          <w:szCs w:val="22"/>
        </w:rPr>
        <w:t>for July was 2.2</w:t>
      </w:r>
      <w:r w:rsidRPr="000C4018">
        <w:rPr>
          <w:rFonts w:asciiTheme="minorHAnsi" w:hAnsiTheme="minorHAnsi"/>
          <w:color w:val="000000" w:themeColor="text1"/>
          <w:sz w:val="22"/>
          <w:szCs w:val="22"/>
        </w:rPr>
        <w:t>% (</w:t>
      </w:r>
      <w:r w:rsidR="000C4018">
        <w:rPr>
          <w:rFonts w:asciiTheme="minorHAnsi" w:hAnsiTheme="minorHAnsi"/>
          <w:color w:val="000000" w:themeColor="text1"/>
          <w:sz w:val="22"/>
          <w:szCs w:val="22"/>
        </w:rPr>
        <w:t>£16.1</w:t>
      </w:r>
      <w:r w:rsidRPr="000C4018">
        <w:rPr>
          <w:rFonts w:asciiTheme="minorHAnsi" w:hAnsiTheme="minorHAnsi"/>
          <w:color w:val="000000" w:themeColor="text1"/>
          <w:sz w:val="22"/>
          <w:szCs w:val="22"/>
        </w:rPr>
        <w:t>m) less than</w:t>
      </w:r>
      <w:r w:rsidRPr="000C4018">
        <w:rPr>
          <w:rFonts w:asciiTheme="minorHAnsi" w:hAnsiTheme="minorHAnsi"/>
          <w:sz w:val="22"/>
          <w:szCs w:val="22"/>
        </w:rPr>
        <w:t xml:space="preserve"> forecast, the main drivers being </w:t>
      </w:r>
      <w:r w:rsidR="000C4018">
        <w:rPr>
          <w:rFonts w:ascii="Calibri" w:hAnsi="Calibri" w:cs="Calibri"/>
          <w:sz w:val="22"/>
          <w:szCs w:val="22"/>
        </w:rPr>
        <w:t>Age, Premature and AAB pensions which were all under</w:t>
      </w:r>
      <w:r w:rsidR="005661A4">
        <w:rPr>
          <w:rFonts w:ascii="Calibri" w:hAnsi="Calibri" w:cs="Calibri"/>
          <w:sz w:val="22"/>
          <w:szCs w:val="22"/>
        </w:rPr>
        <w:t xml:space="preserve"> forecast</w:t>
      </w:r>
      <w:r w:rsidR="000C4018">
        <w:rPr>
          <w:rFonts w:ascii="Calibri" w:hAnsi="Calibri" w:cs="Calibri"/>
          <w:sz w:val="22"/>
          <w:szCs w:val="22"/>
        </w:rPr>
        <w:t xml:space="preserve"> at £4.9m, £3.3m and £3.3m respectively. Additionally Transfers Out was £5.9m under estimate</w:t>
      </w:r>
      <w:r w:rsidR="005661A4">
        <w:rPr>
          <w:rFonts w:ascii="Calibri" w:hAnsi="Calibri" w:cs="Calibri"/>
          <w:sz w:val="22"/>
          <w:szCs w:val="22"/>
        </w:rPr>
        <w:t xml:space="preserve">, however </w:t>
      </w:r>
      <w:r w:rsidR="009D5DF9">
        <w:rPr>
          <w:rFonts w:ascii="Calibri" w:hAnsi="Calibri" w:cs="Calibri"/>
          <w:sz w:val="22"/>
          <w:szCs w:val="22"/>
        </w:rPr>
        <w:t xml:space="preserve">this account </w:t>
      </w:r>
      <w:r w:rsidR="005661A4">
        <w:rPr>
          <w:rFonts w:ascii="Calibri" w:hAnsi="Calibri" w:cs="Calibri"/>
          <w:sz w:val="22"/>
          <w:szCs w:val="22"/>
        </w:rPr>
        <w:t xml:space="preserve">continues to </w:t>
      </w:r>
      <w:r w:rsidR="009D5DF9">
        <w:rPr>
          <w:rFonts w:ascii="Calibri" w:hAnsi="Calibri" w:cs="Calibri"/>
          <w:sz w:val="22"/>
          <w:szCs w:val="22"/>
        </w:rPr>
        <w:t>fall steadily back in line with the year to date forecast</w:t>
      </w:r>
      <w:r w:rsidR="000C4018">
        <w:rPr>
          <w:rFonts w:ascii="Calibri" w:hAnsi="Calibri" w:cs="Calibri"/>
          <w:sz w:val="22"/>
          <w:szCs w:val="22"/>
        </w:rPr>
        <w:t xml:space="preserve">. </w:t>
      </w:r>
    </w:p>
    <w:p w14:paraId="5CD862B5" w14:textId="77777777" w:rsidR="00FA6DD0" w:rsidRPr="00FA6DD0" w:rsidRDefault="00FA6DD0" w:rsidP="00FA6DD0">
      <w:pPr>
        <w:pStyle w:val="ListParagraph"/>
        <w:rPr>
          <w:rFonts w:ascii="Calibri" w:hAnsi="Calibri" w:cs="Calibri"/>
          <w:sz w:val="22"/>
          <w:szCs w:val="22"/>
        </w:rPr>
      </w:pPr>
    </w:p>
    <w:p w14:paraId="744F95C3" w14:textId="11E9DA1D" w:rsidR="000C4018" w:rsidRPr="00FA6DD0" w:rsidRDefault="00FA6DD0" w:rsidP="00481F37">
      <w:pPr>
        <w:pStyle w:val="ListParagraph"/>
        <w:numPr>
          <w:ilvl w:val="0"/>
          <w:numId w:val="14"/>
        </w:numPr>
        <w:ind w:right="-58"/>
        <w:rPr>
          <w:rFonts w:ascii="Calibri" w:hAnsi="Calibri" w:cs="Calibri"/>
          <w:sz w:val="22"/>
          <w:szCs w:val="22"/>
        </w:rPr>
      </w:pPr>
      <w:r w:rsidRPr="00AB4A1C">
        <w:rPr>
          <w:rFonts w:asciiTheme="minorHAnsi" w:hAnsiTheme="minorHAnsi"/>
          <w:color w:val="000000" w:themeColor="text1"/>
          <w:sz w:val="22"/>
          <w:szCs w:val="22"/>
        </w:rPr>
        <w:t xml:space="preserve">From a net cash requirement perspective </w:t>
      </w:r>
      <w:r w:rsidR="005661A4">
        <w:rPr>
          <w:rFonts w:asciiTheme="minorHAnsi" w:hAnsiTheme="minorHAnsi"/>
          <w:color w:val="000000" w:themeColor="text1"/>
          <w:sz w:val="22"/>
          <w:szCs w:val="22"/>
        </w:rPr>
        <w:t xml:space="preserve">we anticipate </w:t>
      </w:r>
      <w:r w:rsidRPr="00AB4A1C">
        <w:rPr>
          <w:rFonts w:asciiTheme="minorHAnsi" w:hAnsiTheme="minorHAnsi"/>
          <w:color w:val="000000" w:themeColor="text1"/>
          <w:sz w:val="22"/>
          <w:szCs w:val="22"/>
        </w:rPr>
        <w:t>a £44m surplus</w:t>
      </w:r>
      <w:r w:rsidR="005661A4">
        <w:rPr>
          <w:rFonts w:asciiTheme="minorHAnsi" w:hAnsiTheme="minorHAnsi"/>
          <w:color w:val="000000" w:themeColor="text1"/>
          <w:sz w:val="22"/>
          <w:szCs w:val="22"/>
        </w:rPr>
        <w:t xml:space="preserve"> at year end, based on current forecasts</w:t>
      </w:r>
      <w:r w:rsidRPr="00AB4A1C">
        <w:rPr>
          <w:rFonts w:asciiTheme="minorHAnsi" w:hAnsiTheme="minorHAnsi"/>
          <w:color w:val="000000" w:themeColor="text1"/>
          <w:sz w:val="22"/>
          <w:szCs w:val="22"/>
        </w:rPr>
        <w:t>.</w:t>
      </w:r>
      <w:r>
        <w:rPr>
          <w:rFonts w:asciiTheme="minorHAnsi" w:hAnsiTheme="minorHAnsi"/>
          <w:sz w:val="22"/>
          <w:szCs w:val="22"/>
        </w:rPr>
        <w:t xml:space="preserve">  </w:t>
      </w:r>
    </w:p>
    <w:p w14:paraId="2C315C24" w14:textId="77777777" w:rsidR="000C4018" w:rsidRPr="000C4018" w:rsidRDefault="000C4018" w:rsidP="000C4018">
      <w:pPr>
        <w:pStyle w:val="ListParagraph"/>
        <w:ind w:right="611"/>
        <w:rPr>
          <w:rFonts w:ascii="Calibri" w:hAnsi="Calibri" w:cs="Calibri"/>
          <w:sz w:val="22"/>
          <w:szCs w:val="22"/>
        </w:rPr>
      </w:pPr>
    </w:p>
    <w:tbl>
      <w:tblPr>
        <w:tblStyle w:val="TableGrid"/>
        <w:tblW w:w="0" w:type="auto"/>
        <w:tblInd w:w="108" w:type="dxa"/>
        <w:tblLook w:val="04A0" w:firstRow="1" w:lastRow="0" w:firstColumn="1" w:lastColumn="0" w:noHBand="0" w:noVBand="1"/>
      </w:tblPr>
      <w:tblGrid>
        <w:gridCol w:w="7230"/>
        <w:gridCol w:w="1134"/>
      </w:tblGrid>
      <w:tr w:rsidR="00DC6BD2" w:rsidRPr="00EB7ACE" w14:paraId="4E767471" w14:textId="77777777" w:rsidTr="00DC6BD2">
        <w:tc>
          <w:tcPr>
            <w:tcW w:w="7230" w:type="dxa"/>
          </w:tcPr>
          <w:p w14:paraId="7CA8A61E" w14:textId="77777777" w:rsidR="00DC6BD2" w:rsidRPr="00EB7ACE" w:rsidRDefault="00DC6BD2" w:rsidP="00311C8A">
            <w:pPr>
              <w:rPr>
                <w:rFonts w:asciiTheme="minorHAnsi" w:hAnsiTheme="minorHAnsi" w:cs="Arial"/>
                <w:b/>
                <w:color w:val="000000"/>
                <w:sz w:val="22"/>
                <w:szCs w:val="22"/>
                <w:lang w:eastAsia="en-GB"/>
              </w:rPr>
            </w:pPr>
          </w:p>
          <w:p w14:paraId="6CF9D351" w14:textId="77777777" w:rsidR="00DC6BD2" w:rsidRPr="00EB7ACE" w:rsidRDefault="00E749AF" w:rsidP="00311C8A">
            <w:pPr>
              <w:rPr>
                <w:rFonts w:asciiTheme="minorHAnsi" w:hAnsiTheme="minorHAnsi" w:cs="Arial"/>
                <w:b/>
                <w:color w:val="000000"/>
                <w:sz w:val="22"/>
                <w:szCs w:val="22"/>
                <w:lang w:eastAsia="en-GB"/>
              </w:rPr>
            </w:pPr>
            <w:r>
              <w:rPr>
                <w:rFonts w:asciiTheme="minorHAnsi" w:hAnsiTheme="minorHAnsi" w:cs="Arial"/>
                <w:b/>
                <w:color w:val="000000"/>
                <w:sz w:val="22"/>
                <w:szCs w:val="22"/>
                <w:lang w:eastAsia="en-GB"/>
              </w:rPr>
              <w:t>TPS</w:t>
            </w:r>
            <w:r w:rsidR="002F6007" w:rsidRPr="002F6007">
              <w:rPr>
                <w:rFonts w:asciiTheme="minorHAnsi" w:hAnsiTheme="minorHAnsi" w:cs="Arial"/>
                <w:b/>
                <w:color w:val="000000"/>
                <w:sz w:val="22"/>
                <w:szCs w:val="22"/>
                <w:lang w:eastAsia="en-GB"/>
              </w:rPr>
              <w:t xml:space="preserve"> Forecasting Exercises </w:t>
            </w:r>
          </w:p>
          <w:p w14:paraId="472CC562" w14:textId="77777777" w:rsidR="00DC6BD2" w:rsidRPr="00EB7ACE" w:rsidRDefault="00DC6BD2" w:rsidP="00311C8A">
            <w:pPr>
              <w:rPr>
                <w:rFonts w:asciiTheme="minorHAnsi" w:hAnsiTheme="minorHAnsi" w:cs="Arial"/>
                <w:b/>
                <w:sz w:val="22"/>
                <w:szCs w:val="22"/>
              </w:rPr>
            </w:pPr>
          </w:p>
        </w:tc>
        <w:tc>
          <w:tcPr>
            <w:tcW w:w="1134" w:type="dxa"/>
            <w:shd w:val="clear" w:color="auto" w:fill="00B050"/>
          </w:tcPr>
          <w:p w14:paraId="1B9D1D4A" w14:textId="77777777" w:rsidR="00DC6BD2" w:rsidRPr="00EB7ACE" w:rsidRDefault="00DC6BD2" w:rsidP="00311C8A">
            <w:pPr>
              <w:rPr>
                <w:rFonts w:asciiTheme="minorHAnsi" w:hAnsiTheme="minorHAnsi" w:cs="Calibri"/>
                <w:sz w:val="22"/>
                <w:szCs w:val="22"/>
              </w:rPr>
            </w:pPr>
          </w:p>
          <w:p w14:paraId="75796DCE" w14:textId="77777777" w:rsidR="00DC6BD2" w:rsidRPr="00EB7ACE" w:rsidRDefault="00DC6BD2" w:rsidP="00DC6BD2">
            <w:pPr>
              <w:rPr>
                <w:rFonts w:asciiTheme="minorHAnsi" w:hAnsiTheme="minorHAnsi" w:cs="Calibri"/>
                <w:sz w:val="22"/>
                <w:szCs w:val="22"/>
              </w:rPr>
            </w:pPr>
          </w:p>
        </w:tc>
      </w:tr>
    </w:tbl>
    <w:p w14:paraId="315DEF97" w14:textId="77777777" w:rsidR="00CE4249" w:rsidRPr="00EB7ACE" w:rsidRDefault="00CE4249" w:rsidP="00AF1C07">
      <w:pPr>
        <w:pStyle w:val="DeptBullets"/>
        <w:numPr>
          <w:ilvl w:val="0"/>
          <w:numId w:val="0"/>
        </w:numPr>
        <w:rPr>
          <w:rFonts w:asciiTheme="minorHAnsi" w:hAnsiTheme="minorHAnsi"/>
          <w:b/>
          <w:sz w:val="22"/>
          <w:szCs w:val="22"/>
        </w:rPr>
      </w:pPr>
    </w:p>
    <w:p w14:paraId="72486FDE" w14:textId="09306B6B" w:rsidR="00844135" w:rsidRPr="00844135" w:rsidRDefault="000C4018" w:rsidP="00481F37">
      <w:pPr>
        <w:pStyle w:val="ListParagraph"/>
        <w:numPr>
          <w:ilvl w:val="0"/>
          <w:numId w:val="14"/>
        </w:numPr>
        <w:ind w:right="-58"/>
        <w:rPr>
          <w:rFonts w:ascii="Calibri" w:hAnsi="Calibri" w:cs="Calibri"/>
          <w:sz w:val="22"/>
          <w:szCs w:val="22"/>
        </w:rPr>
      </w:pPr>
      <w:r w:rsidRPr="000C4018">
        <w:rPr>
          <w:rFonts w:asciiTheme="minorHAnsi" w:hAnsiTheme="minorHAnsi"/>
          <w:sz w:val="22"/>
          <w:szCs w:val="22"/>
        </w:rPr>
        <w:t>All accounts will be reviewed and realigned at the Autumn Offi</w:t>
      </w:r>
      <w:r w:rsidR="009E525D">
        <w:rPr>
          <w:rFonts w:asciiTheme="minorHAnsi" w:hAnsiTheme="minorHAnsi"/>
          <w:sz w:val="22"/>
          <w:szCs w:val="22"/>
        </w:rPr>
        <w:t xml:space="preserve">ce of Budgetary Responsibility </w:t>
      </w:r>
      <w:r w:rsidR="005661A4">
        <w:rPr>
          <w:rFonts w:asciiTheme="minorHAnsi" w:hAnsiTheme="minorHAnsi"/>
          <w:sz w:val="22"/>
          <w:szCs w:val="22"/>
        </w:rPr>
        <w:t xml:space="preserve">(OBR) </w:t>
      </w:r>
      <w:r w:rsidRPr="000C4018">
        <w:rPr>
          <w:rFonts w:asciiTheme="minorHAnsi" w:hAnsiTheme="minorHAnsi"/>
          <w:sz w:val="22"/>
          <w:szCs w:val="22"/>
        </w:rPr>
        <w:t>exercise</w:t>
      </w:r>
      <w:r w:rsidR="005661A4">
        <w:rPr>
          <w:rFonts w:asciiTheme="minorHAnsi" w:hAnsiTheme="minorHAnsi"/>
          <w:sz w:val="22"/>
          <w:szCs w:val="22"/>
        </w:rPr>
        <w:t>, which is</w:t>
      </w:r>
      <w:r w:rsidR="009E525D">
        <w:rPr>
          <w:rFonts w:asciiTheme="minorHAnsi" w:hAnsiTheme="minorHAnsi"/>
          <w:sz w:val="22"/>
          <w:szCs w:val="22"/>
        </w:rPr>
        <w:t xml:space="preserve"> currently underway</w:t>
      </w:r>
      <w:r w:rsidRPr="000C4018">
        <w:rPr>
          <w:rFonts w:asciiTheme="minorHAnsi" w:hAnsiTheme="minorHAnsi"/>
          <w:sz w:val="22"/>
          <w:szCs w:val="22"/>
        </w:rPr>
        <w:t>.</w:t>
      </w:r>
      <w:r w:rsidR="009E525D">
        <w:rPr>
          <w:rFonts w:asciiTheme="minorHAnsi" w:hAnsiTheme="minorHAnsi"/>
          <w:sz w:val="22"/>
          <w:szCs w:val="22"/>
        </w:rPr>
        <w:t xml:space="preserve"> Although the O</w:t>
      </w:r>
      <w:r w:rsidR="005661A4">
        <w:rPr>
          <w:rFonts w:asciiTheme="minorHAnsi" w:hAnsiTheme="minorHAnsi"/>
          <w:sz w:val="22"/>
          <w:szCs w:val="22"/>
        </w:rPr>
        <w:t>BR</w:t>
      </w:r>
      <w:r w:rsidR="009E525D">
        <w:rPr>
          <w:rFonts w:asciiTheme="minorHAnsi" w:hAnsiTheme="minorHAnsi"/>
          <w:sz w:val="22"/>
          <w:szCs w:val="22"/>
        </w:rPr>
        <w:t xml:space="preserve"> still await the official commissioning from HM Treasury they have advised that the 6 year forecast return is required for 18 September 2015. Delivery is currently on track per the exercise timetable with a </w:t>
      </w:r>
      <w:r w:rsidR="009E525D" w:rsidRPr="00C8363C">
        <w:rPr>
          <w:rFonts w:asciiTheme="minorHAnsi" w:hAnsiTheme="minorHAnsi"/>
          <w:sz w:val="22"/>
          <w:szCs w:val="22"/>
        </w:rPr>
        <w:t xml:space="preserve">separate summary paper provided to the </w:t>
      </w:r>
      <w:r w:rsidR="00844135" w:rsidRPr="00C8363C">
        <w:rPr>
          <w:rFonts w:asciiTheme="minorHAnsi" w:hAnsiTheme="minorHAnsi"/>
          <w:sz w:val="22"/>
          <w:szCs w:val="22"/>
        </w:rPr>
        <w:t>B</w:t>
      </w:r>
      <w:r w:rsidR="009E525D" w:rsidRPr="00C8363C">
        <w:rPr>
          <w:rFonts w:asciiTheme="minorHAnsi" w:hAnsiTheme="minorHAnsi"/>
          <w:sz w:val="22"/>
          <w:szCs w:val="22"/>
        </w:rPr>
        <w:t xml:space="preserve">oard for oversight of the approach taken.    </w:t>
      </w:r>
    </w:p>
    <w:p w14:paraId="5F4DD349" w14:textId="77777777" w:rsidR="00844135" w:rsidRDefault="00844135" w:rsidP="00844135">
      <w:pPr>
        <w:pStyle w:val="ListParagraph"/>
        <w:ind w:right="611"/>
        <w:rPr>
          <w:rFonts w:asciiTheme="minorHAnsi" w:hAnsiTheme="minorHAnsi"/>
          <w:sz w:val="22"/>
          <w:szCs w:val="22"/>
        </w:rPr>
      </w:pPr>
    </w:p>
    <w:p w14:paraId="7BBD33D7" w14:textId="7BDB7C5D" w:rsidR="000C4018" w:rsidRDefault="000C4018" w:rsidP="00844135">
      <w:pPr>
        <w:pStyle w:val="ListParagraph"/>
        <w:ind w:right="611"/>
        <w:rPr>
          <w:rFonts w:ascii="Calibri" w:hAnsi="Calibri" w:cs="Calibri"/>
          <w:sz w:val="22"/>
          <w:szCs w:val="22"/>
        </w:rPr>
      </w:pPr>
      <w:r w:rsidRPr="000C4018">
        <w:rPr>
          <w:rFonts w:asciiTheme="minorHAnsi" w:hAnsiTheme="minorHAnsi"/>
          <w:sz w:val="22"/>
          <w:szCs w:val="22"/>
        </w:rPr>
        <w:t xml:space="preserve"> </w:t>
      </w:r>
    </w:p>
    <w:tbl>
      <w:tblPr>
        <w:tblStyle w:val="TableGrid"/>
        <w:tblW w:w="0" w:type="auto"/>
        <w:tblInd w:w="108" w:type="dxa"/>
        <w:tblLook w:val="04A0" w:firstRow="1" w:lastRow="0" w:firstColumn="1" w:lastColumn="0" w:noHBand="0" w:noVBand="1"/>
      </w:tblPr>
      <w:tblGrid>
        <w:gridCol w:w="7230"/>
        <w:gridCol w:w="1134"/>
      </w:tblGrid>
      <w:tr w:rsidR="009E525D" w:rsidRPr="00EB7ACE" w14:paraId="6D9420B5" w14:textId="77777777" w:rsidTr="00B608DF">
        <w:tc>
          <w:tcPr>
            <w:tcW w:w="7230" w:type="dxa"/>
          </w:tcPr>
          <w:p w14:paraId="14BC436E" w14:textId="77777777" w:rsidR="009E525D" w:rsidRPr="00EB7ACE" w:rsidRDefault="009E525D" w:rsidP="00B608DF">
            <w:pPr>
              <w:rPr>
                <w:rFonts w:asciiTheme="minorHAnsi" w:hAnsiTheme="minorHAnsi" w:cs="Arial"/>
                <w:b/>
                <w:color w:val="000000"/>
                <w:sz w:val="22"/>
                <w:szCs w:val="22"/>
                <w:lang w:eastAsia="en-GB"/>
              </w:rPr>
            </w:pPr>
          </w:p>
          <w:p w14:paraId="157399FF" w14:textId="77777777" w:rsidR="009E525D" w:rsidRPr="009E525D" w:rsidRDefault="009E525D" w:rsidP="00B608DF">
            <w:pPr>
              <w:rPr>
                <w:rFonts w:asciiTheme="minorHAnsi" w:hAnsiTheme="minorHAnsi" w:cs="Arial"/>
                <w:b/>
                <w:sz w:val="22"/>
                <w:szCs w:val="22"/>
              </w:rPr>
            </w:pPr>
            <w:r w:rsidRPr="002F6007">
              <w:rPr>
                <w:rFonts w:asciiTheme="minorHAnsi" w:hAnsiTheme="minorHAnsi" w:cs="Arial"/>
                <w:b/>
                <w:sz w:val="22"/>
                <w:szCs w:val="22"/>
              </w:rPr>
              <w:t>Resource Accounts (net expenditure out-turn) Position</w:t>
            </w:r>
          </w:p>
          <w:p w14:paraId="0EE7869C" w14:textId="77777777" w:rsidR="009E525D" w:rsidRPr="00EB7ACE" w:rsidRDefault="009E525D" w:rsidP="00B608DF">
            <w:pPr>
              <w:rPr>
                <w:rFonts w:asciiTheme="minorHAnsi" w:hAnsiTheme="minorHAnsi" w:cs="Arial"/>
                <w:b/>
                <w:sz w:val="22"/>
                <w:szCs w:val="22"/>
              </w:rPr>
            </w:pPr>
          </w:p>
        </w:tc>
        <w:tc>
          <w:tcPr>
            <w:tcW w:w="1134" w:type="dxa"/>
            <w:shd w:val="clear" w:color="auto" w:fill="00B050"/>
          </w:tcPr>
          <w:p w14:paraId="6323C046" w14:textId="77777777" w:rsidR="009E525D" w:rsidRPr="00EB7ACE" w:rsidRDefault="009E525D" w:rsidP="00B608DF">
            <w:pPr>
              <w:rPr>
                <w:rFonts w:asciiTheme="minorHAnsi" w:hAnsiTheme="minorHAnsi" w:cs="Calibri"/>
                <w:sz w:val="22"/>
                <w:szCs w:val="22"/>
              </w:rPr>
            </w:pPr>
            <w:r w:rsidRPr="00EB7ACE">
              <w:rPr>
                <w:rFonts w:asciiTheme="minorHAnsi" w:hAnsiTheme="minorHAnsi" w:cs="Calibri"/>
                <w:sz w:val="22"/>
                <w:szCs w:val="22"/>
              </w:rPr>
              <w:t xml:space="preserve">            </w:t>
            </w:r>
          </w:p>
        </w:tc>
      </w:tr>
    </w:tbl>
    <w:p w14:paraId="66B7B371" w14:textId="77777777" w:rsidR="00D901A6" w:rsidRPr="00EB7ACE" w:rsidRDefault="00D901A6" w:rsidP="00D901A6">
      <w:pPr>
        <w:pStyle w:val="DeptBullets"/>
        <w:numPr>
          <w:ilvl w:val="0"/>
          <w:numId w:val="0"/>
        </w:numPr>
        <w:ind w:left="720"/>
        <w:rPr>
          <w:rFonts w:asciiTheme="minorHAnsi" w:hAnsiTheme="minorHAnsi"/>
          <w:sz w:val="22"/>
          <w:szCs w:val="22"/>
        </w:rPr>
      </w:pPr>
    </w:p>
    <w:p w14:paraId="306BE146" w14:textId="39A8F58F" w:rsidR="00902A95" w:rsidRPr="006E6FB4" w:rsidRDefault="00902A95" w:rsidP="00481F37">
      <w:pPr>
        <w:pStyle w:val="DeptBullets"/>
        <w:numPr>
          <w:ilvl w:val="0"/>
          <w:numId w:val="14"/>
        </w:numPr>
        <w:ind w:right="-58"/>
        <w:rPr>
          <w:rFonts w:asciiTheme="minorHAnsi" w:hAnsiTheme="minorHAnsi"/>
          <w:color w:val="FF0000"/>
          <w:sz w:val="22"/>
          <w:szCs w:val="22"/>
        </w:rPr>
      </w:pPr>
      <w:r>
        <w:rPr>
          <w:rFonts w:asciiTheme="minorHAnsi" w:hAnsiTheme="minorHAnsi"/>
          <w:sz w:val="22"/>
          <w:szCs w:val="22"/>
        </w:rPr>
        <w:t xml:space="preserve">The ‘main estimate’ forecasts net expenditure of £13.09b for the financial year 2015-16. </w:t>
      </w:r>
      <w:r w:rsidRPr="00AB4A1C">
        <w:rPr>
          <w:rFonts w:asciiTheme="minorHAnsi" w:hAnsiTheme="minorHAnsi"/>
          <w:color w:val="000000" w:themeColor="text1"/>
          <w:sz w:val="22"/>
          <w:szCs w:val="22"/>
        </w:rPr>
        <w:t xml:space="preserve">The current </w:t>
      </w:r>
      <w:r w:rsidR="00D525DC">
        <w:rPr>
          <w:rFonts w:asciiTheme="minorHAnsi" w:hAnsiTheme="minorHAnsi"/>
          <w:color w:val="000000" w:themeColor="text1"/>
          <w:sz w:val="22"/>
          <w:szCs w:val="22"/>
        </w:rPr>
        <w:t xml:space="preserve">forecast </w:t>
      </w:r>
      <w:r w:rsidR="00AB4A1C" w:rsidRPr="00AB4A1C">
        <w:rPr>
          <w:rFonts w:asciiTheme="minorHAnsi" w:hAnsiTheme="minorHAnsi"/>
          <w:color w:val="000000" w:themeColor="text1"/>
          <w:sz w:val="22"/>
          <w:szCs w:val="22"/>
        </w:rPr>
        <w:t>predicts an under</w:t>
      </w:r>
      <w:r w:rsidR="00844135">
        <w:rPr>
          <w:rFonts w:asciiTheme="minorHAnsi" w:hAnsiTheme="minorHAnsi"/>
          <w:color w:val="000000" w:themeColor="text1"/>
          <w:sz w:val="22"/>
          <w:szCs w:val="22"/>
        </w:rPr>
        <w:t xml:space="preserve"> </w:t>
      </w:r>
      <w:r w:rsidR="00AB4A1C" w:rsidRPr="00AB4A1C">
        <w:rPr>
          <w:rFonts w:asciiTheme="minorHAnsi" w:hAnsiTheme="minorHAnsi"/>
          <w:color w:val="000000" w:themeColor="text1"/>
          <w:sz w:val="22"/>
          <w:szCs w:val="22"/>
        </w:rPr>
        <w:t>spend of £6</w:t>
      </w:r>
      <w:r w:rsidRPr="00AB4A1C">
        <w:rPr>
          <w:rFonts w:asciiTheme="minorHAnsi" w:hAnsiTheme="minorHAnsi"/>
          <w:color w:val="000000" w:themeColor="text1"/>
          <w:sz w:val="22"/>
          <w:szCs w:val="22"/>
        </w:rPr>
        <w:t xml:space="preserve">m against that forecast. This </w:t>
      </w:r>
      <w:r w:rsidRPr="00AB4A1C">
        <w:rPr>
          <w:rFonts w:asciiTheme="minorHAnsi" w:hAnsiTheme="minorHAnsi"/>
          <w:color w:val="000000" w:themeColor="text1"/>
          <w:sz w:val="22"/>
          <w:szCs w:val="22"/>
        </w:rPr>
        <w:lastRenderedPageBreak/>
        <w:t>would reflect a positive net expenditure out-turn position if re</w:t>
      </w:r>
      <w:r w:rsidR="00AB4A1C" w:rsidRPr="00AB4A1C">
        <w:rPr>
          <w:rFonts w:asciiTheme="minorHAnsi" w:hAnsiTheme="minorHAnsi"/>
          <w:color w:val="000000" w:themeColor="text1"/>
          <w:sz w:val="22"/>
          <w:szCs w:val="22"/>
        </w:rPr>
        <w:t>alised</w:t>
      </w:r>
      <w:r w:rsidR="00D525DC">
        <w:rPr>
          <w:rFonts w:asciiTheme="minorHAnsi" w:hAnsiTheme="minorHAnsi"/>
          <w:color w:val="000000" w:themeColor="text1"/>
          <w:sz w:val="22"/>
          <w:szCs w:val="22"/>
        </w:rPr>
        <w:t>,</w:t>
      </w:r>
      <w:r w:rsidR="00AB4A1C" w:rsidRPr="00AB4A1C">
        <w:rPr>
          <w:rFonts w:asciiTheme="minorHAnsi" w:hAnsiTheme="minorHAnsi"/>
          <w:color w:val="000000" w:themeColor="text1"/>
          <w:sz w:val="22"/>
          <w:szCs w:val="22"/>
        </w:rPr>
        <w:t xml:space="preserve"> with income currently £29</w:t>
      </w:r>
      <w:r w:rsidRPr="00AB4A1C">
        <w:rPr>
          <w:rFonts w:asciiTheme="minorHAnsi" w:hAnsiTheme="minorHAnsi"/>
          <w:color w:val="000000" w:themeColor="text1"/>
          <w:sz w:val="22"/>
          <w:szCs w:val="22"/>
        </w:rPr>
        <w:t>m less than expect</w:t>
      </w:r>
      <w:r w:rsidR="00AB4A1C" w:rsidRPr="00AB4A1C">
        <w:rPr>
          <w:rFonts w:asciiTheme="minorHAnsi" w:hAnsiTheme="minorHAnsi"/>
          <w:color w:val="000000" w:themeColor="text1"/>
          <w:sz w:val="22"/>
          <w:szCs w:val="22"/>
        </w:rPr>
        <w:t>ed but £36</w:t>
      </w:r>
      <w:r w:rsidRPr="00AB4A1C">
        <w:rPr>
          <w:rFonts w:asciiTheme="minorHAnsi" w:hAnsiTheme="minorHAnsi"/>
          <w:color w:val="000000" w:themeColor="text1"/>
          <w:sz w:val="22"/>
          <w:szCs w:val="22"/>
        </w:rPr>
        <w:t xml:space="preserve">million less expenditure than anticipated. </w:t>
      </w:r>
    </w:p>
    <w:p w14:paraId="63259654" w14:textId="5E142BFC" w:rsidR="00844135" w:rsidRPr="009762A4" w:rsidRDefault="009A2B05" w:rsidP="00481F37">
      <w:pPr>
        <w:pStyle w:val="DeptBullets"/>
        <w:numPr>
          <w:ilvl w:val="0"/>
          <w:numId w:val="14"/>
        </w:numPr>
        <w:tabs>
          <w:tab w:val="left" w:pos="8222"/>
        </w:tabs>
        <w:ind w:right="-58"/>
        <w:rPr>
          <w:rFonts w:asciiTheme="minorHAnsi" w:hAnsiTheme="minorHAnsi"/>
          <w:color w:val="000000" w:themeColor="text1"/>
          <w:sz w:val="22"/>
          <w:szCs w:val="22"/>
        </w:rPr>
      </w:pPr>
      <w:r>
        <w:rPr>
          <w:rFonts w:asciiTheme="minorHAnsi" w:hAnsiTheme="minorHAnsi"/>
          <w:color w:val="000000" w:themeColor="text1"/>
          <w:sz w:val="22"/>
          <w:szCs w:val="22"/>
        </w:rPr>
        <w:t xml:space="preserve">The laying of the TPS Report and Accounts for 2014-15 has been delayed as the </w:t>
      </w:r>
      <w:r w:rsidR="00FF2516">
        <w:rPr>
          <w:rFonts w:asciiTheme="minorHAnsi" w:hAnsiTheme="minorHAnsi"/>
          <w:color w:val="000000" w:themeColor="text1"/>
          <w:sz w:val="22"/>
          <w:szCs w:val="22"/>
        </w:rPr>
        <w:t xml:space="preserve">NAO-appointed </w:t>
      </w:r>
      <w:r>
        <w:rPr>
          <w:rFonts w:asciiTheme="minorHAnsi" w:hAnsiTheme="minorHAnsi"/>
          <w:color w:val="000000" w:themeColor="text1"/>
          <w:sz w:val="22"/>
          <w:szCs w:val="22"/>
        </w:rPr>
        <w:t xml:space="preserve">auditors have yet to complete their fieldwork.  They identified a number of issues relating to their interpretation and understanding of the membership data and how it reconciles with contributions received.  </w:t>
      </w:r>
      <w:r w:rsidR="00844135" w:rsidRPr="00844135">
        <w:rPr>
          <w:rFonts w:asciiTheme="minorHAnsi" w:hAnsiTheme="minorHAnsi"/>
          <w:color w:val="000000" w:themeColor="text1"/>
          <w:sz w:val="22"/>
          <w:szCs w:val="22"/>
        </w:rPr>
        <w:t xml:space="preserve"> </w:t>
      </w:r>
      <w:r w:rsidR="00FF2516">
        <w:rPr>
          <w:rFonts w:asciiTheme="minorHAnsi" w:hAnsiTheme="minorHAnsi"/>
          <w:color w:val="000000" w:themeColor="text1"/>
          <w:sz w:val="22"/>
          <w:szCs w:val="22"/>
        </w:rPr>
        <w:t xml:space="preserve">It is </w:t>
      </w:r>
      <w:r>
        <w:rPr>
          <w:rFonts w:asciiTheme="minorHAnsi" w:hAnsiTheme="minorHAnsi"/>
          <w:color w:val="000000" w:themeColor="text1"/>
          <w:sz w:val="22"/>
          <w:szCs w:val="22"/>
        </w:rPr>
        <w:t>expect</w:t>
      </w:r>
      <w:r w:rsidR="00FF2516">
        <w:rPr>
          <w:rFonts w:asciiTheme="minorHAnsi" w:hAnsiTheme="minorHAnsi"/>
          <w:color w:val="000000" w:themeColor="text1"/>
          <w:sz w:val="22"/>
          <w:szCs w:val="22"/>
        </w:rPr>
        <w:t>ed</w:t>
      </w:r>
      <w:r>
        <w:rPr>
          <w:rFonts w:asciiTheme="minorHAnsi" w:hAnsiTheme="minorHAnsi"/>
          <w:color w:val="000000" w:themeColor="text1"/>
          <w:sz w:val="22"/>
          <w:szCs w:val="22"/>
        </w:rPr>
        <w:t xml:space="preserve"> that the </w:t>
      </w:r>
      <w:r w:rsidR="00FF2516">
        <w:rPr>
          <w:rFonts w:asciiTheme="minorHAnsi" w:hAnsiTheme="minorHAnsi"/>
          <w:color w:val="000000" w:themeColor="text1"/>
          <w:sz w:val="22"/>
          <w:szCs w:val="22"/>
        </w:rPr>
        <w:t>outstanding actions will be resolved shortly, allowing</w:t>
      </w:r>
      <w:r w:rsidR="00844135">
        <w:rPr>
          <w:rFonts w:asciiTheme="minorHAnsi" w:hAnsiTheme="minorHAnsi"/>
          <w:color w:val="000000" w:themeColor="text1"/>
          <w:sz w:val="22"/>
          <w:szCs w:val="22"/>
        </w:rPr>
        <w:t xml:space="preserve"> the final accounts </w:t>
      </w:r>
      <w:r w:rsidR="00FF2516">
        <w:rPr>
          <w:rFonts w:asciiTheme="minorHAnsi" w:hAnsiTheme="minorHAnsi"/>
          <w:color w:val="000000" w:themeColor="text1"/>
          <w:sz w:val="22"/>
          <w:szCs w:val="22"/>
        </w:rPr>
        <w:t xml:space="preserve">to be </w:t>
      </w:r>
      <w:r w:rsidR="00844135">
        <w:rPr>
          <w:rFonts w:asciiTheme="minorHAnsi" w:hAnsiTheme="minorHAnsi"/>
          <w:color w:val="000000" w:themeColor="text1"/>
          <w:sz w:val="22"/>
          <w:szCs w:val="22"/>
        </w:rPr>
        <w:t>laid before Parliament</w:t>
      </w:r>
      <w:r w:rsidR="00844135" w:rsidRPr="009762A4">
        <w:rPr>
          <w:rFonts w:asciiTheme="minorHAnsi" w:hAnsiTheme="minorHAnsi"/>
          <w:color w:val="000000" w:themeColor="text1"/>
          <w:sz w:val="22"/>
          <w:szCs w:val="22"/>
        </w:rPr>
        <w:t>.</w:t>
      </w:r>
      <w:r w:rsidR="00FF2516">
        <w:rPr>
          <w:rFonts w:asciiTheme="minorHAnsi" w:hAnsiTheme="minorHAnsi"/>
          <w:color w:val="000000" w:themeColor="text1"/>
          <w:sz w:val="22"/>
          <w:szCs w:val="22"/>
        </w:rPr>
        <w:t xml:space="preserve">  The Department is working with Capita and auditors to develop a project plan for next year’s accounts to ensure that they are laid before Parliamentary recsss in July, in line with the Government-wide timetable.</w:t>
      </w:r>
    </w:p>
    <w:tbl>
      <w:tblPr>
        <w:tblStyle w:val="TableGrid"/>
        <w:tblW w:w="0" w:type="auto"/>
        <w:tblInd w:w="108" w:type="dxa"/>
        <w:tblLook w:val="04A0" w:firstRow="1" w:lastRow="0" w:firstColumn="1" w:lastColumn="0" w:noHBand="0" w:noVBand="1"/>
      </w:tblPr>
      <w:tblGrid>
        <w:gridCol w:w="7230"/>
        <w:gridCol w:w="1134"/>
      </w:tblGrid>
      <w:tr w:rsidR="00DC6BD2" w:rsidRPr="00EB7ACE" w14:paraId="3B85B959" w14:textId="77777777" w:rsidTr="00BA52B9">
        <w:tc>
          <w:tcPr>
            <w:tcW w:w="7230" w:type="dxa"/>
          </w:tcPr>
          <w:p w14:paraId="71E21185" w14:textId="77777777" w:rsidR="00DC6BD2" w:rsidRPr="00EB7ACE" w:rsidRDefault="00DC6BD2" w:rsidP="00311C8A">
            <w:pPr>
              <w:rPr>
                <w:rFonts w:asciiTheme="minorHAnsi" w:hAnsiTheme="minorHAnsi" w:cs="Arial"/>
                <w:b/>
                <w:color w:val="000000"/>
                <w:sz w:val="22"/>
                <w:szCs w:val="22"/>
                <w:lang w:eastAsia="en-GB"/>
              </w:rPr>
            </w:pPr>
          </w:p>
          <w:p w14:paraId="08C71A19" w14:textId="77777777" w:rsidR="00DC6BD2" w:rsidRPr="00EB7ACE" w:rsidRDefault="002F6007" w:rsidP="00311C8A">
            <w:pPr>
              <w:rPr>
                <w:rFonts w:asciiTheme="minorHAnsi" w:hAnsiTheme="minorHAnsi" w:cs="Arial"/>
                <w:b/>
                <w:color w:val="000000"/>
                <w:sz w:val="22"/>
                <w:szCs w:val="22"/>
                <w:lang w:eastAsia="en-GB"/>
              </w:rPr>
            </w:pPr>
            <w:r>
              <w:rPr>
                <w:rFonts w:asciiTheme="minorHAnsi" w:hAnsiTheme="minorHAnsi" w:cs="Arial"/>
                <w:b/>
                <w:color w:val="000000"/>
                <w:sz w:val="22"/>
                <w:szCs w:val="22"/>
                <w:lang w:eastAsia="en-GB"/>
              </w:rPr>
              <w:t>Contributions</w:t>
            </w:r>
          </w:p>
          <w:p w14:paraId="5940F172" w14:textId="77777777" w:rsidR="00DC6BD2" w:rsidRPr="00EB7ACE" w:rsidRDefault="00DC6BD2" w:rsidP="00311C8A">
            <w:pPr>
              <w:rPr>
                <w:rFonts w:asciiTheme="minorHAnsi" w:hAnsiTheme="minorHAnsi" w:cs="Arial"/>
                <w:b/>
                <w:sz w:val="22"/>
                <w:szCs w:val="22"/>
              </w:rPr>
            </w:pPr>
          </w:p>
        </w:tc>
        <w:tc>
          <w:tcPr>
            <w:tcW w:w="1134" w:type="dxa"/>
            <w:shd w:val="clear" w:color="auto" w:fill="00B050"/>
          </w:tcPr>
          <w:p w14:paraId="2B7B7D61" w14:textId="77777777" w:rsidR="00DC6BD2" w:rsidRPr="00EB7ACE" w:rsidRDefault="00DC6BD2" w:rsidP="00311C8A">
            <w:pPr>
              <w:rPr>
                <w:rFonts w:asciiTheme="minorHAnsi" w:hAnsiTheme="minorHAnsi" w:cs="Calibri"/>
                <w:sz w:val="22"/>
                <w:szCs w:val="22"/>
              </w:rPr>
            </w:pPr>
            <w:r w:rsidRPr="00EB7ACE">
              <w:rPr>
                <w:rFonts w:asciiTheme="minorHAnsi" w:hAnsiTheme="minorHAnsi" w:cs="Calibri"/>
                <w:sz w:val="22"/>
                <w:szCs w:val="22"/>
              </w:rPr>
              <w:t xml:space="preserve">            </w:t>
            </w:r>
          </w:p>
        </w:tc>
      </w:tr>
    </w:tbl>
    <w:p w14:paraId="14244D46" w14:textId="77777777" w:rsidR="00DC6BD2" w:rsidRPr="00EB7ACE" w:rsidRDefault="00DC6BD2" w:rsidP="00DC6BD2">
      <w:pPr>
        <w:pStyle w:val="DeptBullets"/>
        <w:numPr>
          <w:ilvl w:val="0"/>
          <w:numId w:val="0"/>
        </w:numPr>
        <w:ind w:left="720"/>
        <w:rPr>
          <w:rFonts w:asciiTheme="minorHAnsi" w:hAnsiTheme="minorHAnsi"/>
          <w:sz w:val="22"/>
          <w:szCs w:val="22"/>
        </w:rPr>
      </w:pPr>
    </w:p>
    <w:p w14:paraId="4FB523E9" w14:textId="48A7AD72" w:rsidR="00E904C3" w:rsidRDefault="00E904C3" w:rsidP="00481F37">
      <w:pPr>
        <w:pStyle w:val="DeptBullets"/>
        <w:numPr>
          <w:ilvl w:val="0"/>
          <w:numId w:val="14"/>
        </w:numPr>
        <w:ind w:right="-58"/>
        <w:rPr>
          <w:rFonts w:asciiTheme="minorHAnsi" w:hAnsiTheme="minorHAnsi"/>
          <w:sz w:val="22"/>
          <w:szCs w:val="22"/>
        </w:rPr>
      </w:pPr>
      <w:r w:rsidRPr="00632A7A">
        <w:rPr>
          <w:rFonts w:asciiTheme="minorHAnsi" w:hAnsiTheme="minorHAnsi"/>
          <w:b/>
          <w:sz w:val="22"/>
          <w:szCs w:val="22"/>
        </w:rPr>
        <w:t>Unallocated Contributions</w:t>
      </w:r>
      <w:r w:rsidRPr="002F6007">
        <w:rPr>
          <w:rFonts w:asciiTheme="minorHAnsi" w:hAnsiTheme="minorHAnsi"/>
          <w:sz w:val="22"/>
          <w:szCs w:val="22"/>
        </w:rPr>
        <w:t xml:space="preserve"> – </w:t>
      </w:r>
      <w:r w:rsidR="00D525DC">
        <w:rPr>
          <w:rFonts w:asciiTheme="minorHAnsi" w:hAnsiTheme="minorHAnsi"/>
          <w:sz w:val="22"/>
          <w:szCs w:val="22"/>
        </w:rPr>
        <w:t>Scheme c</w:t>
      </w:r>
      <w:r>
        <w:rPr>
          <w:rFonts w:asciiTheme="minorHAnsi" w:hAnsiTheme="minorHAnsi"/>
          <w:sz w:val="22"/>
          <w:szCs w:val="22"/>
        </w:rPr>
        <w:t>ontributions are paid by default to a suspense account, and allocated to the appropriate account once a ‘paying in’ slip has been received from the corresponding employer.  Late receipt of this supporting data can lead to delays in allocating contributions.  There is a structured approach to pursuing this outstanding data.</w:t>
      </w:r>
    </w:p>
    <w:p w14:paraId="732F854C" w14:textId="4F90FA21" w:rsidR="00E904C3" w:rsidRDefault="00E904C3" w:rsidP="00481F37">
      <w:pPr>
        <w:pStyle w:val="DeptBullets"/>
        <w:numPr>
          <w:ilvl w:val="1"/>
          <w:numId w:val="14"/>
        </w:numPr>
        <w:ind w:right="84"/>
        <w:rPr>
          <w:rFonts w:asciiTheme="minorHAnsi" w:hAnsiTheme="minorHAnsi"/>
          <w:sz w:val="22"/>
          <w:szCs w:val="22"/>
        </w:rPr>
      </w:pPr>
      <w:r>
        <w:rPr>
          <w:rFonts w:asciiTheme="minorHAnsi" w:hAnsiTheme="minorHAnsi"/>
          <w:sz w:val="22"/>
          <w:szCs w:val="22"/>
        </w:rPr>
        <w:t xml:space="preserve">The current balance of monies requiring allocation to an employer record is £110m, this has reduced slightly from £111m at the end of the last quarter. However this masks a rise to £129m in May, an historic trend, following the introduction of the new </w:t>
      </w:r>
      <w:r w:rsidR="00D525DC">
        <w:rPr>
          <w:rFonts w:asciiTheme="minorHAnsi" w:hAnsiTheme="minorHAnsi"/>
          <w:sz w:val="22"/>
          <w:szCs w:val="22"/>
        </w:rPr>
        <w:t xml:space="preserve">tiers at the start of the current </w:t>
      </w:r>
      <w:r>
        <w:rPr>
          <w:rFonts w:asciiTheme="minorHAnsi" w:hAnsiTheme="minorHAnsi"/>
          <w:sz w:val="22"/>
          <w:szCs w:val="22"/>
        </w:rPr>
        <w:t>financial year</w:t>
      </w:r>
      <w:r w:rsidR="00D525DC">
        <w:rPr>
          <w:rFonts w:asciiTheme="minorHAnsi" w:hAnsiTheme="minorHAnsi"/>
          <w:sz w:val="22"/>
          <w:szCs w:val="22"/>
        </w:rPr>
        <w:t>,</w:t>
      </w:r>
      <w:r>
        <w:rPr>
          <w:rFonts w:asciiTheme="minorHAnsi" w:hAnsiTheme="minorHAnsi"/>
          <w:sz w:val="22"/>
          <w:szCs w:val="22"/>
        </w:rPr>
        <w:t xml:space="preserve"> as employers adjust their systems. Having recovered th</w:t>
      </w:r>
      <w:r w:rsidR="00D525DC">
        <w:rPr>
          <w:rFonts w:asciiTheme="minorHAnsi" w:hAnsiTheme="minorHAnsi"/>
          <w:sz w:val="22"/>
          <w:szCs w:val="22"/>
        </w:rPr>
        <w:t>e in-year</w:t>
      </w:r>
      <w:r>
        <w:rPr>
          <w:rFonts w:asciiTheme="minorHAnsi" w:hAnsiTheme="minorHAnsi"/>
          <w:sz w:val="22"/>
          <w:szCs w:val="22"/>
        </w:rPr>
        <w:t xml:space="preserve"> position</w:t>
      </w:r>
      <w:r w:rsidR="00D525DC">
        <w:rPr>
          <w:rFonts w:asciiTheme="minorHAnsi" w:hAnsiTheme="minorHAnsi"/>
          <w:sz w:val="22"/>
          <w:szCs w:val="22"/>
        </w:rPr>
        <w:t>,</w:t>
      </w:r>
      <w:r>
        <w:rPr>
          <w:rFonts w:asciiTheme="minorHAnsi" w:hAnsiTheme="minorHAnsi"/>
          <w:sz w:val="22"/>
          <w:szCs w:val="22"/>
        </w:rPr>
        <w:t xml:space="preserve"> focus remains on further reducing this balance through employer support.  </w:t>
      </w:r>
    </w:p>
    <w:p w14:paraId="0119A4C8" w14:textId="7F9917AF" w:rsidR="00E904C3" w:rsidRDefault="00E904C3" w:rsidP="00E904C3">
      <w:pPr>
        <w:pStyle w:val="DeptBullets"/>
        <w:numPr>
          <w:ilvl w:val="1"/>
          <w:numId w:val="14"/>
        </w:numPr>
        <w:rPr>
          <w:rFonts w:asciiTheme="minorHAnsi" w:hAnsiTheme="minorHAnsi"/>
          <w:sz w:val="22"/>
          <w:szCs w:val="22"/>
        </w:rPr>
      </w:pPr>
      <w:r>
        <w:rPr>
          <w:rFonts w:asciiTheme="minorHAnsi" w:hAnsiTheme="minorHAnsi"/>
          <w:sz w:val="22"/>
          <w:szCs w:val="22"/>
        </w:rPr>
        <w:t xml:space="preserve">The first contributions dashboard measure is designed to illustrate </w:t>
      </w:r>
      <w:r w:rsidR="00E07439">
        <w:rPr>
          <w:rFonts w:asciiTheme="minorHAnsi" w:hAnsiTheme="minorHAnsi"/>
          <w:sz w:val="22"/>
          <w:szCs w:val="22"/>
        </w:rPr>
        <w:t xml:space="preserve">that </w:t>
      </w:r>
      <w:r>
        <w:rPr>
          <w:rFonts w:asciiTheme="minorHAnsi" w:hAnsiTheme="minorHAnsi"/>
          <w:sz w:val="22"/>
          <w:szCs w:val="22"/>
        </w:rPr>
        <w:t xml:space="preserve">the actual amount of employee contributions received across the 6 tiers equals that expected, when based upon actual employer contributions received. The result is a </w:t>
      </w:r>
      <w:r w:rsidR="00D525DC">
        <w:rPr>
          <w:rFonts w:asciiTheme="minorHAnsi" w:hAnsiTheme="minorHAnsi"/>
          <w:sz w:val="22"/>
          <w:szCs w:val="22"/>
        </w:rPr>
        <w:t>minimal variance of</w:t>
      </w:r>
      <w:r>
        <w:rPr>
          <w:rFonts w:asciiTheme="minorHAnsi" w:hAnsiTheme="minorHAnsi"/>
          <w:sz w:val="22"/>
          <w:szCs w:val="22"/>
        </w:rPr>
        <w:t xml:space="preserve"> 0.01% or £12.5k on £192m. This continues to give assurance that employers are accurately remitting contributions</w:t>
      </w:r>
      <w:r w:rsidR="00D525DC">
        <w:rPr>
          <w:rFonts w:asciiTheme="minorHAnsi" w:hAnsiTheme="minorHAnsi"/>
          <w:sz w:val="22"/>
          <w:szCs w:val="22"/>
        </w:rPr>
        <w:t xml:space="preserve"> in the correct tiers</w:t>
      </w:r>
      <w:r>
        <w:rPr>
          <w:rFonts w:asciiTheme="minorHAnsi" w:hAnsiTheme="minorHAnsi"/>
          <w:sz w:val="22"/>
          <w:szCs w:val="22"/>
        </w:rPr>
        <w:t>.</w:t>
      </w:r>
    </w:p>
    <w:p w14:paraId="4FD33CFC" w14:textId="21587A04" w:rsidR="00E904C3" w:rsidRPr="00083D20" w:rsidRDefault="00E904C3" w:rsidP="00E904C3">
      <w:pPr>
        <w:pStyle w:val="DeptBullets"/>
        <w:numPr>
          <w:ilvl w:val="1"/>
          <w:numId w:val="14"/>
        </w:numPr>
        <w:rPr>
          <w:rFonts w:asciiTheme="minorHAnsi" w:hAnsiTheme="minorHAnsi"/>
          <w:sz w:val="22"/>
          <w:szCs w:val="22"/>
        </w:rPr>
      </w:pPr>
      <w:r>
        <w:rPr>
          <w:rFonts w:asciiTheme="minorHAnsi" w:hAnsiTheme="minorHAnsi"/>
          <w:sz w:val="22"/>
          <w:szCs w:val="22"/>
        </w:rPr>
        <w:t>Work on producing a</w:t>
      </w:r>
      <w:r w:rsidR="00D525DC">
        <w:rPr>
          <w:rFonts w:asciiTheme="minorHAnsi" w:hAnsiTheme="minorHAnsi"/>
          <w:sz w:val="22"/>
          <w:szCs w:val="22"/>
        </w:rPr>
        <w:t>n</w:t>
      </w:r>
      <w:r>
        <w:rPr>
          <w:rFonts w:asciiTheme="minorHAnsi" w:hAnsiTheme="minorHAnsi"/>
          <w:sz w:val="22"/>
          <w:szCs w:val="22"/>
        </w:rPr>
        <w:t xml:space="preserve"> engagement strategy paper for sharing with the Pensions Regulator is nearing completion. </w:t>
      </w:r>
      <w:r w:rsidR="00E07439" w:rsidRPr="00083D20">
        <w:rPr>
          <w:rFonts w:asciiTheme="minorHAnsi" w:hAnsiTheme="minorHAnsi"/>
          <w:sz w:val="22"/>
          <w:szCs w:val="22"/>
        </w:rPr>
        <w:t xml:space="preserve">An update will be given at the Board meeting by the Independent Pension Specialist, following a conference call with TP’s Senior Finance Manager. </w:t>
      </w:r>
    </w:p>
    <w:p w14:paraId="75D76F74" w14:textId="650FF85A" w:rsidR="00E904C3" w:rsidRDefault="00E904C3" w:rsidP="00E904C3">
      <w:pPr>
        <w:pStyle w:val="DeptBullets"/>
        <w:numPr>
          <w:ilvl w:val="0"/>
          <w:numId w:val="14"/>
        </w:numPr>
        <w:rPr>
          <w:rFonts w:asciiTheme="minorHAnsi" w:hAnsiTheme="minorHAnsi"/>
          <w:sz w:val="22"/>
          <w:szCs w:val="22"/>
        </w:rPr>
      </w:pPr>
      <w:r w:rsidRPr="00720DAA">
        <w:rPr>
          <w:rFonts w:asciiTheme="minorHAnsi" w:hAnsiTheme="minorHAnsi"/>
          <w:b/>
          <w:sz w:val="22"/>
          <w:szCs w:val="22"/>
        </w:rPr>
        <w:t>End of Year Certificate (EOYC)</w:t>
      </w:r>
      <w:r w:rsidRPr="002F6007">
        <w:rPr>
          <w:rFonts w:asciiTheme="minorHAnsi" w:hAnsiTheme="minorHAnsi"/>
          <w:sz w:val="22"/>
          <w:szCs w:val="22"/>
        </w:rPr>
        <w:t xml:space="preserve"> –</w:t>
      </w:r>
      <w:r>
        <w:rPr>
          <w:rFonts w:asciiTheme="minorHAnsi" w:hAnsiTheme="minorHAnsi"/>
          <w:sz w:val="22"/>
          <w:szCs w:val="22"/>
        </w:rPr>
        <w:t xml:space="preserve"> The</w:t>
      </w:r>
      <w:r w:rsidR="00C82EB1">
        <w:rPr>
          <w:rFonts w:asciiTheme="minorHAnsi" w:hAnsiTheme="minorHAnsi"/>
          <w:sz w:val="22"/>
          <w:szCs w:val="22"/>
        </w:rPr>
        <w:t xml:space="preserve"> one outstanding return in respect of 2013-14 is due from the Education Centre and is expected shortly. With regards to the 2014-15 exercise</w:t>
      </w:r>
      <w:r w:rsidR="00E07439">
        <w:rPr>
          <w:rFonts w:asciiTheme="minorHAnsi" w:hAnsiTheme="minorHAnsi"/>
          <w:sz w:val="22"/>
          <w:szCs w:val="22"/>
        </w:rPr>
        <w:t>,</w:t>
      </w:r>
      <w:r w:rsidR="00C82EB1">
        <w:rPr>
          <w:rFonts w:asciiTheme="minorHAnsi" w:hAnsiTheme="minorHAnsi"/>
          <w:sz w:val="22"/>
          <w:szCs w:val="22"/>
        </w:rPr>
        <w:t xml:space="preserve"> 32 non-local authority returns were outstanding at the end of July following</w:t>
      </w:r>
      <w:r w:rsidR="00E07439">
        <w:rPr>
          <w:rFonts w:asciiTheme="minorHAnsi" w:hAnsiTheme="minorHAnsi"/>
          <w:sz w:val="22"/>
          <w:szCs w:val="22"/>
        </w:rPr>
        <w:t xml:space="preserve"> the </w:t>
      </w:r>
      <w:r w:rsidR="00C82EB1">
        <w:rPr>
          <w:rFonts w:asciiTheme="minorHAnsi" w:hAnsiTheme="minorHAnsi"/>
          <w:sz w:val="22"/>
          <w:szCs w:val="22"/>
        </w:rPr>
        <w:t>unaudited</w:t>
      </w:r>
      <w:r w:rsidR="00E07439">
        <w:rPr>
          <w:rFonts w:asciiTheme="minorHAnsi" w:hAnsiTheme="minorHAnsi"/>
          <w:sz w:val="22"/>
          <w:szCs w:val="22"/>
        </w:rPr>
        <w:t>-</w:t>
      </w:r>
      <w:r w:rsidR="00C82EB1">
        <w:rPr>
          <w:rFonts w:asciiTheme="minorHAnsi" w:hAnsiTheme="minorHAnsi"/>
          <w:sz w:val="22"/>
          <w:szCs w:val="22"/>
        </w:rPr>
        <w:t xml:space="preserve"> return</w:t>
      </w:r>
      <w:r w:rsidR="00E07439">
        <w:rPr>
          <w:rFonts w:asciiTheme="minorHAnsi" w:hAnsiTheme="minorHAnsi"/>
          <w:sz w:val="22"/>
          <w:szCs w:val="22"/>
        </w:rPr>
        <w:t xml:space="preserve"> deadline </w:t>
      </w:r>
      <w:r w:rsidR="00C82EB1">
        <w:rPr>
          <w:rFonts w:asciiTheme="minorHAnsi" w:hAnsiTheme="minorHAnsi"/>
          <w:sz w:val="22"/>
          <w:szCs w:val="22"/>
        </w:rPr>
        <w:t xml:space="preserve">of 31 May 2015. This is a positive result with 99.5% of the 6,713 employer returns being secured compared to 97.7% at this stage last year on a smaller </w:t>
      </w:r>
      <w:r w:rsidR="009B7E66">
        <w:rPr>
          <w:rFonts w:asciiTheme="minorHAnsi" w:hAnsiTheme="minorHAnsi"/>
          <w:sz w:val="22"/>
          <w:szCs w:val="22"/>
        </w:rPr>
        <w:t xml:space="preserve">employer </w:t>
      </w:r>
      <w:r w:rsidR="00C82EB1">
        <w:rPr>
          <w:rFonts w:asciiTheme="minorHAnsi" w:hAnsiTheme="minorHAnsi"/>
          <w:sz w:val="22"/>
          <w:szCs w:val="22"/>
        </w:rPr>
        <w:t>population</w:t>
      </w:r>
      <w:r>
        <w:rPr>
          <w:rFonts w:asciiTheme="minorHAnsi" w:hAnsiTheme="minorHAnsi"/>
          <w:sz w:val="22"/>
          <w:szCs w:val="22"/>
        </w:rPr>
        <w:t>. Work co</w:t>
      </w:r>
      <w:r w:rsidR="00C82EB1">
        <w:rPr>
          <w:rFonts w:asciiTheme="minorHAnsi" w:hAnsiTheme="minorHAnsi"/>
          <w:sz w:val="22"/>
          <w:szCs w:val="22"/>
        </w:rPr>
        <w:t>ntinues to secure these returns ahead of the audited</w:t>
      </w:r>
      <w:r w:rsidR="00E07439">
        <w:rPr>
          <w:rFonts w:asciiTheme="minorHAnsi" w:hAnsiTheme="minorHAnsi"/>
          <w:sz w:val="22"/>
          <w:szCs w:val="22"/>
        </w:rPr>
        <w:t>-</w:t>
      </w:r>
      <w:r w:rsidR="009B7E66">
        <w:rPr>
          <w:rFonts w:asciiTheme="minorHAnsi" w:hAnsiTheme="minorHAnsi"/>
          <w:sz w:val="22"/>
          <w:szCs w:val="22"/>
        </w:rPr>
        <w:t xml:space="preserve">return </w:t>
      </w:r>
      <w:r w:rsidR="00C82EB1">
        <w:rPr>
          <w:rFonts w:asciiTheme="minorHAnsi" w:hAnsiTheme="minorHAnsi"/>
          <w:sz w:val="22"/>
          <w:szCs w:val="22"/>
        </w:rPr>
        <w:t>deadlines of 30 September (non-local authorities) and the 30 November (local authorities).</w:t>
      </w:r>
    </w:p>
    <w:p w14:paraId="64DBADA0" w14:textId="033B9E4F" w:rsidR="00C463F2" w:rsidRDefault="00C82EB1" w:rsidP="00C82EB1">
      <w:pPr>
        <w:pStyle w:val="DeptBullets"/>
        <w:numPr>
          <w:ilvl w:val="0"/>
          <w:numId w:val="14"/>
        </w:numPr>
        <w:rPr>
          <w:rFonts w:asciiTheme="minorHAnsi" w:hAnsiTheme="minorHAnsi"/>
          <w:sz w:val="22"/>
          <w:szCs w:val="22"/>
        </w:rPr>
      </w:pPr>
      <w:r>
        <w:rPr>
          <w:rFonts w:asciiTheme="minorHAnsi" w:hAnsiTheme="minorHAnsi"/>
          <w:sz w:val="22"/>
          <w:szCs w:val="22"/>
        </w:rPr>
        <w:t xml:space="preserve">The paper </w:t>
      </w:r>
      <w:r w:rsidR="00E904C3">
        <w:rPr>
          <w:rFonts w:asciiTheme="minorHAnsi" w:hAnsiTheme="minorHAnsi"/>
          <w:sz w:val="22"/>
          <w:szCs w:val="22"/>
        </w:rPr>
        <w:t>regarding potential amend</w:t>
      </w:r>
      <w:r w:rsidR="00336872">
        <w:rPr>
          <w:rFonts w:asciiTheme="minorHAnsi" w:hAnsiTheme="minorHAnsi"/>
          <w:sz w:val="22"/>
          <w:szCs w:val="22"/>
        </w:rPr>
        <w:t xml:space="preserve">ment </w:t>
      </w:r>
      <w:r w:rsidR="00E07439">
        <w:rPr>
          <w:rFonts w:asciiTheme="minorHAnsi" w:hAnsiTheme="minorHAnsi"/>
          <w:sz w:val="22"/>
          <w:szCs w:val="22"/>
        </w:rPr>
        <w:t>to</w:t>
      </w:r>
      <w:r w:rsidR="00E904C3">
        <w:rPr>
          <w:rFonts w:asciiTheme="minorHAnsi" w:hAnsiTheme="minorHAnsi"/>
          <w:sz w:val="22"/>
          <w:szCs w:val="22"/>
        </w:rPr>
        <w:t xml:space="preserve"> the current tolerance levels</w:t>
      </w:r>
      <w:r>
        <w:rPr>
          <w:rFonts w:asciiTheme="minorHAnsi" w:hAnsiTheme="minorHAnsi"/>
          <w:sz w:val="22"/>
          <w:szCs w:val="22"/>
        </w:rPr>
        <w:t xml:space="preserve"> </w:t>
      </w:r>
      <w:r w:rsidR="00E07439">
        <w:rPr>
          <w:rFonts w:asciiTheme="minorHAnsi" w:hAnsiTheme="minorHAnsi"/>
          <w:sz w:val="22"/>
          <w:szCs w:val="22"/>
        </w:rPr>
        <w:t>is</w:t>
      </w:r>
      <w:r>
        <w:rPr>
          <w:rFonts w:asciiTheme="minorHAnsi" w:hAnsiTheme="minorHAnsi"/>
          <w:sz w:val="22"/>
          <w:szCs w:val="22"/>
        </w:rPr>
        <w:t xml:space="preserve"> with the </w:t>
      </w:r>
      <w:r>
        <w:rPr>
          <w:rFonts w:asciiTheme="minorHAnsi" w:hAnsiTheme="minorHAnsi"/>
          <w:sz w:val="22"/>
          <w:szCs w:val="22"/>
        </w:rPr>
        <w:lastRenderedPageBreak/>
        <w:t>De</w:t>
      </w:r>
      <w:r w:rsidR="00BA1580">
        <w:rPr>
          <w:rFonts w:asciiTheme="minorHAnsi" w:hAnsiTheme="minorHAnsi"/>
          <w:sz w:val="22"/>
          <w:szCs w:val="22"/>
        </w:rPr>
        <w:t>partment for review and comment</w:t>
      </w:r>
      <w:r w:rsidR="00E904C3">
        <w:rPr>
          <w:rFonts w:asciiTheme="minorHAnsi" w:hAnsiTheme="minorHAnsi"/>
          <w:sz w:val="22"/>
          <w:szCs w:val="22"/>
        </w:rPr>
        <w:t xml:space="preserve">.  This </w:t>
      </w:r>
      <w:r w:rsidR="00336872">
        <w:rPr>
          <w:rFonts w:asciiTheme="minorHAnsi" w:hAnsiTheme="minorHAnsi"/>
          <w:sz w:val="22"/>
          <w:szCs w:val="22"/>
        </w:rPr>
        <w:t xml:space="preserve">proposal </w:t>
      </w:r>
      <w:r w:rsidR="00E904C3">
        <w:rPr>
          <w:rFonts w:asciiTheme="minorHAnsi" w:hAnsiTheme="minorHAnsi"/>
          <w:sz w:val="22"/>
          <w:szCs w:val="22"/>
        </w:rPr>
        <w:t xml:space="preserve">is to reflect an additional category of non-cash queries that TP experience as a result of the introduction of the employee tiers. </w:t>
      </w:r>
    </w:p>
    <w:tbl>
      <w:tblPr>
        <w:tblStyle w:val="TableGrid"/>
        <w:tblW w:w="0" w:type="auto"/>
        <w:tblInd w:w="108" w:type="dxa"/>
        <w:tblLook w:val="04A0" w:firstRow="1" w:lastRow="0" w:firstColumn="1" w:lastColumn="0" w:noHBand="0" w:noVBand="1"/>
      </w:tblPr>
      <w:tblGrid>
        <w:gridCol w:w="7230"/>
        <w:gridCol w:w="1134"/>
      </w:tblGrid>
      <w:tr w:rsidR="00DC6BD2" w:rsidRPr="00EB7ACE" w14:paraId="0E9A8C1D" w14:textId="77777777" w:rsidTr="00176043">
        <w:tc>
          <w:tcPr>
            <w:tcW w:w="7230" w:type="dxa"/>
          </w:tcPr>
          <w:p w14:paraId="5AA0AFF6" w14:textId="77777777" w:rsidR="00DC6BD2" w:rsidRPr="00EB7ACE" w:rsidRDefault="00DC6BD2" w:rsidP="00311C8A">
            <w:pPr>
              <w:rPr>
                <w:rFonts w:asciiTheme="minorHAnsi" w:hAnsiTheme="minorHAnsi" w:cs="Arial"/>
                <w:b/>
                <w:color w:val="000000"/>
                <w:sz w:val="22"/>
                <w:szCs w:val="22"/>
                <w:lang w:eastAsia="en-GB"/>
              </w:rPr>
            </w:pPr>
          </w:p>
          <w:p w14:paraId="618B4C3A" w14:textId="77777777" w:rsidR="00DC6BD2" w:rsidRPr="00EB7ACE" w:rsidRDefault="002F6007" w:rsidP="00311C8A">
            <w:pPr>
              <w:rPr>
                <w:rFonts w:asciiTheme="minorHAnsi" w:hAnsiTheme="minorHAnsi" w:cs="Arial"/>
                <w:b/>
                <w:color w:val="000000"/>
                <w:sz w:val="22"/>
                <w:szCs w:val="22"/>
                <w:lang w:eastAsia="en-GB"/>
              </w:rPr>
            </w:pPr>
            <w:r>
              <w:rPr>
                <w:rFonts w:asciiTheme="minorHAnsi" w:hAnsiTheme="minorHAnsi" w:cs="Arial"/>
                <w:b/>
                <w:color w:val="000000"/>
                <w:sz w:val="22"/>
                <w:szCs w:val="22"/>
                <w:lang w:eastAsia="en-GB"/>
              </w:rPr>
              <w:t>Debt</w:t>
            </w:r>
          </w:p>
          <w:p w14:paraId="37F8416F" w14:textId="77777777" w:rsidR="00DC6BD2" w:rsidRPr="00EB7ACE" w:rsidRDefault="00DC6BD2" w:rsidP="00311C8A">
            <w:pPr>
              <w:rPr>
                <w:rFonts w:asciiTheme="minorHAnsi" w:hAnsiTheme="minorHAnsi" w:cs="Arial"/>
                <w:b/>
                <w:sz w:val="22"/>
                <w:szCs w:val="22"/>
              </w:rPr>
            </w:pPr>
          </w:p>
        </w:tc>
        <w:tc>
          <w:tcPr>
            <w:tcW w:w="1134" w:type="dxa"/>
            <w:shd w:val="clear" w:color="auto" w:fill="FFC000"/>
          </w:tcPr>
          <w:p w14:paraId="49F31C89" w14:textId="77777777" w:rsidR="00DC6BD2" w:rsidRPr="00EB7ACE" w:rsidRDefault="00DC6BD2" w:rsidP="00311C8A">
            <w:pPr>
              <w:rPr>
                <w:rFonts w:asciiTheme="minorHAnsi" w:hAnsiTheme="minorHAnsi" w:cs="Calibri"/>
                <w:sz w:val="22"/>
                <w:szCs w:val="22"/>
              </w:rPr>
            </w:pPr>
            <w:r w:rsidRPr="002F6007">
              <w:rPr>
                <w:rFonts w:asciiTheme="minorHAnsi" w:hAnsiTheme="minorHAnsi" w:cs="Calibri"/>
                <w:color w:val="00B050"/>
                <w:sz w:val="22"/>
                <w:szCs w:val="22"/>
              </w:rPr>
              <w:t xml:space="preserve">                        </w:t>
            </w:r>
          </w:p>
        </w:tc>
      </w:tr>
    </w:tbl>
    <w:p w14:paraId="59FDEDEE" w14:textId="77777777" w:rsidR="00DC6BD2" w:rsidRPr="00EB7ACE" w:rsidRDefault="00DC6BD2" w:rsidP="00BA1580">
      <w:pPr>
        <w:pStyle w:val="DeptBullets"/>
        <w:numPr>
          <w:ilvl w:val="0"/>
          <w:numId w:val="0"/>
        </w:numPr>
        <w:rPr>
          <w:rFonts w:asciiTheme="minorHAnsi" w:hAnsiTheme="minorHAnsi"/>
          <w:sz w:val="22"/>
          <w:szCs w:val="22"/>
        </w:rPr>
      </w:pPr>
    </w:p>
    <w:p w14:paraId="7D9DA28B" w14:textId="74E32AAA" w:rsidR="00BA1580" w:rsidRPr="003B6E9F" w:rsidRDefault="00BA1580" w:rsidP="00C8363C">
      <w:pPr>
        <w:pStyle w:val="DeptBullets"/>
        <w:numPr>
          <w:ilvl w:val="0"/>
          <w:numId w:val="14"/>
        </w:numPr>
        <w:tabs>
          <w:tab w:val="left" w:pos="8364"/>
        </w:tabs>
        <w:rPr>
          <w:rFonts w:asciiTheme="minorHAnsi" w:hAnsiTheme="minorHAnsi"/>
          <w:sz w:val="22"/>
          <w:szCs w:val="22"/>
        </w:rPr>
      </w:pPr>
      <w:r w:rsidRPr="00617765">
        <w:rPr>
          <w:rFonts w:asciiTheme="minorHAnsi" w:hAnsiTheme="minorHAnsi"/>
          <w:b/>
          <w:sz w:val="22"/>
          <w:szCs w:val="22"/>
        </w:rPr>
        <w:t>Member Overpayments</w:t>
      </w:r>
      <w:r w:rsidRPr="002F6007">
        <w:rPr>
          <w:rFonts w:asciiTheme="minorHAnsi" w:hAnsiTheme="minorHAnsi"/>
          <w:sz w:val="22"/>
          <w:szCs w:val="22"/>
        </w:rPr>
        <w:t xml:space="preserve"> –</w:t>
      </w:r>
      <w:r>
        <w:rPr>
          <w:rFonts w:asciiTheme="minorHAnsi" w:hAnsiTheme="minorHAnsi"/>
          <w:sz w:val="22"/>
          <w:szCs w:val="22"/>
        </w:rPr>
        <w:t xml:space="preserve"> June </w:t>
      </w:r>
      <w:r w:rsidR="007D4D58">
        <w:rPr>
          <w:rFonts w:asciiTheme="minorHAnsi" w:hAnsiTheme="minorHAnsi"/>
          <w:sz w:val="22"/>
          <w:szCs w:val="22"/>
        </w:rPr>
        <w:t>saw a</w:t>
      </w:r>
      <w:r w:rsidR="006869D6">
        <w:rPr>
          <w:rFonts w:asciiTheme="minorHAnsi" w:hAnsiTheme="minorHAnsi"/>
          <w:sz w:val="22"/>
          <w:szCs w:val="22"/>
        </w:rPr>
        <w:t>n increase</w:t>
      </w:r>
      <w:r w:rsidR="007D4D58">
        <w:rPr>
          <w:rFonts w:asciiTheme="minorHAnsi" w:hAnsiTheme="minorHAnsi"/>
          <w:sz w:val="22"/>
          <w:szCs w:val="22"/>
        </w:rPr>
        <w:t xml:space="preserve"> </w:t>
      </w:r>
      <w:r w:rsidR="006869D6">
        <w:rPr>
          <w:rFonts w:asciiTheme="minorHAnsi" w:hAnsiTheme="minorHAnsi"/>
          <w:sz w:val="22"/>
          <w:szCs w:val="22"/>
        </w:rPr>
        <w:t xml:space="preserve">in the level of overpayments of £700k </w:t>
      </w:r>
      <w:r w:rsidR="007D4D58">
        <w:rPr>
          <w:rFonts w:asciiTheme="minorHAnsi" w:hAnsiTheme="minorHAnsi"/>
          <w:sz w:val="22"/>
          <w:szCs w:val="22"/>
        </w:rPr>
        <w:t xml:space="preserve">to £9.4m </w:t>
      </w:r>
      <w:r>
        <w:rPr>
          <w:rFonts w:asciiTheme="minorHAnsi" w:hAnsiTheme="minorHAnsi"/>
          <w:sz w:val="22"/>
          <w:szCs w:val="22"/>
        </w:rPr>
        <w:t xml:space="preserve">as a result of TP’s targeted remarriage declaration exercise, intended to pro-actively identify overpayments due to the scheme. </w:t>
      </w:r>
      <w:r w:rsidR="007D4D58">
        <w:rPr>
          <w:rFonts w:asciiTheme="minorHAnsi" w:hAnsiTheme="minorHAnsi"/>
          <w:sz w:val="22"/>
          <w:szCs w:val="22"/>
        </w:rPr>
        <w:t>However this position was recovered in July with the balance returning to the £8.73m previously seen in May</w:t>
      </w:r>
      <w:r w:rsidR="00E376C4">
        <w:rPr>
          <w:rFonts w:asciiTheme="minorHAnsi" w:hAnsiTheme="minorHAnsi"/>
          <w:sz w:val="22"/>
          <w:szCs w:val="22"/>
        </w:rPr>
        <w:t xml:space="preserve"> -</w:t>
      </w:r>
      <w:r w:rsidR="007D4D58">
        <w:rPr>
          <w:rFonts w:asciiTheme="minorHAnsi" w:hAnsiTheme="minorHAnsi"/>
          <w:sz w:val="22"/>
          <w:szCs w:val="22"/>
        </w:rPr>
        <w:t xml:space="preserve"> though still above that reported at the end of April of £8.43m. Over half the outstanding balance is in recovery via regular repayment plans.</w:t>
      </w:r>
      <w:r>
        <w:rPr>
          <w:rFonts w:asciiTheme="minorHAnsi" w:hAnsiTheme="minorHAnsi"/>
          <w:sz w:val="22"/>
          <w:szCs w:val="22"/>
        </w:rPr>
        <w:t xml:space="preserve"> </w:t>
      </w:r>
      <w:r w:rsidR="00E376C4">
        <w:rPr>
          <w:rFonts w:asciiTheme="minorHAnsi" w:hAnsiTheme="minorHAnsi"/>
          <w:sz w:val="22"/>
          <w:szCs w:val="22"/>
        </w:rPr>
        <w:t xml:space="preserve">TP </w:t>
      </w:r>
      <w:r>
        <w:rPr>
          <w:rFonts w:asciiTheme="minorHAnsi" w:hAnsiTheme="minorHAnsi"/>
          <w:sz w:val="22"/>
          <w:szCs w:val="22"/>
        </w:rPr>
        <w:t xml:space="preserve">Finance </w:t>
      </w:r>
      <w:r w:rsidR="007D4D58">
        <w:rPr>
          <w:rFonts w:asciiTheme="minorHAnsi" w:hAnsiTheme="minorHAnsi"/>
          <w:sz w:val="22"/>
          <w:szCs w:val="22"/>
        </w:rPr>
        <w:t xml:space="preserve">are finalising an updated </w:t>
      </w:r>
      <w:r>
        <w:rPr>
          <w:rFonts w:asciiTheme="minorHAnsi" w:hAnsiTheme="minorHAnsi"/>
          <w:sz w:val="22"/>
          <w:szCs w:val="22"/>
        </w:rPr>
        <w:t xml:space="preserve">remarriage exercise forecast paper </w:t>
      </w:r>
      <w:r w:rsidR="006869D6">
        <w:rPr>
          <w:rFonts w:asciiTheme="minorHAnsi" w:hAnsiTheme="minorHAnsi"/>
          <w:sz w:val="22"/>
          <w:szCs w:val="22"/>
        </w:rPr>
        <w:t xml:space="preserve">to more accurately project the potential </w:t>
      </w:r>
      <w:r>
        <w:rPr>
          <w:rFonts w:asciiTheme="minorHAnsi" w:hAnsiTheme="minorHAnsi"/>
          <w:sz w:val="22"/>
          <w:szCs w:val="22"/>
        </w:rPr>
        <w:t xml:space="preserve">level of </w:t>
      </w:r>
      <w:r w:rsidR="006869D6">
        <w:rPr>
          <w:rFonts w:asciiTheme="minorHAnsi" w:hAnsiTheme="minorHAnsi"/>
          <w:sz w:val="22"/>
          <w:szCs w:val="22"/>
        </w:rPr>
        <w:t>overpayments identified as part of this exercise.</w:t>
      </w:r>
      <w:r>
        <w:rPr>
          <w:rFonts w:asciiTheme="minorHAnsi" w:hAnsiTheme="minorHAnsi"/>
          <w:sz w:val="22"/>
          <w:szCs w:val="22"/>
        </w:rPr>
        <w:t xml:space="preserve"> </w:t>
      </w:r>
    </w:p>
    <w:p w14:paraId="23719B98" w14:textId="07DCE750" w:rsidR="005128FA" w:rsidRDefault="00BA1580" w:rsidP="00481F37">
      <w:pPr>
        <w:pStyle w:val="DeptBullets"/>
        <w:numPr>
          <w:ilvl w:val="0"/>
          <w:numId w:val="14"/>
        </w:numPr>
        <w:ind w:right="-58"/>
        <w:rPr>
          <w:rFonts w:asciiTheme="minorHAnsi" w:hAnsiTheme="minorHAnsi"/>
          <w:sz w:val="22"/>
          <w:szCs w:val="22"/>
        </w:rPr>
      </w:pPr>
      <w:r w:rsidRPr="00617765">
        <w:rPr>
          <w:rFonts w:asciiTheme="minorHAnsi" w:hAnsiTheme="minorHAnsi"/>
          <w:b/>
          <w:sz w:val="22"/>
          <w:szCs w:val="22"/>
        </w:rPr>
        <w:t>Arrears of Contributions</w:t>
      </w:r>
      <w:r>
        <w:rPr>
          <w:rFonts w:asciiTheme="minorHAnsi" w:hAnsiTheme="minorHAnsi"/>
          <w:sz w:val="22"/>
          <w:szCs w:val="22"/>
        </w:rPr>
        <w:t xml:space="preserve"> – T</w:t>
      </w:r>
      <w:r w:rsidRPr="002F6007">
        <w:rPr>
          <w:rFonts w:asciiTheme="minorHAnsi" w:hAnsiTheme="minorHAnsi"/>
          <w:sz w:val="22"/>
          <w:szCs w:val="22"/>
        </w:rPr>
        <w:t xml:space="preserve">he outstanding balance </w:t>
      </w:r>
      <w:r>
        <w:rPr>
          <w:rFonts w:asciiTheme="minorHAnsi" w:hAnsiTheme="minorHAnsi"/>
          <w:sz w:val="22"/>
          <w:szCs w:val="22"/>
        </w:rPr>
        <w:t>of member and employer arrears due to the scheme is</w:t>
      </w:r>
      <w:r w:rsidR="00667DFE">
        <w:rPr>
          <w:rFonts w:asciiTheme="minorHAnsi" w:hAnsiTheme="minorHAnsi"/>
          <w:sz w:val="22"/>
          <w:szCs w:val="22"/>
        </w:rPr>
        <w:t xml:space="preserve"> £2.8</w:t>
      </w:r>
      <w:r>
        <w:rPr>
          <w:rFonts w:asciiTheme="minorHAnsi" w:hAnsiTheme="minorHAnsi"/>
          <w:sz w:val="22"/>
          <w:szCs w:val="22"/>
        </w:rPr>
        <w:t>m</w:t>
      </w:r>
      <w:r w:rsidR="005128FA">
        <w:rPr>
          <w:rFonts w:asciiTheme="minorHAnsi" w:hAnsiTheme="minorHAnsi"/>
          <w:sz w:val="22"/>
          <w:szCs w:val="22"/>
        </w:rPr>
        <w:t>.  This is</w:t>
      </w:r>
      <w:r>
        <w:rPr>
          <w:rFonts w:asciiTheme="minorHAnsi" w:hAnsiTheme="minorHAnsi"/>
          <w:sz w:val="22"/>
          <w:szCs w:val="22"/>
        </w:rPr>
        <w:t xml:space="preserve"> up from £2.19m at the last quarter</w:t>
      </w:r>
      <w:r w:rsidRPr="002F6007">
        <w:rPr>
          <w:rFonts w:asciiTheme="minorHAnsi" w:hAnsiTheme="minorHAnsi"/>
          <w:sz w:val="22"/>
          <w:szCs w:val="22"/>
        </w:rPr>
        <w:t xml:space="preserve">. </w:t>
      </w:r>
      <w:r w:rsidR="005128FA">
        <w:rPr>
          <w:rFonts w:asciiTheme="minorHAnsi" w:hAnsiTheme="minorHAnsi"/>
          <w:sz w:val="22"/>
          <w:szCs w:val="22"/>
        </w:rPr>
        <w:t>However a</w:t>
      </w:r>
      <w:r w:rsidR="00667DFE">
        <w:rPr>
          <w:rFonts w:asciiTheme="minorHAnsi" w:hAnsiTheme="minorHAnsi"/>
          <w:sz w:val="22"/>
          <w:szCs w:val="22"/>
        </w:rPr>
        <w:t xml:space="preserve"> number of large invoices outstanding at the end of July were recovered in early August thus reducing the balance</w:t>
      </w:r>
      <w:r w:rsidR="007D4D58">
        <w:rPr>
          <w:rFonts w:asciiTheme="minorHAnsi" w:hAnsiTheme="minorHAnsi"/>
          <w:sz w:val="22"/>
          <w:szCs w:val="22"/>
        </w:rPr>
        <w:t xml:space="preserve"> to circa £2.5m</w:t>
      </w:r>
      <w:r w:rsidR="00667DFE">
        <w:rPr>
          <w:rFonts w:asciiTheme="minorHAnsi" w:hAnsiTheme="minorHAnsi"/>
          <w:sz w:val="22"/>
          <w:szCs w:val="22"/>
        </w:rPr>
        <w:t xml:space="preserve">. </w:t>
      </w:r>
    </w:p>
    <w:p w14:paraId="586ADBAD" w14:textId="77777777" w:rsidR="00BA1580" w:rsidRDefault="00667DFE" w:rsidP="00BA1580">
      <w:pPr>
        <w:pStyle w:val="DeptBullets"/>
        <w:numPr>
          <w:ilvl w:val="0"/>
          <w:numId w:val="14"/>
        </w:numPr>
        <w:rPr>
          <w:rFonts w:asciiTheme="minorHAnsi" w:hAnsiTheme="minorHAnsi"/>
          <w:sz w:val="22"/>
          <w:szCs w:val="22"/>
        </w:rPr>
      </w:pPr>
      <w:r>
        <w:rPr>
          <w:rFonts w:asciiTheme="minorHAnsi" w:hAnsiTheme="minorHAnsi"/>
          <w:sz w:val="22"/>
          <w:szCs w:val="22"/>
        </w:rPr>
        <w:t>A reduction of £1.</w:t>
      </w:r>
      <w:r w:rsidR="00BA1580">
        <w:rPr>
          <w:rFonts w:asciiTheme="minorHAnsi" w:hAnsiTheme="minorHAnsi"/>
          <w:sz w:val="22"/>
          <w:szCs w:val="22"/>
        </w:rPr>
        <w:t xml:space="preserve">6m </w:t>
      </w:r>
      <w:r w:rsidR="005128FA">
        <w:rPr>
          <w:rFonts w:asciiTheme="minorHAnsi" w:hAnsiTheme="minorHAnsi"/>
          <w:sz w:val="22"/>
          <w:szCs w:val="22"/>
        </w:rPr>
        <w:t xml:space="preserve">in the level of arrears debt </w:t>
      </w:r>
      <w:r w:rsidR="00BA1580">
        <w:rPr>
          <w:rFonts w:asciiTheme="minorHAnsi" w:hAnsiTheme="minorHAnsi"/>
          <w:sz w:val="22"/>
          <w:szCs w:val="22"/>
        </w:rPr>
        <w:t xml:space="preserve">has been achieved since February 2014 when the project identifying resources to specifically address outstanding arrears was initiated. In </w:t>
      </w:r>
      <w:r>
        <w:rPr>
          <w:rFonts w:asciiTheme="minorHAnsi" w:hAnsiTheme="minorHAnsi"/>
          <w:sz w:val="22"/>
          <w:szCs w:val="22"/>
        </w:rPr>
        <w:t>this time over £15.9m (85</w:t>
      </w:r>
      <w:r w:rsidR="00BA1580">
        <w:rPr>
          <w:rFonts w:asciiTheme="minorHAnsi" w:hAnsiTheme="minorHAnsi"/>
          <w:sz w:val="22"/>
          <w:szCs w:val="22"/>
        </w:rPr>
        <w:t xml:space="preserve">%) of all arrears has been successfully recovered. </w:t>
      </w:r>
    </w:p>
    <w:p w14:paraId="167A644D" w14:textId="77777777" w:rsidR="00DC6BD2" w:rsidRPr="00BA1580" w:rsidRDefault="00BA1580" w:rsidP="00BA1580">
      <w:pPr>
        <w:pStyle w:val="DeptBullets"/>
        <w:numPr>
          <w:ilvl w:val="0"/>
          <w:numId w:val="14"/>
        </w:numPr>
        <w:rPr>
          <w:rFonts w:asciiTheme="minorHAnsi" w:hAnsiTheme="minorHAnsi"/>
          <w:sz w:val="22"/>
          <w:szCs w:val="22"/>
        </w:rPr>
      </w:pPr>
      <w:r>
        <w:rPr>
          <w:rFonts w:asciiTheme="minorHAnsi" w:hAnsiTheme="minorHAnsi"/>
          <w:sz w:val="22"/>
          <w:szCs w:val="22"/>
        </w:rPr>
        <w:t>The overall rating of amber on scheme debt continues to prudently reflect the inherent challenges in reducing the debt position and the potential impact of ongoing and future exercises, such as the remarriage declaration and deferred member projects.</w:t>
      </w:r>
    </w:p>
    <w:tbl>
      <w:tblPr>
        <w:tblStyle w:val="TableGrid"/>
        <w:tblW w:w="0" w:type="auto"/>
        <w:tblInd w:w="108" w:type="dxa"/>
        <w:tblLook w:val="04A0" w:firstRow="1" w:lastRow="0" w:firstColumn="1" w:lastColumn="0" w:noHBand="0" w:noVBand="1"/>
      </w:tblPr>
      <w:tblGrid>
        <w:gridCol w:w="7230"/>
        <w:gridCol w:w="1134"/>
      </w:tblGrid>
      <w:tr w:rsidR="00DC6BD2" w:rsidRPr="00EB7ACE" w14:paraId="4D322057" w14:textId="77777777" w:rsidTr="00F22F63">
        <w:tc>
          <w:tcPr>
            <w:tcW w:w="7230" w:type="dxa"/>
          </w:tcPr>
          <w:p w14:paraId="70669963" w14:textId="77777777" w:rsidR="00DC6BD2" w:rsidRPr="00EB7ACE" w:rsidRDefault="00DC6BD2" w:rsidP="00311C8A">
            <w:pPr>
              <w:rPr>
                <w:rFonts w:asciiTheme="minorHAnsi" w:hAnsiTheme="minorHAnsi" w:cs="Arial"/>
                <w:b/>
                <w:color w:val="000000"/>
                <w:sz w:val="22"/>
                <w:szCs w:val="22"/>
                <w:lang w:eastAsia="en-GB"/>
              </w:rPr>
            </w:pPr>
          </w:p>
          <w:p w14:paraId="2B176CBE" w14:textId="77777777" w:rsidR="00DC6BD2" w:rsidRPr="00C5630B" w:rsidRDefault="00580DCC" w:rsidP="009961F8">
            <w:pPr>
              <w:rPr>
                <w:rFonts w:asciiTheme="minorHAnsi" w:hAnsiTheme="minorHAnsi" w:cs="Arial"/>
                <w:b/>
                <w:sz w:val="22"/>
                <w:szCs w:val="22"/>
              </w:rPr>
            </w:pPr>
            <w:r w:rsidRPr="00C5630B">
              <w:rPr>
                <w:rFonts w:asciiTheme="minorHAnsi" w:hAnsiTheme="minorHAnsi" w:cs="Arial"/>
                <w:b/>
                <w:sz w:val="22"/>
                <w:szCs w:val="22"/>
                <w:lang w:eastAsia="en-GB"/>
              </w:rPr>
              <w:t>Contractor &amp; DfE Costs</w:t>
            </w:r>
            <w:r w:rsidR="00AD7A0B" w:rsidRPr="00C5630B">
              <w:rPr>
                <w:rFonts w:asciiTheme="minorHAnsi" w:hAnsiTheme="minorHAnsi" w:cs="Arial"/>
                <w:b/>
                <w:sz w:val="22"/>
                <w:szCs w:val="22"/>
                <w:lang w:eastAsia="en-GB"/>
              </w:rPr>
              <w:t xml:space="preserve"> </w:t>
            </w:r>
          </w:p>
        </w:tc>
        <w:tc>
          <w:tcPr>
            <w:tcW w:w="1134" w:type="dxa"/>
            <w:shd w:val="clear" w:color="auto" w:fill="00B050"/>
          </w:tcPr>
          <w:p w14:paraId="3CB37F94" w14:textId="77777777" w:rsidR="00DC6BD2" w:rsidRPr="00EB7ACE" w:rsidRDefault="00F22F63" w:rsidP="00311C8A">
            <w:pPr>
              <w:rPr>
                <w:rFonts w:asciiTheme="minorHAnsi" w:hAnsiTheme="minorHAnsi" w:cs="Calibri"/>
                <w:sz w:val="22"/>
                <w:szCs w:val="22"/>
              </w:rPr>
            </w:pPr>
            <w:r w:rsidRPr="00EB7ACE">
              <w:rPr>
                <w:rFonts w:asciiTheme="minorHAnsi" w:hAnsiTheme="minorHAnsi" w:cs="Calibri"/>
                <w:sz w:val="22"/>
                <w:szCs w:val="22"/>
              </w:rPr>
              <w:t xml:space="preserve"> </w:t>
            </w:r>
          </w:p>
        </w:tc>
      </w:tr>
    </w:tbl>
    <w:p w14:paraId="170F7FB3" w14:textId="77777777" w:rsidR="002F6007" w:rsidRDefault="002F6007" w:rsidP="002F6007">
      <w:pPr>
        <w:rPr>
          <w:rFonts w:ascii="Calibri" w:hAnsi="Calibri" w:cs="Calibri"/>
          <w:b/>
          <w:color w:val="000000"/>
          <w:sz w:val="22"/>
          <w:szCs w:val="22"/>
          <w:u w:val="single"/>
          <w:lang w:eastAsia="en-GB"/>
        </w:rPr>
      </w:pPr>
    </w:p>
    <w:tbl>
      <w:tblPr>
        <w:tblStyle w:val="TableGrid"/>
        <w:tblW w:w="8364" w:type="dxa"/>
        <w:tblInd w:w="108" w:type="dxa"/>
        <w:tblLayout w:type="fixed"/>
        <w:tblLook w:val="04A0" w:firstRow="1" w:lastRow="0" w:firstColumn="1" w:lastColumn="0" w:noHBand="0" w:noVBand="1"/>
      </w:tblPr>
      <w:tblGrid>
        <w:gridCol w:w="851"/>
        <w:gridCol w:w="1417"/>
        <w:gridCol w:w="1418"/>
        <w:gridCol w:w="1417"/>
        <w:gridCol w:w="3261"/>
      </w:tblGrid>
      <w:tr w:rsidR="00592809" w14:paraId="1F52D687" w14:textId="77777777" w:rsidTr="009F74DD">
        <w:tc>
          <w:tcPr>
            <w:tcW w:w="851" w:type="dxa"/>
          </w:tcPr>
          <w:p w14:paraId="48A2C48D" w14:textId="77777777" w:rsidR="00592809" w:rsidRDefault="00592809" w:rsidP="009F74DD"/>
        </w:tc>
        <w:tc>
          <w:tcPr>
            <w:tcW w:w="1417" w:type="dxa"/>
            <w:tcBorders>
              <w:bottom w:val="single" w:sz="4" w:space="0" w:color="auto"/>
            </w:tcBorders>
            <w:vAlign w:val="bottom"/>
          </w:tcPr>
          <w:p w14:paraId="275B3CDA" w14:textId="77777777" w:rsidR="00592809" w:rsidRPr="007A46B0" w:rsidRDefault="00592809" w:rsidP="009F74DD">
            <w:pPr>
              <w:jc w:val="center"/>
              <w:rPr>
                <w:rFonts w:ascii="Calibri" w:hAnsi="Calibri" w:cs="Calibri"/>
                <w:color w:val="000000"/>
                <w:sz w:val="22"/>
                <w:szCs w:val="22"/>
                <w:lang w:eastAsia="en-GB"/>
              </w:rPr>
            </w:pPr>
            <w:r w:rsidRPr="007A46B0">
              <w:rPr>
                <w:rFonts w:ascii="Calibri" w:hAnsi="Calibri" w:cs="Calibri"/>
                <w:color w:val="000000"/>
                <w:sz w:val="22"/>
                <w:szCs w:val="22"/>
                <w:lang w:eastAsia="en-GB"/>
              </w:rPr>
              <w:t>YTD Profile</w:t>
            </w:r>
          </w:p>
        </w:tc>
        <w:tc>
          <w:tcPr>
            <w:tcW w:w="1418" w:type="dxa"/>
            <w:tcBorders>
              <w:bottom w:val="single" w:sz="4" w:space="0" w:color="auto"/>
            </w:tcBorders>
            <w:vAlign w:val="bottom"/>
          </w:tcPr>
          <w:p w14:paraId="723A32B0" w14:textId="77777777" w:rsidR="00592809" w:rsidRPr="007A46B0" w:rsidRDefault="00592809" w:rsidP="009F74DD">
            <w:pPr>
              <w:jc w:val="center"/>
              <w:rPr>
                <w:rFonts w:ascii="Calibri" w:hAnsi="Calibri" w:cs="Calibri"/>
                <w:color w:val="000000"/>
                <w:sz w:val="22"/>
                <w:szCs w:val="22"/>
                <w:lang w:eastAsia="en-GB"/>
              </w:rPr>
            </w:pPr>
            <w:r w:rsidRPr="007A46B0">
              <w:rPr>
                <w:rFonts w:ascii="Calibri" w:hAnsi="Calibri" w:cs="Calibri"/>
                <w:color w:val="000000"/>
                <w:sz w:val="22"/>
                <w:szCs w:val="22"/>
                <w:lang w:eastAsia="en-GB"/>
              </w:rPr>
              <w:t xml:space="preserve">YTD </w:t>
            </w:r>
            <w:r>
              <w:rPr>
                <w:rFonts w:ascii="Calibri" w:hAnsi="Calibri" w:cs="Calibri"/>
                <w:color w:val="000000"/>
                <w:sz w:val="22"/>
                <w:szCs w:val="22"/>
                <w:lang w:eastAsia="en-GB"/>
              </w:rPr>
              <w:t>actual</w:t>
            </w:r>
          </w:p>
        </w:tc>
        <w:tc>
          <w:tcPr>
            <w:tcW w:w="1417" w:type="dxa"/>
            <w:tcBorders>
              <w:bottom w:val="single" w:sz="4" w:space="0" w:color="auto"/>
            </w:tcBorders>
          </w:tcPr>
          <w:p w14:paraId="3DB76C52" w14:textId="77777777" w:rsidR="00592809" w:rsidRDefault="00592809" w:rsidP="009F74DD">
            <w:r>
              <w:rPr>
                <w:rFonts w:ascii="Calibri" w:hAnsi="Calibri" w:cs="Calibri"/>
                <w:color w:val="000000"/>
                <w:sz w:val="22"/>
                <w:szCs w:val="22"/>
                <w:lang w:eastAsia="en-GB"/>
              </w:rPr>
              <w:t>Variance</w:t>
            </w:r>
          </w:p>
        </w:tc>
        <w:tc>
          <w:tcPr>
            <w:tcW w:w="3261" w:type="dxa"/>
          </w:tcPr>
          <w:p w14:paraId="40C34C4C" w14:textId="77777777" w:rsidR="00592809" w:rsidRPr="00580DCC" w:rsidRDefault="00592809" w:rsidP="009F74DD">
            <w:pPr>
              <w:rPr>
                <w:rFonts w:asciiTheme="minorHAnsi" w:hAnsiTheme="minorHAnsi"/>
                <w:sz w:val="22"/>
                <w:szCs w:val="22"/>
              </w:rPr>
            </w:pPr>
            <w:r w:rsidRPr="00580DCC">
              <w:rPr>
                <w:rFonts w:asciiTheme="minorHAnsi" w:hAnsiTheme="minorHAnsi"/>
                <w:sz w:val="22"/>
                <w:szCs w:val="22"/>
              </w:rPr>
              <w:t>Narrative</w:t>
            </w:r>
          </w:p>
        </w:tc>
      </w:tr>
      <w:tr w:rsidR="00592809" w14:paraId="682D6E73" w14:textId="77777777" w:rsidTr="007720C5">
        <w:tc>
          <w:tcPr>
            <w:tcW w:w="851" w:type="dxa"/>
          </w:tcPr>
          <w:p w14:paraId="47FCC77E" w14:textId="77777777" w:rsidR="00592809" w:rsidRPr="007A46B0" w:rsidRDefault="00592809" w:rsidP="009F74DD">
            <w:pPr>
              <w:rPr>
                <w:rFonts w:ascii="Calibri" w:hAnsi="Calibri" w:cs="Calibri"/>
                <w:color w:val="000000"/>
                <w:sz w:val="22"/>
                <w:szCs w:val="22"/>
                <w:lang w:eastAsia="en-GB"/>
              </w:rPr>
            </w:pPr>
            <w:r>
              <w:rPr>
                <w:rFonts w:ascii="Calibri" w:hAnsi="Calibri" w:cs="Calibri"/>
                <w:color w:val="000000"/>
                <w:sz w:val="22"/>
                <w:szCs w:val="22"/>
                <w:lang w:eastAsia="en-GB"/>
              </w:rPr>
              <w:t>Capita</w:t>
            </w:r>
            <w:r w:rsidRPr="007A46B0">
              <w:rPr>
                <w:rFonts w:ascii="Calibri" w:hAnsi="Calibri" w:cs="Calibri"/>
                <w:color w:val="000000"/>
                <w:sz w:val="22"/>
                <w:szCs w:val="22"/>
                <w:lang w:eastAsia="en-GB"/>
              </w:rPr>
              <w:t xml:space="preserve"> </w:t>
            </w:r>
          </w:p>
        </w:tc>
        <w:tc>
          <w:tcPr>
            <w:tcW w:w="1417" w:type="dxa"/>
            <w:tcBorders>
              <w:bottom w:val="single" w:sz="4" w:space="0" w:color="auto"/>
            </w:tcBorders>
            <w:shd w:val="clear" w:color="auto" w:fill="FFFFFF" w:themeFill="background1"/>
          </w:tcPr>
          <w:p w14:paraId="477E0D6E" w14:textId="29405DEF" w:rsidR="00471ABD" w:rsidRPr="007A46B0" w:rsidRDefault="00E23885" w:rsidP="007720C5">
            <w:pPr>
              <w:jc w:val="right"/>
              <w:rPr>
                <w:rFonts w:ascii="Calibri" w:hAnsi="Calibri" w:cs="Calibri"/>
                <w:color w:val="000000"/>
                <w:sz w:val="22"/>
                <w:szCs w:val="22"/>
                <w:lang w:eastAsia="en-GB"/>
              </w:rPr>
            </w:pPr>
            <w:r w:rsidRPr="007720C5">
              <w:rPr>
                <w:rFonts w:ascii="Calibri" w:hAnsi="Calibri" w:cs="Calibri"/>
                <w:color w:val="000000"/>
                <w:sz w:val="22"/>
                <w:szCs w:val="22"/>
                <w:highlight w:val="black"/>
                <w:lang w:eastAsia="en-GB"/>
              </w:rPr>
              <w:t>£</w:t>
            </w:r>
            <w:r w:rsidR="007720C5" w:rsidRPr="007720C5">
              <w:rPr>
                <w:rFonts w:ascii="Calibri" w:hAnsi="Calibri" w:cs="Calibri"/>
                <w:color w:val="000000"/>
                <w:sz w:val="22"/>
                <w:szCs w:val="22"/>
                <w:highlight w:val="black"/>
                <w:lang w:eastAsia="en-GB"/>
              </w:rPr>
              <w:t>xxxxxxxxxx</w:t>
            </w:r>
          </w:p>
        </w:tc>
        <w:tc>
          <w:tcPr>
            <w:tcW w:w="1418" w:type="dxa"/>
            <w:tcBorders>
              <w:bottom w:val="single" w:sz="4" w:space="0" w:color="auto"/>
            </w:tcBorders>
            <w:shd w:val="clear" w:color="auto" w:fill="FFFFFF" w:themeFill="background1"/>
          </w:tcPr>
          <w:p w14:paraId="49D61AF0" w14:textId="365C7C14" w:rsidR="00592809" w:rsidRPr="007A46B0" w:rsidRDefault="007720C5" w:rsidP="007720C5">
            <w:pPr>
              <w:jc w:val="right"/>
              <w:rPr>
                <w:rFonts w:ascii="Calibri" w:hAnsi="Calibri" w:cs="Calibri"/>
                <w:color w:val="000000"/>
                <w:sz w:val="22"/>
                <w:szCs w:val="22"/>
                <w:lang w:eastAsia="en-GB"/>
              </w:rPr>
            </w:pPr>
            <w:r w:rsidRPr="007720C5">
              <w:rPr>
                <w:rFonts w:ascii="Calibri" w:hAnsi="Calibri" w:cs="Calibri"/>
                <w:color w:val="000000"/>
                <w:sz w:val="22"/>
                <w:szCs w:val="22"/>
                <w:highlight w:val="black"/>
                <w:lang w:eastAsia="en-GB"/>
              </w:rPr>
              <w:t>xxxxxxxxxx</w:t>
            </w:r>
          </w:p>
        </w:tc>
        <w:tc>
          <w:tcPr>
            <w:tcW w:w="1417" w:type="dxa"/>
            <w:shd w:val="clear" w:color="auto" w:fill="FFFFFF" w:themeFill="background1"/>
          </w:tcPr>
          <w:p w14:paraId="35D44B32" w14:textId="0953C9CD" w:rsidR="00592809" w:rsidRPr="007A46B0" w:rsidRDefault="007720C5" w:rsidP="007720C5">
            <w:pPr>
              <w:jc w:val="right"/>
              <w:rPr>
                <w:rFonts w:ascii="Calibri" w:hAnsi="Calibri" w:cs="Calibri"/>
                <w:color w:val="000000"/>
                <w:sz w:val="22"/>
                <w:szCs w:val="22"/>
                <w:lang w:eastAsia="en-GB"/>
              </w:rPr>
            </w:pPr>
            <w:r>
              <w:rPr>
                <w:rFonts w:ascii="Calibri" w:hAnsi="Calibri" w:cs="Calibri"/>
                <w:color w:val="000000"/>
                <w:sz w:val="22"/>
                <w:szCs w:val="22"/>
                <w:highlight w:val="black"/>
                <w:lang w:eastAsia="en-GB"/>
              </w:rPr>
              <w:t>xxxxxxxxxxxxxxxx</w:t>
            </w:r>
            <w:r w:rsidR="000402FC" w:rsidRPr="00753941">
              <w:rPr>
                <w:rFonts w:ascii="Calibri" w:hAnsi="Calibri" w:cs="Calibri"/>
                <w:color w:val="000000"/>
                <w:sz w:val="22"/>
                <w:szCs w:val="22"/>
                <w:highlight w:val="black"/>
                <w:lang w:eastAsia="en-GB"/>
              </w:rPr>
              <w:t xml:space="preserve"> </w:t>
            </w:r>
          </w:p>
        </w:tc>
        <w:tc>
          <w:tcPr>
            <w:tcW w:w="3261" w:type="dxa"/>
            <w:shd w:val="clear" w:color="auto" w:fill="000000" w:themeFill="text1"/>
          </w:tcPr>
          <w:p w14:paraId="2C55871F" w14:textId="1AFCF995" w:rsidR="000402FC" w:rsidRPr="007A46B0" w:rsidRDefault="007720C5" w:rsidP="007720C5">
            <w:pPr>
              <w:rPr>
                <w:rFonts w:ascii="Calibri" w:hAnsi="Calibri" w:cs="Calibri"/>
                <w:color w:val="000000"/>
                <w:sz w:val="22"/>
                <w:szCs w:val="22"/>
                <w:lang w:eastAsia="en-GB"/>
              </w:rPr>
            </w:pPr>
            <w:r>
              <w:rPr>
                <w:rFonts w:ascii="Calibri" w:hAnsi="Calibri" w:cs="Calibri"/>
                <w:color w:val="000000"/>
                <w:sz w:val="22"/>
                <w:szCs w:val="22"/>
                <w:lang w:eastAsia="en-GB"/>
              </w:rPr>
              <w:t>xxxxxxxxxxxxxxxxxxxxxxxxxxxxxxxxxxxxxxxxxxxxxxxxxxxxxxxxxxxxxxxxxxxxxxxxxxxxxxxxxxxxxxxxxxxxxxxxxxxxxxxxxxxxxxxxxxxxxxxxxxxxxxxxxxxx</w:t>
            </w:r>
          </w:p>
        </w:tc>
      </w:tr>
      <w:tr w:rsidR="00592809" w14:paraId="6713ABCA" w14:textId="77777777" w:rsidTr="009F74DD">
        <w:tc>
          <w:tcPr>
            <w:tcW w:w="851" w:type="dxa"/>
          </w:tcPr>
          <w:p w14:paraId="31F328D7" w14:textId="77777777" w:rsidR="00592809" w:rsidRPr="007A46B0" w:rsidRDefault="00592809" w:rsidP="009F74DD">
            <w:pPr>
              <w:rPr>
                <w:rFonts w:ascii="Calibri" w:hAnsi="Calibri" w:cs="Calibri"/>
                <w:color w:val="000000"/>
                <w:sz w:val="22"/>
                <w:szCs w:val="22"/>
                <w:lang w:eastAsia="en-GB"/>
              </w:rPr>
            </w:pPr>
            <w:r w:rsidRPr="007A46B0">
              <w:rPr>
                <w:rFonts w:ascii="Calibri" w:hAnsi="Calibri" w:cs="Calibri"/>
                <w:color w:val="000000"/>
                <w:sz w:val="22"/>
                <w:szCs w:val="22"/>
                <w:lang w:eastAsia="en-GB"/>
              </w:rPr>
              <w:t xml:space="preserve">GAD </w:t>
            </w:r>
          </w:p>
        </w:tc>
        <w:tc>
          <w:tcPr>
            <w:tcW w:w="1417" w:type="dxa"/>
            <w:shd w:val="clear" w:color="auto" w:fill="FFFFFF" w:themeFill="background1"/>
          </w:tcPr>
          <w:p w14:paraId="58728BA2" w14:textId="2E04D66A" w:rsidR="00592809" w:rsidRPr="007A46B0" w:rsidRDefault="007720C5" w:rsidP="00F846C2">
            <w:pPr>
              <w:jc w:val="right"/>
              <w:rPr>
                <w:rFonts w:ascii="Calibri" w:hAnsi="Calibri" w:cs="Calibri"/>
                <w:color w:val="000000"/>
                <w:sz w:val="22"/>
                <w:szCs w:val="22"/>
                <w:lang w:eastAsia="en-GB"/>
              </w:rPr>
            </w:pPr>
            <w:r w:rsidRPr="007720C5">
              <w:rPr>
                <w:rFonts w:ascii="Calibri" w:hAnsi="Calibri" w:cs="Calibri"/>
                <w:color w:val="000000"/>
                <w:sz w:val="22"/>
                <w:szCs w:val="22"/>
                <w:highlight w:val="black"/>
                <w:lang w:eastAsia="en-GB"/>
              </w:rPr>
              <w:t>xxxxxxxxx</w:t>
            </w:r>
          </w:p>
        </w:tc>
        <w:tc>
          <w:tcPr>
            <w:tcW w:w="1418" w:type="dxa"/>
            <w:shd w:val="clear" w:color="auto" w:fill="FFFFFF" w:themeFill="background1"/>
          </w:tcPr>
          <w:p w14:paraId="3D63A34A" w14:textId="315790E2" w:rsidR="00E74849" w:rsidRPr="007A46B0" w:rsidRDefault="007720C5" w:rsidP="00E74849">
            <w:pPr>
              <w:jc w:val="right"/>
              <w:rPr>
                <w:rFonts w:ascii="Calibri" w:hAnsi="Calibri" w:cs="Calibri"/>
                <w:color w:val="000000"/>
                <w:sz w:val="22"/>
                <w:szCs w:val="22"/>
                <w:lang w:eastAsia="en-GB"/>
              </w:rPr>
            </w:pPr>
            <w:r w:rsidRPr="007720C5">
              <w:rPr>
                <w:rFonts w:ascii="Calibri" w:hAnsi="Calibri" w:cs="Calibri"/>
                <w:color w:val="000000"/>
                <w:sz w:val="22"/>
                <w:szCs w:val="22"/>
                <w:highlight w:val="black"/>
                <w:lang w:eastAsia="en-GB"/>
              </w:rPr>
              <w:t>xxxxxxxx</w:t>
            </w:r>
          </w:p>
        </w:tc>
        <w:tc>
          <w:tcPr>
            <w:tcW w:w="1417" w:type="dxa"/>
            <w:shd w:val="clear" w:color="auto" w:fill="FFFFFF" w:themeFill="background1"/>
          </w:tcPr>
          <w:p w14:paraId="327C14C4" w14:textId="550BCD1E" w:rsidR="00592809" w:rsidRPr="007A46B0" w:rsidRDefault="007720C5" w:rsidP="00E74849">
            <w:pPr>
              <w:jc w:val="right"/>
              <w:rPr>
                <w:rFonts w:ascii="Calibri" w:hAnsi="Calibri" w:cs="Calibri"/>
                <w:color w:val="000000"/>
                <w:sz w:val="22"/>
                <w:szCs w:val="22"/>
                <w:lang w:eastAsia="en-GB"/>
              </w:rPr>
            </w:pPr>
            <w:r w:rsidRPr="007720C5">
              <w:rPr>
                <w:rFonts w:ascii="Calibri" w:hAnsi="Calibri" w:cs="Calibri"/>
                <w:color w:val="000000"/>
                <w:sz w:val="22"/>
                <w:szCs w:val="22"/>
                <w:highlight w:val="black"/>
                <w:lang w:eastAsia="en-GB"/>
              </w:rPr>
              <w:t>xxxxxxxxxxxxxxx</w:t>
            </w:r>
          </w:p>
        </w:tc>
        <w:tc>
          <w:tcPr>
            <w:tcW w:w="3261" w:type="dxa"/>
          </w:tcPr>
          <w:p w14:paraId="2B65A249" w14:textId="77634D49" w:rsidR="007720C5" w:rsidRDefault="007720C5" w:rsidP="009F74DD">
            <w:pPr>
              <w:rPr>
                <w:rFonts w:ascii="Calibri" w:hAnsi="Calibri" w:cs="Calibri"/>
                <w:color w:val="000000"/>
                <w:sz w:val="22"/>
                <w:szCs w:val="22"/>
                <w:highlight w:val="black"/>
                <w:lang w:eastAsia="en-GB"/>
              </w:rPr>
            </w:pPr>
            <w:r>
              <w:rPr>
                <w:rFonts w:ascii="Calibri" w:hAnsi="Calibri" w:cs="Calibri"/>
                <w:color w:val="000000"/>
                <w:sz w:val="22"/>
                <w:szCs w:val="22"/>
                <w:highlight w:val="black"/>
                <w:lang w:eastAsia="en-GB"/>
              </w:rPr>
              <w:t>Xxxxxxxxxxxxxxxxxxxxxxxxxxxxxxxxxxxxxxxxxxxxxxxxxxxxx</w:t>
            </w:r>
          </w:p>
          <w:p w14:paraId="5D357699" w14:textId="750F9944" w:rsidR="00592809" w:rsidRPr="007A46B0" w:rsidRDefault="00615241" w:rsidP="009F74DD">
            <w:pPr>
              <w:rPr>
                <w:rFonts w:ascii="Calibri" w:hAnsi="Calibri" w:cs="Calibri"/>
                <w:color w:val="000000"/>
                <w:sz w:val="22"/>
                <w:szCs w:val="22"/>
                <w:lang w:eastAsia="en-GB"/>
              </w:rPr>
            </w:pPr>
            <w:r w:rsidRPr="00753941">
              <w:rPr>
                <w:rFonts w:ascii="Calibri" w:hAnsi="Calibri" w:cs="Calibri"/>
                <w:color w:val="000000"/>
                <w:sz w:val="22"/>
                <w:szCs w:val="22"/>
                <w:highlight w:val="black"/>
                <w:lang w:eastAsia="en-GB"/>
              </w:rPr>
              <w:t>.</w:t>
            </w:r>
          </w:p>
        </w:tc>
      </w:tr>
      <w:tr w:rsidR="00592809" w14:paraId="1225BCED" w14:textId="77777777" w:rsidTr="009F74DD">
        <w:tc>
          <w:tcPr>
            <w:tcW w:w="851" w:type="dxa"/>
          </w:tcPr>
          <w:p w14:paraId="78B246E9" w14:textId="77777777" w:rsidR="00592809" w:rsidRPr="007A46B0" w:rsidRDefault="00592809" w:rsidP="009F74DD">
            <w:pPr>
              <w:rPr>
                <w:rFonts w:ascii="Calibri" w:hAnsi="Calibri" w:cs="Calibri"/>
                <w:color w:val="000000"/>
                <w:sz w:val="22"/>
                <w:szCs w:val="22"/>
                <w:lang w:eastAsia="en-GB"/>
              </w:rPr>
            </w:pPr>
            <w:r w:rsidRPr="007A46B0">
              <w:rPr>
                <w:rFonts w:ascii="Calibri" w:hAnsi="Calibri" w:cs="Calibri"/>
                <w:color w:val="000000"/>
                <w:sz w:val="22"/>
                <w:szCs w:val="22"/>
                <w:lang w:eastAsia="en-GB"/>
              </w:rPr>
              <w:t xml:space="preserve">OH Assist </w:t>
            </w:r>
          </w:p>
        </w:tc>
        <w:tc>
          <w:tcPr>
            <w:tcW w:w="1417" w:type="dxa"/>
            <w:shd w:val="clear" w:color="auto" w:fill="FFFFFF" w:themeFill="background1"/>
          </w:tcPr>
          <w:p w14:paraId="6A575360" w14:textId="24AA2EFE" w:rsidR="00592809" w:rsidRPr="007720C5" w:rsidRDefault="007720C5" w:rsidP="00F846C2">
            <w:pPr>
              <w:jc w:val="right"/>
              <w:rPr>
                <w:rFonts w:ascii="Calibri" w:hAnsi="Calibri" w:cs="Calibri"/>
                <w:color w:val="000000"/>
                <w:sz w:val="22"/>
                <w:szCs w:val="22"/>
                <w:highlight w:val="black"/>
                <w:lang w:eastAsia="en-GB"/>
              </w:rPr>
            </w:pPr>
            <w:r w:rsidRPr="007720C5">
              <w:rPr>
                <w:rFonts w:ascii="Calibri" w:hAnsi="Calibri" w:cs="Calibri"/>
                <w:color w:val="000000"/>
                <w:sz w:val="22"/>
                <w:szCs w:val="22"/>
                <w:highlight w:val="black"/>
                <w:lang w:eastAsia="en-GB"/>
              </w:rPr>
              <w:t>xxxxxxx</w:t>
            </w:r>
          </w:p>
        </w:tc>
        <w:tc>
          <w:tcPr>
            <w:tcW w:w="1418" w:type="dxa"/>
            <w:shd w:val="clear" w:color="auto" w:fill="FFFFFF" w:themeFill="background1"/>
          </w:tcPr>
          <w:p w14:paraId="332677F2" w14:textId="5D63FF14" w:rsidR="00592809" w:rsidRPr="007720C5" w:rsidRDefault="007720C5" w:rsidP="00F846C2">
            <w:pPr>
              <w:jc w:val="right"/>
              <w:rPr>
                <w:rFonts w:ascii="Calibri" w:hAnsi="Calibri" w:cs="Calibri"/>
                <w:color w:val="000000"/>
                <w:sz w:val="22"/>
                <w:szCs w:val="22"/>
                <w:highlight w:val="black"/>
                <w:lang w:eastAsia="en-GB"/>
              </w:rPr>
            </w:pPr>
            <w:r w:rsidRPr="007720C5">
              <w:rPr>
                <w:rFonts w:ascii="Calibri" w:hAnsi="Calibri" w:cs="Calibri"/>
                <w:color w:val="000000"/>
                <w:sz w:val="22"/>
                <w:szCs w:val="22"/>
                <w:highlight w:val="black"/>
                <w:lang w:eastAsia="en-GB"/>
              </w:rPr>
              <w:t>xxxxxxx</w:t>
            </w:r>
          </w:p>
        </w:tc>
        <w:tc>
          <w:tcPr>
            <w:tcW w:w="1417" w:type="dxa"/>
            <w:shd w:val="clear" w:color="auto" w:fill="FFFFFF" w:themeFill="background1"/>
          </w:tcPr>
          <w:p w14:paraId="65D4523B" w14:textId="10A46CFF" w:rsidR="00592809" w:rsidRPr="007A46B0" w:rsidRDefault="007720C5" w:rsidP="009F74DD">
            <w:pPr>
              <w:jc w:val="right"/>
              <w:rPr>
                <w:rFonts w:ascii="Calibri" w:hAnsi="Calibri" w:cs="Calibri"/>
                <w:color w:val="000000"/>
                <w:sz w:val="22"/>
                <w:szCs w:val="22"/>
                <w:lang w:eastAsia="en-GB"/>
              </w:rPr>
            </w:pPr>
            <w:r w:rsidRPr="007720C5">
              <w:rPr>
                <w:rFonts w:ascii="Calibri" w:hAnsi="Calibri" w:cs="Calibri"/>
                <w:color w:val="000000"/>
                <w:sz w:val="22"/>
                <w:szCs w:val="22"/>
                <w:highlight w:val="black"/>
                <w:lang w:eastAsia="en-GB"/>
              </w:rPr>
              <w:t>xx</w:t>
            </w:r>
          </w:p>
        </w:tc>
        <w:tc>
          <w:tcPr>
            <w:tcW w:w="3261" w:type="dxa"/>
          </w:tcPr>
          <w:p w14:paraId="1D63A10A" w14:textId="07AB76D2" w:rsidR="00592809" w:rsidRPr="007A46B0" w:rsidRDefault="00615241" w:rsidP="009F74DD">
            <w:pPr>
              <w:rPr>
                <w:rFonts w:ascii="Calibri" w:hAnsi="Calibri" w:cs="Calibri"/>
                <w:color w:val="000000"/>
                <w:sz w:val="22"/>
                <w:szCs w:val="22"/>
                <w:lang w:eastAsia="en-GB"/>
              </w:rPr>
            </w:pPr>
            <w:r>
              <w:rPr>
                <w:rFonts w:ascii="Calibri" w:hAnsi="Calibri" w:cs="Calibri"/>
                <w:color w:val="000000"/>
                <w:sz w:val="22"/>
                <w:szCs w:val="22"/>
                <w:lang w:eastAsia="en-GB"/>
              </w:rPr>
              <w:t>Spend progressing in line with the agreed contract.</w:t>
            </w:r>
          </w:p>
        </w:tc>
      </w:tr>
      <w:tr w:rsidR="00592809" w14:paraId="1972CDB1" w14:textId="77777777" w:rsidTr="009F74DD">
        <w:tc>
          <w:tcPr>
            <w:tcW w:w="851" w:type="dxa"/>
          </w:tcPr>
          <w:p w14:paraId="4CCD7DBB" w14:textId="77777777" w:rsidR="00592809" w:rsidRPr="007A46B0" w:rsidRDefault="00592809" w:rsidP="009F74DD">
            <w:pPr>
              <w:rPr>
                <w:rFonts w:ascii="Calibri" w:hAnsi="Calibri" w:cs="Calibri"/>
                <w:color w:val="000000"/>
                <w:sz w:val="22"/>
                <w:szCs w:val="22"/>
                <w:lang w:eastAsia="en-GB"/>
              </w:rPr>
            </w:pPr>
            <w:r>
              <w:rPr>
                <w:rFonts w:ascii="Calibri" w:hAnsi="Calibri" w:cs="Calibri"/>
                <w:color w:val="000000"/>
                <w:sz w:val="22"/>
                <w:szCs w:val="22"/>
                <w:lang w:eastAsia="en-GB"/>
              </w:rPr>
              <w:t>DfE</w:t>
            </w:r>
          </w:p>
        </w:tc>
        <w:tc>
          <w:tcPr>
            <w:tcW w:w="1417" w:type="dxa"/>
            <w:shd w:val="clear" w:color="auto" w:fill="FFFFFF" w:themeFill="background1"/>
          </w:tcPr>
          <w:p w14:paraId="025D3A2A" w14:textId="4A356A78" w:rsidR="00592809" w:rsidRPr="007A46B0" w:rsidRDefault="00E23885" w:rsidP="00CB62A2">
            <w:pPr>
              <w:jc w:val="right"/>
              <w:rPr>
                <w:rFonts w:ascii="Calibri" w:hAnsi="Calibri" w:cs="Calibri"/>
                <w:color w:val="000000"/>
                <w:sz w:val="22"/>
                <w:szCs w:val="22"/>
                <w:lang w:eastAsia="en-GB"/>
              </w:rPr>
            </w:pPr>
            <w:r>
              <w:rPr>
                <w:rFonts w:ascii="Calibri" w:hAnsi="Calibri" w:cs="Calibri"/>
                <w:color w:val="000000"/>
                <w:sz w:val="22"/>
                <w:szCs w:val="22"/>
                <w:lang w:eastAsia="en-GB"/>
              </w:rPr>
              <w:t>£220,326</w:t>
            </w:r>
          </w:p>
        </w:tc>
        <w:tc>
          <w:tcPr>
            <w:tcW w:w="1418" w:type="dxa"/>
            <w:shd w:val="clear" w:color="auto" w:fill="FFFFFF" w:themeFill="background1"/>
          </w:tcPr>
          <w:p w14:paraId="4D8D1ED2" w14:textId="789C0133" w:rsidR="00592809" w:rsidRPr="007A46B0" w:rsidRDefault="000A3070" w:rsidP="00CB62A2">
            <w:pPr>
              <w:jc w:val="right"/>
              <w:rPr>
                <w:rFonts w:ascii="Calibri" w:hAnsi="Calibri" w:cs="Calibri"/>
                <w:color w:val="000000"/>
                <w:sz w:val="22"/>
                <w:szCs w:val="22"/>
                <w:lang w:eastAsia="en-GB"/>
              </w:rPr>
            </w:pPr>
            <w:r>
              <w:rPr>
                <w:rFonts w:ascii="Calibri" w:hAnsi="Calibri" w:cs="Calibri"/>
                <w:color w:val="000000"/>
                <w:sz w:val="22"/>
                <w:szCs w:val="22"/>
                <w:lang w:eastAsia="en-GB"/>
              </w:rPr>
              <w:t>£205,748</w:t>
            </w:r>
          </w:p>
        </w:tc>
        <w:tc>
          <w:tcPr>
            <w:tcW w:w="1417" w:type="dxa"/>
            <w:shd w:val="clear" w:color="auto" w:fill="FFFFFF" w:themeFill="background1"/>
          </w:tcPr>
          <w:p w14:paraId="39E435A9" w14:textId="41D51CEB" w:rsidR="00592809" w:rsidRPr="007A46B0" w:rsidRDefault="00615241" w:rsidP="009F74DD">
            <w:pPr>
              <w:jc w:val="right"/>
              <w:rPr>
                <w:rFonts w:ascii="Calibri" w:hAnsi="Calibri" w:cs="Calibri"/>
                <w:color w:val="000000"/>
                <w:sz w:val="22"/>
                <w:szCs w:val="22"/>
                <w:lang w:eastAsia="en-GB"/>
              </w:rPr>
            </w:pPr>
            <w:r>
              <w:rPr>
                <w:rFonts w:ascii="Calibri" w:hAnsi="Calibri" w:cs="Calibri"/>
                <w:color w:val="000000"/>
                <w:sz w:val="22"/>
                <w:szCs w:val="22"/>
                <w:lang w:eastAsia="en-GB"/>
              </w:rPr>
              <w:t>-</w:t>
            </w:r>
            <w:r w:rsidR="000402FC">
              <w:rPr>
                <w:rFonts w:ascii="Calibri" w:hAnsi="Calibri" w:cs="Calibri"/>
                <w:color w:val="000000"/>
                <w:sz w:val="22"/>
                <w:szCs w:val="22"/>
                <w:lang w:eastAsia="en-GB"/>
              </w:rPr>
              <w:t>£14,578 (6.6%)</w:t>
            </w:r>
          </w:p>
        </w:tc>
        <w:tc>
          <w:tcPr>
            <w:tcW w:w="3261" w:type="dxa"/>
          </w:tcPr>
          <w:p w14:paraId="02EB56EF" w14:textId="7BE2F3B2" w:rsidR="00592809" w:rsidRPr="007A46B0" w:rsidRDefault="000A3070" w:rsidP="00143B05">
            <w:pPr>
              <w:rPr>
                <w:rFonts w:ascii="Calibri" w:hAnsi="Calibri" w:cs="Calibri"/>
                <w:color w:val="000000"/>
                <w:sz w:val="22"/>
                <w:szCs w:val="22"/>
                <w:lang w:eastAsia="en-GB"/>
              </w:rPr>
            </w:pPr>
            <w:r>
              <w:rPr>
                <w:rFonts w:ascii="Calibri" w:hAnsi="Calibri" w:cs="Calibri"/>
                <w:color w:val="000000"/>
                <w:sz w:val="22"/>
                <w:szCs w:val="22"/>
                <w:lang w:eastAsia="en-GB"/>
              </w:rPr>
              <w:t>Costs for a G7 finance manager have been included in the team profile; however the post currently remains vacant.</w:t>
            </w:r>
          </w:p>
        </w:tc>
      </w:tr>
    </w:tbl>
    <w:p w14:paraId="6449C1FD" w14:textId="77777777" w:rsidR="00471ABD" w:rsidRDefault="00471ABD" w:rsidP="00356245">
      <w:pPr>
        <w:jc w:val="center"/>
        <w:rPr>
          <w:rFonts w:ascii="Calibri" w:hAnsi="Calibri" w:cs="Calibri"/>
          <w:b/>
          <w:sz w:val="28"/>
          <w:szCs w:val="28"/>
        </w:rPr>
      </w:pPr>
    </w:p>
    <w:p w14:paraId="3B8328EC" w14:textId="47A605DA" w:rsidR="00E376C4" w:rsidRPr="000B5871" w:rsidRDefault="00753941" w:rsidP="00753941">
      <w:pPr>
        <w:tabs>
          <w:tab w:val="left" w:pos="2868"/>
        </w:tabs>
        <w:rPr>
          <w:rFonts w:ascii="Calibri" w:hAnsi="Calibri" w:cs="Calibri"/>
          <w:b/>
          <w:sz w:val="28"/>
          <w:szCs w:val="28"/>
        </w:rPr>
      </w:pPr>
      <w:r>
        <w:rPr>
          <w:rFonts w:ascii="Calibri" w:hAnsi="Calibri" w:cs="Calibri"/>
          <w:b/>
          <w:sz w:val="28"/>
          <w:szCs w:val="28"/>
        </w:rPr>
        <w:tab/>
      </w:r>
      <w:r w:rsidR="00E376C4" w:rsidRPr="000B5871">
        <w:rPr>
          <w:rFonts w:ascii="Calibri" w:hAnsi="Calibri" w:cs="Calibri"/>
          <w:b/>
          <w:sz w:val="28"/>
          <w:szCs w:val="28"/>
        </w:rPr>
        <w:t xml:space="preserve">Risk Update </w:t>
      </w:r>
    </w:p>
    <w:p w14:paraId="31C5C6B1" w14:textId="77777777" w:rsidR="00E376C4" w:rsidRDefault="00E376C4" w:rsidP="00E376C4">
      <w:pPr>
        <w:rPr>
          <w:rFonts w:ascii="Calibri" w:hAnsi="Calibri" w:cs="Calibri"/>
          <w:sz w:val="22"/>
          <w:szCs w:val="22"/>
        </w:rPr>
      </w:pPr>
    </w:p>
    <w:p w14:paraId="0B644FCB" w14:textId="77777777" w:rsidR="00E376C4" w:rsidRDefault="00E376C4" w:rsidP="00E376C4">
      <w:pPr>
        <w:ind w:left="360"/>
        <w:rPr>
          <w:rFonts w:ascii="Calibri" w:hAnsi="Calibri" w:cs="Calibri"/>
          <w:color w:val="000000"/>
          <w:sz w:val="22"/>
          <w:szCs w:val="22"/>
          <w:lang w:eastAsia="en-GB"/>
        </w:rPr>
      </w:pPr>
    </w:p>
    <w:p w14:paraId="2255C9E8" w14:textId="77777777" w:rsidR="00E376C4" w:rsidRPr="00481F37" w:rsidRDefault="00E376C4" w:rsidP="00481F37">
      <w:pPr>
        <w:pStyle w:val="ListParagraph"/>
        <w:numPr>
          <w:ilvl w:val="0"/>
          <w:numId w:val="23"/>
        </w:numPr>
        <w:rPr>
          <w:rFonts w:ascii="Calibri" w:hAnsi="Calibri" w:cs="Calibri"/>
          <w:color w:val="000000"/>
          <w:sz w:val="22"/>
          <w:szCs w:val="22"/>
          <w:lang w:eastAsia="en-GB"/>
        </w:rPr>
      </w:pPr>
      <w:r w:rsidRPr="00481F37">
        <w:rPr>
          <w:rFonts w:ascii="Calibri" w:hAnsi="Calibri" w:cs="Calibri"/>
          <w:color w:val="000000"/>
          <w:sz w:val="22"/>
          <w:szCs w:val="22"/>
          <w:lang w:eastAsia="en-GB"/>
        </w:rPr>
        <w:t>The Risk management process remains robust, with a regular monthly meeting held between key members of both the DfE and Capita teams to review the current status of active risks and discuss potential emerging risks. Capita can supplement this process by calling upon wider Group expertise where required.</w:t>
      </w:r>
    </w:p>
    <w:p w14:paraId="502F94BC" w14:textId="77777777" w:rsidR="00E376C4" w:rsidRDefault="00E376C4" w:rsidP="00E376C4">
      <w:pPr>
        <w:ind w:left="426"/>
        <w:rPr>
          <w:rFonts w:ascii="Calibri" w:hAnsi="Calibri" w:cs="Calibri"/>
          <w:color w:val="000000"/>
          <w:sz w:val="22"/>
          <w:szCs w:val="22"/>
          <w:lang w:eastAsia="en-GB"/>
        </w:rPr>
      </w:pPr>
    </w:p>
    <w:p w14:paraId="4C69C6C4" w14:textId="77777777" w:rsidR="00E376C4" w:rsidRPr="00481F37" w:rsidRDefault="00E376C4" w:rsidP="00481F37">
      <w:pPr>
        <w:pStyle w:val="ListParagraph"/>
        <w:numPr>
          <w:ilvl w:val="0"/>
          <w:numId w:val="23"/>
        </w:numPr>
        <w:rPr>
          <w:rFonts w:ascii="Calibri" w:hAnsi="Calibri" w:cs="Calibri"/>
          <w:color w:val="000000"/>
          <w:sz w:val="22"/>
          <w:szCs w:val="22"/>
          <w:lang w:eastAsia="en-GB"/>
        </w:rPr>
      </w:pPr>
      <w:r w:rsidRPr="00481F37">
        <w:rPr>
          <w:rFonts w:ascii="Calibri" w:hAnsi="Calibri" w:cs="Calibri"/>
          <w:color w:val="000000"/>
          <w:sz w:val="22"/>
          <w:szCs w:val="22"/>
          <w:lang w:eastAsia="en-GB"/>
        </w:rPr>
        <w:t xml:space="preserve">The Key Risks to report to the Pension Board are determined during the Risk Committee by key members of the DfE Account Management Team and Capita TP Administration Team. </w:t>
      </w:r>
    </w:p>
    <w:p w14:paraId="10FB1836" w14:textId="77777777" w:rsidR="00E376C4" w:rsidRDefault="00E376C4" w:rsidP="00E376C4">
      <w:pPr>
        <w:ind w:left="426"/>
        <w:rPr>
          <w:rFonts w:ascii="Calibri" w:hAnsi="Calibri" w:cs="Calibri"/>
          <w:color w:val="000000"/>
          <w:sz w:val="22"/>
          <w:szCs w:val="22"/>
          <w:lang w:eastAsia="en-GB"/>
        </w:rPr>
      </w:pPr>
    </w:p>
    <w:p w14:paraId="0BDC7C47" w14:textId="77777777" w:rsidR="00E376C4" w:rsidRPr="00481F37" w:rsidRDefault="00E376C4" w:rsidP="00481F37">
      <w:pPr>
        <w:pStyle w:val="ListParagraph"/>
        <w:numPr>
          <w:ilvl w:val="0"/>
          <w:numId w:val="23"/>
        </w:numPr>
        <w:rPr>
          <w:rFonts w:ascii="Calibri" w:hAnsi="Calibri" w:cs="Calibri"/>
          <w:color w:val="000000"/>
          <w:sz w:val="22"/>
          <w:szCs w:val="22"/>
          <w:lang w:eastAsia="en-GB"/>
        </w:rPr>
      </w:pPr>
      <w:r w:rsidRPr="00481F37">
        <w:rPr>
          <w:rFonts w:ascii="Calibri" w:hAnsi="Calibri" w:cs="Calibri"/>
          <w:color w:val="000000"/>
          <w:sz w:val="22"/>
          <w:szCs w:val="22"/>
          <w:lang w:eastAsia="en-GB"/>
        </w:rPr>
        <w:t>Please note: Within the ‘Key Risks’ section of the Teachers' Pension Scheme Pension Board DASHBOARD (data as at 31 July 2015) a column has been removed as this purely recorded that a plan/controls are in place to manage the risk. Detail will now be relayed within the narrative below.</w:t>
      </w:r>
    </w:p>
    <w:p w14:paraId="24986D29" w14:textId="77777777" w:rsidR="00E376C4" w:rsidRDefault="00E376C4" w:rsidP="00E376C4">
      <w:pPr>
        <w:ind w:left="426"/>
        <w:rPr>
          <w:rFonts w:ascii="Calibri" w:hAnsi="Calibri" w:cs="Calibri"/>
          <w:color w:val="000000"/>
          <w:sz w:val="22"/>
          <w:szCs w:val="22"/>
          <w:lang w:eastAsia="en-GB"/>
        </w:rPr>
      </w:pPr>
    </w:p>
    <w:p w14:paraId="06A08EAC" w14:textId="77777777" w:rsidR="00E376C4" w:rsidRPr="00481F37" w:rsidRDefault="00E376C4" w:rsidP="00481F37">
      <w:pPr>
        <w:ind w:firstLine="360"/>
        <w:rPr>
          <w:rFonts w:ascii="Calibri" w:hAnsi="Calibri" w:cs="Calibri"/>
          <w:b/>
          <w:color w:val="000000"/>
          <w:szCs w:val="24"/>
          <w:lang w:eastAsia="en-GB"/>
        </w:rPr>
      </w:pPr>
      <w:r w:rsidRPr="00481F37">
        <w:rPr>
          <w:rFonts w:ascii="Calibri" w:hAnsi="Calibri" w:cs="Calibri"/>
          <w:b/>
          <w:color w:val="000000"/>
          <w:szCs w:val="24"/>
          <w:lang w:eastAsia="en-GB"/>
        </w:rPr>
        <w:t>Key Risks</w:t>
      </w:r>
    </w:p>
    <w:p w14:paraId="588E089E" w14:textId="77777777" w:rsidR="00E376C4" w:rsidRDefault="00E376C4" w:rsidP="00E376C4">
      <w:pPr>
        <w:ind w:left="426"/>
        <w:rPr>
          <w:rFonts w:ascii="Calibri" w:hAnsi="Calibri" w:cs="Calibri"/>
          <w:b/>
          <w:color w:val="000000"/>
          <w:sz w:val="22"/>
          <w:szCs w:val="22"/>
          <w:lang w:eastAsia="en-GB"/>
        </w:rPr>
      </w:pPr>
    </w:p>
    <w:p w14:paraId="5BED6EB6" w14:textId="77777777" w:rsidR="00E376C4" w:rsidRPr="00481F37" w:rsidRDefault="00E376C4" w:rsidP="00481F37">
      <w:pPr>
        <w:pStyle w:val="ListParagraph"/>
        <w:rPr>
          <w:rFonts w:ascii="Calibri" w:hAnsi="Calibri" w:cs="Calibri"/>
          <w:b/>
          <w:color w:val="000000"/>
          <w:sz w:val="22"/>
          <w:szCs w:val="22"/>
          <w:lang w:eastAsia="en-GB"/>
        </w:rPr>
      </w:pPr>
      <w:r w:rsidRPr="00481F37">
        <w:rPr>
          <w:rFonts w:ascii="Calibri" w:hAnsi="Calibri" w:cs="Calibri"/>
          <w:b/>
          <w:color w:val="000000"/>
          <w:sz w:val="22"/>
          <w:szCs w:val="22"/>
          <w:lang w:eastAsia="en-GB"/>
        </w:rPr>
        <w:t>Deferred Project</w:t>
      </w:r>
    </w:p>
    <w:p w14:paraId="3EBD29BD" w14:textId="77777777" w:rsidR="00E376C4" w:rsidRPr="00481F37" w:rsidRDefault="00E376C4" w:rsidP="00481F37">
      <w:pPr>
        <w:pStyle w:val="ListParagraph"/>
        <w:numPr>
          <w:ilvl w:val="0"/>
          <w:numId w:val="23"/>
        </w:numPr>
        <w:rPr>
          <w:rFonts w:ascii="Calibri" w:hAnsi="Calibri" w:cs="Calibri"/>
          <w:color w:val="000000"/>
          <w:sz w:val="22"/>
          <w:szCs w:val="22"/>
          <w:lang w:eastAsia="en-GB"/>
        </w:rPr>
      </w:pPr>
      <w:r w:rsidRPr="00481F37">
        <w:rPr>
          <w:rFonts w:ascii="Calibri" w:hAnsi="Calibri" w:cs="Calibri"/>
          <w:color w:val="000000"/>
          <w:sz w:val="22"/>
          <w:szCs w:val="22"/>
          <w:lang w:eastAsia="en-GB"/>
        </w:rPr>
        <w:t>A deferred pension relates to an active unclaimed pension, where a member has left the scheme but has neither transferred their existing pension to a new scheme nor claimed the residual funds.</w:t>
      </w:r>
    </w:p>
    <w:p w14:paraId="79F70788" w14:textId="77777777" w:rsidR="00E376C4" w:rsidRDefault="00E376C4" w:rsidP="00E376C4">
      <w:pPr>
        <w:ind w:left="426"/>
        <w:rPr>
          <w:rFonts w:ascii="Calibri" w:hAnsi="Calibri" w:cs="Calibri"/>
          <w:color w:val="000000"/>
          <w:sz w:val="22"/>
          <w:szCs w:val="22"/>
          <w:lang w:eastAsia="en-GB"/>
        </w:rPr>
      </w:pPr>
    </w:p>
    <w:p w14:paraId="14E8DE60" w14:textId="77777777" w:rsidR="00E376C4" w:rsidRPr="00481F37" w:rsidRDefault="00E376C4" w:rsidP="00481F37">
      <w:pPr>
        <w:pStyle w:val="ListParagraph"/>
        <w:numPr>
          <w:ilvl w:val="0"/>
          <w:numId w:val="23"/>
        </w:numPr>
        <w:rPr>
          <w:rFonts w:ascii="Calibri" w:hAnsi="Calibri" w:cs="Calibri"/>
          <w:color w:val="000000"/>
          <w:sz w:val="22"/>
          <w:szCs w:val="22"/>
          <w:lang w:eastAsia="en-GB"/>
        </w:rPr>
      </w:pPr>
      <w:r w:rsidRPr="00481F37">
        <w:rPr>
          <w:rFonts w:ascii="Calibri" w:hAnsi="Calibri" w:cs="Calibri"/>
          <w:color w:val="000000"/>
          <w:sz w:val="22"/>
          <w:szCs w:val="22"/>
          <w:lang w:eastAsia="en-GB"/>
        </w:rPr>
        <w:t xml:space="preserve">A project was initiated in May 2015 to trace and verify deferred members, passing data to a tracing service and offering payment of pension or a refund of contributions as appropriate. The project will attempt to trace c. 200k members over 48 months from April 2015 and so far 2,742 records have been processed. Analysis of results received so far is underway with a view to considering three months’ data to understand trends and whether any forecasting (such as volume of responses expected per month and value of refunds/pensions paid) can be carried out on the initial results.  </w:t>
      </w:r>
    </w:p>
    <w:p w14:paraId="44A7C6FE" w14:textId="77777777" w:rsidR="00E376C4" w:rsidRDefault="00E376C4" w:rsidP="00E376C4">
      <w:pPr>
        <w:ind w:left="426"/>
        <w:rPr>
          <w:rFonts w:ascii="Calibri" w:hAnsi="Calibri" w:cs="Calibri"/>
          <w:color w:val="000000"/>
          <w:sz w:val="22"/>
          <w:szCs w:val="22"/>
          <w:lang w:eastAsia="en-GB"/>
        </w:rPr>
      </w:pPr>
    </w:p>
    <w:p w14:paraId="7389C800" w14:textId="77777777" w:rsidR="00E376C4" w:rsidRPr="00481F37" w:rsidRDefault="00E376C4" w:rsidP="00481F37">
      <w:pPr>
        <w:pStyle w:val="ListParagraph"/>
        <w:numPr>
          <w:ilvl w:val="0"/>
          <w:numId w:val="23"/>
        </w:numPr>
        <w:rPr>
          <w:rFonts w:ascii="Calibri" w:hAnsi="Calibri" w:cs="Calibri"/>
          <w:color w:val="000000"/>
          <w:sz w:val="22"/>
          <w:szCs w:val="22"/>
          <w:lang w:eastAsia="en-GB"/>
        </w:rPr>
      </w:pPr>
      <w:r w:rsidRPr="00481F37">
        <w:rPr>
          <w:rFonts w:ascii="Calibri" w:hAnsi="Calibri" w:cs="Calibri"/>
          <w:color w:val="000000"/>
          <w:sz w:val="22"/>
          <w:szCs w:val="22"/>
          <w:lang w:eastAsia="en-GB"/>
        </w:rPr>
        <w:t>The Net Risk remains to date the same as the Target Risk, although further comfort may be derived from the results of analysis.</w:t>
      </w:r>
    </w:p>
    <w:p w14:paraId="07CA9E04" w14:textId="77777777" w:rsidR="00E376C4" w:rsidRDefault="00E376C4" w:rsidP="00E376C4">
      <w:pPr>
        <w:ind w:left="426"/>
        <w:rPr>
          <w:rFonts w:ascii="Calibri" w:hAnsi="Calibri" w:cs="Calibri"/>
          <w:color w:val="000000"/>
          <w:sz w:val="22"/>
          <w:szCs w:val="22"/>
          <w:lang w:eastAsia="en-GB"/>
        </w:rPr>
      </w:pPr>
    </w:p>
    <w:p w14:paraId="031CB63B" w14:textId="77777777" w:rsidR="00E376C4" w:rsidRDefault="00E376C4" w:rsidP="00481F37">
      <w:pPr>
        <w:pStyle w:val="ListParagraph"/>
        <w:rPr>
          <w:rFonts w:ascii="Calibri" w:hAnsi="Calibri" w:cs="Calibri"/>
          <w:b/>
          <w:color w:val="000000"/>
          <w:sz w:val="22"/>
          <w:szCs w:val="22"/>
          <w:lang w:eastAsia="en-GB"/>
        </w:rPr>
      </w:pPr>
      <w:r w:rsidRPr="00481F37">
        <w:rPr>
          <w:rFonts w:ascii="Calibri" w:hAnsi="Calibri" w:cs="Calibri"/>
          <w:b/>
          <w:color w:val="000000"/>
          <w:sz w:val="22"/>
          <w:szCs w:val="22"/>
          <w:lang w:eastAsia="en-GB"/>
        </w:rPr>
        <w:t>Outcomes</w:t>
      </w:r>
    </w:p>
    <w:p w14:paraId="7F87A070" w14:textId="77777777" w:rsidR="00E376C4" w:rsidRPr="00481F37" w:rsidRDefault="00E376C4" w:rsidP="00481F37">
      <w:pPr>
        <w:pStyle w:val="ListParagraph"/>
        <w:numPr>
          <w:ilvl w:val="0"/>
          <w:numId w:val="23"/>
        </w:numPr>
        <w:rPr>
          <w:rFonts w:ascii="Calibri" w:hAnsi="Calibri" w:cs="Calibri"/>
          <w:color w:val="000000"/>
          <w:sz w:val="22"/>
          <w:szCs w:val="22"/>
          <w:lang w:eastAsia="en-GB"/>
        </w:rPr>
      </w:pPr>
      <w:r w:rsidRPr="00481F37">
        <w:rPr>
          <w:rFonts w:ascii="Calibri" w:hAnsi="Calibri" w:cs="Calibri"/>
          <w:color w:val="000000"/>
          <w:sz w:val="22"/>
          <w:szCs w:val="22"/>
          <w:lang w:eastAsia="en-GB"/>
        </w:rPr>
        <w:t>The TPS contract is measured annually against 16 Outcome Measures to determine the level of member and employer satisfaction, finance and data quality, and successful contract partnership. There are a number of initiatives in place to actively manage and measure these Outcomes to achieve satisfactory results. Four key measures, for both member and employer satisfaction with the level of service received, have been agreed in principle and are now being measured weekly/monthly against agreed targets. A further four are now being discussed with a view to possibly defining new measures for these also.</w:t>
      </w:r>
    </w:p>
    <w:p w14:paraId="1122F2F0" w14:textId="77777777" w:rsidR="00E376C4" w:rsidRDefault="00E376C4" w:rsidP="00E376C4">
      <w:pPr>
        <w:ind w:left="426"/>
        <w:rPr>
          <w:rFonts w:ascii="Calibri" w:hAnsi="Calibri" w:cs="Calibri"/>
          <w:color w:val="000000"/>
          <w:sz w:val="22"/>
          <w:szCs w:val="22"/>
          <w:lang w:eastAsia="en-GB"/>
        </w:rPr>
      </w:pPr>
    </w:p>
    <w:p w14:paraId="04CE8A2D" w14:textId="77777777" w:rsidR="00E376C4" w:rsidRPr="00481F37" w:rsidRDefault="00E376C4" w:rsidP="00481F37">
      <w:pPr>
        <w:pStyle w:val="ListParagraph"/>
        <w:numPr>
          <w:ilvl w:val="0"/>
          <w:numId w:val="23"/>
        </w:numPr>
        <w:rPr>
          <w:rFonts w:ascii="Calibri" w:hAnsi="Calibri" w:cs="Calibri"/>
          <w:color w:val="000000"/>
          <w:sz w:val="22"/>
          <w:szCs w:val="22"/>
          <w:lang w:eastAsia="en-GB"/>
        </w:rPr>
      </w:pPr>
      <w:r w:rsidRPr="00481F37">
        <w:rPr>
          <w:rFonts w:ascii="Calibri" w:hAnsi="Calibri" w:cs="Calibri"/>
          <w:color w:val="000000"/>
          <w:sz w:val="22"/>
          <w:szCs w:val="22"/>
          <w:lang w:eastAsia="en-GB"/>
        </w:rPr>
        <w:t>The Net Risk remains Amber until the revised targets have been officially accepted and year-end results can be analysed against the targets.</w:t>
      </w:r>
    </w:p>
    <w:p w14:paraId="0297A18A" w14:textId="77777777" w:rsidR="00E376C4" w:rsidRDefault="00E376C4" w:rsidP="00E376C4">
      <w:pPr>
        <w:ind w:left="426"/>
        <w:rPr>
          <w:rFonts w:ascii="Calibri" w:hAnsi="Calibri" w:cs="Calibri"/>
          <w:color w:val="000000"/>
          <w:sz w:val="22"/>
          <w:szCs w:val="22"/>
          <w:lang w:eastAsia="en-GB"/>
        </w:rPr>
      </w:pPr>
    </w:p>
    <w:p w14:paraId="0E1CDFA9" w14:textId="77777777" w:rsidR="00E376C4" w:rsidRDefault="00E376C4" w:rsidP="00E376C4">
      <w:pPr>
        <w:ind w:left="426"/>
        <w:rPr>
          <w:rFonts w:ascii="Calibri" w:hAnsi="Calibri" w:cs="Calibri"/>
          <w:color w:val="000000"/>
          <w:sz w:val="22"/>
          <w:szCs w:val="22"/>
          <w:lang w:eastAsia="en-GB"/>
        </w:rPr>
      </w:pPr>
    </w:p>
    <w:p w14:paraId="04BD168A" w14:textId="77777777" w:rsidR="00E376C4" w:rsidRDefault="00E376C4" w:rsidP="00E376C4">
      <w:pPr>
        <w:ind w:left="426"/>
        <w:rPr>
          <w:rFonts w:ascii="Calibri" w:hAnsi="Calibri" w:cs="Calibri"/>
          <w:color w:val="000000"/>
          <w:sz w:val="22"/>
          <w:szCs w:val="22"/>
          <w:lang w:eastAsia="en-GB"/>
        </w:rPr>
      </w:pPr>
    </w:p>
    <w:p w14:paraId="26944DED" w14:textId="77777777" w:rsidR="00E376C4" w:rsidRDefault="00E376C4" w:rsidP="00481F37">
      <w:pPr>
        <w:ind w:firstLine="720"/>
        <w:rPr>
          <w:rFonts w:ascii="Calibri" w:hAnsi="Calibri" w:cs="Calibri"/>
          <w:b/>
          <w:color w:val="000000"/>
          <w:sz w:val="22"/>
          <w:szCs w:val="22"/>
          <w:lang w:eastAsia="en-GB"/>
        </w:rPr>
      </w:pPr>
      <w:r w:rsidRPr="00481F37">
        <w:rPr>
          <w:rFonts w:ascii="Calibri" w:hAnsi="Calibri" w:cs="Calibri"/>
          <w:b/>
          <w:color w:val="000000"/>
          <w:sz w:val="22"/>
          <w:szCs w:val="22"/>
          <w:lang w:eastAsia="en-GB"/>
        </w:rPr>
        <w:t>Re-location of Administration Services</w:t>
      </w:r>
    </w:p>
    <w:p w14:paraId="227E4568" w14:textId="77777777" w:rsidR="00E376C4" w:rsidRPr="00481F37" w:rsidRDefault="00E376C4" w:rsidP="00481F37">
      <w:pPr>
        <w:pStyle w:val="ListParagraph"/>
        <w:numPr>
          <w:ilvl w:val="0"/>
          <w:numId w:val="23"/>
        </w:numPr>
        <w:rPr>
          <w:rFonts w:ascii="Calibri" w:hAnsi="Calibri" w:cs="Calibri"/>
          <w:color w:val="000000"/>
          <w:sz w:val="22"/>
          <w:szCs w:val="22"/>
          <w:lang w:eastAsia="en-GB"/>
        </w:rPr>
      </w:pPr>
      <w:r w:rsidRPr="00481F37">
        <w:rPr>
          <w:rFonts w:ascii="Calibri" w:hAnsi="Calibri" w:cs="Calibri"/>
          <w:color w:val="000000"/>
          <w:sz w:val="22"/>
          <w:szCs w:val="22"/>
          <w:lang w:eastAsia="en-GB"/>
        </w:rPr>
        <w:t>The current outsourced administration service, contracted to Capita, is planning to change location during October 2015. Their current location (previously shared with DfE) is no longer suitable and a new site within Darlington has been identified. There is a risk this move, if not managed correctly, could result in contractual, relationship or service delivery risks.</w:t>
      </w:r>
    </w:p>
    <w:p w14:paraId="6139651F" w14:textId="77777777" w:rsidR="00E376C4" w:rsidRDefault="00E376C4" w:rsidP="00E376C4">
      <w:pPr>
        <w:ind w:left="426"/>
        <w:rPr>
          <w:rFonts w:ascii="Calibri" w:hAnsi="Calibri" w:cs="Calibri"/>
          <w:color w:val="000000"/>
          <w:sz w:val="22"/>
          <w:szCs w:val="22"/>
          <w:lang w:eastAsia="en-GB"/>
        </w:rPr>
      </w:pPr>
    </w:p>
    <w:p w14:paraId="71E934E5" w14:textId="77777777" w:rsidR="00E376C4" w:rsidRPr="00481F37" w:rsidRDefault="00E376C4" w:rsidP="00481F37">
      <w:pPr>
        <w:pStyle w:val="ListParagraph"/>
        <w:numPr>
          <w:ilvl w:val="0"/>
          <w:numId w:val="23"/>
        </w:numPr>
        <w:rPr>
          <w:rFonts w:ascii="Calibri" w:hAnsi="Calibri" w:cs="Calibri"/>
          <w:color w:val="000000"/>
          <w:sz w:val="22"/>
          <w:szCs w:val="22"/>
          <w:lang w:eastAsia="en-GB"/>
        </w:rPr>
      </w:pPr>
      <w:r w:rsidRPr="00481F37">
        <w:rPr>
          <w:rFonts w:ascii="Calibri" w:hAnsi="Calibri" w:cs="Calibri"/>
          <w:color w:val="000000"/>
          <w:sz w:val="22"/>
          <w:szCs w:val="22"/>
          <w:lang w:eastAsia="en-GB"/>
        </w:rPr>
        <w:t>The contractual side of the risk has been closed following the signing of the contract extension, which incorporates the detail and cost of the move, but strong assurance must be provided throughout the life of the project to manage this through to conclusion.</w:t>
      </w:r>
    </w:p>
    <w:p w14:paraId="1A9F1ED8" w14:textId="77777777" w:rsidR="00E376C4" w:rsidRDefault="00E376C4" w:rsidP="00E376C4">
      <w:pPr>
        <w:ind w:left="426"/>
        <w:rPr>
          <w:rFonts w:ascii="Calibri" w:hAnsi="Calibri" w:cs="Calibri"/>
          <w:color w:val="000000"/>
          <w:sz w:val="22"/>
          <w:szCs w:val="22"/>
          <w:lang w:eastAsia="en-GB"/>
        </w:rPr>
      </w:pPr>
    </w:p>
    <w:p w14:paraId="656EFC4A" w14:textId="77777777" w:rsidR="00E376C4" w:rsidRPr="00481F37" w:rsidRDefault="00E376C4" w:rsidP="00481F37">
      <w:pPr>
        <w:pStyle w:val="ListParagraph"/>
        <w:numPr>
          <w:ilvl w:val="0"/>
          <w:numId w:val="23"/>
        </w:numPr>
        <w:rPr>
          <w:rFonts w:ascii="Calibri" w:hAnsi="Calibri" w:cs="Calibri"/>
          <w:color w:val="000000"/>
          <w:sz w:val="22"/>
          <w:szCs w:val="22"/>
          <w:lang w:eastAsia="en-GB"/>
        </w:rPr>
      </w:pPr>
      <w:r w:rsidRPr="00481F37">
        <w:rPr>
          <w:rFonts w:ascii="Calibri" w:hAnsi="Calibri" w:cs="Calibri"/>
          <w:color w:val="000000"/>
          <w:sz w:val="22"/>
          <w:szCs w:val="22"/>
          <w:lang w:eastAsia="en-GB"/>
        </w:rPr>
        <w:t>A number of key milestones are in place to provide assurance of progress. The first of these has been completed but the Net Risk remains amber until further progress has been made against these milestones in the lead up to the move.</w:t>
      </w:r>
    </w:p>
    <w:p w14:paraId="6DD18915" w14:textId="77777777" w:rsidR="00E376C4" w:rsidRDefault="00E376C4" w:rsidP="00E376C4">
      <w:pPr>
        <w:ind w:left="426"/>
        <w:rPr>
          <w:rFonts w:ascii="Calibri" w:hAnsi="Calibri" w:cs="Calibri"/>
          <w:color w:val="000000"/>
          <w:sz w:val="22"/>
          <w:szCs w:val="22"/>
          <w:lang w:eastAsia="en-GB"/>
        </w:rPr>
      </w:pPr>
    </w:p>
    <w:p w14:paraId="1A84E18B" w14:textId="77777777" w:rsidR="00E376C4" w:rsidRDefault="00E376C4" w:rsidP="00481F37">
      <w:pPr>
        <w:ind w:firstLine="720"/>
        <w:rPr>
          <w:rFonts w:ascii="Calibri" w:hAnsi="Calibri" w:cs="Calibri"/>
          <w:b/>
          <w:color w:val="000000"/>
          <w:sz w:val="22"/>
          <w:szCs w:val="22"/>
          <w:lang w:eastAsia="en-GB"/>
        </w:rPr>
      </w:pPr>
      <w:r w:rsidRPr="00481F37">
        <w:rPr>
          <w:rFonts w:ascii="Calibri" w:hAnsi="Calibri" w:cs="Calibri"/>
          <w:b/>
          <w:color w:val="000000"/>
          <w:sz w:val="22"/>
          <w:szCs w:val="22"/>
          <w:lang w:eastAsia="en-GB"/>
        </w:rPr>
        <w:t>Data Quality</w:t>
      </w:r>
    </w:p>
    <w:p w14:paraId="76CD4F29" w14:textId="77777777" w:rsidR="00E376C4" w:rsidRPr="00481F37" w:rsidRDefault="00E376C4" w:rsidP="00481F37">
      <w:pPr>
        <w:pStyle w:val="ListParagraph"/>
        <w:numPr>
          <w:ilvl w:val="0"/>
          <w:numId w:val="23"/>
        </w:numPr>
        <w:rPr>
          <w:rFonts w:ascii="Calibri" w:hAnsi="Calibri" w:cs="Calibri"/>
          <w:color w:val="000000"/>
          <w:sz w:val="22"/>
          <w:szCs w:val="22"/>
          <w:lang w:eastAsia="en-GB"/>
        </w:rPr>
      </w:pPr>
      <w:r w:rsidRPr="00481F37">
        <w:rPr>
          <w:rFonts w:ascii="Calibri" w:hAnsi="Calibri" w:cs="Calibri"/>
          <w:color w:val="000000"/>
          <w:sz w:val="22"/>
          <w:szCs w:val="22"/>
          <w:lang w:eastAsia="en-GB"/>
        </w:rPr>
        <w:t xml:space="preserve">A number of initiatives are in place to improve and maintain the quality of common and conditional data held. These initiatives are managed by the Data Strategy, which has delivered a number of improvements to date and continues to drive improvements and address issues via a Data Working Group which meets monthly. </w:t>
      </w:r>
    </w:p>
    <w:p w14:paraId="3D62C48B" w14:textId="77777777" w:rsidR="00E376C4" w:rsidRDefault="00E376C4" w:rsidP="00E376C4">
      <w:pPr>
        <w:ind w:left="426"/>
        <w:rPr>
          <w:rFonts w:ascii="Calibri" w:hAnsi="Calibri" w:cs="Calibri"/>
          <w:color w:val="000000"/>
          <w:sz w:val="22"/>
          <w:szCs w:val="22"/>
          <w:lang w:eastAsia="en-GB"/>
        </w:rPr>
      </w:pPr>
    </w:p>
    <w:p w14:paraId="111ACA83" w14:textId="77777777" w:rsidR="00E376C4" w:rsidRPr="00481F37" w:rsidRDefault="00E376C4" w:rsidP="00481F37">
      <w:pPr>
        <w:pStyle w:val="ListParagraph"/>
        <w:numPr>
          <w:ilvl w:val="0"/>
          <w:numId w:val="23"/>
        </w:numPr>
        <w:rPr>
          <w:rFonts w:ascii="Calibri" w:hAnsi="Calibri" w:cs="Calibri"/>
          <w:color w:val="000000"/>
          <w:sz w:val="22"/>
          <w:szCs w:val="22"/>
          <w:lang w:eastAsia="en-GB"/>
        </w:rPr>
      </w:pPr>
      <w:r w:rsidRPr="00481F37">
        <w:rPr>
          <w:rFonts w:ascii="Calibri" w:hAnsi="Calibri" w:cs="Calibri"/>
          <w:color w:val="000000"/>
          <w:sz w:val="22"/>
          <w:szCs w:val="22"/>
          <w:lang w:eastAsia="en-GB"/>
        </w:rPr>
        <w:t xml:space="preserve">The risk remains at amber as recent results show that current targets are not all being achieved due to the scale of planned improvements and the stretching nature of those targets.  Current targets for the quality of common and conditional data are all set at 100%, with an average achieved rate of 92%. </w:t>
      </w:r>
    </w:p>
    <w:p w14:paraId="4BD7B80A" w14:textId="77777777" w:rsidR="00E376C4" w:rsidRDefault="00E376C4" w:rsidP="00E376C4">
      <w:pPr>
        <w:ind w:left="426"/>
        <w:rPr>
          <w:rFonts w:ascii="Calibri" w:hAnsi="Calibri" w:cs="Calibri"/>
          <w:color w:val="000000"/>
          <w:sz w:val="22"/>
          <w:szCs w:val="22"/>
          <w:lang w:eastAsia="en-GB"/>
        </w:rPr>
      </w:pPr>
    </w:p>
    <w:p w14:paraId="2DBC372B" w14:textId="77777777" w:rsidR="00E376C4" w:rsidRPr="00481F37" w:rsidRDefault="00E376C4" w:rsidP="00481F37">
      <w:pPr>
        <w:pStyle w:val="ListParagraph"/>
        <w:numPr>
          <w:ilvl w:val="0"/>
          <w:numId w:val="23"/>
        </w:numPr>
        <w:rPr>
          <w:rFonts w:ascii="Calibri" w:hAnsi="Calibri" w:cs="Calibri"/>
          <w:color w:val="000000"/>
          <w:sz w:val="22"/>
          <w:szCs w:val="22"/>
          <w:lang w:eastAsia="en-GB"/>
        </w:rPr>
      </w:pPr>
      <w:r w:rsidRPr="00481F37">
        <w:rPr>
          <w:rFonts w:ascii="Calibri" w:hAnsi="Calibri" w:cs="Calibri"/>
          <w:color w:val="000000"/>
          <w:sz w:val="22"/>
          <w:szCs w:val="22"/>
          <w:lang w:eastAsia="en-GB"/>
        </w:rPr>
        <w:t>Data Cleanse activity (the cleansing of records of members approaching retirement and the rest of the membership by age) is on schedule to continue across the life of the current contract and will deliver its benefits over a long time-frame. Work is commencing on reviewing the Data Strategy to determine if further initiatives can be implemented to improve the position over a shorter timeframe.</w:t>
      </w:r>
    </w:p>
    <w:p w14:paraId="289D36CD" w14:textId="77777777" w:rsidR="00E376C4" w:rsidRDefault="00E376C4" w:rsidP="00E376C4">
      <w:pPr>
        <w:ind w:left="426"/>
        <w:rPr>
          <w:rFonts w:ascii="Calibri" w:hAnsi="Calibri" w:cs="Calibri"/>
          <w:color w:val="000000"/>
          <w:sz w:val="22"/>
          <w:szCs w:val="22"/>
          <w:lang w:eastAsia="en-GB"/>
        </w:rPr>
      </w:pPr>
    </w:p>
    <w:p w14:paraId="324C2992" w14:textId="77777777" w:rsidR="00E376C4" w:rsidRPr="00481F37" w:rsidRDefault="00E376C4" w:rsidP="00481F37">
      <w:pPr>
        <w:pStyle w:val="ListParagraph"/>
        <w:numPr>
          <w:ilvl w:val="0"/>
          <w:numId w:val="23"/>
        </w:numPr>
        <w:rPr>
          <w:rFonts w:ascii="Calibri" w:hAnsi="Calibri" w:cs="Calibri"/>
          <w:color w:val="000000"/>
          <w:sz w:val="22"/>
          <w:szCs w:val="22"/>
          <w:lang w:eastAsia="en-GB"/>
        </w:rPr>
      </w:pPr>
      <w:r w:rsidRPr="00481F37">
        <w:rPr>
          <w:rFonts w:ascii="Calibri" w:hAnsi="Calibri" w:cs="Calibri"/>
          <w:color w:val="000000"/>
          <w:sz w:val="22"/>
          <w:szCs w:val="22"/>
          <w:lang w:eastAsia="en-GB"/>
        </w:rPr>
        <w:t xml:space="preserve">Other key initiatives to improve data quality include Monthly Data Collection and the project to trace deferred members. When these longer term initiatives are established it is hoped the risk will reduce in severity, although in the short to medium term it is likely to remain amber. </w:t>
      </w:r>
    </w:p>
    <w:p w14:paraId="2EE38A60" w14:textId="77777777" w:rsidR="00E376C4" w:rsidRDefault="00E376C4" w:rsidP="00E376C4">
      <w:pPr>
        <w:ind w:left="426"/>
        <w:rPr>
          <w:rFonts w:ascii="Calibri" w:hAnsi="Calibri" w:cs="Calibri"/>
          <w:color w:val="000000"/>
          <w:sz w:val="22"/>
          <w:szCs w:val="22"/>
          <w:lang w:eastAsia="en-GB"/>
        </w:rPr>
      </w:pPr>
    </w:p>
    <w:p w14:paraId="719201F2" w14:textId="77777777" w:rsidR="00481F37" w:rsidRPr="00481F37" w:rsidRDefault="00E376C4" w:rsidP="00481F37">
      <w:pPr>
        <w:pStyle w:val="ListParagraph"/>
        <w:rPr>
          <w:rFonts w:ascii="Calibri" w:hAnsi="Calibri" w:cs="Calibri"/>
          <w:b/>
          <w:color w:val="000000"/>
          <w:sz w:val="22"/>
          <w:szCs w:val="22"/>
          <w:lang w:eastAsia="en-GB"/>
        </w:rPr>
      </w:pPr>
      <w:r w:rsidRPr="00481F37">
        <w:rPr>
          <w:rFonts w:ascii="Calibri" w:hAnsi="Calibri" w:cs="Calibri"/>
          <w:b/>
          <w:color w:val="000000"/>
          <w:sz w:val="22"/>
          <w:szCs w:val="22"/>
          <w:lang w:eastAsia="en-GB"/>
        </w:rPr>
        <w:t>Guaranteed Minimum Pension records</w:t>
      </w:r>
    </w:p>
    <w:p w14:paraId="6A405186" w14:textId="1B219DEB" w:rsidR="00E376C4" w:rsidRPr="00481F37" w:rsidRDefault="00E376C4" w:rsidP="00481F37">
      <w:pPr>
        <w:pStyle w:val="ListParagraph"/>
        <w:numPr>
          <w:ilvl w:val="0"/>
          <w:numId w:val="23"/>
        </w:numPr>
        <w:rPr>
          <w:rFonts w:ascii="Calibri" w:hAnsi="Calibri" w:cs="Calibri"/>
          <w:color w:val="000000"/>
          <w:sz w:val="22"/>
          <w:szCs w:val="22"/>
          <w:lang w:eastAsia="en-GB"/>
        </w:rPr>
      </w:pPr>
      <w:r w:rsidRPr="00481F37">
        <w:rPr>
          <w:rFonts w:ascii="Calibri" w:hAnsi="Calibri" w:cs="Calibri"/>
          <w:color w:val="000000"/>
          <w:sz w:val="22"/>
          <w:szCs w:val="22"/>
          <w:lang w:eastAsia="en-GB"/>
        </w:rPr>
        <w:t>As part the ce</w:t>
      </w:r>
      <w:r w:rsidR="00481F37" w:rsidRPr="00481F37">
        <w:rPr>
          <w:rFonts w:ascii="Calibri" w:hAnsi="Calibri" w:cs="Calibri"/>
          <w:color w:val="000000"/>
          <w:sz w:val="22"/>
          <w:szCs w:val="22"/>
          <w:lang w:eastAsia="en-GB"/>
        </w:rPr>
        <w:t>ssation of ‘contracting out’ in</w:t>
      </w:r>
      <w:r w:rsidRPr="00481F37">
        <w:rPr>
          <w:rFonts w:ascii="Calibri" w:hAnsi="Calibri" w:cs="Calibri"/>
          <w:color w:val="000000"/>
          <w:sz w:val="22"/>
          <w:szCs w:val="22"/>
          <w:lang w:eastAsia="en-GB"/>
        </w:rPr>
        <w:t>2016 a number of issues have been raised, by and with HMRC and DWP, regarding Guaranteed Minimum Pension records and outstanding preservation actions. This may result in increased work for public service pension schemes during 2015 and 2016 to assist with the cleansing of records prior to National Insurance statements being issued to the general population. There are also longer term issues to be resolved about the payment of Guaranteed Minimum Pension increases post 2016.</w:t>
      </w:r>
    </w:p>
    <w:p w14:paraId="40847AEA" w14:textId="77777777" w:rsidR="00E376C4" w:rsidRDefault="00E376C4" w:rsidP="00E376C4">
      <w:pPr>
        <w:ind w:left="426"/>
        <w:rPr>
          <w:rFonts w:ascii="Calibri" w:hAnsi="Calibri" w:cs="Calibri"/>
          <w:color w:val="000000"/>
          <w:sz w:val="22"/>
          <w:szCs w:val="22"/>
          <w:lang w:eastAsia="en-GB"/>
        </w:rPr>
      </w:pPr>
    </w:p>
    <w:p w14:paraId="356C38CD" w14:textId="77777777" w:rsidR="00E376C4" w:rsidRPr="00481F37" w:rsidRDefault="00E376C4" w:rsidP="00481F37">
      <w:pPr>
        <w:pStyle w:val="ListParagraph"/>
        <w:numPr>
          <w:ilvl w:val="0"/>
          <w:numId w:val="23"/>
        </w:numPr>
        <w:rPr>
          <w:rFonts w:ascii="Calibri" w:hAnsi="Calibri" w:cs="Calibri"/>
          <w:color w:val="000000"/>
          <w:sz w:val="22"/>
          <w:szCs w:val="22"/>
          <w:lang w:eastAsia="en-GB"/>
        </w:rPr>
      </w:pPr>
      <w:r w:rsidRPr="00481F37">
        <w:rPr>
          <w:rFonts w:ascii="Calibri" w:hAnsi="Calibri" w:cs="Calibri"/>
          <w:color w:val="000000"/>
          <w:sz w:val="22"/>
          <w:szCs w:val="22"/>
          <w:lang w:eastAsia="en-GB"/>
        </w:rPr>
        <w:t>A project has been suggested which is split into five phases. Stage 1 (Initial Analysis and Project Implementation) is complete and the remaining elements are currently being finalised to understand duration, cost and resource required to complete.</w:t>
      </w:r>
    </w:p>
    <w:p w14:paraId="13CBE97E" w14:textId="77777777" w:rsidR="00E376C4" w:rsidRDefault="00E376C4" w:rsidP="00E376C4">
      <w:pPr>
        <w:ind w:left="426"/>
        <w:rPr>
          <w:rFonts w:ascii="Calibri" w:hAnsi="Calibri" w:cs="Calibri"/>
          <w:color w:val="000000"/>
          <w:sz w:val="22"/>
          <w:szCs w:val="22"/>
          <w:lang w:eastAsia="en-GB"/>
        </w:rPr>
      </w:pPr>
    </w:p>
    <w:p w14:paraId="10C93229" w14:textId="77777777" w:rsidR="00E376C4" w:rsidRPr="00481F37" w:rsidRDefault="00E376C4" w:rsidP="00481F37">
      <w:pPr>
        <w:pStyle w:val="ListParagraph"/>
        <w:numPr>
          <w:ilvl w:val="0"/>
          <w:numId w:val="23"/>
        </w:numPr>
        <w:rPr>
          <w:rFonts w:ascii="Calibri" w:hAnsi="Calibri" w:cs="Calibri"/>
          <w:color w:val="000000"/>
          <w:sz w:val="22"/>
          <w:szCs w:val="22"/>
          <w:lang w:eastAsia="en-GB"/>
        </w:rPr>
      </w:pPr>
      <w:r w:rsidRPr="00481F37">
        <w:rPr>
          <w:rFonts w:ascii="Calibri" w:hAnsi="Calibri" w:cs="Calibri"/>
          <w:color w:val="000000"/>
          <w:sz w:val="22"/>
          <w:szCs w:val="22"/>
          <w:lang w:eastAsia="en-GB"/>
        </w:rPr>
        <w:t>The Net Risk remains red until the project to address has been further refined and agreed; the stages remaining to be agreed and progressed are:</w:t>
      </w:r>
    </w:p>
    <w:p w14:paraId="119608E4" w14:textId="77777777" w:rsidR="00E376C4" w:rsidRDefault="00E376C4" w:rsidP="00E376C4">
      <w:pPr>
        <w:ind w:left="426"/>
        <w:rPr>
          <w:rFonts w:ascii="Calibri" w:hAnsi="Calibri" w:cs="Calibri"/>
          <w:color w:val="000000"/>
          <w:sz w:val="22"/>
          <w:szCs w:val="22"/>
          <w:lang w:eastAsia="en-GB"/>
        </w:rPr>
      </w:pPr>
    </w:p>
    <w:p w14:paraId="43DFDCEF" w14:textId="77777777" w:rsidR="00E376C4" w:rsidRPr="004B2A6C" w:rsidRDefault="00E376C4" w:rsidP="00481F37">
      <w:pPr>
        <w:numPr>
          <w:ilvl w:val="0"/>
          <w:numId w:val="23"/>
        </w:numPr>
        <w:rPr>
          <w:rFonts w:ascii="Calibri" w:hAnsi="Calibri" w:cs="Calibri"/>
          <w:color w:val="000000"/>
          <w:sz w:val="22"/>
          <w:szCs w:val="22"/>
          <w:lang w:eastAsia="en-GB"/>
        </w:rPr>
      </w:pPr>
      <w:r w:rsidRPr="004B2A6C">
        <w:rPr>
          <w:rFonts w:ascii="Calibri" w:hAnsi="Calibri" w:cs="Calibri"/>
          <w:color w:val="000000"/>
          <w:sz w:val="22"/>
          <w:szCs w:val="22"/>
          <w:lang w:eastAsia="en-GB"/>
        </w:rPr>
        <w:t xml:space="preserve">Stage 2 – Reconciliation of the 9 HMRC files. Some of </w:t>
      </w:r>
      <w:r>
        <w:rPr>
          <w:rFonts w:ascii="Calibri" w:hAnsi="Calibri" w:cs="Calibri"/>
          <w:color w:val="000000"/>
          <w:sz w:val="22"/>
          <w:szCs w:val="22"/>
          <w:lang w:eastAsia="en-GB"/>
        </w:rPr>
        <w:t>which</w:t>
      </w:r>
      <w:r w:rsidRPr="004B2A6C">
        <w:rPr>
          <w:rFonts w:ascii="Calibri" w:hAnsi="Calibri" w:cs="Calibri"/>
          <w:color w:val="000000"/>
          <w:sz w:val="22"/>
          <w:szCs w:val="22"/>
          <w:lang w:eastAsia="en-GB"/>
        </w:rPr>
        <w:t xml:space="preserve"> have multiple records for the same member. Initial discussions have identified that a basic reconciliation exercise needs to be performed to match the member details with that on Hartlink and</w:t>
      </w:r>
      <w:r>
        <w:rPr>
          <w:rFonts w:ascii="Calibri" w:hAnsi="Calibri" w:cs="Calibri"/>
          <w:color w:val="000000"/>
          <w:sz w:val="22"/>
          <w:szCs w:val="22"/>
          <w:lang w:eastAsia="en-GB"/>
        </w:rPr>
        <w:t>,</w:t>
      </w:r>
      <w:r w:rsidRPr="004B2A6C">
        <w:rPr>
          <w:rFonts w:ascii="Calibri" w:hAnsi="Calibri" w:cs="Calibri"/>
          <w:color w:val="000000"/>
          <w:sz w:val="22"/>
          <w:szCs w:val="22"/>
          <w:lang w:eastAsia="en-GB"/>
        </w:rPr>
        <w:t xml:space="preserve"> if successful, to match the periods of reckonable service against Hartlink</w:t>
      </w:r>
      <w:r>
        <w:rPr>
          <w:rFonts w:ascii="Calibri" w:hAnsi="Calibri" w:cs="Calibri"/>
          <w:color w:val="000000"/>
          <w:sz w:val="22"/>
          <w:szCs w:val="22"/>
          <w:lang w:eastAsia="en-GB"/>
        </w:rPr>
        <w:t>.</w:t>
      </w:r>
    </w:p>
    <w:p w14:paraId="7E2B88F3" w14:textId="77777777" w:rsidR="00E376C4" w:rsidRPr="004B2A6C" w:rsidRDefault="00E376C4" w:rsidP="00481F37">
      <w:pPr>
        <w:ind w:left="720"/>
        <w:rPr>
          <w:rFonts w:ascii="Calibri" w:hAnsi="Calibri" w:cs="Calibri"/>
          <w:color w:val="000000"/>
          <w:sz w:val="22"/>
          <w:szCs w:val="22"/>
          <w:lang w:eastAsia="en-GB"/>
        </w:rPr>
      </w:pPr>
      <w:r w:rsidRPr="004B2A6C">
        <w:rPr>
          <w:rFonts w:ascii="Calibri" w:hAnsi="Calibri" w:cs="Calibri"/>
          <w:color w:val="000000"/>
          <w:sz w:val="22"/>
          <w:szCs w:val="22"/>
          <w:lang w:eastAsia="en-GB"/>
        </w:rPr>
        <w:t>Stage 3 – Receive and analyse HMRC files for active members – repeat stage 1 on the assumption that the files will be in the same format and therefore the same IT programs can be used</w:t>
      </w:r>
      <w:r>
        <w:rPr>
          <w:rFonts w:ascii="Calibri" w:hAnsi="Calibri" w:cs="Calibri"/>
          <w:color w:val="000000"/>
          <w:sz w:val="22"/>
          <w:szCs w:val="22"/>
          <w:lang w:eastAsia="en-GB"/>
        </w:rPr>
        <w:t>.</w:t>
      </w:r>
    </w:p>
    <w:p w14:paraId="6731C118" w14:textId="77777777" w:rsidR="00E376C4" w:rsidRDefault="00E376C4" w:rsidP="00481F37">
      <w:pPr>
        <w:ind w:left="720"/>
        <w:rPr>
          <w:rFonts w:ascii="Calibri" w:hAnsi="Calibri" w:cs="Calibri"/>
          <w:color w:val="000000"/>
          <w:sz w:val="22"/>
          <w:szCs w:val="22"/>
          <w:lang w:eastAsia="en-GB"/>
        </w:rPr>
      </w:pPr>
      <w:r w:rsidRPr="004B2A6C">
        <w:rPr>
          <w:rFonts w:ascii="Calibri" w:hAnsi="Calibri" w:cs="Calibri"/>
          <w:color w:val="000000"/>
          <w:sz w:val="22"/>
          <w:szCs w:val="22"/>
          <w:lang w:eastAsia="en-GB"/>
        </w:rPr>
        <w:t>Stage 4 – Reconciliation of the 660,000 active members from January 2017</w:t>
      </w:r>
      <w:r>
        <w:rPr>
          <w:rFonts w:ascii="Calibri" w:hAnsi="Calibri" w:cs="Calibri"/>
          <w:color w:val="000000"/>
          <w:sz w:val="22"/>
          <w:szCs w:val="22"/>
          <w:lang w:eastAsia="en-GB"/>
        </w:rPr>
        <w:t>.</w:t>
      </w:r>
    </w:p>
    <w:p w14:paraId="7AC9A86E" w14:textId="77777777" w:rsidR="00E376C4" w:rsidRDefault="00E376C4" w:rsidP="00481F37">
      <w:pPr>
        <w:pStyle w:val="ListParagraph"/>
        <w:rPr>
          <w:rFonts w:ascii="Calibri" w:hAnsi="Calibri" w:cs="Calibri"/>
          <w:color w:val="000000"/>
          <w:sz w:val="22"/>
          <w:szCs w:val="22"/>
          <w:lang w:eastAsia="en-GB"/>
        </w:rPr>
      </w:pPr>
      <w:r w:rsidRPr="004B2A6C">
        <w:rPr>
          <w:rFonts w:ascii="Calibri" w:hAnsi="Calibri" w:cs="Calibri"/>
          <w:color w:val="000000"/>
          <w:sz w:val="22"/>
          <w:szCs w:val="22"/>
          <w:lang w:eastAsia="en-GB"/>
        </w:rPr>
        <w:t>Stage 5 – Build routines for interim indexation solution and G</w:t>
      </w:r>
      <w:r>
        <w:rPr>
          <w:rFonts w:ascii="Calibri" w:hAnsi="Calibri" w:cs="Calibri"/>
          <w:color w:val="000000"/>
          <w:sz w:val="22"/>
          <w:szCs w:val="22"/>
          <w:lang w:eastAsia="en-GB"/>
        </w:rPr>
        <w:t xml:space="preserve">uaranteed </w:t>
      </w:r>
      <w:r w:rsidRPr="004B2A6C">
        <w:rPr>
          <w:rFonts w:ascii="Calibri" w:hAnsi="Calibri" w:cs="Calibri"/>
          <w:color w:val="000000"/>
          <w:sz w:val="22"/>
          <w:szCs w:val="22"/>
          <w:lang w:eastAsia="en-GB"/>
        </w:rPr>
        <w:t>M</w:t>
      </w:r>
      <w:r>
        <w:rPr>
          <w:rFonts w:ascii="Calibri" w:hAnsi="Calibri" w:cs="Calibri"/>
          <w:color w:val="000000"/>
          <w:sz w:val="22"/>
          <w:szCs w:val="22"/>
          <w:lang w:eastAsia="en-GB"/>
        </w:rPr>
        <w:t xml:space="preserve">inimum </w:t>
      </w:r>
      <w:r w:rsidRPr="004B2A6C">
        <w:rPr>
          <w:rFonts w:ascii="Calibri" w:hAnsi="Calibri" w:cs="Calibri"/>
          <w:color w:val="000000"/>
          <w:sz w:val="22"/>
          <w:szCs w:val="22"/>
          <w:lang w:eastAsia="en-GB"/>
        </w:rPr>
        <w:t>P</w:t>
      </w:r>
      <w:r>
        <w:rPr>
          <w:rFonts w:ascii="Calibri" w:hAnsi="Calibri" w:cs="Calibri"/>
          <w:color w:val="000000"/>
          <w:sz w:val="22"/>
          <w:szCs w:val="22"/>
          <w:lang w:eastAsia="en-GB"/>
        </w:rPr>
        <w:t>ension</w:t>
      </w:r>
      <w:r w:rsidRPr="004B2A6C">
        <w:rPr>
          <w:rFonts w:ascii="Calibri" w:hAnsi="Calibri" w:cs="Calibri"/>
          <w:color w:val="000000"/>
          <w:sz w:val="22"/>
          <w:szCs w:val="22"/>
          <w:lang w:eastAsia="en-GB"/>
        </w:rPr>
        <w:t xml:space="preserve"> equalisation solution. </w:t>
      </w:r>
    </w:p>
    <w:p w14:paraId="254F87B0" w14:textId="77777777" w:rsidR="00E376C4" w:rsidRDefault="00E376C4" w:rsidP="00E376C4">
      <w:pPr>
        <w:rPr>
          <w:rFonts w:ascii="Calibri" w:hAnsi="Calibri" w:cs="Calibri"/>
          <w:color w:val="000000"/>
          <w:sz w:val="22"/>
          <w:szCs w:val="22"/>
          <w:lang w:eastAsia="en-GB"/>
        </w:rPr>
      </w:pPr>
    </w:p>
    <w:p w14:paraId="77152AD9" w14:textId="77777777" w:rsidR="00E376C4" w:rsidRPr="00481F37" w:rsidRDefault="00E376C4" w:rsidP="00481F37">
      <w:pPr>
        <w:pStyle w:val="ListParagraph"/>
        <w:numPr>
          <w:ilvl w:val="0"/>
          <w:numId w:val="23"/>
        </w:numPr>
        <w:rPr>
          <w:rFonts w:ascii="Calibri" w:hAnsi="Calibri" w:cs="Calibri"/>
          <w:color w:val="000000"/>
          <w:sz w:val="22"/>
          <w:szCs w:val="22"/>
          <w:lang w:eastAsia="en-GB"/>
        </w:rPr>
      </w:pPr>
      <w:r w:rsidRPr="00481F37">
        <w:rPr>
          <w:rFonts w:ascii="Calibri" w:hAnsi="Calibri" w:cs="Calibri"/>
          <w:color w:val="000000"/>
          <w:sz w:val="22"/>
          <w:szCs w:val="22"/>
          <w:lang w:eastAsia="en-GB"/>
        </w:rPr>
        <w:t>A fuller update on the issues around Guaranteed Minimum Pension is covered in the Administration report.</w:t>
      </w:r>
    </w:p>
    <w:p w14:paraId="0219C4B7" w14:textId="77777777" w:rsidR="00E376C4" w:rsidRDefault="00E376C4" w:rsidP="00E376C4">
      <w:pPr>
        <w:ind w:left="426"/>
        <w:rPr>
          <w:rFonts w:ascii="Calibri" w:hAnsi="Calibri" w:cs="Calibri"/>
          <w:b/>
          <w:color w:val="000000"/>
          <w:szCs w:val="24"/>
          <w:lang w:eastAsia="en-GB"/>
        </w:rPr>
      </w:pPr>
    </w:p>
    <w:p w14:paraId="319C59F4" w14:textId="77777777" w:rsidR="00E376C4" w:rsidRPr="00481F37" w:rsidRDefault="00E376C4" w:rsidP="00481F37">
      <w:pPr>
        <w:pStyle w:val="ListParagraph"/>
        <w:rPr>
          <w:rFonts w:ascii="Calibri" w:hAnsi="Calibri" w:cs="Calibri"/>
          <w:b/>
          <w:color w:val="000000"/>
          <w:szCs w:val="24"/>
          <w:lang w:eastAsia="en-GB"/>
        </w:rPr>
      </w:pPr>
      <w:r w:rsidRPr="00481F37">
        <w:rPr>
          <w:rFonts w:ascii="Calibri" w:hAnsi="Calibri" w:cs="Calibri"/>
          <w:b/>
          <w:color w:val="000000"/>
          <w:szCs w:val="24"/>
          <w:lang w:eastAsia="en-GB"/>
        </w:rPr>
        <w:t>Overview of all Risks</w:t>
      </w:r>
    </w:p>
    <w:p w14:paraId="5633A555" w14:textId="77777777" w:rsidR="00E376C4" w:rsidRDefault="00E376C4" w:rsidP="00E376C4">
      <w:pPr>
        <w:ind w:left="426"/>
        <w:rPr>
          <w:rFonts w:ascii="Calibri" w:hAnsi="Calibri" w:cs="Calibri"/>
          <w:color w:val="000000"/>
          <w:sz w:val="22"/>
          <w:szCs w:val="22"/>
          <w:lang w:eastAsia="en-GB"/>
        </w:rPr>
      </w:pPr>
    </w:p>
    <w:p w14:paraId="165A877F" w14:textId="77777777" w:rsidR="00E376C4" w:rsidRPr="00481F37" w:rsidRDefault="00E376C4" w:rsidP="00481F37">
      <w:pPr>
        <w:pStyle w:val="ListParagraph"/>
        <w:numPr>
          <w:ilvl w:val="0"/>
          <w:numId w:val="23"/>
        </w:numPr>
        <w:rPr>
          <w:rFonts w:ascii="Calibri" w:hAnsi="Calibri" w:cs="Calibri"/>
          <w:color w:val="000000"/>
          <w:sz w:val="22"/>
          <w:szCs w:val="22"/>
          <w:lang w:eastAsia="en-GB"/>
        </w:rPr>
      </w:pPr>
      <w:r w:rsidRPr="00481F37">
        <w:rPr>
          <w:rFonts w:ascii="Calibri" w:hAnsi="Calibri" w:cs="Calibri"/>
          <w:color w:val="000000"/>
          <w:sz w:val="22"/>
          <w:szCs w:val="22"/>
          <w:lang w:eastAsia="en-GB"/>
        </w:rPr>
        <w:t xml:space="preserve">There are currently 26 </w:t>
      </w:r>
      <w:r w:rsidRPr="00481F37">
        <w:rPr>
          <w:rFonts w:ascii="Calibri" w:hAnsi="Calibri" w:cs="Calibri"/>
          <w:b/>
          <w:color w:val="000000"/>
          <w:sz w:val="22"/>
          <w:szCs w:val="22"/>
          <w:lang w:eastAsia="en-GB"/>
        </w:rPr>
        <w:t>Strategic Risks</w:t>
      </w:r>
      <w:r w:rsidRPr="00481F37">
        <w:rPr>
          <w:rFonts w:ascii="Calibri" w:hAnsi="Calibri" w:cs="Calibri"/>
          <w:color w:val="000000"/>
          <w:sz w:val="22"/>
          <w:szCs w:val="22"/>
          <w:lang w:eastAsia="en-GB"/>
        </w:rPr>
        <w:t xml:space="preserve"> under management, three of which carry a ‘High’ net risk rating and which have strong controls in place:</w:t>
      </w:r>
    </w:p>
    <w:p w14:paraId="2A0CCFE8" w14:textId="77777777" w:rsidR="00E376C4" w:rsidRDefault="00E376C4" w:rsidP="00E376C4">
      <w:pPr>
        <w:ind w:left="426"/>
        <w:rPr>
          <w:rFonts w:ascii="Calibri" w:hAnsi="Calibri" w:cs="Calibri"/>
          <w:color w:val="000000"/>
          <w:sz w:val="22"/>
          <w:szCs w:val="22"/>
          <w:lang w:eastAsia="en-GB"/>
        </w:rPr>
      </w:pPr>
    </w:p>
    <w:p w14:paraId="4890B6AC" w14:textId="74293764" w:rsidR="00E376C4" w:rsidRPr="00481F37" w:rsidRDefault="00481F37" w:rsidP="00481F37">
      <w:pPr>
        <w:pStyle w:val="ListParagraph"/>
        <w:rPr>
          <w:rFonts w:ascii="Calibri" w:hAnsi="Calibri" w:cs="Calibri"/>
          <w:color w:val="000000"/>
          <w:sz w:val="22"/>
          <w:szCs w:val="22"/>
          <w:lang w:eastAsia="en-GB"/>
        </w:rPr>
      </w:pPr>
      <w:r>
        <w:rPr>
          <w:rFonts w:ascii="Calibri" w:hAnsi="Calibri" w:cs="Calibri"/>
          <w:b/>
          <w:color w:val="000000"/>
          <w:sz w:val="22"/>
          <w:szCs w:val="22"/>
          <w:lang w:eastAsia="en-GB"/>
        </w:rPr>
        <w:t xml:space="preserve">i) </w:t>
      </w:r>
      <w:r w:rsidR="00E376C4" w:rsidRPr="00481F37">
        <w:rPr>
          <w:rFonts w:ascii="Calibri" w:hAnsi="Calibri" w:cs="Calibri"/>
          <w:b/>
          <w:color w:val="000000"/>
          <w:sz w:val="22"/>
          <w:szCs w:val="22"/>
          <w:lang w:eastAsia="en-GB"/>
        </w:rPr>
        <w:t>Achievement of Outcomes</w:t>
      </w:r>
      <w:r w:rsidR="00E376C4" w:rsidRPr="00481F37">
        <w:rPr>
          <w:rFonts w:ascii="Calibri" w:hAnsi="Calibri" w:cs="Calibri"/>
          <w:color w:val="000000"/>
          <w:sz w:val="22"/>
          <w:szCs w:val="22"/>
          <w:lang w:eastAsia="en-GB"/>
        </w:rPr>
        <w:t xml:space="preserve"> – As described above (Dashboard item)</w:t>
      </w:r>
    </w:p>
    <w:p w14:paraId="72BCB195" w14:textId="77777777" w:rsidR="00E376C4" w:rsidRDefault="00E376C4" w:rsidP="00E376C4">
      <w:pPr>
        <w:ind w:left="426"/>
        <w:rPr>
          <w:rFonts w:ascii="Calibri" w:hAnsi="Calibri" w:cs="Calibri"/>
          <w:color w:val="000000"/>
          <w:sz w:val="22"/>
          <w:szCs w:val="22"/>
          <w:lang w:eastAsia="en-GB"/>
        </w:rPr>
      </w:pPr>
    </w:p>
    <w:p w14:paraId="4BF59DCF" w14:textId="6C3EDF54" w:rsidR="00E376C4" w:rsidRPr="00481F37" w:rsidRDefault="00481F37" w:rsidP="00481F37">
      <w:pPr>
        <w:pStyle w:val="ListParagraph"/>
        <w:rPr>
          <w:rFonts w:ascii="Calibri" w:hAnsi="Calibri" w:cs="Calibri"/>
          <w:color w:val="000000"/>
          <w:sz w:val="22"/>
          <w:szCs w:val="22"/>
          <w:lang w:eastAsia="en-GB"/>
        </w:rPr>
      </w:pPr>
      <w:r>
        <w:rPr>
          <w:rFonts w:ascii="Calibri" w:hAnsi="Calibri" w:cs="Calibri"/>
          <w:b/>
          <w:color w:val="000000"/>
          <w:sz w:val="22"/>
          <w:szCs w:val="22"/>
          <w:lang w:eastAsia="en-GB"/>
        </w:rPr>
        <w:t xml:space="preserve">ii) </w:t>
      </w:r>
      <w:r w:rsidR="00E376C4" w:rsidRPr="00481F37">
        <w:rPr>
          <w:rFonts w:ascii="Calibri" w:hAnsi="Calibri" w:cs="Calibri"/>
          <w:b/>
          <w:color w:val="000000"/>
          <w:sz w:val="22"/>
          <w:szCs w:val="22"/>
          <w:lang w:eastAsia="en-GB"/>
        </w:rPr>
        <w:t>Monitoring of the cash resource position</w:t>
      </w:r>
      <w:r w:rsidR="00E376C4" w:rsidRPr="00481F37">
        <w:rPr>
          <w:rFonts w:ascii="Calibri" w:hAnsi="Calibri" w:cs="Calibri"/>
          <w:color w:val="000000"/>
          <w:sz w:val="22"/>
          <w:szCs w:val="22"/>
          <w:lang w:eastAsia="en-GB"/>
        </w:rPr>
        <w:t xml:space="preserve"> - There is a risk that an inadequate control environment in which to monitor and submit accurate figures on the TPS resource position throughout the year (monthly to Treasury/Office of Budgetary Responsibility on estimating) could ultimately lead to account qualification. This risk is being mitigated by the implementation of a new process of management and maintenance, which is being transferred from the Department’s Finance and Commercial Group to Capita’s TP Finance Team. The transfer went live in June, with a report on May’s data produced in July and currently under consideration. The output will then be referred back to the Risk Committee for review.</w:t>
      </w:r>
    </w:p>
    <w:p w14:paraId="28B3F1A1" w14:textId="77777777" w:rsidR="00E376C4" w:rsidRDefault="00E376C4" w:rsidP="00E376C4">
      <w:pPr>
        <w:ind w:left="426"/>
        <w:rPr>
          <w:rFonts w:ascii="Calibri" w:hAnsi="Calibri" w:cs="Calibri"/>
          <w:color w:val="000000"/>
          <w:sz w:val="22"/>
          <w:szCs w:val="22"/>
          <w:lang w:eastAsia="en-GB"/>
        </w:rPr>
      </w:pPr>
    </w:p>
    <w:p w14:paraId="1A4988C1" w14:textId="430A77DA" w:rsidR="00E376C4" w:rsidRPr="00481F37" w:rsidRDefault="00481F37" w:rsidP="00481F37">
      <w:pPr>
        <w:pStyle w:val="ListParagraph"/>
        <w:rPr>
          <w:rFonts w:ascii="Calibri" w:hAnsi="Calibri" w:cs="Calibri"/>
          <w:color w:val="000000"/>
          <w:sz w:val="22"/>
          <w:szCs w:val="22"/>
          <w:lang w:eastAsia="en-GB"/>
        </w:rPr>
      </w:pPr>
      <w:r>
        <w:rPr>
          <w:rFonts w:ascii="Calibri" w:hAnsi="Calibri" w:cs="Calibri"/>
          <w:b/>
          <w:color w:val="000000"/>
          <w:sz w:val="22"/>
          <w:szCs w:val="22"/>
          <w:lang w:eastAsia="en-GB"/>
        </w:rPr>
        <w:t xml:space="preserve">iii) </w:t>
      </w:r>
      <w:r w:rsidR="00E376C4" w:rsidRPr="00481F37">
        <w:rPr>
          <w:rFonts w:ascii="Calibri" w:hAnsi="Calibri" w:cs="Calibri"/>
          <w:b/>
          <w:color w:val="000000"/>
          <w:sz w:val="22"/>
          <w:szCs w:val="22"/>
          <w:lang w:eastAsia="en-GB"/>
        </w:rPr>
        <w:t>Guaranteed Minimum Pension records</w:t>
      </w:r>
      <w:r w:rsidR="00E376C4" w:rsidRPr="00481F37">
        <w:rPr>
          <w:rFonts w:ascii="Calibri" w:hAnsi="Calibri" w:cs="Calibri"/>
          <w:color w:val="000000"/>
          <w:sz w:val="22"/>
          <w:szCs w:val="22"/>
          <w:lang w:eastAsia="en-GB"/>
        </w:rPr>
        <w:t xml:space="preserve"> (Scheme accounts) - As described above (Dashboard item) and within the Administration report.</w:t>
      </w:r>
    </w:p>
    <w:p w14:paraId="121010BC" w14:textId="77777777" w:rsidR="00E376C4" w:rsidRDefault="00E376C4" w:rsidP="00E376C4">
      <w:pPr>
        <w:ind w:left="426"/>
        <w:rPr>
          <w:rFonts w:ascii="Calibri" w:hAnsi="Calibri" w:cs="Calibri"/>
          <w:color w:val="000000"/>
          <w:sz w:val="22"/>
          <w:szCs w:val="22"/>
          <w:lang w:eastAsia="en-GB"/>
        </w:rPr>
      </w:pPr>
    </w:p>
    <w:p w14:paraId="0D5EADC1" w14:textId="77777777" w:rsidR="00E376C4" w:rsidRPr="00481F37" w:rsidRDefault="00E376C4" w:rsidP="00481F37">
      <w:pPr>
        <w:pStyle w:val="ListParagraph"/>
        <w:numPr>
          <w:ilvl w:val="0"/>
          <w:numId w:val="23"/>
        </w:numPr>
        <w:rPr>
          <w:rFonts w:ascii="Calibri" w:hAnsi="Calibri" w:cs="Calibri"/>
          <w:color w:val="000000"/>
          <w:sz w:val="22"/>
          <w:szCs w:val="22"/>
          <w:lang w:eastAsia="en-GB"/>
        </w:rPr>
      </w:pPr>
      <w:r w:rsidRPr="00481F37">
        <w:rPr>
          <w:rFonts w:ascii="Calibri" w:hAnsi="Calibri" w:cs="Calibri"/>
          <w:color w:val="000000"/>
          <w:sz w:val="22"/>
          <w:szCs w:val="22"/>
          <w:lang w:eastAsia="en-GB"/>
        </w:rPr>
        <w:t xml:space="preserve">In addition there are a further 26 </w:t>
      </w:r>
      <w:r w:rsidRPr="00481F37">
        <w:rPr>
          <w:rFonts w:ascii="Calibri" w:hAnsi="Calibri" w:cs="Calibri"/>
          <w:b/>
          <w:color w:val="000000"/>
          <w:sz w:val="22"/>
          <w:szCs w:val="22"/>
          <w:lang w:eastAsia="en-GB"/>
        </w:rPr>
        <w:t>Service Delivery Risks</w:t>
      </w:r>
      <w:r w:rsidRPr="00481F37">
        <w:rPr>
          <w:rFonts w:ascii="Calibri" w:hAnsi="Calibri" w:cs="Calibri"/>
          <w:color w:val="000000"/>
          <w:sz w:val="22"/>
          <w:szCs w:val="22"/>
          <w:lang w:eastAsia="en-GB"/>
        </w:rPr>
        <w:t xml:space="preserve"> under management, two of which carry a ‘High’ net risk rating:</w:t>
      </w:r>
    </w:p>
    <w:p w14:paraId="043C7419" w14:textId="77777777" w:rsidR="00E376C4" w:rsidRDefault="00E376C4" w:rsidP="00E376C4">
      <w:pPr>
        <w:ind w:left="426"/>
        <w:rPr>
          <w:rFonts w:ascii="Calibri" w:hAnsi="Calibri" w:cs="Calibri"/>
          <w:color w:val="000000"/>
          <w:sz w:val="22"/>
          <w:szCs w:val="22"/>
          <w:lang w:eastAsia="en-GB"/>
        </w:rPr>
      </w:pPr>
    </w:p>
    <w:p w14:paraId="1E3E924A" w14:textId="096B4556" w:rsidR="00E376C4" w:rsidRPr="00481F37" w:rsidRDefault="005500C1" w:rsidP="005500C1">
      <w:pPr>
        <w:pStyle w:val="ListParagraph"/>
        <w:rPr>
          <w:rFonts w:ascii="Calibri" w:hAnsi="Calibri" w:cs="Calibri"/>
          <w:color w:val="000000"/>
          <w:sz w:val="22"/>
          <w:szCs w:val="22"/>
          <w:lang w:eastAsia="en-GB"/>
        </w:rPr>
      </w:pPr>
      <w:r>
        <w:rPr>
          <w:rFonts w:ascii="Calibri" w:hAnsi="Calibri" w:cs="Calibri"/>
          <w:b/>
          <w:color w:val="000000"/>
          <w:sz w:val="22"/>
          <w:szCs w:val="22"/>
          <w:lang w:eastAsia="en-GB"/>
        </w:rPr>
        <w:t xml:space="preserve">i) </w:t>
      </w:r>
      <w:r w:rsidR="00E376C4" w:rsidRPr="00481F37">
        <w:rPr>
          <w:rFonts w:ascii="Calibri" w:hAnsi="Calibri" w:cs="Calibri"/>
          <w:b/>
          <w:color w:val="000000"/>
          <w:sz w:val="22"/>
          <w:szCs w:val="22"/>
          <w:lang w:eastAsia="en-GB"/>
        </w:rPr>
        <w:t>Guaranteed Minimum Pension records</w:t>
      </w:r>
      <w:r w:rsidR="00E376C4" w:rsidRPr="00481F37">
        <w:rPr>
          <w:rFonts w:ascii="Calibri" w:hAnsi="Calibri" w:cs="Calibri"/>
          <w:color w:val="000000"/>
          <w:sz w:val="22"/>
          <w:szCs w:val="22"/>
          <w:lang w:eastAsia="en-GB"/>
        </w:rPr>
        <w:t xml:space="preserve"> (Operational delivery)- As described above (Dashboard item) and within the Administration report.</w:t>
      </w:r>
    </w:p>
    <w:p w14:paraId="617EE4FE" w14:textId="77777777" w:rsidR="00E376C4" w:rsidRDefault="00E376C4" w:rsidP="00E376C4">
      <w:pPr>
        <w:ind w:left="426"/>
        <w:rPr>
          <w:rFonts w:ascii="Calibri" w:hAnsi="Calibri" w:cs="Calibri"/>
          <w:color w:val="000000"/>
          <w:sz w:val="22"/>
          <w:szCs w:val="22"/>
          <w:lang w:eastAsia="en-GB"/>
        </w:rPr>
      </w:pPr>
    </w:p>
    <w:p w14:paraId="5C23C262" w14:textId="734F9F06" w:rsidR="00E376C4" w:rsidRPr="00481F37" w:rsidRDefault="005500C1" w:rsidP="005500C1">
      <w:pPr>
        <w:pStyle w:val="ListParagraph"/>
        <w:rPr>
          <w:rFonts w:ascii="Calibri" w:hAnsi="Calibri" w:cs="Calibri"/>
          <w:color w:val="000000"/>
          <w:sz w:val="22"/>
          <w:szCs w:val="22"/>
          <w:lang w:eastAsia="en-GB"/>
        </w:rPr>
      </w:pPr>
      <w:r>
        <w:rPr>
          <w:rFonts w:ascii="Calibri" w:hAnsi="Calibri" w:cs="Calibri"/>
          <w:b/>
          <w:color w:val="000000"/>
          <w:sz w:val="22"/>
          <w:szCs w:val="22"/>
          <w:lang w:eastAsia="en-GB"/>
        </w:rPr>
        <w:t xml:space="preserve">ii) </w:t>
      </w:r>
      <w:r w:rsidR="00E376C4" w:rsidRPr="00481F37">
        <w:rPr>
          <w:rFonts w:ascii="Calibri" w:hAnsi="Calibri" w:cs="Calibri"/>
          <w:b/>
          <w:color w:val="000000"/>
          <w:sz w:val="22"/>
          <w:szCs w:val="22"/>
          <w:lang w:eastAsia="en-GB"/>
        </w:rPr>
        <w:t>System Performance</w:t>
      </w:r>
      <w:r w:rsidR="00E376C4" w:rsidRPr="00481F37">
        <w:rPr>
          <w:rFonts w:ascii="Calibri" w:hAnsi="Calibri" w:cs="Calibri"/>
          <w:color w:val="000000"/>
          <w:sz w:val="22"/>
          <w:szCs w:val="22"/>
          <w:lang w:eastAsia="en-GB"/>
        </w:rPr>
        <w:t xml:space="preserve"> – There is a risk of failure to achieve service requirements to Service Level Agreement standard, due to system performance.  </w:t>
      </w:r>
    </w:p>
    <w:p w14:paraId="62E508D5" w14:textId="77777777" w:rsidR="00E376C4" w:rsidRDefault="00E376C4" w:rsidP="00E376C4">
      <w:pPr>
        <w:ind w:left="426"/>
        <w:rPr>
          <w:rFonts w:ascii="Calibri" w:hAnsi="Calibri" w:cs="Calibri"/>
          <w:color w:val="000000"/>
          <w:sz w:val="22"/>
          <w:szCs w:val="22"/>
          <w:lang w:eastAsia="en-GB"/>
        </w:rPr>
      </w:pPr>
    </w:p>
    <w:p w14:paraId="0790CE6A" w14:textId="77777777" w:rsidR="00E376C4" w:rsidRPr="00481F37" w:rsidRDefault="00E376C4" w:rsidP="00481F37">
      <w:pPr>
        <w:pStyle w:val="ListParagraph"/>
        <w:numPr>
          <w:ilvl w:val="0"/>
          <w:numId w:val="23"/>
        </w:numPr>
        <w:rPr>
          <w:rFonts w:ascii="Calibri" w:hAnsi="Calibri" w:cs="Calibri"/>
          <w:b/>
          <w:sz w:val="28"/>
          <w:szCs w:val="28"/>
        </w:rPr>
        <w:sectPr w:rsidR="00E376C4" w:rsidRPr="00481F37" w:rsidSect="00C8363C">
          <w:headerReference w:type="default" r:id="rId14"/>
          <w:footerReference w:type="default" r:id="rId15"/>
          <w:pgSz w:w="11906" w:h="16838"/>
          <w:pgMar w:top="1440" w:right="1700" w:bottom="1440" w:left="1800" w:header="708" w:footer="708" w:gutter="0"/>
          <w:cols w:space="708"/>
          <w:docGrid w:linePitch="360"/>
        </w:sectPr>
      </w:pPr>
      <w:r w:rsidRPr="00481F37">
        <w:rPr>
          <w:rFonts w:ascii="Calibri" w:hAnsi="Calibri" w:cs="Calibri"/>
          <w:color w:val="000000"/>
          <w:sz w:val="22"/>
          <w:szCs w:val="22"/>
          <w:lang w:eastAsia="en-GB"/>
        </w:rPr>
        <w:t>Short-term intermittent problems have impacted on service in recent months; a Service Improvement Plan is currently in place and being actively managed to deliver a number of initiatives to improve the service.</w:t>
      </w:r>
    </w:p>
    <w:p w14:paraId="594B75B9" w14:textId="77777777" w:rsidR="00E376C4" w:rsidRDefault="00E376C4" w:rsidP="00E376C4">
      <w:pPr>
        <w:rPr>
          <w:rFonts w:asciiTheme="minorHAnsi" w:hAnsiTheme="minorHAnsi" w:cstheme="minorHAnsi"/>
          <w:sz w:val="22"/>
          <w:szCs w:val="22"/>
          <w:lang w:val="en-US"/>
        </w:rPr>
      </w:pPr>
      <w:r>
        <w:rPr>
          <w:rFonts w:ascii="Calibri" w:hAnsi="Calibri" w:cs="Calibri"/>
          <w:b/>
          <w:sz w:val="28"/>
          <w:szCs w:val="28"/>
        </w:rPr>
        <w:lastRenderedPageBreak/>
        <w:t xml:space="preserve">Group Internal </w:t>
      </w:r>
      <w:r w:rsidRPr="00695F57">
        <w:rPr>
          <w:rFonts w:ascii="Calibri" w:hAnsi="Calibri" w:cs="Calibri"/>
          <w:b/>
          <w:sz w:val="28"/>
          <w:szCs w:val="28"/>
        </w:rPr>
        <w:t>Audit</w:t>
      </w:r>
      <w:r>
        <w:rPr>
          <w:rFonts w:ascii="Calibri" w:hAnsi="Calibri" w:cs="Calibri"/>
          <w:b/>
          <w:sz w:val="28"/>
          <w:szCs w:val="28"/>
        </w:rPr>
        <w:t xml:space="preserve"> (GIA) Update</w:t>
      </w:r>
    </w:p>
    <w:p w14:paraId="3EF02368" w14:textId="77777777" w:rsidR="00E376C4" w:rsidRDefault="00E376C4" w:rsidP="00E376C4">
      <w:pPr>
        <w:rPr>
          <w:rFonts w:asciiTheme="minorHAnsi" w:hAnsiTheme="minorHAnsi" w:cstheme="minorHAnsi"/>
          <w:sz w:val="22"/>
          <w:szCs w:val="22"/>
          <w:lang w:val="en-US"/>
        </w:rPr>
      </w:pPr>
    </w:p>
    <w:p w14:paraId="1D8B2786" w14:textId="77777777" w:rsidR="00E376C4" w:rsidRDefault="00E376C4" w:rsidP="00E376C4">
      <w:pPr>
        <w:rPr>
          <w:rFonts w:asciiTheme="minorHAnsi" w:hAnsiTheme="minorHAnsi" w:cstheme="minorHAnsi"/>
          <w:sz w:val="22"/>
          <w:szCs w:val="22"/>
          <w:lang w:val="en-US"/>
        </w:rPr>
      </w:pPr>
      <w:r w:rsidRPr="006911C1">
        <w:rPr>
          <w:rFonts w:asciiTheme="minorHAnsi" w:hAnsiTheme="minorHAnsi" w:cstheme="minorHAnsi"/>
          <w:sz w:val="22"/>
          <w:szCs w:val="22"/>
          <w:lang w:val="en-US"/>
        </w:rPr>
        <w:t>The focus of G</w:t>
      </w:r>
      <w:r>
        <w:rPr>
          <w:rFonts w:asciiTheme="minorHAnsi" w:hAnsiTheme="minorHAnsi" w:cstheme="minorHAnsi"/>
          <w:sz w:val="22"/>
          <w:szCs w:val="22"/>
          <w:lang w:val="en-US"/>
        </w:rPr>
        <w:t xml:space="preserve">roup </w:t>
      </w:r>
      <w:r w:rsidRPr="006911C1">
        <w:rPr>
          <w:rFonts w:asciiTheme="minorHAnsi" w:hAnsiTheme="minorHAnsi" w:cstheme="minorHAnsi"/>
          <w:sz w:val="22"/>
          <w:szCs w:val="22"/>
          <w:lang w:val="en-US"/>
        </w:rPr>
        <w:t>I</w:t>
      </w:r>
      <w:r>
        <w:rPr>
          <w:rFonts w:asciiTheme="minorHAnsi" w:hAnsiTheme="minorHAnsi" w:cstheme="minorHAnsi"/>
          <w:sz w:val="22"/>
          <w:szCs w:val="22"/>
          <w:lang w:val="en-US"/>
        </w:rPr>
        <w:t xml:space="preserve">nternal </w:t>
      </w:r>
      <w:r w:rsidRPr="006911C1">
        <w:rPr>
          <w:rFonts w:asciiTheme="minorHAnsi" w:hAnsiTheme="minorHAnsi" w:cstheme="minorHAnsi"/>
          <w:sz w:val="22"/>
          <w:szCs w:val="22"/>
          <w:lang w:val="en-US"/>
        </w:rPr>
        <w:t>A</w:t>
      </w:r>
      <w:r>
        <w:rPr>
          <w:rFonts w:asciiTheme="minorHAnsi" w:hAnsiTheme="minorHAnsi" w:cstheme="minorHAnsi"/>
          <w:sz w:val="22"/>
          <w:szCs w:val="22"/>
          <w:lang w:val="en-US"/>
        </w:rPr>
        <w:t>udit</w:t>
      </w:r>
      <w:r w:rsidRPr="006911C1">
        <w:rPr>
          <w:rFonts w:asciiTheme="minorHAnsi" w:hAnsiTheme="minorHAnsi" w:cstheme="minorHAnsi"/>
          <w:sz w:val="22"/>
          <w:szCs w:val="22"/>
          <w:lang w:val="en-US"/>
        </w:rPr>
        <w:t xml:space="preserve"> activity during the month has been the continued progression of the 2015 plan and supporting Capita management to address open audit issues. The 2015 plan remains fully resourced for completion. </w:t>
      </w:r>
    </w:p>
    <w:p w14:paraId="7E77F1E1" w14:textId="77777777" w:rsidR="00E376C4" w:rsidRPr="006911C1" w:rsidRDefault="00E376C4" w:rsidP="00E376C4">
      <w:pPr>
        <w:rPr>
          <w:rFonts w:asciiTheme="minorHAnsi" w:hAnsiTheme="minorHAnsi" w:cstheme="minorHAnsi"/>
          <w:sz w:val="22"/>
          <w:szCs w:val="22"/>
          <w:lang w:val="en-US"/>
        </w:rPr>
      </w:pPr>
    </w:p>
    <w:p w14:paraId="5A873966" w14:textId="77777777" w:rsidR="00E376C4" w:rsidRDefault="00E376C4" w:rsidP="00E376C4">
      <w:pPr>
        <w:rPr>
          <w:rFonts w:asciiTheme="minorHAnsi" w:hAnsiTheme="minorHAnsi" w:cstheme="minorHAnsi"/>
          <w:sz w:val="22"/>
          <w:szCs w:val="22"/>
          <w:lang w:val="en-US"/>
        </w:rPr>
      </w:pPr>
      <w:r>
        <w:rPr>
          <w:rFonts w:asciiTheme="minorHAnsi" w:hAnsiTheme="minorHAnsi" w:cstheme="minorHAnsi"/>
          <w:sz w:val="22"/>
          <w:szCs w:val="22"/>
          <w:lang w:val="en-US"/>
        </w:rPr>
        <w:t xml:space="preserve">Two </w:t>
      </w:r>
      <w:r w:rsidRPr="006911C1">
        <w:rPr>
          <w:rFonts w:asciiTheme="minorHAnsi" w:hAnsiTheme="minorHAnsi" w:cstheme="minorHAnsi"/>
          <w:sz w:val="22"/>
          <w:szCs w:val="22"/>
          <w:lang w:val="en-US"/>
        </w:rPr>
        <w:t>reports</w:t>
      </w:r>
      <w:r>
        <w:rPr>
          <w:rFonts w:asciiTheme="minorHAnsi" w:hAnsiTheme="minorHAnsi" w:cstheme="minorHAnsi"/>
          <w:sz w:val="22"/>
          <w:szCs w:val="22"/>
          <w:lang w:val="en-US"/>
        </w:rPr>
        <w:t xml:space="preserve"> were</w:t>
      </w:r>
      <w:r w:rsidRPr="006911C1">
        <w:rPr>
          <w:rFonts w:asciiTheme="minorHAnsi" w:hAnsiTheme="minorHAnsi" w:cstheme="minorHAnsi"/>
          <w:sz w:val="22"/>
          <w:szCs w:val="22"/>
          <w:lang w:val="en-US"/>
        </w:rPr>
        <w:t xml:space="preserve"> issued in Fina</w:t>
      </w:r>
      <w:r>
        <w:rPr>
          <w:rFonts w:asciiTheme="minorHAnsi" w:hAnsiTheme="minorHAnsi" w:cstheme="minorHAnsi"/>
          <w:sz w:val="22"/>
          <w:szCs w:val="22"/>
          <w:lang w:val="en-US"/>
        </w:rPr>
        <w:t>l</w:t>
      </w:r>
      <w:r w:rsidRPr="006911C1">
        <w:rPr>
          <w:rFonts w:asciiTheme="minorHAnsi" w:hAnsiTheme="minorHAnsi" w:cstheme="minorHAnsi"/>
          <w:sz w:val="22"/>
          <w:szCs w:val="22"/>
          <w:lang w:val="en-US"/>
        </w:rPr>
        <w:t xml:space="preserve"> during the period:</w:t>
      </w:r>
    </w:p>
    <w:p w14:paraId="10B1F738" w14:textId="77777777" w:rsidR="00E376C4" w:rsidRPr="006911C1" w:rsidRDefault="00E376C4" w:rsidP="00E376C4">
      <w:pPr>
        <w:rPr>
          <w:rFonts w:asciiTheme="minorHAnsi" w:hAnsiTheme="minorHAnsi" w:cstheme="minorHAnsi"/>
          <w:sz w:val="22"/>
          <w:szCs w:val="22"/>
          <w:lang w:val="en-US"/>
        </w:rPr>
      </w:pPr>
    </w:p>
    <w:p w14:paraId="1665C7CF" w14:textId="77777777" w:rsidR="00E376C4" w:rsidRDefault="00E376C4" w:rsidP="00E376C4">
      <w:pPr>
        <w:numPr>
          <w:ilvl w:val="0"/>
          <w:numId w:val="12"/>
        </w:numPr>
        <w:rPr>
          <w:rFonts w:asciiTheme="minorHAnsi" w:hAnsiTheme="minorHAnsi" w:cstheme="minorHAnsi"/>
          <w:sz w:val="22"/>
          <w:szCs w:val="22"/>
        </w:rPr>
      </w:pPr>
      <w:r w:rsidRPr="006911C1">
        <w:rPr>
          <w:rFonts w:asciiTheme="minorHAnsi" w:hAnsiTheme="minorHAnsi" w:cstheme="minorHAnsi"/>
          <w:sz w:val="22"/>
          <w:szCs w:val="22"/>
        </w:rPr>
        <w:t xml:space="preserve">Hartlink Change Management: </w:t>
      </w:r>
      <w:r w:rsidRPr="006911C1">
        <w:rPr>
          <w:rFonts w:asciiTheme="minorHAnsi" w:hAnsiTheme="minorHAnsi" w:cstheme="minorHAnsi"/>
          <w:i/>
          <w:sz w:val="22"/>
          <w:szCs w:val="22"/>
        </w:rPr>
        <w:t>‘Significant Improvement Required’</w:t>
      </w:r>
      <w:r w:rsidRPr="006911C1">
        <w:rPr>
          <w:rFonts w:asciiTheme="minorHAnsi" w:hAnsiTheme="minorHAnsi" w:cstheme="minorHAnsi"/>
          <w:sz w:val="22"/>
          <w:szCs w:val="22"/>
        </w:rPr>
        <w:t xml:space="preserve"> (1 x High, 1 x Medium and 1 x Low risk rated findings identified)</w:t>
      </w:r>
    </w:p>
    <w:p w14:paraId="59AF06F8" w14:textId="77777777" w:rsidR="00E376C4" w:rsidRDefault="00E376C4" w:rsidP="00E376C4">
      <w:pPr>
        <w:numPr>
          <w:ilvl w:val="0"/>
          <w:numId w:val="12"/>
        </w:numPr>
        <w:rPr>
          <w:rFonts w:asciiTheme="minorHAnsi" w:hAnsiTheme="minorHAnsi" w:cstheme="minorHAnsi"/>
          <w:sz w:val="22"/>
          <w:szCs w:val="22"/>
        </w:rPr>
      </w:pPr>
      <w:r w:rsidRPr="00CC1193">
        <w:rPr>
          <w:rFonts w:asciiTheme="minorHAnsi" w:hAnsiTheme="minorHAnsi" w:cstheme="minorHAnsi"/>
          <w:sz w:val="22"/>
          <w:szCs w:val="22"/>
        </w:rPr>
        <w:t xml:space="preserve">SLA and Performance MI: </w:t>
      </w:r>
      <w:r w:rsidRPr="00CC1193">
        <w:rPr>
          <w:rFonts w:asciiTheme="minorHAnsi" w:hAnsiTheme="minorHAnsi" w:cstheme="minorHAnsi"/>
          <w:i/>
          <w:sz w:val="22"/>
          <w:szCs w:val="22"/>
        </w:rPr>
        <w:t>‘Improvement Required’</w:t>
      </w:r>
      <w:r w:rsidRPr="00CC1193">
        <w:rPr>
          <w:rFonts w:asciiTheme="minorHAnsi" w:hAnsiTheme="minorHAnsi" w:cstheme="minorHAnsi"/>
          <w:sz w:val="22"/>
          <w:szCs w:val="22"/>
        </w:rPr>
        <w:t xml:space="preserve"> (3  x Medium risk rated findings identified)</w:t>
      </w:r>
    </w:p>
    <w:p w14:paraId="2AAB4FD5" w14:textId="77777777" w:rsidR="00E376C4" w:rsidRDefault="00E376C4" w:rsidP="00E376C4">
      <w:pPr>
        <w:rPr>
          <w:rFonts w:asciiTheme="minorHAnsi" w:hAnsiTheme="minorHAnsi" w:cstheme="minorHAnsi"/>
          <w:sz w:val="22"/>
          <w:szCs w:val="22"/>
        </w:rPr>
      </w:pPr>
    </w:p>
    <w:p w14:paraId="09225BE6" w14:textId="77777777" w:rsidR="00E376C4" w:rsidRDefault="00E376C4" w:rsidP="00E376C4">
      <w:pPr>
        <w:rPr>
          <w:rFonts w:asciiTheme="minorHAnsi" w:hAnsiTheme="minorHAnsi" w:cstheme="minorHAnsi"/>
          <w:sz w:val="22"/>
          <w:szCs w:val="22"/>
          <w:lang w:val="en-US"/>
        </w:rPr>
      </w:pPr>
    </w:p>
    <w:p w14:paraId="062C3EE8" w14:textId="77777777" w:rsidR="00E376C4" w:rsidRPr="00CC1193" w:rsidRDefault="00E376C4" w:rsidP="00E376C4">
      <w:pPr>
        <w:rPr>
          <w:rFonts w:asciiTheme="minorHAnsi" w:hAnsiTheme="minorHAnsi" w:cstheme="minorHAnsi"/>
          <w:b/>
          <w:sz w:val="22"/>
          <w:szCs w:val="22"/>
        </w:rPr>
      </w:pPr>
      <w:r w:rsidRPr="000D3E9C">
        <w:rPr>
          <w:rFonts w:asciiTheme="minorHAnsi" w:hAnsiTheme="minorHAnsi" w:cstheme="minorHAnsi"/>
          <w:sz w:val="22"/>
          <w:szCs w:val="22"/>
        </w:rPr>
        <w:t xml:space="preserve">The </w:t>
      </w:r>
      <w:r>
        <w:rPr>
          <w:rFonts w:asciiTheme="minorHAnsi" w:hAnsiTheme="minorHAnsi" w:cstheme="minorHAnsi"/>
          <w:sz w:val="22"/>
          <w:szCs w:val="22"/>
        </w:rPr>
        <w:t>f</w:t>
      </w:r>
      <w:r w:rsidRPr="000D3E9C">
        <w:rPr>
          <w:rFonts w:asciiTheme="minorHAnsi" w:hAnsiTheme="minorHAnsi" w:cstheme="minorHAnsi"/>
          <w:sz w:val="22"/>
          <w:szCs w:val="22"/>
        </w:rPr>
        <w:t>inal</w:t>
      </w:r>
      <w:r>
        <w:rPr>
          <w:rFonts w:asciiTheme="minorHAnsi" w:hAnsiTheme="minorHAnsi" w:cstheme="minorHAnsi"/>
          <w:sz w:val="22"/>
          <w:szCs w:val="22"/>
        </w:rPr>
        <w:t xml:space="preserve"> Terms of Reference </w:t>
      </w:r>
      <w:r w:rsidRPr="000D3E9C">
        <w:rPr>
          <w:rFonts w:asciiTheme="minorHAnsi" w:hAnsiTheme="minorHAnsi" w:cstheme="minorHAnsi"/>
          <w:sz w:val="22"/>
          <w:szCs w:val="22"/>
        </w:rPr>
        <w:t xml:space="preserve">in respect of the </w:t>
      </w:r>
      <w:r>
        <w:rPr>
          <w:rFonts w:asciiTheme="minorHAnsi" w:hAnsiTheme="minorHAnsi" w:cstheme="minorHAnsi"/>
          <w:sz w:val="22"/>
          <w:szCs w:val="22"/>
        </w:rPr>
        <w:t>D</w:t>
      </w:r>
      <w:r w:rsidRPr="000D3E9C">
        <w:rPr>
          <w:rFonts w:asciiTheme="minorHAnsi" w:hAnsiTheme="minorHAnsi" w:cstheme="minorHAnsi"/>
          <w:sz w:val="22"/>
          <w:szCs w:val="22"/>
        </w:rPr>
        <w:t xml:space="preserve">eferred Members </w:t>
      </w:r>
      <w:r>
        <w:rPr>
          <w:rFonts w:asciiTheme="minorHAnsi" w:hAnsiTheme="minorHAnsi" w:cstheme="minorHAnsi"/>
          <w:sz w:val="22"/>
          <w:szCs w:val="22"/>
        </w:rPr>
        <w:t>p</w:t>
      </w:r>
      <w:r w:rsidRPr="000D3E9C">
        <w:rPr>
          <w:rFonts w:asciiTheme="minorHAnsi" w:hAnsiTheme="minorHAnsi" w:cstheme="minorHAnsi"/>
          <w:sz w:val="22"/>
          <w:szCs w:val="22"/>
        </w:rPr>
        <w:t xml:space="preserve">roject has been issued along with </w:t>
      </w:r>
      <w:r>
        <w:rPr>
          <w:rFonts w:asciiTheme="minorHAnsi" w:hAnsiTheme="minorHAnsi" w:cstheme="minorHAnsi"/>
          <w:sz w:val="22"/>
          <w:szCs w:val="22"/>
        </w:rPr>
        <w:t>d</w:t>
      </w:r>
      <w:r w:rsidRPr="000D3E9C">
        <w:rPr>
          <w:rFonts w:asciiTheme="minorHAnsi" w:hAnsiTheme="minorHAnsi" w:cstheme="minorHAnsi"/>
          <w:sz w:val="22"/>
          <w:szCs w:val="22"/>
        </w:rPr>
        <w:t>raft</w:t>
      </w:r>
      <w:r>
        <w:rPr>
          <w:rFonts w:asciiTheme="minorHAnsi" w:hAnsiTheme="minorHAnsi" w:cstheme="minorHAnsi"/>
          <w:sz w:val="22"/>
          <w:szCs w:val="22"/>
        </w:rPr>
        <w:t xml:space="preserve"> Terms of References</w:t>
      </w:r>
      <w:r w:rsidRPr="000D3E9C">
        <w:rPr>
          <w:rFonts w:asciiTheme="minorHAnsi" w:hAnsiTheme="minorHAnsi" w:cstheme="minorHAnsi"/>
          <w:sz w:val="22"/>
          <w:szCs w:val="22"/>
        </w:rPr>
        <w:t xml:space="preserve"> for the review of Fraud Data Mining. GIA have agreed with Capita management and DfE to undertake an </w:t>
      </w:r>
      <w:r>
        <w:rPr>
          <w:rFonts w:asciiTheme="minorHAnsi" w:hAnsiTheme="minorHAnsi" w:cstheme="minorHAnsi"/>
          <w:sz w:val="22"/>
          <w:szCs w:val="22"/>
        </w:rPr>
        <w:t>o</w:t>
      </w:r>
      <w:r w:rsidRPr="000D3E9C">
        <w:rPr>
          <w:rFonts w:asciiTheme="minorHAnsi" w:hAnsiTheme="minorHAnsi" w:cstheme="minorHAnsi"/>
          <w:sz w:val="22"/>
          <w:szCs w:val="22"/>
        </w:rPr>
        <w:t xml:space="preserve">perational </w:t>
      </w:r>
      <w:r>
        <w:rPr>
          <w:rFonts w:asciiTheme="minorHAnsi" w:hAnsiTheme="minorHAnsi" w:cstheme="minorHAnsi"/>
          <w:sz w:val="22"/>
          <w:szCs w:val="22"/>
        </w:rPr>
        <w:t>e</w:t>
      </w:r>
      <w:r w:rsidRPr="000D3E9C">
        <w:rPr>
          <w:rFonts w:asciiTheme="minorHAnsi" w:hAnsiTheme="minorHAnsi" w:cstheme="minorHAnsi"/>
          <w:sz w:val="22"/>
          <w:szCs w:val="22"/>
        </w:rPr>
        <w:t>ffectiveness review (</w:t>
      </w:r>
      <w:r>
        <w:rPr>
          <w:rFonts w:asciiTheme="minorHAnsi" w:hAnsiTheme="minorHAnsi" w:cstheme="minorHAnsi"/>
          <w:sz w:val="22"/>
          <w:szCs w:val="22"/>
        </w:rPr>
        <w:t>p</w:t>
      </w:r>
      <w:r w:rsidRPr="000D3E9C">
        <w:rPr>
          <w:rFonts w:asciiTheme="minorHAnsi" w:hAnsiTheme="minorHAnsi" w:cstheme="minorHAnsi"/>
          <w:sz w:val="22"/>
          <w:szCs w:val="22"/>
        </w:rPr>
        <w:t xml:space="preserve">ost </w:t>
      </w:r>
      <w:r>
        <w:rPr>
          <w:rFonts w:asciiTheme="minorHAnsi" w:hAnsiTheme="minorHAnsi" w:cstheme="minorHAnsi"/>
          <w:sz w:val="22"/>
          <w:szCs w:val="22"/>
        </w:rPr>
        <w:t>i</w:t>
      </w:r>
      <w:r w:rsidRPr="000D3E9C">
        <w:rPr>
          <w:rFonts w:asciiTheme="minorHAnsi" w:hAnsiTheme="minorHAnsi" w:cstheme="minorHAnsi"/>
          <w:sz w:val="22"/>
          <w:szCs w:val="22"/>
        </w:rPr>
        <w:t xml:space="preserve">mplementation) following the </w:t>
      </w:r>
      <w:r>
        <w:rPr>
          <w:rFonts w:asciiTheme="minorHAnsi" w:hAnsiTheme="minorHAnsi" w:cstheme="minorHAnsi"/>
          <w:sz w:val="22"/>
          <w:szCs w:val="22"/>
        </w:rPr>
        <w:t>s</w:t>
      </w:r>
      <w:r w:rsidRPr="000D3E9C">
        <w:rPr>
          <w:rFonts w:asciiTheme="minorHAnsi" w:hAnsiTheme="minorHAnsi" w:cstheme="minorHAnsi"/>
          <w:sz w:val="22"/>
          <w:szCs w:val="22"/>
        </w:rPr>
        <w:t xml:space="preserve">cheme Reform </w:t>
      </w:r>
      <w:r>
        <w:rPr>
          <w:rFonts w:asciiTheme="minorHAnsi" w:hAnsiTheme="minorHAnsi" w:cstheme="minorHAnsi"/>
          <w:sz w:val="22"/>
          <w:szCs w:val="22"/>
        </w:rPr>
        <w:t>p</w:t>
      </w:r>
      <w:r w:rsidRPr="000D3E9C">
        <w:rPr>
          <w:rFonts w:asciiTheme="minorHAnsi" w:hAnsiTheme="minorHAnsi" w:cstheme="minorHAnsi"/>
          <w:sz w:val="22"/>
          <w:szCs w:val="22"/>
        </w:rPr>
        <w:t xml:space="preserve">roject. In order to resource this audit, GIA have agreed to defer the audit of </w:t>
      </w:r>
      <w:r>
        <w:rPr>
          <w:rFonts w:asciiTheme="minorHAnsi" w:hAnsiTheme="minorHAnsi" w:cstheme="minorHAnsi"/>
          <w:sz w:val="22"/>
          <w:szCs w:val="22"/>
        </w:rPr>
        <w:t>s</w:t>
      </w:r>
      <w:r w:rsidRPr="000D3E9C">
        <w:rPr>
          <w:rFonts w:asciiTheme="minorHAnsi" w:hAnsiTheme="minorHAnsi" w:cstheme="minorHAnsi"/>
          <w:sz w:val="22"/>
          <w:szCs w:val="22"/>
        </w:rPr>
        <w:t xml:space="preserve">cheme </w:t>
      </w:r>
      <w:r>
        <w:rPr>
          <w:rFonts w:asciiTheme="minorHAnsi" w:hAnsiTheme="minorHAnsi" w:cstheme="minorHAnsi"/>
          <w:sz w:val="22"/>
          <w:szCs w:val="22"/>
        </w:rPr>
        <w:t>a</w:t>
      </w:r>
      <w:r w:rsidRPr="000D3E9C">
        <w:rPr>
          <w:rFonts w:asciiTheme="minorHAnsi" w:hAnsiTheme="minorHAnsi" w:cstheme="minorHAnsi"/>
          <w:sz w:val="22"/>
          <w:szCs w:val="22"/>
        </w:rPr>
        <w:t xml:space="preserve">ccounting and </w:t>
      </w:r>
      <w:r>
        <w:rPr>
          <w:rFonts w:asciiTheme="minorHAnsi" w:hAnsiTheme="minorHAnsi" w:cstheme="minorHAnsi"/>
          <w:sz w:val="22"/>
          <w:szCs w:val="22"/>
        </w:rPr>
        <w:t>c</w:t>
      </w:r>
      <w:r w:rsidRPr="000D3E9C">
        <w:rPr>
          <w:rFonts w:asciiTheme="minorHAnsi" w:hAnsiTheme="minorHAnsi" w:cstheme="minorHAnsi"/>
          <w:sz w:val="22"/>
          <w:szCs w:val="22"/>
        </w:rPr>
        <w:t>ontributions into Q1, 2016.</w:t>
      </w:r>
    </w:p>
    <w:p w14:paraId="6A75EE2B" w14:textId="77777777" w:rsidR="00E376C4" w:rsidRDefault="00E376C4" w:rsidP="00E376C4">
      <w:pPr>
        <w:widowControl/>
        <w:overflowPunct/>
        <w:autoSpaceDE/>
        <w:autoSpaceDN/>
        <w:adjustRightInd/>
        <w:ind w:left="15"/>
        <w:jc w:val="center"/>
        <w:textAlignment w:val="auto"/>
        <w:rPr>
          <w:b/>
          <w:lang w:eastAsia="en-GB"/>
        </w:rPr>
      </w:pPr>
    </w:p>
    <w:p w14:paraId="493EE80C" w14:textId="77777777" w:rsidR="00E376C4" w:rsidRDefault="00E376C4" w:rsidP="00E376C4">
      <w:pPr>
        <w:widowControl/>
        <w:overflowPunct/>
        <w:autoSpaceDE/>
        <w:autoSpaceDN/>
        <w:adjustRightInd/>
        <w:ind w:left="15"/>
        <w:jc w:val="center"/>
        <w:textAlignment w:val="auto"/>
        <w:rPr>
          <w:b/>
          <w:lang w:eastAsia="en-GB"/>
        </w:rPr>
      </w:pPr>
    </w:p>
    <w:p w14:paraId="0D58FAF1" w14:textId="77777777" w:rsidR="00E376C4" w:rsidRDefault="00E376C4" w:rsidP="00E376C4">
      <w:pPr>
        <w:widowControl/>
        <w:overflowPunct/>
        <w:autoSpaceDE/>
        <w:autoSpaceDN/>
        <w:adjustRightInd/>
        <w:ind w:left="15"/>
        <w:jc w:val="center"/>
        <w:textAlignment w:val="auto"/>
        <w:rPr>
          <w:b/>
          <w:lang w:eastAsia="en-GB"/>
        </w:rPr>
      </w:pPr>
    </w:p>
    <w:p w14:paraId="299F9637" w14:textId="77777777" w:rsidR="00E376C4" w:rsidRDefault="00E376C4" w:rsidP="00E376C4">
      <w:pPr>
        <w:widowControl/>
        <w:overflowPunct/>
        <w:autoSpaceDE/>
        <w:autoSpaceDN/>
        <w:adjustRightInd/>
        <w:ind w:left="15"/>
        <w:jc w:val="center"/>
        <w:textAlignment w:val="auto"/>
        <w:rPr>
          <w:b/>
          <w:lang w:eastAsia="en-GB"/>
        </w:rPr>
      </w:pPr>
      <w:r w:rsidRPr="009C35E0">
        <w:rPr>
          <w:b/>
          <w:lang w:eastAsia="en-GB"/>
        </w:rPr>
        <w:t>Outstanding Issues</w:t>
      </w:r>
    </w:p>
    <w:p w14:paraId="6A528B54" w14:textId="77777777" w:rsidR="00E376C4" w:rsidRDefault="00E376C4" w:rsidP="00E376C4">
      <w:pPr>
        <w:widowControl/>
        <w:overflowPunct/>
        <w:autoSpaceDE/>
        <w:autoSpaceDN/>
        <w:adjustRightInd/>
        <w:ind w:left="15"/>
        <w:jc w:val="center"/>
        <w:textAlignment w:val="auto"/>
        <w:rPr>
          <w:b/>
          <w:lang w:eastAsia="en-GB"/>
        </w:rPr>
      </w:pPr>
    </w:p>
    <w:tbl>
      <w:tblPr>
        <w:tblW w:w="10416" w:type="dxa"/>
        <w:tblInd w:w="1515" w:type="dxa"/>
        <w:tblLayout w:type="fixed"/>
        <w:tblLook w:val="0000" w:firstRow="0" w:lastRow="0" w:firstColumn="0" w:lastColumn="0" w:noHBand="0" w:noVBand="0"/>
      </w:tblPr>
      <w:tblGrid>
        <w:gridCol w:w="1995"/>
        <w:gridCol w:w="498"/>
        <w:gridCol w:w="498"/>
        <w:gridCol w:w="540"/>
        <w:gridCol w:w="445"/>
        <w:gridCol w:w="440"/>
        <w:gridCol w:w="480"/>
        <w:gridCol w:w="460"/>
        <w:gridCol w:w="460"/>
        <w:gridCol w:w="400"/>
        <w:gridCol w:w="460"/>
        <w:gridCol w:w="420"/>
        <w:gridCol w:w="520"/>
        <w:gridCol w:w="460"/>
        <w:gridCol w:w="480"/>
        <w:gridCol w:w="460"/>
        <w:gridCol w:w="440"/>
        <w:gridCol w:w="960"/>
      </w:tblGrid>
      <w:tr w:rsidR="00E376C4" w:rsidRPr="0071762D" w14:paraId="5C745010" w14:textId="77777777" w:rsidTr="00E15AA0">
        <w:trPr>
          <w:trHeight w:val="330"/>
        </w:trPr>
        <w:tc>
          <w:tcPr>
            <w:tcW w:w="10416" w:type="dxa"/>
            <w:gridSpan w:val="18"/>
            <w:tcBorders>
              <w:top w:val="single" w:sz="8" w:space="0" w:color="auto"/>
              <w:left w:val="single" w:sz="8" w:space="0" w:color="auto"/>
              <w:bottom w:val="single" w:sz="8" w:space="0" w:color="auto"/>
              <w:right w:val="single" w:sz="8" w:space="0" w:color="000000"/>
            </w:tcBorders>
            <w:shd w:val="clear" w:color="auto" w:fill="969696"/>
            <w:vAlign w:val="bottom"/>
          </w:tcPr>
          <w:p w14:paraId="7BB7FD10" w14:textId="77777777" w:rsidR="00E376C4" w:rsidRPr="0071762D" w:rsidRDefault="00E376C4" w:rsidP="00E15AA0">
            <w:pPr>
              <w:rPr>
                <w:rFonts w:cs="Arial"/>
                <w:b/>
                <w:bCs/>
                <w:color w:val="FFFFFF"/>
                <w:szCs w:val="24"/>
                <w:lang w:eastAsia="en-GB"/>
              </w:rPr>
            </w:pPr>
            <w:r w:rsidRPr="0071762D">
              <w:rPr>
                <w:rFonts w:cs="Arial"/>
                <w:b/>
                <w:bCs/>
                <w:color w:val="FFFFFF"/>
                <w:szCs w:val="24"/>
                <w:lang w:eastAsia="en-GB"/>
              </w:rPr>
              <w:t>Overdue 1-30 days: Green; 31-60 days: Amber; 60 days plus: Red</w:t>
            </w:r>
          </w:p>
        </w:tc>
      </w:tr>
      <w:tr w:rsidR="00E376C4" w:rsidRPr="0071762D" w14:paraId="0FCD19D1" w14:textId="77777777" w:rsidTr="00E15AA0">
        <w:trPr>
          <w:trHeight w:val="315"/>
        </w:trPr>
        <w:tc>
          <w:tcPr>
            <w:tcW w:w="1995" w:type="dxa"/>
            <w:vMerge w:val="restart"/>
            <w:tcBorders>
              <w:top w:val="nil"/>
              <w:left w:val="single" w:sz="8" w:space="0" w:color="auto"/>
              <w:bottom w:val="single" w:sz="8" w:space="0" w:color="000000"/>
              <w:right w:val="single" w:sz="8" w:space="0" w:color="auto"/>
            </w:tcBorders>
            <w:shd w:val="clear" w:color="auto" w:fill="C0C0C0"/>
            <w:vAlign w:val="bottom"/>
          </w:tcPr>
          <w:p w14:paraId="75305C63" w14:textId="77777777" w:rsidR="00E376C4" w:rsidRPr="0071762D" w:rsidRDefault="00E376C4" w:rsidP="00E15AA0">
            <w:pPr>
              <w:rPr>
                <w:rFonts w:cs="Arial"/>
                <w:b/>
                <w:bCs/>
                <w:color w:val="FFFFFF"/>
                <w:lang w:eastAsia="en-GB"/>
              </w:rPr>
            </w:pPr>
            <w:r w:rsidRPr="0071762D">
              <w:rPr>
                <w:rFonts w:cs="Arial"/>
                <w:b/>
                <w:bCs/>
                <w:color w:val="FFFFFF"/>
                <w:lang w:eastAsia="en-GB"/>
              </w:rPr>
              <w:t>Source</w:t>
            </w:r>
          </w:p>
        </w:tc>
        <w:tc>
          <w:tcPr>
            <w:tcW w:w="1981" w:type="dxa"/>
            <w:gridSpan w:val="4"/>
            <w:tcBorders>
              <w:top w:val="single" w:sz="8" w:space="0" w:color="auto"/>
              <w:left w:val="nil"/>
              <w:bottom w:val="single" w:sz="8" w:space="0" w:color="auto"/>
              <w:right w:val="single" w:sz="8" w:space="0" w:color="000000"/>
            </w:tcBorders>
            <w:shd w:val="clear" w:color="auto" w:fill="C0C0C0"/>
            <w:vAlign w:val="bottom"/>
          </w:tcPr>
          <w:p w14:paraId="5B55355A" w14:textId="77777777" w:rsidR="00E376C4" w:rsidRPr="0071762D" w:rsidRDefault="00E376C4" w:rsidP="00E15AA0">
            <w:pPr>
              <w:jc w:val="center"/>
              <w:rPr>
                <w:rFonts w:cs="Arial"/>
                <w:b/>
                <w:bCs/>
                <w:color w:val="FFFFFF"/>
                <w:lang w:eastAsia="en-GB"/>
              </w:rPr>
            </w:pPr>
            <w:r w:rsidRPr="0071762D">
              <w:rPr>
                <w:rFonts w:cs="Arial"/>
                <w:b/>
                <w:bCs/>
                <w:color w:val="FFFFFF"/>
                <w:lang w:eastAsia="en-GB"/>
              </w:rPr>
              <w:t>Total Open</w:t>
            </w:r>
          </w:p>
        </w:tc>
        <w:tc>
          <w:tcPr>
            <w:tcW w:w="1840" w:type="dxa"/>
            <w:gridSpan w:val="4"/>
            <w:tcBorders>
              <w:top w:val="single" w:sz="8" w:space="0" w:color="auto"/>
              <w:left w:val="nil"/>
              <w:bottom w:val="single" w:sz="8" w:space="0" w:color="auto"/>
              <w:right w:val="single" w:sz="8" w:space="0" w:color="000000"/>
            </w:tcBorders>
            <w:shd w:val="clear" w:color="auto" w:fill="C0C0C0"/>
            <w:vAlign w:val="bottom"/>
          </w:tcPr>
          <w:p w14:paraId="6EECB368" w14:textId="77777777" w:rsidR="00E376C4" w:rsidRPr="0071762D" w:rsidRDefault="00E376C4" w:rsidP="00E15AA0">
            <w:pPr>
              <w:jc w:val="center"/>
              <w:rPr>
                <w:rFonts w:cs="Arial"/>
                <w:b/>
                <w:bCs/>
                <w:color w:val="FFFFFF"/>
                <w:lang w:eastAsia="en-GB"/>
              </w:rPr>
            </w:pPr>
            <w:r w:rsidRPr="0071762D">
              <w:rPr>
                <w:rFonts w:cs="Arial"/>
                <w:b/>
                <w:bCs/>
                <w:color w:val="FFFFFF"/>
                <w:lang w:eastAsia="en-GB"/>
              </w:rPr>
              <w:t xml:space="preserve">1 to 30 days </w:t>
            </w:r>
          </w:p>
        </w:tc>
        <w:tc>
          <w:tcPr>
            <w:tcW w:w="1800" w:type="dxa"/>
            <w:gridSpan w:val="4"/>
            <w:tcBorders>
              <w:top w:val="single" w:sz="8" w:space="0" w:color="auto"/>
              <w:left w:val="nil"/>
              <w:bottom w:val="single" w:sz="8" w:space="0" w:color="auto"/>
              <w:right w:val="single" w:sz="8" w:space="0" w:color="000000"/>
            </w:tcBorders>
            <w:shd w:val="clear" w:color="auto" w:fill="C0C0C0"/>
            <w:vAlign w:val="bottom"/>
          </w:tcPr>
          <w:p w14:paraId="09AB8456" w14:textId="77777777" w:rsidR="00E376C4" w:rsidRPr="0071762D" w:rsidRDefault="00E376C4" w:rsidP="00E15AA0">
            <w:pPr>
              <w:jc w:val="center"/>
              <w:rPr>
                <w:rFonts w:cs="Arial"/>
                <w:b/>
                <w:bCs/>
                <w:color w:val="FFFFFF"/>
                <w:lang w:eastAsia="en-GB"/>
              </w:rPr>
            </w:pPr>
            <w:r w:rsidRPr="0071762D">
              <w:rPr>
                <w:rFonts w:cs="Arial"/>
                <w:b/>
                <w:bCs/>
                <w:color w:val="FFFFFF"/>
                <w:lang w:eastAsia="en-GB"/>
              </w:rPr>
              <w:t>31 to 60 days</w:t>
            </w:r>
          </w:p>
        </w:tc>
        <w:tc>
          <w:tcPr>
            <w:tcW w:w="1840" w:type="dxa"/>
            <w:gridSpan w:val="4"/>
            <w:tcBorders>
              <w:top w:val="single" w:sz="8" w:space="0" w:color="auto"/>
              <w:left w:val="nil"/>
              <w:bottom w:val="single" w:sz="8" w:space="0" w:color="auto"/>
              <w:right w:val="single" w:sz="8" w:space="0" w:color="000000"/>
            </w:tcBorders>
            <w:shd w:val="clear" w:color="auto" w:fill="C0C0C0"/>
            <w:vAlign w:val="bottom"/>
          </w:tcPr>
          <w:p w14:paraId="14008BC5" w14:textId="77777777" w:rsidR="00E376C4" w:rsidRPr="0071762D" w:rsidRDefault="00E376C4" w:rsidP="00E15AA0">
            <w:pPr>
              <w:jc w:val="center"/>
              <w:rPr>
                <w:rFonts w:cs="Arial"/>
                <w:b/>
                <w:bCs/>
                <w:color w:val="FFFFFF"/>
                <w:lang w:eastAsia="en-GB"/>
              </w:rPr>
            </w:pPr>
            <w:r w:rsidRPr="0071762D">
              <w:rPr>
                <w:rFonts w:cs="Arial"/>
                <w:b/>
                <w:bCs/>
                <w:color w:val="FFFFFF"/>
                <w:lang w:eastAsia="en-GB"/>
              </w:rPr>
              <w:t>60 days +</w:t>
            </w:r>
          </w:p>
        </w:tc>
        <w:tc>
          <w:tcPr>
            <w:tcW w:w="960" w:type="dxa"/>
            <w:vMerge w:val="restart"/>
            <w:tcBorders>
              <w:top w:val="nil"/>
              <w:left w:val="single" w:sz="8" w:space="0" w:color="auto"/>
              <w:bottom w:val="single" w:sz="8" w:space="0" w:color="000000"/>
              <w:right w:val="single" w:sz="8" w:space="0" w:color="auto"/>
            </w:tcBorders>
            <w:shd w:val="clear" w:color="auto" w:fill="C0C0C0"/>
            <w:vAlign w:val="bottom"/>
          </w:tcPr>
          <w:p w14:paraId="73FEC4B4" w14:textId="77777777" w:rsidR="00E376C4" w:rsidRPr="0071762D" w:rsidRDefault="00E376C4" w:rsidP="00E15AA0">
            <w:pPr>
              <w:jc w:val="center"/>
              <w:rPr>
                <w:rFonts w:cs="Arial"/>
                <w:b/>
                <w:bCs/>
                <w:color w:val="FFFFFF"/>
                <w:lang w:eastAsia="en-GB"/>
              </w:rPr>
            </w:pPr>
            <w:r w:rsidRPr="0071762D">
              <w:rPr>
                <w:rFonts w:cs="Arial"/>
                <w:b/>
                <w:bCs/>
                <w:color w:val="FFFFFF"/>
                <w:lang w:eastAsia="en-GB"/>
              </w:rPr>
              <w:t>Trend</w:t>
            </w:r>
          </w:p>
        </w:tc>
      </w:tr>
      <w:tr w:rsidR="00E376C4" w:rsidRPr="0071762D" w14:paraId="05A63727" w14:textId="77777777" w:rsidTr="00E15AA0">
        <w:trPr>
          <w:trHeight w:val="315"/>
        </w:trPr>
        <w:tc>
          <w:tcPr>
            <w:tcW w:w="1995" w:type="dxa"/>
            <w:vMerge/>
            <w:tcBorders>
              <w:top w:val="nil"/>
              <w:left w:val="single" w:sz="8" w:space="0" w:color="auto"/>
              <w:bottom w:val="single" w:sz="8" w:space="0" w:color="000000"/>
              <w:right w:val="single" w:sz="8" w:space="0" w:color="auto"/>
            </w:tcBorders>
            <w:vAlign w:val="center"/>
          </w:tcPr>
          <w:p w14:paraId="4A64141B" w14:textId="77777777" w:rsidR="00E376C4" w:rsidRPr="0071762D" w:rsidRDefault="00E376C4" w:rsidP="00E15AA0">
            <w:pPr>
              <w:rPr>
                <w:rFonts w:cs="Arial"/>
                <w:b/>
                <w:bCs/>
                <w:color w:val="FFFFFF"/>
                <w:lang w:eastAsia="en-GB"/>
              </w:rPr>
            </w:pPr>
          </w:p>
        </w:tc>
        <w:tc>
          <w:tcPr>
            <w:tcW w:w="498" w:type="dxa"/>
            <w:tcBorders>
              <w:top w:val="nil"/>
              <w:left w:val="nil"/>
              <w:bottom w:val="single" w:sz="8" w:space="0" w:color="auto"/>
              <w:right w:val="single" w:sz="8" w:space="0" w:color="auto"/>
            </w:tcBorders>
            <w:shd w:val="clear" w:color="auto" w:fill="C0C0C0"/>
            <w:vAlign w:val="bottom"/>
          </w:tcPr>
          <w:p w14:paraId="7C643DF3" w14:textId="77777777" w:rsidR="00E376C4" w:rsidRPr="0071762D" w:rsidRDefault="00E376C4" w:rsidP="00E15AA0">
            <w:pPr>
              <w:jc w:val="center"/>
              <w:rPr>
                <w:rFonts w:cs="Arial"/>
                <w:b/>
                <w:bCs/>
                <w:color w:val="FFFFFF"/>
                <w:lang w:eastAsia="en-GB"/>
              </w:rPr>
            </w:pPr>
            <w:r w:rsidRPr="0071762D">
              <w:rPr>
                <w:rFonts w:cs="Arial"/>
                <w:b/>
                <w:bCs/>
                <w:color w:val="FFFFFF"/>
                <w:lang w:eastAsia="en-GB"/>
              </w:rPr>
              <w:t>C</w:t>
            </w:r>
          </w:p>
        </w:tc>
        <w:tc>
          <w:tcPr>
            <w:tcW w:w="498" w:type="dxa"/>
            <w:tcBorders>
              <w:top w:val="nil"/>
              <w:left w:val="nil"/>
              <w:bottom w:val="single" w:sz="8" w:space="0" w:color="auto"/>
              <w:right w:val="single" w:sz="8" w:space="0" w:color="auto"/>
            </w:tcBorders>
            <w:shd w:val="clear" w:color="auto" w:fill="C0C0C0"/>
            <w:vAlign w:val="bottom"/>
          </w:tcPr>
          <w:p w14:paraId="2CA993EE" w14:textId="77777777" w:rsidR="00E376C4" w:rsidRPr="0071762D" w:rsidRDefault="00E376C4" w:rsidP="00E15AA0">
            <w:pPr>
              <w:jc w:val="center"/>
              <w:rPr>
                <w:rFonts w:cs="Arial"/>
                <w:b/>
                <w:bCs/>
                <w:color w:val="FFFFFF"/>
                <w:lang w:eastAsia="en-GB"/>
              </w:rPr>
            </w:pPr>
            <w:r w:rsidRPr="0071762D">
              <w:rPr>
                <w:rFonts w:cs="Arial"/>
                <w:b/>
                <w:bCs/>
                <w:color w:val="FFFFFF"/>
                <w:lang w:eastAsia="en-GB"/>
              </w:rPr>
              <w:t>H</w:t>
            </w:r>
          </w:p>
        </w:tc>
        <w:tc>
          <w:tcPr>
            <w:tcW w:w="540" w:type="dxa"/>
            <w:tcBorders>
              <w:top w:val="nil"/>
              <w:left w:val="nil"/>
              <w:bottom w:val="single" w:sz="8" w:space="0" w:color="auto"/>
              <w:right w:val="single" w:sz="8" w:space="0" w:color="auto"/>
            </w:tcBorders>
            <w:shd w:val="clear" w:color="auto" w:fill="C0C0C0"/>
            <w:vAlign w:val="bottom"/>
          </w:tcPr>
          <w:p w14:paraId="009CE6A9" w14:textId="77777777" w:rsidR="00E376C4" w:rsidRPr="0071762D" w:rsidRDefault="00E376C4" w:rsidP="00E15AA0">
            <w:pPr>
              <w:jc w:val="center"/>
              <w:rPr>
                <w:rFonts w:cs="Arial"/>
                <w:b/>
                <w:bCs/>
                <w:color w:val="FFFFFF"/>
                <w:lang w:eastAsia="en-GB"/>
              </w:rPr>
            </w:pPr>
            <w:r w:rsidRPr="0071762D">
              <w:rPr>
                <w:rFonts w:cs="Arial"/>
                <w:b/>
                <w:bCs/>
                <w:color w:val="FFFFFF"/>
                <w:lang w:eastAsia="en-GB"/>
              </w:rPr>
              <w:t>M</w:t>
            </w:r>
          </w:p>
        </w:tc>
        <w:tc>
          <w:tcPr>
            <w:tcW w:w="445" w:type="dxa"/>
            <w:tcBorders>
              <w:top w:val="nil"/>
              <w:left w:val="nil"/>
              <w:bottom w:val="single" w:sz="8" w:space="0" w:color="auto"/>
              <w:right w:val="single" w:sz="8" w:space="0" w:color="auto"/>
            </w:tcBorders>
            <w:shd w:val="clear" w:color="auto" w:fill="C0C0C0"/>
            <w:vAlign w:val="bottom"/>
          </w:tcPr>
          <w:p w14:paraId="1E4982AA" w14:textId="77777777" w:rsidR="00E376C4" w:rsidRPr="0071762D" w:rsidRDefault="00E376C4" w:rsidP="00E15AA0">
            <w:pPr>
              <w:jc w:val="center"/>
              <w:rPr>
                <w:rFonts w:cs="Arial"/>
                <w:b/>
                <w:bCs/>
                <w:color w:val="FFFFFF"/>
                <w:lang w:eastAsia="en-GB"/>
              </w:rPr>
            </w:pPr>
            <w:r w:rsidRPr="0071762D">
              <w:rPr>
                <w:rFonts w:cs="Arial"/>
                <w:b/>
                <w:bCs/>
                <w:color w:val="FFFFFF"/>
                <w:lang w:eastAsia="en-GB"/>
              </w:rPr>
              <w:t>L</w:t>
            </w:r>
          </w:p>
        </w:tc>
        <w:tc>
          <w:tcPr>
            <w:tcW w:w="440" w:type="dxa"/>
            <w:tcBorders>
              <w:top w:val="nil"/>
              <w:left w:val="nil"/>
              <w:bottom w:val="single" w:sz="8" w:space="0" w:color="auto"/>
              <w:right w:val="single" w:sz="8" w:space="0" w:color="auto"/>
            </w:tcBorders>
            <w:shd w:val="clear" w:color="auto" w:fill="C0C0C0"/>
            <w:vAlign w:val="bottom"/>
          </w:tcPr>
          <w:p w14:paraId="0526801D" w14:textId="77777777" w:rsidR="00E376C4" w:rsidRPr="0071762D" w:rsidRDefault="00E376C4" w:rsidP="00E15AA0">
            <w:pPr>
              <w:jc w:val="center"/>
              <w:rPr>
                <w:rFonts w:cs="Arial"/>
                <w:b/>
                <w:bCs/>
                <w:color w:val="FFFFFF"/>
                <w:lang w:eastAsia="en-GB"/>
              </w:rPr>
            </w:pPr>
            <w:r w:rsidRPr="0071762D">
              <w:rPr>
                <w:rFonts w:cs="Arial"/>
                <w:b/>
                <w:bCs/>
                <w:color w:val="FFFFFF"/>
                <w:lang w:eastAsia="en-GB"/>
              </w:rPr>
              <w:t>C</w:t>
            </w:r>
          </w:p>
        </w:tc>
        <w:tc>
          <w:tcPr>
            <w:tcW w:w="480" w:type="dxa"/>
            <w:tcBorders>
              <w:top w:val="nil"/>
              <w:left w:val="nil"/>
              <w:bottom w:val="single" w:sz="8" w:space="0" w:color="auto"/>
              <w:right w:val="single" w:sz="8" w:space="0" w:color="auto"/>
            </w:tcBorders>
            <w:shd w:val="clear" w:color="auto" w:fill="C0C0C0"/>
            <w:vAlign w:val="bottom"/>
          </w:tcPr>
          <w:p w14:paraId="310D9B09" w14:textId="77777777" w:rsidR="00E376C4" w:rsidRPr="0071762D" w:rsidRDefault="00E376C4" w:rsidP="00E15AA0">
            <w:pPr>
              <w:jc w:val="center"/>
              <w:rPr>
                <w:rFonts w:cs="Arial"/>
                <w:b/>
                <w:bCs/>
                <w:color w:val="FFFFFF"/>
                <w:lang w:eastAsia="en-GB"/>
              </w:rPr>
            </w:pPr>
            <w:r w:rsidRPr="0071762D">
              <w:rPr>
                <w:rFonts w:cs="Arial"/>
                <w:b/>
                <w:bCs/>
                <w:color w:val="FFFFFF"/>
                <w:lang w:eastAsia="en-GB"/>
              </w:rPr>
              <w:t>H</w:t>
            </w:r>
          </w:p>
        </w:tc>
        <w:tc>
          <w:tcPr>
            <w:tcW w:w="460" w:type="dxa"/>
            <w:tcBorders>
              <w:top w:val="nil"/>
              <w:left w:val="nil"/>
              <w:bottom w:val="single" w:sz="8" w:space="0" w:color="auto"/>
              <w:right w:val="single" w:sz="8" w:space="0" w:color="auto"/>
            </w:tcBorders>
            <w:shd w:val="clear" w:color="auto" w:fill="C0C0C0"/>
            <w:vAlign w:val="bottom"/>
          </w:tcPr>
          <w:p w14:paraId="720176D4" w14:textId="77777777" w:rsidR="00E376C4" w:rsidRPr="0071762D" w:rsidRDefault="00E376C4" w:rsidP="00E15AA0">
            <w:pPr>
              <w:jc w:val="center"/>
              <w:rPr>
                <w:rFonts w:cs="Arial"/>
                <w:b/>
                <w:bCs/>
                <w:color w:val="FFFFFF"/>
                <w:lang w:eastAsia="en-GB"/>
              </w:rPr>
            </w:pPr>
            <w:r w:rsidRPr="0071762D">
              <w:rPr>
                <w:rFonts w:cs="Arial"/>
                <w:b/>
                <w:bCs/>
                <w:color w:val="FFFFFF"/>
                <w:lang w:eastAsia="en-GB"/>
              </w:rPr>
              <w:t>M</w:t>
            </w:r>
          </w:p>
        </w:tc>
        <w:tc>
          <w:tcPr>
            <w:tcW w:w="460" w:type="dxa"/>
            <w:tcBorders>
              <w:top w:val="nil"/>
              <w:left w:val="nil"/>
              <w:bottom w:val="single" w:sz="8" w:space="0" w:color="auto"/>
              <w:right w:val="single" w:sz="8" w:space="0" w:color="auto"/>
            </w:tcBorders>
            <w:shd w:val="clear" w:color="auto" w:fill="C0C0C0"/>
            <w:vAlign w:val="bottom"/>
          </w:tcPr>
          <w:p w14:paraId="3D38A14F" w14:textId="77777777" w:rsidR="00E376C4" w:rsidRPr="0071762D" w:rsidRDefault="00E376C4" w:rsidP="00E15AA0">
            <w:pPr>
              <w:jc w:val="center"/>
              <w:rPr>
                <w:rFonts w:cs="Arial"/>
                <w:b/>
                <w:bCs/>
                <w:color w:val="FFFFFF"/>
                <w:lang w:eastAsia="en-GB"/>
              </w:rPr>
            </w:pPr>
            <w:r w:rsidRPr="0071762D">
              <w:rPr>
                <w:rFonts w:cs="Arial"/>
                <w:b/>
                <w:bCs/>
                <w:color w:val="FFFFFF"/>
                <w:lang w:eastAsia="en-GB"/>
              </w:rPr>
              <w:t>L</w:t>
            </w:r>
          </w:p>
        </w:tc>
        <w:tc>
          <w:tcPr>
            <w:tcW w:w="400" w:type="dxa"/>
            <w:tcBorders>
              <w:top w:val="nil"/>
              <w:left w:val="nil"/>
              <w:bottom w:val="single" w:sz="8" w:space="0" w:color="auto"/>
              <w:right w:val="single" w:sz="8" w:space="0" w:color="auto"/>
            </w:tcBorders>
            <w:shd w:val="clear" w:color="auto" w:fill="C0C0C0"/>
            <w:vAlign w:val="bottom"/>
          </w:tcPr>
          <w:p w14:paraId="4091205A" w14:textId="77777777" w:rsidR="00E376C4" w:rsidRPr="0071762D" w:rsidRDefault="00E376C4" w:rsidP="00E15AA0">
            <w:pPr>
              <w:jc w:val="center"/>
              <w:rPr>
                <w:rFonts w:cs="Arial"/>
                <w:b/>
                <w:bCs/>
                <w:color w:val="FFFFFF"/>
                <w:lang w:eastAsia="en-GB"/>
              </w:rPr>
            </w:pPr>
            <w:r w:rsidRPr="0071762D">
              <w:rPr>
                <w:rFonts w:cs="Arial"/>
                <w:b/>
                <w:bCs/>
                <w:color w:val="FFFFFF"/>
                <w:lang w:eastAsia="en-GB"/>
              </w:rPr>
              <w:t>C</w:t>
            </w:r>
          </w:p>
        </w:tc>
        <w:tc>
          <w:tcPr>
            <w:tcW w:w="460" w:type="dxa"/>
            <w:tcBorders>
              <w:top w:val="nil"/>
              <w:left w:val="nil"/>
              <w:bottom w:val="single" w:sz="8" w:space="0" w:color="auto"/>
              <w:right w:val="single" w:sz="8" w:space="0" w:color="auto"/>
            </w:tcBorders>
            <w:shd w:val="clear" w:color="auto" w:fill="C0C0C0"/>
            <w:vAlign w:val="bottom"/>
          </w:tcPr>
          <w:p w14:paraId="1A92EF92" w14:textId="77777777" w:rsidR="00E376C4" w:rsidRPr="0071762D" w:rsidRDefault="00E376C4" w:rsidP="00E15AA0">
            <w:pPr>
              <w:jc w:val="center"/>
              <w:rPr>
                <w:rFonts w:cs="Arial"/>
                <w:b/>
                <w:bCs/>
                <w:color w:val="FFFFFF"/>
                <w:lang w:eastAsia="en-GB"/>
              </w:rPr>
            </w:pPr>
            <w:r w:rsidRPr="0071762D">
              <w:rPr>
                <w:rFonts w:cs="Arial"/>
                <w:b/>
                <w:bCs/>
                <w:color w:val="FFFFFF"/>
                <w:lang w:eastAsia="en-GB"/>
              </w:rPr>
              <w:t>H</w:t>
            </w:r>
          </w:p>
        </w:tc>
        <w:tc>
          <w:tcPr>
            <w:tcW w:w="420" w:type="dxa"/>
            <w:tcBorders>
              <w:top w:val="nil"/>
              <w:left w:val="nil"/>
              <w:bottom w:val="single" w:sz="8" w:space="0" w:color="auto"/>
              <w:right w:val="single" w:sz="8" w:space="0" w:color="auto"/>
            </w:tcBorders>
            <w:shd w:val="clear" w:color="auto" w:fill="C0C0C0"/>
            <w:vAlign w:val="bottom"/>
          </w:tcPr>
          <w:p w14:paraId="11FD6379" w14:textId="77777777" w:rsidR="00E376C4" w:rsidRPr="0071762D" w:rsidRDefault="00E376C4" w:rsidP="00E15AA0">
            <w:pPr>
              <w:jc w:val="center"/>
              <w:rPr>
                <w:rFonts w:cs="Arial"/>
                <w:b/>
                <w:bCs/>
                <w:color w:val="FFFFFF"/>
                <w:lang w:eastAsia="en-GB"/>
              </w:rPr>
            </w:pPr>
            <w:r w:rsidRPr="0071762D">
              <w:rPr>
                <w:rFonts w:cs="Arial"/>
                <w:b/>
                <w:bCs/>
                <w:color w:val="FFFFFF"/>
                <w:lang w:eastAsia="en-GB"/>
              </w:rPr>
              <w:t>M</w:t>
            </w:r>
          </w:p>
        </w:tc>
        <w:tc>
          <w:tcPr>
            <w:tcW w:w="520" w:type="dxa"/>
            <w:tcBorders>
              <w:top w:val="nil"/>
              <w:left w:val="nil"/>
              <w:bottom w:val="single" w:sz="8" w:space="0" w:color="auto"/>
              <w:right w:val="single" w:sz="8" w:space="0" w:color="auto"/>
            </w:tcBorders>
            <w:shd w:val="clear" w:color="auto" w:fill="C0C0C0"/>
            <w:vAlign w:val="bottom"/>
          </w:tcPr>
          <w:p w14:paraId="40DDCB9C" w14:textId="77777777" w:rsidR="00E376C4" w:rsidRPr="0071762D" w:rsidRDefault="00E376C4" w:rsidP="00E15AA0">
            <w:pPr>
              <w:jc w:val="center"/>
              <w:rPr>
                <w:rFonts w:cs="Arial"/>
                <w:b/>
                <w:bCs/>
                <w:color w:val="FFFFFF"/>
                <w:lang w:eastAsia="en-GB"/>
              </w:rPr>
            </w:pPr>
            <w:r w:rsidRPr="0071762D">
              <w:rPr>
                <w:rFonts w:cs="Arial"/>
                <w:b/>
                <w:bCs/>
                <w:color w:val="FFFFFF"/>
                <w:lang w:eastAsia="en-GB"/>
              </w:rPr>
              <w:t>L</w:t>
            </w:r>
          </w:p>
        </w:tc>
        <w:tc>
          <w:tcPr>
            <w:tcW w:w="460" w:type="dxa"/>
            <w:tcBorders>
              <w:top w:val="nil"/>
              <w:left w:val="nil"/>
              <w:bottom w:val="single" w:sz="8" w:space="0" w:color="auto"/>
              <w:right w:val="single" w:sz="8" w:space="0" w:color="auto"/>
            </w:tcBorders>
            <w:shd w:val="clear" w:color="auto" w:fill="C0C0C0"/>
            <w:vAlign w:val="bottom"/>
          </w:tcPr>
          <w:p w14:paraId="17D8F16C" w14:textId="77777777" w:rsidR="00E376C4" w:rsidRPr="0071762D" w:rsidRDefault="00E376C4" w:rsidP="00E15AA0">
            <w:pPr>
              <w:jc w:val="center"/>
              <w:rPr>
                <w:rFonts w:cs="Arial"/>
                <w:b/>
                <w:bCs/>
                <w:color w:val="FFFFFF"/>
                <w:lang w:eastAsia="en-GB"/>
              </w:rPr>
            </w:pPr>
            <w:r w:rsidRPr="0071762D">
              <w:rPr>
                <w:rFonts w:cs="Arial"/>
                <w:b/>
                <w:bCs/>
                <w:color w:val="FFFFFF"/>
                <w:lang w:eastAsia="en-GB"/>
              </w:rPr>
              <w:t>C</w:t>
            </w:r>
          </w:p>
        </w:tc>
        <w:tc>
          <w:tcPr>
            <w:tcW w:w="480" w:type="dxa"/>
            <w:tcBorders>
              <w:top w:val="nil"/>
              <w:left w:val="nil"/>
              <w:bottom w:val="single" w:sz="8" w:space="0" w:color="auto"/>
              <w:right w:val="single" w:sz="8" w:space="0" w:color="auto"/>
            </w:tcBorders>
            <w:shd w:val="clear" w:color="auto" w:fill="C0C0C0"/>
            <w:vAlign w:val="bottom"/>
          </w:tcPr>
          <w:p w14:paraId="78B2763A" w14:textId="77777777" w:rsidR="00E376C4" w:rsidRPr="0071762D" w:rsidRDefault="00E376C4" w:rsidP="00E15AA0">
            <w:pPr>
              <w:jc w:val="center"/>
              <w:rPr>
                <w:rFonts w:cs="Arial"/>
                <w:b/>
                <w:bCs/>
                <w:color w:val="FFFFFF"/>
                <w:lang w:eastAsia="en-GB"/>
              </w:rPr>
            </w:pPr>
            <w:r w:rsidRPr="0071762D">
              <w:rPr>
                <w:rFonts w:cs="Arial"/>
                <w:b/>
                <w:bCs/>
                <w:color w:val="FFFFFF"/>
                <w:lang w:eastAsia="en-GB"/>
              </w:rPr>
              <w:t>H</w:t>
            </w:r>
          </w:p>
        </w:tc>
        <w:tc>
          <w:tcPr>
            <w:tcW w:w="460" w:type="dxa"/>
            <w:tcBorders>
              <w:top w:val="nil"/>
              <w:left w:val="nil"/>
              <w:bottom w:val="single" w:sz="8" w:space="0" w:color="auto"/>
              <w:right w:val="single" w:sz="8" w:space="0" w:color="auto"/>
            </w:tcBorders>
            <w:shd w:val="clear" w:color="auto" w:fill="C0C0C0"/>
            <w:vAlign w:val="bottom"/>
          </w:tcPr>
          <w:p w14:paraId="716E7F89" w14:textId="77777777" w:rsidR="00E376C4" w:rsidRPr="0071762D" w:rsidRDefault="00E376C4" w:rsidP="00E15AA0">
            <w:pPr>
              <w:jc w:val="center"/>
              <w:rPr>
                <w:rFonts w:cs="Arial"/>
                <w:b/>
                <w:bCs/>
                <w:color w:val="FFFFFF"/>
                <w:lang w:eastAsia="en-GB"/>
              </w:rPr>
            </w:pPr>
            <w:r w:rsidRPr="0071762D">
              <w:rPr>
                <w:rFonts w:cs="Arial"/>
                <w:b/>
                <w:bCs/>
                <w:color w:val="FFFFFF"/>
                <w:lang w:eastAsia="en-GB"/>
              </w:rPr>
              <w:t>M</w:t>
            </w:r>
          </w:p>
        </w:tc>
        <w:tc>
          <w:tcPr>
            <w:tcW w:w="440" w:type="dxa"/>
            <w:tcBorders>
              <w:top w:val="nil"/>
              <w:left w:val="nil"/>
              <w:bottom w:val="single" w:sz="8" w:space="0" w:color="auto"/>
              <w:right w:val="single" w:sz="8" w:space="0" w:color="auto"/>
            </w:tcBorders>
            <w:shd w:val="clear" w:color="auto" w:fill="C0C0C0"/>
            <w:vAlign w:val="bottom"/>
          </w:tcPr>
          <w:p w14:paraId="371F9D56" w14:textId="77777777" w:rsidR="00E376C4" w:rsidRPr="0071762D" w:rsidRDefault="00E376C4" w:rsidP="00E15AA0">
            <w:pPr>
              <w:jc w:val="center"/>
              <w:rPr>
                <w:rFonts w:cs="Arial"/>
                <w:b/>
                <w:bCs/>
                <w:color w:val="FFFFFF"/>
                <w:lang w:eastAsia="en-GB"/>
              </w:rPr>
            </w:pPr>
            <w:r w:rsidRPr="0071762D">
              <w:rPr>
                <w:rFonts w:cs="Arial"/>
                <w:b/>
                <w:bCs/>
                <w:color w:val="FFFFFF"/>
                <w:lang w:eastAsia="en-GB"/>
              </w:rPr>
              <w:t>L</w:t>
            </w:r>
          </w:p>
        </w:tc>
        <w:tc>
          <w:tcPr>
            <w:tcW w:w="960" w:type="dxa"/>
            <w:vMerge/>
            <w:tcBorders>
              <w:top w:val="nil"/>
              <w:left w:val="single" w:sz="8" w:space="0" w:color="auto"/>
              <w:bottom w:val="single" w:sz="8" w:space="0" w:color="000000"/>
              <w:right w:val="single" w:sz="8" w:space="0" w:color="auto"/>
            </w:tcBorders>
            <w:vAlign w:val="center"/>
          </w:tcPr>
          <w:p w14:paraId="52E3BBBE" w14:textId="77777777" w:rsidR="00E376C4" w:rsidRPr="0071762D" w:rsidRDefault="00E376C4" w:rsidP="00E15AA0">
            <w:pPr>
              <w:rPr>
                <w:rFonts w:cs="Arial"/>
                <w:b/>
                <w:bCs/>
                <w:color w:val="FFFFFF"/>
                <w:lang w:eastAsia="en-GB"/>
              </w:rPr>
            </w:pPr>
          </w:p>
        </w:tc>
      </w:tr>
      <w:tr w:rsidR="00E376C4" w:rsidRPr="0071762D" w14:paraId="47AEBC15" w14:textId="77777777" w:rsidTr="00E15AA0">
        <w:trPr>
          <w:trHeight w:val="315"/>
        </w:trPr>
        <w:tc>
          <w:tcPr>
            <w:tcW w:w="1995" w:type="dxa"/>
            <w:tcBorders>
              <w:top w:val="nil"/>
              <w:left w:val="single" w:sz="8" w:space="0" w:color="auto"/>
              <w:bottom w:val="single" w:sz="8" w:space="0" w:color="auto"/>
              <w:right w:val="single" w:sz="8" w:space="0" w:color="auto"/>
            </w:tcBorders>
            <w:noWrap/>
            <w:vAlign w:val="bottom"/>
          </w:tcPr>
          <w:p w14:paraId="549E7F73" w14:textId="77777777" w:rsidR="00E376C4" w:rsidRPr="0071762D" w:rsidRDefault="00E376C4" w:rsidP="00E15AA0">
            <w:pPr>
              <w:rPr>
                <w:rFonts w:cs="Arial"/>
                <w:b/>
                <w:bCs/>
                <w:lang w:eastAsia="en-GB"/>
              </w:rPr>
            </w:pPr>
            <w:r w:rsidRPr="0071762D">
              <w:rPr>
                <w:rFonts w:cs="Arial"/>
                <w:b/>
                <w:bCs/>
                <w:lang w:eastAsia="en-GB"/>
              </w:rPr>
              <w:t>TPS Operations</w:t>
            </w:r>
          </w:p>
        </w:tc>
        <w:tc>
          <w:tcPr>
            <w:tcW w:w="498" w:type="dxa"/>
            <w:tcBorders>
              <w:top w:val="nil"/>
              <w:left w:val="nil"/>
              <w:bottom w:val="single" w:sz="8" w:space="0" w:color="auto"/>
              <w:right w:val="single" w:sz="8" w:space="0" w:color="auto"/>
            </w:tcBorders>
            <w:noWrap/>
            <w:vAlign w:val="bottom"/>
          </w:tcPr>
          <w:p w14:paraId="5F8C4607" w14:textId="77777777" w:rsidR="00E376C4" w:rsidRPr="0071762D" w:rsidRDefault="00E376C4" w:rsidP="00E15AA0">
            <w:pPr>
              <w:jc w:val="center"/>
              <w:rPr>
                <w:rFonts w:cs="Arial"/>
                <w:lang w:eastAsia="en-GB"/>
              </w:rPr>
            </w:pPr>
            <w:r w:rsidRPr="0071762D">
              <w:rPr>
                <w:rFonts w:cs="Arial"/>
                <w:lang w:eastAsia="en-GB"/>
              </w:rPr>
              <w:t>0</w:t>
            </w:r>
          </w:p>
        </w:tc>
        <w:tc>
          <w:tcPr>
            <w:tcW w:w="498" w:type="dxa"/>
            <w:tcBorders>
              <w:top w:val="nil"/>
              <w:left w:val="nil"/>
              <w:bottom w:val="single" w:sz="8" w:space="0" w:color="auto"/>
              <w:right w:val="single" w:sz="8" w:space="0" w:color="auto"/>
            </w:tcBorders>
            <w:noWrap/>
            <w:vAlign w:val="bottom"/>
          </w:tcPr>
          <w:p w14:paraId="23675FEC" w14:textId="77777777" w:rsidR="00E376C4" w:rsidRPr="0071762D" w:rsidRDefault="00E376C4" w:rsidP="00E15AA0">
            <w:pPr>
              <w:jc w:val="center"/>
              <w:rPr>
                <w:rFonts w:cs="Arial"/>
                <w:lang w:eastAsia="en-GB"/>
              </w:rPr>
            </w:pPr>
            <w:r>
              <w:rPr>
                <w:rFonts w:cs="Arial"/>
                <w:lang w:eastAsia="en-GB"/>
              </w:rPr>
              <w:t>1</w:t>
            </w:r>
          </w:p>
        </w:tc>
        <w:tc>
          <w:tcPr>
            <w:tcW w:w="540" w:type="dxa"/>
            <w:tcBorders>
              <w:top w:val="nil"/>
              <w:left w:val="nil"/>
              <w:bottom w:val="single" w:sz="8" w:space="0" w:color="auto"/>
              <w:right w:val="single" w:sz="8" w:space="0" w:color="auto"/>
            </w:tcBorders>
            <w:noWrap/>
            <w:vAlign w:val="bottom"/>
          </w:tcPr>
          <w:p w14:paraId="4FD7B15B" w14:textId="77777777" w:rsidR="00E376C4" w:rsidRPr="0071762D" w:rsidRDefault="00E376C4" w:rsidP="00E15AA0">
            <w:pPr>
              <w:jc w:val="center"/>
              <w:rPr>
                <w:rFonts w:cs="Arial"/>
                <w:lang w:eastAsia="en-GB"/>
              </w:rPr>
            </w:pPr>
            <w:r>
              <w:rPr>
                <w:rFonts w:cs="Arial"/>
                <w:lang w:eastAsia="en-GB"/>
              </w:rPr>
              <w:t>6</w:t>
            </w:r>
          </w:p>
        </w:tc>
        <w:tc>
          <w:tcPr>
            <w:tcW w:w="445" w:type="dxa"/>
            <w:tcBorders>
              <w:top w:val="nil"/>
              <w:left w:val="nil"/>
              <w:bottom w:val="single" w:sz="8" w:space="0" w:color="auto"/>
              <w:right w:val="single" w:sz="8" w:space="0" w:color="auto"/>
            </w:tcBorders>
            <w:noWrap/>
            <w:vAlign w:val="bottom"/>
          </w:tcPr>
          <w:p w14:paraId="20BBDAFC" w14:textId="77777777" w:rsidR="00E376C4" w:rsidRPr="0071762D" w:rsidRDefault="00E376C4" w:rsidP="00E15AA0">
            <w:pPr>
              <w:jc w:val="center"/>
              <w:rPr>
                <w:rFonts w:cs="Arial"/>
                <w:lang w:eastAsia="en-GB"/>
              </w:rPr>
            </w:pPr>
            <w:r>
              <w:rPr>
                <w:rFonts w:cs="Arial"/>
                <w:lang w:eastAsia="en-GB"/>
              </w:rPr>
              <w:t>4</w:t>
            </w:r>
          </w:p>
        </w:tc>
        <w:tc>
          <w:tcPr>
            <w:tcW w:w="440" w:type="dxa"/>
            <w:tcBorders>
              <w:top w:val="nil"/>
              <w:left w:val="nil"/>
              <w:bottom w:val="single" w:sz="8" w:space="0" w:color="auto"/>
              <w:right w:val="single" w:sz="8" w:space="0" w:color="auto"/>
            </w:tcBorders>
            <w:shd w:val="clear" w:color="auto" w:fill="00FF00"/>
            <w:noWrap/>
            <w:vAlign w:val="bottom"/>
          </w:tcPr>
          <w:p w14:paraId="61CCB0BD" w14:textId="77777777" w:rsidR="00E376C4" w:rsidRPr="0071762D" w:rsidRDefault="00E376C4" w:rsidP="00E15AA0">
            <w:pPr>
              <w:jc w:val="center"/>
              <w:rPr>
                <w:rFonts w:cs="Arial"/>
                <w:lang w:eastAsia="en-GB"/>
              </w:rPr>
            </w:pPr>
            <w:r w:rsidRPr="0071762D">
              <w:rPr>
                <w:rFonts w:cs="Arial"/>
                <w:lang w:eastAsia="en-GB"/>
              </w:rPr>
              <w:t>0</w:t>
            </w:r>
          </w:p>
        </w:tc>
        <w:tc>
          <w:tcPr>
            <w:tcW w:w="480" w:type="dxa"/>
            <w:tcBorders>
              <w:top w:val="nil"/>
              <w:left w:val="nil"/>
              <w:bottom w:val="single" w:sz="8" w:space="0" w:color="auto"/>
              <w:right w:val="single" w:sz="8" w:space="0" w:color="auto"/>
            </w:tcBorders>
            <w:shd w:val="clear" w:color="auto" w:fill="00FF00"/>
            <w:noWrap/>
            <w:vAlign w:val="bottom"/>
          </w:tcPr>
          <w:p w14:paraId="04A52F89" w14:textId="77777777" w:rsidR="00E376C4" w:rsidRPr="0071762D" w:rsidRDefault="00E376C4" w:rsidP="00E15AA0">
            <w:pPr>
              <w:jc w:val="center"/>
              <w:rPr>
                <w:rFonts w:cs="Arial"/>
                <w:lang w:eastAsia="en-GB"/>
              </w:rPr>
            </w:pPr>
            <w:r w:rsidRPr="0071762D">
              <w:rPr>
                <w:rFonts w:cs="Arial"/>
                <w:lang w:eastAsia="en-GB"/>
              </w:rPr>
              <w:t>0</w:t>
            </w:r>
          </w:p>
        </w:tc>
        <w:tc>
          <w:tcPr>
            <w:tcW w:w="460" w:type="dxa"/>
            <w:tcBorders>
              <w:top w:val="nil"/>
              <w:left w:val="nil"/>
              <w:bottom w:val="single" w:sz="8" w:space="0" w:color="auto"/>
              <w:right w:val="single" w:sz="8" w:space="0" w:color="auto"/>
            </w:tcBorders>
            <w:shd w:val="clear" w:color="auto" w:fill="00FF00"/>
            <w:noWrap/>
            <w:vAlign w:val="bottom"/>
          </w:tcPr>
          <w:p w14:paraId="501D4B53" w14:textId="77777777" w:rsidR="00E376C4" w:rsidRPr="0071762D" w:rsidRDefault="00E376C4" w:rsidP="00E15AA0">
            <w:pPr>
              <w:jc w:val="center"/>
              <w:rPr>
                <w:rFonts w:cs="Arial"/>
                <w:lang w:eastAsia="en-GB"/>
              </w:rPr>
            </w:pPr>
            <w:r>
              <w:rPr>
                <w:rFonts w:cs="Arial"/>
                <w:lang w:eastAsia="en-GB"/>
              </w:rPr>
              <w:t>0</w:t>
            </w:r>
          </w:p>
        </w:tc>
        <w:tc>
          <w:tcPr>
            <w:tcW w:w="460" w:type="dxa"/>
            <w:tcBorders>
              <w:top w:val="nil"/>
              <w:left w:val="nil"/>
              <w:bottom w:val="single" w:sz="8" w:space="0" w:color="auto"/>
              <w:right w:val="single" w:sz="8" w:space="0" w:color="auto"/>
            </w:tcBorders>
            <w:shd w:val="clear" w:color="auto" w:fill="00FF00"/>
            <w:noWrap/>
            <w:vAlign w:val="bottom"/>
          </w:tcPr>
          <w:p w14:paraId="0EDF7D9B" w14:textId="77777777" w:rsidR="00E376C4" w:rsidRPr="0071762D" w:rsidRDefault="00E376C4" w:rsidP="00E15AA0">
            <w:pPr>
              <w:jc w:val="center"/>
              <w:rPr>
                <w:rFonts w:cs="Arial"/>
                <w:lang w:eastAsia="en-GB"/>
              </w:rPr>
            </w:pPr>
            <w:r>
              <w:rPr>
                <w:rFonts w:cs="Arial"/>
                <w:lang w:eastAsia="en-GB"/>
              </w:rPr>
              <w:t>1</w:t>
            </w:r>
          </w:p>
        </w:tc>
        <w:tc>
          <w:tcPr>
            <w:tcW w:w="400" w:type="dxa"/>
            <w:tcBorders>
              <w:top w:val="nil"/>
              <w:left w:val="nil"/>
              <w:bottom w:val="single" w:sz="8" w:space="0" w:color="auto"/>
              <w:right w:val="single" w:sz="8" w:space="0" w:color="auto"/>
            </w:tcBorders>
            <w:shd w:val="clear" w:color="auto" w:fill="FFCC00"/>
            <w:vAlign w:val="bottom"/>
          </w:tcPr>
          <w:p w14:paraId="2EE25D9B" w14:textId="77777777" w:rsidR="00E376C4" w:rsidRPr="0071762D" w:rsidRDefault="00E376C4" w:rsidP="00E15AA0">
            <w:pPr>
              <w:jc w:val="center"/>
              <w:rPr>
                <w:rFonts w:cs="Arial"/>
                <w:lang w:eastAsia="en-GB"/>
              </w:rPr>
            </w:pPr>
            <w:r w:rsidRPr="0071762D">
              <w:rPr>
                <w:rFonts w:cs="Arial"/>
                <w:lang w:eastAsia="en-GB"/>
              </w:rPr>
              <w:t>0</w:t>
            </w:r>
          </w:p>
        </w:tc>
        <w:tc>
          <w:tcPr>
            <w:tcW w:w="460" w:type="dxa"/>
            <w:tcBorders>
              <w:top w:val="nil"/>
              <w:left w:val="nil"/>
              <w:bottom w:val="single" w:sz="8" w:space="0" w:color="auto"/>
              <w:right w:val="single" w:sz="8" w:space="0" w:color="auto"/>
            </w:tcBorders>
            <w:shd w:val="clear" w:color="auto" w:fill="FFCC00"/>
            <w:vAlign w:val="bottom"/>
          </w:tcPr>
          <w:p w14:paraId="3D2DC2EC" w14:textId="77777777" w:rsidR="00E376C4" w:rsidRPr="0071762D" w:rsidRDefault="00E376C4" w:rsidP="00E15AA0">
            <w:pPr>
              <w:jc w:val="center"/>
              <w:rPr>
                <w:rFonts w:cs="Arial"/>
                <w:lang w:eastAsia="en-GB"/>
              </w:rPr>
            </w:pPr>
            <w:r w:rsidRPr="0071762D">
              <w:rPr>
                <w:rFonts w:cs="Arial"/>
                <w:lang w:eastAsia="en-GB"/>
              </w:rPr>
              <w:t>0</w:t>
            </w:r>
          </w:p>
        </w:tc>
        <w:tc>
          <w:tcPr>
            <w:tcW w:w="420" w:type="dxa"/>
            <w:tcBorders>
              <w:top w:val="nil"/>
              <w:left w:val="nil"/>
              <w:bottom w:val="single" w:sz="8" w:space="0" w:color="auto"/>
              <w:right w:val="single" w:sz="8" w:space="0" w:color="auto"/>
            </w:tcBorders>
            <w:shd w:val="clear" w:color="auto" w:fill="FFCC00"/>
            <w:vAlign w:val="bottom"/>
          </w:tcPr>
          <w:p w14:paraId="1F9BB9BE" w14:textId="77777777" w:rsidR="00E376C4" w:rsidRPr="0071762D" w:rsidRDefault="00E376C4" w:rsidP="00E15AA0">
            <w:pPr>
              <w:jc w:val="center"/>
              <w:rPr>
                <w:rFonts w:cs="Arial"/>
                <w:lang w:eastAsia="en-GB"/>
              </w:rPr>
            </w:pPr>
            <w:r>
              <w:rPr>
                <w:rFonts w:cs="Arial"/>
                <w:lang w:eastAsia="en-GB"/>
              </w:rPr>
              <w:t>0</w:t>
            </w:r>
          </w:p>
        </w:tc>
        <w:tc>
          <w:tcPr>
            <w:tcW w:w="520" w:type="dxa"/>
            <w:tcBorders>
              <w:top w:val="nil"/>
              <w:left w:val="nil"/>
              <w:bottom w:val="single" w:sz="8" w:space="0" w:color="auto"/>
              <w:right w:val="single" w:sz="8" w:space="0" w:color="auto"/>
            </w:tcBorders>
            <w:shd w:val="clear" w:color="auto" w:fill="FFCC00"/>
            <w:vAlign w:val="bottom"/>
          </w:tcPr>
          <w:p w14:paraId="343177FB" w14:textId="77777777" w:rsidR="00E376C4" w:rsidRPr="0071762D" w:rsidRDefault="00E376C4" w:rsidP="00E15AA0">
            <w:pPr>
              <w:jc w:val="center"/>
              <w:rPr>
                <w:rFonts w:cs="Arial"/>
                <w:lang w:eastAsia="en-GB"/>
              </w:rPr>
            </w:pPr>
            <w:r>
              <w:rPr>
                <w:rFonts w:cs="Arial"/>
                <w:lang w:eastAsia="en-GB"/>
              </w:rPr>
              <w:t>0</w:t>
            </w:r>
          </w:p>
        </w:tc>
        <w:tc>
          <w:tcPr>
            <w:tcW w:w="460" w:type="dxa"/>
            <w:tcBorders>
              <w:top w:val="nil"/>
              <w:left w:val="nil"/>
              <w:bottom w:val="single" w:sz="8" w:space="0" w:color="auto"/>
              <w:right w:val="single" w:sz="8" w:space="0" w:color="auto"/>
            </w:tcBorders>
            <w:shd w:val="clear" w:color="auto" w:fill="FF0000"/>
            <w:vAlign w:val="bottom"/>
          </w:tcPr>
          <w:p w14:paraId="68D4965F" w14:textId="77777777" w:rsidR="00E376C4" w:rsidRPr="0071762D" w:rsidRDefault="00E376C4" w:rsidP="00E15AA0">
            <w:pPr>
              <w:jc w:val="center"/>
              <w:rPr>
                <w:rFonts w:cs="Arial"/>
                <w:lang w:eastAsia="en-GB"/>
              </w:rPr>
            </w:pPr>
            <w:r w:rsidRPr="0071762D">
              <w:rPr>
                <w:rFonts w:cs="Arial"/>
                <w:lang w:eastAsia="en-GB"/>
              </w:rPr>
              <w:t>0</w:t>
            </w:r>
          </w:p>
        </w:tc>
        <w:tc>
          <w:tcPr>
            <w:tcW w:w="480" w:type="dxa"/>
            <w:tcBorders>
              <w:top w:val="nil"/>
              <w:left w:val="nil"/>
              <w:bottom w:val="single" w:sz="8" w:space="0" w:color="auto"/>
              <w:right w:val="single" w:sz="8" w:space="0" w:color="auto"/>
            </w:tcBorders>
            <w:shd w:val="clear" w:color="auto" w:fill="FF0000"/>
            <w:vAlign w:val="bottom"/>
          </w:tcPr>
          <w:p w14:paraId="3E99B193" w14:textId="77777777" w:rsidR="00E376C4" w:rsidRPr="0071762D" w:rsidRDefault="00E376C4" w:rsidP="00E15AA0">
            <w:pPr>
              <w:jc w:val="center"/>
              <w:rPr>
                <w:rFonts w:cs="Arial"/>
                <w:lang w:eastAsia="en-GB"/>
              </w:rPr>
            </w:pPr>
            <w:r w:rsidRPr="0071762D">
              <w:rPr>
                <w:rFonts w:cs="Arial"/>
                <w:lang w:eastAsia="en-GB"/>
              </w:rPr>
              <w:t>0</w:t>
            </w:r>
          </w:p>
        </w:tc>
        <w:tc>
          <w:tcPr>
            <w:tcW w:w="460" w:type="dxa"/>
            <w:tcBorders>
              <w:top w:val="nil"/>
              <w:left w:val="nil"/>
              <w:bottom w:val="single" w:sz="8" w:space="0" w:color="auto"/>
              <w:right w:val="single" w:sz="8" w:space="0" w:color="auto"/>
            </w:tcBorders>
            <w:shd w:val="clear" w:color="auto" w:fill="FF0000"/>
            <w:vAlign w:val="bottom"/>
          </w:tcPr>
          <w:p w14:paraId="293E1FEF" w14:textId="77777777" w:rsidR="00E376C4" w:rsidRPr="0071762D" w:rsidRDefault="00E376C4" w:rsidP="00E15AA0">
            <w:pPr>
              <w:jc w:val="center"/>
              <w:rPr>
                <w:rFonts w:cs="Arial"/>
                <w:lang w:eastAsia="en-GB"/>
              </w:rPr>
            </w:pPr>
            <w:r>
              <w:rPr>
                <w:rFonts w:cs="Arial"/>
                <w:lang w:eastAsia="en-GB"/>
              </w:rPr>
              <w:t>0</w:t>
            </w:r>
          </w:p>
        </w:tc>
        <w:tc>
          <w:tcPr>
            <w:tcW w:w="440" w:type="dxa"/>
            <w:tcBorders>
              <w:top w:val="nil"/>
              <w:left w:val="nil"/>
              <w:bottom w:val="single" w:sz="8" w:space="0" w:color="auto"/>
              <w:right w:val="single" w:sz="8" w:space="0" w:color="auto"/>
            </w:tcBorders>
            <w:shd w:val="clear" w:color="auto" w:fill="FF0000"/>
            <w:vAlign w:val="bottom"/>
          </w:tcPr>
          <w:p w14:paraId="4F5BCAE5" w14:textId="77777777" w:rsidR="00E376C4" w:rsidRPr="0071762D" w:rsidRDefault="00E376C4" w:rsidP="00E15AA0">
            <w:pPr>
              <w:jc w:val="center"/>
              <w:rPr>
                <w:rFonts w:cs="Arial"/>
                <w:lang w:eastAsia="en-GB"/>
              </w:rPr>
            </w:pPr>
            <w:r>
              <w:rPr>
                <w:rFonts w:cs="Arial"/>
                <w:lang w:eastAsia="en-GB"/>
              </w:rPr>
              <w:t>0</w:t>
            </w:r>
          </w:p>
        </w:tc>
        <w:tc>
          <w:tcPr>
            <w:tcW w:w="960" w:type="dxa"/>
            <w:tcBorders>
              <w:top w:val="nil"/>
              <w:left w:val="nil"/>
              <w:bottom w:val="single" w:sz="8" w:space="0" w:color="auto"/>
              <w:right w:val="single" w:sz="8" w:space="0" w:color="auto"/>
            </w:tcBorders>
            <w:vAlign w:val="bottom"/>
          </w:tcPr>
          <w:p w14:paraId="0F83A071" w14:textId="77777777" w:rsidR="00E376C4" w:rsidRPr="00B60795" w:rsidRDefault="00E376C4" w:rsidP="00E15AA0">
            <w:pPr>
              <w:jc w:val="center"/>
              <w:rPr>
                <w:color w:val="404040"/>
              </w:rPr>
            </w:pPr>
            <w:r>
              <w:rPr>
                <w:rFonts w:ascii="Wingdings 3" w:hAnsi="Wingdings 3" w:cs="Arial"/>
                <w:b/>
                <w:bCs/>
                <w:lang w:eastAsia="en-GB"/>
              </w:rPr>
              <w:t></w:t>
            </w:r>
          </w:p>
        </w:tc>
      </w:tr>
    </w:tbl>
    <w:p w14:paraId="157251D7" w14:textId="77777777" w:rsidR="00E376C4" w:rsidRDefault="00E376C4" w:rsidP="00E376C4">
      <w:pPr>
        <w:widowControl/>
        <w:overflowPunct/>
        <w:autoSpaceDE/>
        <w:autoSpaceDN/>
        <w:adjustRightInd/>
        <w:ind w:left="15"/>
        <w:jc w:val="center"/>
        <w:textAlignment w:val="auto"/>
        <w:rPr>
          <w:b/>
          <w:lang w:eastAsia="en-GB"/>
        </w:rPr>
      </w:pPr>
    </w:p>
    <w:p w14:paraId="5DBA6145" w14:textId="77777777" w:rsidR="00E376C4" w:rsidRDefault="00E376C4" w:rsidP="00E376C4">
      <w:pPr>
        <w:widowControl/>
        <w:overflowPunct/>
        <w:autoSpaceDE/>
        <w:autoSpaceDN/>
        <w:adjustRightInd/>
        <w:ind w:left="15"/>
        <w:jc w:val="center"/>
        <w:textAlignment w:val="auto"/>
        <w:rPr>
          <w:b/>
          <w:lang w:eastAsia="en-GB"/>
        </w:rPr>
      </w:pPr>
    </w:p>
    <w:p w14:paraId="52328ECC" w14:textId="77777777" w:rsidR="00E376C4" w:rsidRDefault="00E376C4" w:rsidP="00E376C4">
      <w:pPr>
        <w:widowControl/>
        <w:overflowPunct/>
        <w:autoSpaceDE/>
        <w:autoSpaceDN/>
        <w:adjustRightInd/>
        <w:ind w:left="15"/>
        <w:textAlignment w:val="auto"/>
        <w:rPr>
          <w:rFonts w:asciiTheme="minorHAnsi" w:hAnsiTheme="minorHAnsi" w:cstheme="minorHAnsi"/>
          <w:sz w:val="22"/>
          <w:szCs w:val="22"/>
          <w:lang w:eastAsia="en-GB"/>
        </w:rPr>
      </w:pPr>
      <w:r w:rsidRPr="000D3E9C">
        <w:rPr>
          <w:rFonts w:asciiTheme="minorHAnsi" w:hAnsiTheme="minorHAnsi" w:cstheme="minorHAnsi"/>
          <w:sz w:val="22"/>
          <w:szCs w:val="22"/>
          <w:lang w:val="en-US" w:eastAsia="en-GB"/>
        </w:rPr>
        <w:t xml:space="preserve">There are no overdue issues. </w:t>
      </w:r>
      <w:r w:rsidRPr="000D3E9C">
        <w:rPr>
          <w:rFonts w:asciiTheme="minorHAnsi" w:hAnsiTheme="minorHAnsi" w:cstheme="minorHAnsi"/>
          <w:sz w:val="22"/>
          <w:szCs w:val="22"/>
          <w:lang w:eastAsia="en-GB"/>
        </w:rPr>
        <w:t>Capita management continue to prioritise the closure of outstanding issues, and monthly challenge sessions are continuing to be held between GIA and Capita management to assist with this focus.</w:t>
      </w:r>
    </w:p>
    <w:p w14:paraId="789D162D" w14:textId="77777777" w:rsidR="00E376C4" w:rsidRDefault="00E376C4" w:rsidP="00E376C4">
      <w:pPr>
        <w:widowControl/>
        <w:overflowPunct/>
        <w:autoSpaceDE/>
        <w:autoSpaceDN/>
        <w:adjustRightInd/>
        <w:ind w:left="15"/>
        <w:textAlignment w:val="auto"/>
        <w:rPr>
          <w:rFonts w:asciiTheme="minorHAnsi" w:hAnsiTheme="minorHAnsi" w:cstheme="minorHAnsi"/>
          <w:sz w:val="22"/>
          <w:szCs w:val="22"/>
          <w:lang w:eastAsia="en-GB"/>
        </w:rPr>
      </w:pPr>
    </w:p>
    <w:p w14:paraId="3D68B608" w14:textId="77777777" w:rsidR="00E376C4" w:rsidRDefault="00E376C4" w:rsidP="00E376C4">
      <w:pPr>
        <w:rPr>
          <w:rFonts w:asciiTheme="minorHAnsi" w:hAnsiTheme="minorHAnsi" w:cstheme="minorHAnsi"/>
          <w:sz w:val="22"/>
          <w:szCs w:val="22"/>
          <w:lang w:val="en-US"/>
        </w:rPr>
      </w:pPr>
      <w:r w:rsidRPr="006911C1">
        <w:rPr>
          <w:rFonts w:asciiTheme="minorHAnsi" w:hAnsiTheme="minorHAnsi" w:cstheme="minorHAnsi"/>
          <w:sz w:val="22"/>
          <w:szCs w:val="22"/>
          <w:lang w:val="en-US"/>
        </w:rPr>
        <w:t xml:space="preserve">There </w:t>
      </w:r>
      <w:r>
        <w:rPr>
          <w:rFonts w:asciiTheme="minorHAnsi" w:hAnsiTheme="minorHAnsi" w:cstheme="minorHAnsi"/>
          <w:sz w:val="22"/>
          <w:szCs w:val="22"/>
          <w:lang w:val="en-US"/>
        </w:rPr>
        <w:t>was one</w:t>
      </w:r>
      <w:r w:rsidRPr="006911C1">
        <w:rPr>
          <w:rFonts w:asciiTheme="minorHAnsi" w:hAnsiTheme="minorHAnsi" w:cstheme="minorHAnsi"/>
          <w:sz w:val="22"/>
          <w:szCs w:val="22"/>
          <w:lang w:val="en-US"/>
        </w:rPr>
        <w:t xml:space="preserve"> overdue rated issues in the 1-30 day category</w:t>
      </w:r>
      <w:r>
        <w:rPr>
          <w:rFonts w:asciiTheme="minorHAnsi" w:hAnsiTheme="minorHAnsi" w:cstheme="minorHAnsi"/>
          <w:sz w:val="22"/>
          <w:szCs w:val="22"/>
          <w:lang w:val="en-US"/>
        </w:rPr>
        <w:t xml:space="preserve"> reported in the April data:</w:t>
      </w:r>
      <w:r w:rsidRPr="006911C1">
        <w:rPr>
          <w:rFonts w:asciiTheme="minorHAnsi" w:hAnsiTheme="minorHAnsi" w:cstheme="minorHAnsi"/>
          <w:sz w:val="22"/>
          <w:szCs w:val="22"/>
          <w:lang w:val="en-US"/>
        </w:rPr>
        <w:t xml:space="preserve"> </w:t>
      </w:r>
    </w:p>
    <w:p w14:paraId="751C2A25" w14:textId="77777777" w:rsidR="00E376C4" w:rsidRPr="006911C1" w:rsidRDefault="00E376C4" w:rsidP="00E376C4">
      <w:pPr>
        <w:rPr>
          <w:rFonts w:asciiTheme="minorHAnsi" w:hAnsiTheme="minorHAnsi" w:cstheme="minorHAnsi"/>
          <w:sz w:val="22"/>
          <w:szCs w:val="22"/>
          <w:lang w:val="en-US"/>
        </w:rPr>
      </w:pPr>
    </w:p>
    <w:p w14:paraId="5489B418" w14:textId="77777777" w:rsidR="00E376C4" w:rsidRPr="006911C1" w:rsidRDefault="00E376C4" w:rsidP="00E376C4">
      <w:pPr>
        <w:numPr>
          <w:ilvl w:val="0"/>
          <w:numId w:val="15"/>
        </w:numPr>
        <w:rPr>
          <w:rFonts w:asciiTheme="minorHAnsi" w:hAnsiTheme="minorHAnsi" w:cstheme="minorHAnsi"/>
          <w:sz w:val="22"/>
          <w:szCs w:val="22"/>
          <w:lang w:val="en-US"/>
        </w:rPr>
      </w:pPr>
      <w:r w:rsidRPr="006911C1">
        <w:rPr>
          <w:rFonts w:asciiTheme="minorHAnsi" w:hAnsiTheme="minorHAnsi" w:cstheme="minorHAnsi"/>
          <w:b/>
          <w:sz w:val="22"/>
          <w:szCs w:val="22"/>
          <w:lang w:val="en-US"/>
        </w:rPr>
        <w:lastRenderedPageBreak/>
        <w:t>Fraud Data Mining – (Finding 1 rated ‘Medium’ due 20/06/15)</w:t>
      </w:r>
      <w:r w:rsidRPr="006911C1">
        <w:rPr>
          <w:rFonts w:asciiTheme="minorHAnsi" w:hAnsiTheme="minorHAnsi" w:cstheme="minorHAnsi"/>
          <w:sz w:val="22"/>
          <w:szCs w:val="22"/>
          <w:lang w:val="en-US"/>
        </w:rPr>
        <w:t xml:space="preserve">: Processes for the recording of Identity &amp; Verification checks should be reviewed and updated to ensure that the appropriate evidence is retained for all standing data changes and member retirement applications. </w:t>
      </w:r>
    </w:p>
    <w:p w14:paraId="41CED0B7" w14:textId="77777777" w:rsidR="00E376C4" w:rsidRDefault="00E376C4" w:rsidP="00E376C4">
      <w:pPr>
        <w:ind w:left="709"/>
        <w:rPr>
          <w:rFonts w:asciiTheme="minorHAnsi" w:hAnsiTheme="minorHAnsi" w:cstheme="minorHAnsi"/>
          <w:sz w:val="22"/>
          <w:szCs w:val="22"/>
          <w:lang w:val="en-US"/>
        </w:rPr>
      </w:pPr>
      <w:r w:rsidRPr="006911C1">
        <w:rPr>
          <w:rFonts w:asciiTheme="minorHAnsi" w:hAnsiTheme="minorHAnsi" w:cstheme="minorHAnsi"/>
          <w:sz w:val="22"/>
          <w:szCs w:val="22"/>
          <w:lang w:val="en-US"/>
        </w:rPr>
        <w:t xml:space="preserve">An impact assessment of the solution available to trace members is currently being undertaken in addition to the agreement of an implementation timescale for alternative call logging system. </w:t>
      </w:r>
      <w:r>
        <w:rPr>
          <w:rFonts w:asciiTheme="minorHAnsi" w:hAnsiTheme="minorHAnsi" w:cstheme="minorHAnsi"/>
          <w:sz w:val="22"/>
          <w:szCs w:val="22"/>
          <w:lang w:val="en-US"/>
        </w:rPr>
        <w:t xml:space="preserve"> </w:t>
      </w:r>
    </w:p>
    <w:p w14:paraId="3629C7B6" w14:textId="77777777" w:rsidR="00E376C4" w:rsidRDefault="00E376C4" w:rsidP="00E376C4">
      <w:pPr>
        <w:ind w:left="709"/>
        <w:rPr>
          <w:rFonts w:asciiTheme="minorHAnsi" w:hAnsiTheme="minorHAnsi" w:cstheme="minorHAnsi"/>
          <w:sz w:val="22"/>
          <w:szCs w:val="22"/>
          <w:lang w:val="en-US"/>
        </w:rPr>
      </w:pPr>
    </w:p>
    <w:p w14:paraId="7BDF52AD" w14:textId="77777777" w:rsidR="00E376C4" w:rsidRDefault="00E376C4" w:rsidP="00E376C4">
      <w:pPr>
        <w:ind w:left="709" w:hanging="709"/>
        <w:rPr>
          <w:rFonts w:asciiTheme="minorHAnsi" w:hAnsiTheme="minorHAnsi" w:cstheme="minorHAnsi"/>
          <w:sz w:val="22"/>
          <w:szCs w:val="22"/>
          <w:lang w:val="en-US"/>
        </w:rPr>
      </w:pPr>
      <w:r w:rsidRPr="006911C1">
        <w:rPr>
          <w:rFonts w:asciiTheme="minorHAnsi" w:hAnsiTheme="minorHAnsi" w:cstheme="minorHAnsi"/>
          <w:sz w:val="22"/>
          <w:szCs w:val="22"/>
          <w:lang w:val="en-US"/>
        </w:rPr>
        <w:t xml:space="preserve"> </w:t>
      </w:r>
      <w:r>
        <w:rPr>
          <w:rFonts w:asciiTheme="minorHAnsi" w:hAnsiTheme="minorHAnsi" w:cstheme="minorHAnsi"/>
          <w:sz w:val="22"/>
          <w:szCs w:val="22"/>
          <w:lang w:val="en-US"/>
        </w:rPr>
        <w:t>This outstanding action was closed with the following activity:</w:t>
      </w:r>
    </w:p>
    <w:p w14:paraId="4173B494" w14:textId="77777777" w:rsidR="00E376C4" w:rsidRDefault="00E376C4" w:rsidP="00E376C4">
      <w:pPr>
        <w:ind w:left="709" w:hanging="709"/>
        <w:rPr>
          <w:rFonts w:asciiTheme="minorHAnsi" w:hAnsiTheme="minorHAnsi" w:cstheme="minorHAnsi"/>
          <w:sz w:val="22"/>
          <w:szCs w:val="22"/>
          <w:lang w:val="en-US"/>
        </w:rPr>
      </w:pPr>
    </w:p>
    <w:p w14:paraId="0EE363AA" w14:textId="77777777" w:rsidR="00E376C4" w:rsidRDefault="00E376C4" w:rsidP="00E376C4">
      <w:pPr>
        <w:numPr>
          <w:ilvl w:val="0"/>
          <w:numId w:val="21"/>
        </w:numPr>
        <w:rPr>
          <w:rFonts w:asciiTheme="minorHAnsi" w:hAnsiTheme="minorHAnsi" w:cstheme="minorHAnsi"/>
          <w:sz w:val="22"/>
          <w:szCs w:val="22"/>
        </w:rPr>
      </w:pPr>
      <w:r w:rsidRPr="00053FD5">
        <w:rPr>
          <w:rFonts w:asciiTheme="minorHAnsi" w:hAnsiTheme="minorHAnsi" w:cstheme="minorHAnsi"/>
          <w:b/>
          <w:bCs/>
          <w:sz w:val="22"/>
          <w:szCs w:val="22"/>
        </w:rPr>
        <w:t xml:space="preserve">Task: </w:t>
      </w:r>
      <w:r w:rsidRPr="00053FD5">
        <w:rPr>
          <w:rFonts w:asciiTheme="minorHAnsi" w:hAnsiTheme="minorHAnsi" w:cstheme="minorHAnsi"/>
          <w:sz w:val="22"/>
          <w:szCs w:val="22"/>
        </w:rPr>
        <w:t>Capita management to review and update the procedures for the update of member’s bank details performed by the Payroll Team to ensure I</w:t>
      </w:r>
      <w:r>
        <w:rPr>
          <w:rFonts w:asciiTheme="minorHAnsi" w:hAnsiTheme="minorHAnsi" w:cstheme="minorHAnsi"/>
          <w:sz w:val="22"/>
          <w:szCs w:val="22"/>
        </w:rPr>
        <w:t>dentity &amp; Verification</w:t>
      </w:r>
      <w:r w:rsidRPr="00053FD5">
        <w:rPr>
          <w:rFonts w:asciiTheme="minorHAnsi" w:hAnsiTheme="minorHAnsi" w:cstheme="minorHAnsi"/>
          <w:sz w:val="22"/>
          <w:szCs w:val="22"/>
        </w:rPr>
        <w:t xml:space="preserve"> checks are performed and recorded. </w:t>
      </w:r>
      <w:r w:rsidRPr="00053FD5">
        <w:rPr>
          <w:rFonts w:asciiTheme="minorHAnsi" w:hAnsiTheme="minorHAnsi" w:cstheme="minorHAnsi"/>
          <w:b/>
          <w:bCs/>
          <w:sz w:val="22"/>
          <w:szCs w:val="22"/>
        </w:rPr>
        <w:t xml:space="preserve">Action taken: </w:t>
      </w:r>
      <w:r w:rsidRPr="00053FD5">
        <w:rPr>
          <w:rFonts w:asciiTheme="minorHAnsi" w:hAnsiTheme="minorHAnsi" w:cstheme="minorHAnsi"/>
          <w:sz w:val="22"/>
          <w:szCs w:val="22"/>
        </w:rPr>
        <w:t xml:space="preserve">A mandatory note has been added to cases to record the IDV checks obtained. </w:t>
      </w:r>
    </w:p>
    <w:p w14:paraId="447338B0" w14:textId="77777777" w:rsidR="00E376C4" w:rsidRPr="00053FD5" w:rsidRDefault="00E376C4" w:rsidP="00E376C4">
      <w:pPr>
        <w:numPr>
          <w:ilvl w:val="0"/>
          <w:numId w:val="21"/>
        </w:numPr>
        <w:rPr>
          <w:rFonts w:asciiTheme="minorHAnsi" w:hAnsiTheme="minorHAnsi" w:cstheme="minorHAnsi"/>
          <w:b/>
          <w:bCs/>
          <w:sz w:val="22"/>
          <w:szCs w:val="22"/>
        </w:rPr>
      </w:pPr>
      <w:r w:rsidRPr="00053FD5">
        <w:rPr>
          <w:rFonts w:asciiTheme="minorHAnsi" w:hAnsiTheme="minorHAnsi" w:cstheme="minorHAnsi"/>
          <w:b/>
          <w:bCs/>
          <w:sz w:val="22"/>
          <w:szCs w:val="22"/>
        </w:rPr>
        <w:t>Task:</w:t>
      </w:r>
      <w:r w:rsidRPr="00053FD5">
        <w:rPr>
          <w:rFonts w:asciiTheme="minorHAnsi" w:hAnsiTheme="minorHAnsi" w:cstheme="minorHAnsi"/>
          <w:sz w:val="22"/>
          <w:szCs w:val="22"/>
        </w:rPr>
        <w:t xml:space="preserve"> Capita management to complete an impact assessment of the solution available to trace members. </w:t>
      </w:r>
      <w:r w:rsidRPr="00053FD5">
        <w:rPr>
          <w:rFonts w:asciiTheme="minorHAnsi" w:hAnsiTheme="minorHAnsi" w:cstheme="minorHAnsi"/>
          <w:b/>
          <w:bCs/>
          <w:sz w:val="22"/>
          <w:szCs w:val="22"/>
        </w:rPr>
        <w:t xml:space="preserve">Action taken: </w:t>
      </w:r>
      <w:r w:rsidRPr="00053FD5">
        <w:rPr>
          <w:rFonts w:asciiTheme="minorHAnsi" w:hAnsiTheme="minorHAnsi" w:cstheme="minorHAnsi"/>
          <w:sz w:val="22"/>
          <w:szCs w:val="22"/>
        </w:rPr>
        <w:t xml:space="preserve">Available solutions assessed for discussion with DfE. </w:t>
      </w:r>
    </w:p>
    <w:p w14:paraId="1352A02A" w14:textId="77777777" w:rsidR="00E376C4" w:rsidRPr="00053FD5" w:rsidRDefault="00E376C4" w:rsidP="00E376C4">
      <w:pPr>
        <w:pStyle w:val="ListParagraph"/>
        <w:numPr>
          <w:ilvl w:val="0"/>
          <w:numId w:val="21"/>
        </w:numPr>
        <w:ind w:left="709"/>
        <w:rPr>
          <w:rFonts w:asciiTheme="minorHAnsi" w:hAnsiTheme="minorHAnsi" w:cstheme="minorHAnsi"/>
          <w:sz w:val="22"/>
          <w:szCs w:val="22"/>
          <w:lang w:val="en-US"/>
        </w:rPr>
      </w:pPr>
      <w:r w:rsidRPr="00053FD5">
        <w:rPr>
          <w:rFonts w:asciiTheme="minorHAnsi" w:hAnsiTheme="minorHAnsi" w:cstheme="minorHAnsi"/>
          <w:b/>
          <w:bCs/>
          <w:sz w:val="22"/>
          <w:szCs w:val="22"/>
        </w:rPr>
        <w:t xml:space="preserve">Task: </w:t>
      </w:r>
      <w:r w:rsidRPr="00053FD5">
        <w:rPr>
          <w:rFonts w:asciiTheme="minorHAnsi" w:hAnsiTheme="minorHAnsi" w:cstheme="minorHAnsi"/>
          <w:sz w:val="22"/>
          <w:szCs w:val="22"/>
        </w:rPr>
        <w:t>Capita management to agree implementation timescale for the alternative call logging system.</w:t>
      </w:r>
      <w:r w:rsidRPr="00053FD5">
        <w:rPr>
          <w:rFonts w:asciiTheme="minorHAnsi" w:hAnsiTheme="minorHAnsi" w:cstheme="minorHAnsi"/>
          <w:b/>
          <w:bCs/>
          <w:sz w:val="22"/>
          <w:szCs w:val="22"/>
        </w:rPr>
        <w:t xml:space="preserve"> Action taken: </w:t>
      </w:r>
      <w:r w:rsidRPr="00053FD5">
        <w:rPr>
          <w:rFonts w:asciiTheme="minorHAnsi" w:hAnsiTheme="minorHAnsi" w:cstheme="minorHAnsi"/>
          <w:sz w:val="22"/>
          <w:szCs w:val="22"/>
        </w:rPr>
        <w:t>Timescale agreed for implementation</w:t>
      </w:r>
      <w:r>
        <w:rPr>
          <w:rFonts w:asciiTheme="minorHAnsi" w:hAnsiTheme="minorHAnsi" w:cstheme="minorHAnsi"/>
          <w:sz w:val="22"/>
          <w:szCs w:val="22"/>
        </w:rPr>
        <w:t>.</w:t>
      </w:r>
    </w:p>
    <w:p w14:paraId="63D73822" w14:textId="77777777" w:rsidR="00E376C4" w:rsidRPr="006911C1" w:rsidRDefault="00E376C4" w:rsidP="00E376C4">
      <w:pPr>
        <w:rPr>
          <w:rFonts w:asciiTheme="minorHAnsi" w:hAnsiTheme="minorHAnsi" w:cstheme="minorHAnsi"/>
          <w:sz w:val="22"/>
          <w:szCs w:val="22"/>
        </w:rPr>
      </w:pPr>
    </w:p>
    <w:p w14:paraId="52915820" w14:textId="77777777" w:rsidR="00E376C4" w:rsidRDefault="00E376C4" w:rsidP="00E376C4">
      <w:pPr>
        <w:jc w:val="center"/>
        <w:rPr>
          <w:rFonts w:ascii="Calibri" w:hAnsi="Calibri" w:cs="Calibri"/>
          <w:sz w:val="22"/>
          <w:szCs w:val="22"/>
        </w:rPr>
      </w:pPr>
    </w:p>
    <w:p w14:paraId="2CEEB36B" w14:textId="77777777" w:rsidR="00E376C4" w:rsidRDefault="00E376C4" w:rsidP="00E376C4">
      <w:pPr>
        <w:pStyle w:val="Heading2"/>
        <w:spacing w:before="0"/>
      </w:pPr>
      <w:r>
        <w:t>Progress against Audit Plan for 2015</w:t>
      </w:r>
    </w:p>
    <w:tbl>
      <w:tblPr>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25"/>
        <w:gridCol w:w="432"/>
        <w:gridCol w:w="500"/>
        <w:gridCol w:w="500"/>
        <w:gridCol w:w="500"/>
        <w:gridCol w:w="500"/>
        <w:gridCol w:w="1100"/>
        <w:gridCol w:w="1100"/>
        <w:gridCol w:w="1000"/>
        <w:gridCol w:w="900"/>
        <w:gridCol w:w="1000"/>
        <w:gridCol w:w="1000"/>
        <w:gridCol w:w="1000"/>
        <w:gridCol w:w="800"/>
        <w:gridCol w:w="500"/>
        <w:gridCol w:w="500"/>
        <w:gridCol w:w="500"/>
        <w:gridCol w:w="500"/>
      </w:tblGrid>
      <w:tr w:rsidR="00E376C4" w:rsidRPr="00824DE2" w14:paraId="7DA6E57B" w14:textId="77777777" w:rsidTr="00E15AA0">
        <w:trPr>
          <w:tblHeader/>
        </w:trPr>
        <w:tc>
          <w:tcPr>
            <w:tcW w:w="2325" w:type="dxa"/>
            <w:shd w:val="clear" w:color="auto" w:fill="004E73"/>
            <w:vAlign w:val="center"/>
          </w:tcPr>
          <w:p w14:paraId="5C65EA02" w14:textId="77777777" w:rsidR="00E376C4" w:rsidRPr="00286917" w:rsidRDefault="00E376C4" w:rsidP="00E15AA0">
            <w:pPr>
              <w:pStyle w:val="TableHeading"/>
              <w:jc w:val="center"/>
            </w:pPr>
            <w:r w:rsidRPr="00286917">
              <w:rPr>
                <w:sz w:val="22"/>
                <w:szCs w:val="22"/>
              </w:rPr>
              <w:t>Audit Title</w:t>
            </w:r>
          </w:p>
        </w:tc>
        <w:tc>
          <w:tcPr>
            <w:tcW w:w="432" w:type="dxa"/>
            <w:shd w:val="clear" w:color="auto" w:fill="004E73"/>
            <w:vAlign w:val="center"/>
          </w:tcPr>
          <w:p w14:paraId="4CCF3C45" w14:textId="77777777" w:rsidR="00E376C4" w:rsidRPr="00286917" w:rsidRDefault="00E376C4" w:rsidP="00E15AA0">
            <w:pPr>
              <w:pStyle w:val="TableHeading"/>
              <w:jc w:val="center"/>
            </w:pPr>
            <w:r w:rsidRPr="00286917">
              <w:rPr>
                <w:sz w:val="22"/>
                <w:szCs w:val="22"/>
              </w:rPr>
              <w:t>IA</w:t>
            </w:r>
          </w:p>
        </w:tc>
        <w:tc>
          <w:tcPr>
            <w:tcW w:w="500" w:type="dxa"/>
            <w:shd w:val="clear" w:color="auto" w:fill="004E73"/>
            <w:vAlign w:val="center"/>
          </w:tcPr>
          <w:p w14:paraId="45481256" w14:textId="77777777" w:rsidR="00E376C4" w:rsidRPr="00286917" w:rsidRDefault="00E376C4" w:rsidP="00E15AA0">
            <w:pPr>
              <w:pStyle w:val="TableHeading"/>
              <w:jc w:val="center"/>
            </w:pPr>
            <w:r w:rsidRPr="00286917">
              <w:rPr>
                <w:sz w:val="22"/>
                <w:szCs w:val="22"/>
              </w:rPr>
              <w:t>Q1</w:t>
            </w:r>
          </w:p>
        </w:tc>
        <w:tc>
          <w:tcPr>
            <w:tcW w:w="500" w:type="dxa"/>
            <w:shd w:val="clear" w:color="auto" w:fill="004E73"/>
            <w:vAlign w:val="center"/>
          </w:tcPr>
          <w:p w14:paraId="78F43CF6" w14:textId="77777777" w:rsidR="00E376C4" w:rsidRPr="00286917" w:rsidRDefault="00E376C4" w:rsidP="00E15AA0">
            <w:pPr>
              <w:pStyle w:val="TableHeading"/>
              <w:jc w:val="center"/>
            </w:pPr>
            <w:r w:rsidRPr="00286917">
              <w:rPr>
                <w:sz w:val="22"/>
                <w:szCs w:val="22"/>
              </w:rPr>
              <w:t>Q2</w:t>
            </w:r>
          </w:p>
        </w:tc>
        <w:tc>
          <w:tcPr>
            <w:tcW w:w="500" w:type="dxa"/>
            <w:shd w:val="clear" w:color="auto" w:fill="004E73"/>
            <w:vAlign w:val="center"/>
          </w:tcPr>
          <w:p w14:paraId="4CD3B3C2" w14:textId="77777777" w:rsidR="00E376C4" w:rsidRPr="00286917" w:rsidRDefault="00E376C4" w:rsidP="00E15AA0">
            <w:pPr>
              <w:pStyle w:val="TableHeading"/>
              <w:jc w:val="center"/>
            </w:pPr>
            <w:r w:rsidRPr="00286917">
              <w:rPr>
                <w:sz w:val="22"/>
                <w:szCs w:val="22"/>
              </w:rPr>
              <w:t>Q3</w:t>
            </w:r>
          </w:p>
        </w:tc>
        <w:tc>
          <w:tcPr>
            <w:tcW w:w="500" w:type="dxa"/>
            <w:shd w:val="clear" w:color="auto" w:fill="004E73"/>
            <w:vAlign w:val="center"/>
          </w:tcPr>
          <w:p w14:paraId="70A40632" w14:textId="77777777" w:rsidR="00E376C4" w:rsidRPr="00286917" w:rsidRDefault="00E376C4" w:rsidP="00E15AA0">
            <w:pPr>
              <w:pStyle w:val="TableHeading"/>
              <w:jc w:val="center"/>
            </w:pPr>
            <w:r w:rsidRPr="00286917">
              <w:rPr>
                <w:sz w:val="22"/>
                <w:szCs w:val="22"/>
              </w:rPr>
              <w:t>Q4</w:t>
            </w:r>
          </w:p>
        </w:tc>
        <w:tc>
          <w:tcPr>
            <w:tcW w:w="1100" w:type="dxa"/>
            <w:shd w:val="clear" w:color="auto" w:fill="004E73"/>
            <w:tcMar>
              <w:left w:w="113" w:type="dxa"/>
              <w:right w:w="85" w:type="dxa"/>
            </w:tcMar>
            <w:vAlign w:val="center"/>
          </w:tcPr>
          <w:p w14:paraId="5F8E9B82" w14:textId="77777777" w:rsidR="00E376C4" w:rsidRPr="00286917" w:rsidRDefault="00E376C4" w:rsidP="00E15AA0">
            <w:pPr>
              <w:pStyle w:val="TableHeading"/>
              <w:jc w:val="center"/>
            </w:pPr>
            <w:r w:rsidRPr="00286917">
              <w:rPr>
                <w:sz w:val="22"/>
                <w:szCs w:val="22"/>
              </w:rPr>
              <w:t>Current Status</w:t>
            </w:r>
            <w:r w:rsidRPr="00286917">
              <w:rPr>
                <w:rFonts w:ascii="Arial Bold" w:hAnsi="Arial Bold"/>
                <w:sz w:val="22"/>
                <w:szCs w:val="22"/>
                <w:vertAlign w:val="superscript"/>
              </w:rPr>
              <w:t>1</w:t>
            </w:r>
          </w:p>
        </w:tc>
        <w:tc>
          <w:tcPr>
            <w:tcW w:w="1100" w:type="dxa"/>
            <w:tcBorders>
              <w:bottom w:val="single" w:sz="4" w:space="0" w:color="auto"/>
            </w:tcBorders>
            <w:shd w:val="clear" w:color="auto" w:fill="004E73"/>
          </w:tcPr>
          <w:p w14:paraId="7CF0A0EA" w14:textId="77777777" w:rsidR="00E376C4" w:rsidRPr="00286917" w:rsidRDefault="00E376C4" w:rsidP="00E15AA0">
            <w:pPr>
              <w:pStyle w:val="TableHeading"/>
              <w:jc w:val="center"/>
            </w:pPr>
            <w:r w:rsidRPr="00286917">
              <w:rPr>
                <w:sz w:val="22"/>
                <w:szCs w:val="22"/>
              </w:rPr>
              <w:t>Target Final Draft ToR*</w:t>
            </w:r>
          </w:p>
        </w:tc>
        <w:tc>
          <w:tcPr>
            <w:tcW w:w="1000" w:type="dxa"/>
            <w:tcBorders>
              <w:bottom w:val="single" w:sz="4" w:space="0" w:color="auto"/>
            </w:tcBorders>
            <w:shd w:val="clear" w:color="auto" w:fill="004E73"/>
          </w:tcPr>
          <w:p w14:paraId="365A3748" w14:textId="77777777" w:rsidR="00E376C4" w:rsidRPr="00286917" w:rsidRDefault="00E376C4" w:rsidP="00E15AA0">
            <w:pPr>
              <w:pStyle w:val="TableHeading"/>
              <w:jc w:val="center"/>
            </w:pPr>
            <w:r w:rsidRPr="00286917">
              <w:rPr>
                <w:sz w:val="22"/>
                <w:szCs w:val="22"/>
              </w:rPr>
              <w:t>Actual Final Draft ToR*</w:t>
            </w:r>
          </w:p>
        </w:tc>
        <w:tc>
          <w:tcPr>
            <w:tcW w:w="900" w:type="dxa"/>
            <w:tcBorders>
              <w:bottom w:val="single" w:sz="4" w:space="0" w:color="auto"/>
            </w:tcBorders>
            <w:shd w:val="clear" w:color="auto" w:fill="004E73"/>
          </w:tcPr>
          <w:p w14:paraId="3E078BD0" w14:textId="77777777" w:rsidR="00E376C4" w:rsidRPr="00286917" w:rsidRDefault="00E376C4" w:rsidP="00E15AA0">
            <w:pPr>
              <w:pStyle w:val="TableHeading"/>
              <w:jc w:val="center"/>
            </w:pPr>
            <w:r w:rsidRPr="00286917">
              <w:rPr>
                <w:sz w:val="22"/>
                <w:szCs w:val="22"/>
              </w:rPr>
              <w:t>Final ToR</w:t>
            </w:r>
          </w:p>
        </w:tc>
        <w:tc>
          <w:tcPr>
            <w:tcW w:w="1000" w:type="dxa"/>
            <w:tcBorders>
              <w:bottom w:val="single" w:sz="4" w:space="0" w:color="auto"/>
            </w:tcBorders>
            <w:shd w:val="clear" w:color="auto" w:fill="004E73"/>
          </w:tcPr>
          <w:p w14:paraId="428B8F6B" w14:textId="77777777" w:rsidR="00E376C4" w:rsidRPr="00286917" w:rsidRDefault="00E376C4" w:rsidP="00E15AA0">
            <w:pPr>
              <w:pStyle w:val="TableHeading"/>
              <w:jc w:val="center"/>
            </w:pPr>
            <w:r w:rsidRPr="00286917">
              <w:rPr>
                <w:sz w:val="22"/>
                <w:szCs w:val="22"/>
              </w:rPr>
              <w:t>Target Final Draft Report*</w:t>
            </w:r>
          </w:p>
        </w:tc>
        <w:tc>
          <w:tcPr>
            <w:tcW w:w="1000" w:type="dxa"/>
            <w:tcBorders>
              <w:bottom w:val="single" w:sz="4" w:space="0" w:color="auto"/>
            </w:tcBorders>
            <w:shd w:val="clear" w:color="auto" w:fill="004E73"/>
          </w:tcPr>
          <w:p w14:paraId="7F09C213" w14:textId="77777777" w:rsidR="00E376C4" w:rsidRPr="00286917" w:rsidRDefault="00E376C4" w:rsidP="00E15AA0">
            <w:pPr>
              <w:pStyle w:val="TableHeading"/>
              <w:jc w:val="center"/>
            </w:pPr>
            <w:r w:rsidRPr="00286917">
              <w:rPr>
                <w:sz w:val="22"/>
                <w:szCs w:val="22"/>
              </w:rPr>
              <w:t>Actual Final Draft Report*</w:t>
            </w:r>
          </w:p>
        </w:tc>
        <w:tc>
          <w:tcPr>
            <w:tcW w:w="1000" w:type="dxa"/>
            <w:tcBorders>
              <w:bottom w:val="single" w:sz="4" w:space="0" w:color="auto"/>
            </w:tcBorders>
            <w:shd w:val="clear" w:color="auto" w:fill="004E73"/>
          </w:tcPr>
          <w:p w14:paraId="34675AAC" w14:textId="77777777" w:rsidR="00E376C4" w:rsidRPr="00286917" w:rsidRDefault="00E376C4" w:rsidP="00E15AA0">
            <w:pPr>
              <w:pStyle w:val="TableHeading"/>
              <w:jc w:val="center"/>
            </w:pPr>
            <w:r w:rsidRPr="00286917">
              <w:rPr>
                <w:sz w:val="22"/>
                <w:szCs w:val="22"/>
              </w:rPr>
              <w:t>Final Report</w:t>
            </w:r>
          </w:p>
        </w:tc>
        <w:tc>
          <w:tcPr>
            <w:tcW w:w="800" w:type="dxa"/>
            <w:tcBorders>
              <w:bottom w:val="single" w:sz="4" w:space="0" w:color="auto"/>
            </w:tcBorders>
            <w:shd w:val="clear" w:color="auto" w:fill="004E73"/>
            <w:vAlign w:val="center"/>
          </w:tcPr>
          <w:p w14:paraId="7C0E576A" w14:textId="77777777" w:rsidR="00E376C4" w:rsidRPr="00286917" w:rsidRDefault="00E376C4" w:rsidP="00E15AA0">
            <w:pPr>
              <w:pStyle w:val="TableHeading"/>
              <w:jc w:val="center"/>
            </w:pPr>
            <w:r>
              <w:rPr>
                <w:sz w:val="22"/>
                <w:szCs w:val="22"/>
              </w:rPr>
              <w:t>E/IR</w:t>
            </w:r>
            <w:r w:rsidRPr="00286917">
              <w:rPr>
                <w:sz w:val="22"/>
                <w:szCs w:val="22"/>
              </w:rPr>
              <w:t xml:space="preserve">/ </w:t>
            </w:r>
            <w:r>
              <w:rPr>
                <w:sz w:val="22"/>
                <w:szCs w:val="22"/>
              </w:rPr>
              <w:t>S</w:t>
            </w:r>
            <w:r w:rsidRPr="00286917">
              <w:rPr>
                <w:sz w:val="22"/>
                <w:szCs w:val="22"/>
              </w:rPr>
              <w:t>IR/</w:t>
            </w:r>
            <w:r>
              <w:rPr>
                <w:sz w:val="22"/>
                <w:szCs w:val="22"/>
              </w:rPr>
              <w:t>I</w:t>
            </w:r>
            <w:r w:rsidRPr="00286917">
              <w:rPr>
                <w:rFonts w:ascii="Arial Bold" w:hAnsi="Arial Bold"/>
                <w:sz w:val="22"/>
                <w:szCs w:val="22"/>
                <w:vertAlign w:val="superscript"/>
              </w:rPr>
              <w:t>2</w:t>
            </w:r>
          </w:p>
        </w:tc>
        <w:tc>
          <w:tcPr>
            <w:tcW w:w="500" w:type="dxa"/>
            <w:tcBorders>
              <w:bottom w:val="single" w:sz="4" w:space="0" w:color="auto"/>
            </w:tcBorders>
            <w:shd w:val="clear" w:color="auto" w:fill="004E73"/>
            <w:vAlign w:val="center"/>
          </w:tcPr>
          <w:p w14:paraId="4D3C8308" w14:textId="77777777" w:rsidR="00E376C4" w:rsidRPr="00286917" w:rsidRDefault="00E376C4" w:rsidP="00E15AA0">
            <w:pPr>
              <w:pStyle w:val="TableHeading"/>
              <w:jc w:val="center"/>
            </w:pPr>
            <w:r w:rsidRPr="00286917">
              <w:rPr>
                <w:sz w:val="22"/>
                <w:szCs w:val="22"/>
              </w:rPr>
              <w:t>C</w:t>
            </w:r>
          </w:p>
        </w:tc>
        <w:tc>
          <w:tcPr>
            <w:tcW w:w="500" w:type="dxa"/>
            <w:tcBorders>
              <w:bottom w:val="single" w:sz="4" w:space="0" w:color="auto"/>
            </w:tcBorders>
            <w:shd w:val="clear" w:color="auto" w:fill="004E73"/>
            <w:vAlign w:val="center"/>
          </w:tcPr>
          <w:p w14:paraId="257B979C" w14:textId="77777777" w:rsidR="00E376C4" w:rsidRPr="00286917" w:rsidRDefault="00E376C4" w:rsidP="00E15AA0">
            <w:pPr>
              <w:pStyle w:val="TableHeading"/>
              <w:jc w:val="center"/>
            </w:pPr>
            <w:r w:rsidRPr="00286917">
              <w:rPr>
                <w:sz w:val="22"/>
                <w:szCs w:val="22"/>
              </w:rPr>
              <w:t>H</w:t>
            </w:r>
          </w:p>
        </w:tc>
        <w:tc>
          <w:tcPr>
            <w:tcW w:w="500" w:type="dxa"/>
            <w:tcBorders>
              <w:bottom w:val="single" w:sz="4" w:space="0" w:color="auto"/>
            </w:tcBorders>
            <w:shd w:val="clear" w:color="auto" w:fill="004E73"/>
            <w:vAlign w:val="center"/>
          </w:tcPr>
          <w:p w14:paraId="1173FD03" w14:textId="77777777" w:rsidR="00E376C4" w:rsidRPr="00286917" w:rsidRDefault="00E376C4" w:rsidP="00E15AA0">
            <w:pPr>
              <w:pStyle w:val="TableHeading"/>
              <w:jc w:val="center"/>
            </w:pPr>
            <w:r w:rsidRPr="00286917">
              <w:rPr>
                <w:sz w:val="22"/>
                <w:szCs w:val="22"/>
              </w:rPr>
              <w:t>M</w:t>
            </w:r>
          </w:p>
        </w:tc>
        <w:tc>
          <w:tcPr>
            <w:tcW w:w="500" w:type="dxa"/>
            <w:tcBorders>
              <w:bottom w:val="single" w:sz="4" w:space="0" w:color="auto"/>
            </w:tcBorders>
            <w:shd w:val="clear" w:color="auto" w:fill="004E73"/>
            <w:vAlign w:val="center"/>
          </w:tcPr>
          <w:p w14:paraId="29BE1E8E" w14:textId="77777777" w:rsidR="00E376C4" w:rsidRPr="00286917" w:rsidRDefault="00E376C4" w:rsidP="00E15AA0">
            <w:pPr>
              <w:pStyle w:val="TableHeading"/>
              <w:jc w:val="center"/>
            </w:pPr>
            <w:r w:rsidRPr="00286917">
              <w:rPr>
                <w:sz w:val="22"/>
                <w:szCs w:val="22"/>
              </w:rPr>
              <w:t>L</w:t>
            </w:r>
          </w:p>
        </w:tc>
      </w:tr>
      <w:tr w:rsidR="00E376C4" w:rsidRPr="008B4DDE" w14:paraId="5EFDCFFB" w14:textId="77777777" w:rsidTr="00E15AA0">
        <w:trPr>
          <w:trHeight w:val="454"/>
        </w:trPr>
        <w:tc>
          <w:tcPr>
            <w:tcW w:w="2325" w:type="dxa"/>
            <w:tcMar>
              <w:left w:w="85" w:type="dxa"/>
              <w:right w:w="85" w:type="dxa"/>
            </w:tcMar>
            <w:vAlign w:val="center"/>
          </w:tcPr>
          <w:p w14:paraId="06BE8CDC" w14:textId="77777777" w:rsidR="00E376C4" w:rsidRPr="00286917" w:rsidRDefault="00E376C4" w:rsidP="00E15AA0">
            <w:pPr>
              <w:rPr>
                <w:sz w:val="18"/>
                <w:szCs w:val="18"/>
              </w:rPr>
            </w:pPr>
            <w:r w:rsidRPr="00286917">
              <w:rPr>
                <w:sz w:val="18"/>
                <w:szCs w:val="18"/>
              </w:rPr>
              <w:t xml:space="preserve">TP01 </w:t>
            </w:r>
            <w:r>
              <w:rPr>
                <w:sz w:val="18"/>
                <w:szCs w:val="18"/>
              </w:rPr>
              <w:t>SLA &amp; Performance MI</w:t>
            </w:r>
          </w:p>
        </w:tc>
        <w:tc>
          <w:tcPr>
            <w:tcW w:w="432" w:type="dxa"/>
            <w:vAlign w:val="center"/>
          </w:tcPr>
          <w:p w14:paraId="572E7A0F" w14:textId="77777777" w:rsidR="00E376C4" w:rsidRPr="00286917" w:rsidRDefault="00E376C4" w:rsidP="00E15AA0">
            <w:pPr>
              <w:spacing w:before="120" w:after="120"/>
              <w:jc w:val="center"/>
              <w:rPr>
                <w:rFonts w:cs="Arial"/>
                <w:sz w:val="18"/>
                <w:szCs w:val="18"/>
              </w:rPr>
            </w:pPr>
            <w:r>
              <w:rPr>
                <w:rFonts w:cs="Arial"/>
                <w:sz w:val="18"/>
                <w:szCs w:val="18"/>
              </w:rPr>
              <w:t>AB</w:t>
            </w:r>
          </w:p>
        </w:tc>
        <w:tc>
          <w:tcPr>
            <w:tcW w:w="500" w:type="dxa"/>
            <w:vAlign w:val="center"/>
          </w:tcPr>
          <w:p w14:paraId="2D0D7CBF" w14:textId="77777777" w:rsidR="00E376C4" w:rsidRPr="00286917" w:rsidRDefault="00E376C4" w:rsidP="00E15AA0">
            <w:pPr>
              <w:jc w:val="center"/>
              <w:rPr>
                <w:rFonts w:cs="Arial"/>
                <w:sz w:val="18"/>
                <w:szCs w:val="18"/>
              </w:rPr>
            </w:pPr>
            <w:r>
              <w:rPr>
                <w:rFonts w:cs="Arial"/>
                <w:sz w:val="18"/>
                <w:szCs w:val="18"/>
              </w:rPr>
              <w:t>30</w:t>
            </w:r>
          </w:p>
        </w:tc>
        <w:tc>
          <w:tcPr>
            <w:tcW w:w="500" w:type="dxa"/>
            <w:vAlign w:val="center"/>
          </w:tcPr>
          <w:p w14:paraId="7977896B" w14:textId="77777777" w:rsidR="00E376C4" w:rsidRPr="00286917" w:rsidRDefault="00E376C4" w:rsidP="00E15AA0">
            <w:pPr>
              <w:jc w:val="center"/>
              <w:rPr>
                <w:rFonts w:cs="Arial"/>
                <w:sz w:val="18"/>
                <w:szCs w:val="18"/>
              </w:rPr>
            </w:pPr>
          </w:p>
        </w:tc>
        <w:tc>
          <w:tcPr>
            <w:tcW w:w="500" w:type="dxa"/>
            <w:vAlign w:val="center"/>
          </w:tcPr>
          <w:p w14:paraId="79DFCC7F" w14:textId="77777777" w:rsidR="00E376C4" w:rsidRPr="00286917" w:rsidRDefault="00E376C4" w:rsidP="00E15AA0">
            <w:pPr>
              <w:jc w:val="center"/>
              <w:rPr>
                <w:rFonts w:cs="Arial"/>
                <w:sz w:val="18"/>
                <w:szCs w:val="18"/>
              </w:rPr>
            </w:pPr>
          </w:p>
        </w:tc>
        <w:tc>
          <w:tcPr>
            <w:tcW w:w="500" w:type="dxa"/>
            <w:vAlign w:val="center"/>
          </w:tcPr>
          <w:p w14:paraId="19B5234B" w14:textId="77777777" w:rsidR="00E376C4" w:rsidRPr="00286917" w:rsidRDefault="00E376C4" w:rsidP="00E15AA0">
            <w:pPr>
              <w:jc w:val="center"/>
              <w:rPr>
                <w:rFonts w:cs="Arial"/>
                <w:sz w:val="18"/>
                <w:szCs w:val="18"/>
              </w:rPr>
            </w:pPr>
          </w:p>
        </w:tc>
        <w:tc>
          <w:tcPr>
            <w:tcW w:w="1100" w:type="dxa"/>
            <w:tcMar>
              <w:left w:w="113" w:type="dxa"/>
              <w:right w:w="85" w:type="dxa"/>
            </w:tcMar>
            <w:vAlign w:val="center"/>
          </w:tcPr>
          <w:p w14:paraId="5517B129" w14:textId="77777777" w:rsidR="00E376C4" w:rsidRPr="00286917" w:rsidRDefault="00E376C4" w:rsidP="00E15AA0">
            <w:pPr>
              <w:ind w:left="-108" w:right="-108"/>
              <w:jc w:val="center"/>
              <w:rPr>
                <w:sz w:val="18"/>
                <w:szCs w:val="18"/>
              </w:rPr>
            </w:pPr>
            <w:r>
              <w:rPr>
                <w:sz w:val="18"/>
                <w:szCs w:val="18"/>
              </w:rPr>
              <w:t>Final Report</w:t>
            </w:r>
          </w:p>
        </w:tc>
        <w:tc>
          <w:tcPr>
            <w:tcW w:w="1100" w:type="dxa"/>
            <w:vAlign w:val="center"/>
          </w:tcPr>
          <w:p w14:paraId="08F46596" w14:textId="77777777" w:rsidR="00E376C4" w:rsidRPr="00286917" w:rsidRDefault="00E376C4" w:rsidP="00E15AA0">
            <w:pPr>
              <w:ind w:left="-108" w:right="-108"/>
              <w:jc w:val="center"/>
              <w:rPr>
                <w:sz w:val="18"/>
                <w:szCs w:val="18"/>
              </w:rPr>
            </w:pPr>
            <w:r>
              <w:rPr>
                <w:sz w:val="18"/>
                <w:szCs w:val="18"/>
              </w:rPr>
              <w:t>Feb 2015</w:t>
            </w:r>
          </w:p>
        </w:tc>
        <w:tc>
          <w:tcPr>
            <w:tcW w:w="1000" w:type="dxa"/>
            <w:tcBorders>
              <w:bottom w:val="single" w:sz="4" w:space="0" w:color="auto"/>
            </w:tcBorders>
            <w:shd w:val="clear" w:color="auto" w:fill="00B050"/>
            <w:vAlign w:val="center"/>
          </w:tcPr>
          <w:p w14:paraId="22E9F05A" w14:textId="77777777" w:rsidR="00E376C4" w:rsidRPr="00286917" w:rsidRDefault="00E376C4" w:rsidP="00E15AA0">
            <w:pPr>
              <w:ind w:left="-108" w:right="-108"/>
              <w:jc w:val="center"/>
              <w:rPr>
                <w:sz w:val="18"/>
                <w:szCs w:val="18"/>
              </w:rPr>
            </w:pPr>
            <w:r>
              <w:rPr>
                <w:sz w:val="18"/>
                <w:szCs w:val="18"/>
              </w:rPr>
              <w:t>Feb 2015</w:t>
            </w:r>
          </w:p>
        </w:tc>
        <w:tc>
          <w:tcPr>
            <w:tcW w:w="900" w:type="dxa"/>
            <w:shd w:val="clear" w:color="auto" w:fill="auto"/>
            <w:vAlign w:val="center"/>
          </w:tcPr>
          <w:p w14:paraId="03B683C4" w14:textId="77777777" w:rsidR="00E376C4" w:rsidRPr="00286917" w:rsidRDefault="00E376C4" w:rsidP="00E15AA0">
            <w:pPr>
              <w:ind w:left="-108" w:right="-108"/>
              <w:jc w:val="center"/>
              <w:rPr>
                <w:sz w:val="18"/>
                <w:szCs w:val="18"/>
              </w:rPr>
            </w:pPr>
            <w:r>
              <w:rPr>
                <w:sz w:val="18"/>
                <w:szCs w:val="18"/>
              </w:rPr>
              <w:t>02/03/15</w:t>
            </w:r>
          </w:p>
        </w:tc>
        <w:tc>
          <w:tcPr>
            <w:tcW w:w="1000" w:type="dxa"/>
            <w:shd w:val="clear" w:color="auto" w:fill="auto"/>
            <w:vAlign w:val="center"/>
          </w:tcPr>
          <w:p w14:paraId="0BE9AC3B" w14:textId="77777777" w:rsidR="00E376C4" w:rsidRPr="00286917" w:rsidRDefault="00E376C4" w:rsidP="00E15AA0">
            <w:pPr>
              <w:ind w:left="-108" w:right="-108"/>
              <w:jc w:val="center"/>
              <w:rPr>
                <w:sz w:val="18"/>
                <w:szCs w:val="18"/>
              </w:rPr>
            </w:pPr>
            <w:r>
              <w:rPr>
                <w:sz w:val="18"/>
                <w:szCs w:val="18"/>
              </w:rPr>
              <w:t>Jun 2015</w:t>
            </w:r>
          </w:p>
        </w:tc>
        <w:tc>
          <w:tcPr>
            <w:tcW w:w="1000" w:type="dxa"/>
            <w:tcBorders>
              <w:bottom w:val="single" w:sz="4" w:space="0" w:color="auto"/>
            </w:tcBorders>
            <w:shd w:val="clear" w:color="auto" w:fill="00B050"/>
            <w:vAlign w:val="center"/>
          </w:tcPr>
          <w:p w14:paraId="1E81057D" w14:textId="77777777" w:rsidR="00E376C4" w:rsidRPr="00286917" w:rsidRDefault="00E376C4" w:rsidP="00E15AA0">
            <w:pPr>
              <w:ind w:left="-108" w:right="-108"/>
              <w:jc w:val="center"/>
              <w:rPr>
                <w:sz w:val="18"/>
                <w:szCs w:val="18"/>
              </w:rPr>
            </w:pPr>
            <w:r>
              <w:rPr>
                <w:sz w:val="18"/>
                <w:szCs w:val="18"/>
              </w:rPr>
              <w:t>June 2015</w:t>
            </w:r>
          </w:p>
        </w:tc>
        <w:tc>
          <w:tcPr>
            <w:tcW w:w="1000" w:type="dxa"/>
            <w:shd w:val="clear" w:color="auto" w:fill="auto"/>
            <w:vAlign w:val="center"/>
          </w:tcPr>
          <w:p w14:paraId="56BC4CC6" w14:textId="77777777" w:rsidR="00E376C4" w:rsidRPr="00286917" w:rsidRDefault="00E376C4" w:rsidP="00E15AA0">
            <w:pPr>
              <w:ind w:left="-108" w:right="-108"/>
              <w:jc w:val="center"/>
              <w:rPr>
                <w:sz w:val="18"/>
                <w:szCs w:val="18"/>
              </w:rPr>
            </w:pPr>
            <w:r>
              <w:rPr>
                <w:sz w:val="18"/>
                <w:szCs w:val="18"/>
              </w:rPr>
              <w:t>10/07/15</w:t>
            </w:r>
          </w:p>
        </w:tc>
        <w:tc>
          <w:tcPr>
            <w:tcW w:w="800" w:type="dxa"/>
            <w:shd w:val="clear" w:color="auto" w:fill="auto"/>
            <w:vAlign w:val="center"/>
          </w:tcPr>
          <w:p w14:paraId="10DA22E5" w14:textId="77777777" w:rsidR="00E376C4" w:rsidRPr="00E668AA" w:rsidRDefault="00E376C4" w:rsidP="00E15AA0">
            <w:pPr>
              <w:ind w:left="-108" w:right="-108"/>
              <w:jc w:val="center"/>
              <w:rPr>
                <w:sz w:val="18"/>
                <w:szCs w:val="18"/>
              </w:rPr>
            </w:pPr>
            <w:r w:rsidRPr="00E668AA">
              <w:rPr>
                <w:sz w:val="18"/>
                <w:szCs w:val="18"/>
              </w:rPr>
              <w:t>IR</w:t>
            </w:r>
          </w:p>
        </w:tc>
        <w:tc>
          <w:tcPr>
            <w:tcW w:w="500" w:type="dxa"/>
            <w:shd w:val="clear" w:color="auto" w:fill="auto"/>
            <w:vAlign w:val="center"/>
          </w:tcPr>
          <w:p w14:paraId="1B79724D" w14:textId="77777777" w:rsidR="00E376C4" w:rsidRPr="00E668AA" w:rsidRDefault="00E376C4" w:rsidP="00E15AA0">
            <w:pPr>
              <w:ind w:left="-108" w:right="-108"/>
              <w:jc w:val="center"/>
              <w:rPr>
                <w:sz w:val="18"/>
                <w:szCs w:val="18"/>
              </w:rPr>
            </w:pPr>
            <w:r w:rsidRPr="00E668AA">
              <w:rPr>
                <w:sz w:val="18"/>
                <w:szCs w:val="18"/>
              </w:rPr>
              <w:t>-</w:t>
            </w:r>
          </w:p>
        </w:tc>
        <w:tc>
          <w:tcPr>
            <w:tcW w:w="500" w:type="dxa"/>
            <w:shd w:val="clear" w:color="auto" w:fill="auto"/>
            <w:vAlign w:val="center"/>
          </w:tcPr>
          <w:p w14:paraId="1D22B5E9" w14:textId="77777777" w:rsidR="00E376C4" w:rsidRPr="00E668AA" w:rsidRDefault="00E376C4" w:rsidP="00E15AA0">
            <w:pPr>
              <w:ind w:left="-108" w:right="-108"/>
              <w:jc w:val="center"/>
              <w:rPr>
                <w:sz w:val="18"/>
                <w:szCs w:val="18"/>
              </w:rPr>
            </w:pPr>
            <w:r w:rsidRPr="00E668AA">
              <w:rPr>
                <w:sz w:val="18"/>
                <w:szCs w:val="18"/>
              </w:rPr>
              <w:t>-</w:t>
            </w:r>
          </w:p>
        </w:tc>
        <w:tc>
          <w:tcPr>
            <w:tcW w:w="500" w:type="dxa"/>
            <w:shd w:val="clear" w:color="auto" w:fill="auto"/>
            <w:vAlign w:val="center"/>
          </w:tcPr>
          <w:p w14:paraId="57A97F7D" w14:textId="77777777" w:rsidR="00E376C4" w:rsidRPr="00E668AA" w:rsidRDefault="00E376C4" w:rsidP="00E15AA0">
            <w:pPr>
              <w:ind w:left="-108" w:right="-108"/>
              <w:jc w:val="center"/>
              <w:rPr>
                <w:sz w:val="18"/>
                <w:szCs w:val="18"/>
              </w:rPr>
            </w:pPr>
            <w:r w:rsidRPr="00E668AA">
              <w:rPr>
                <w:sz w:val="18"/>
                <w:szCs w:val="18"/>
              </w:rPr>
              <w:t>3</w:t>
            </w:r>
          </w:p>
        </w:tc>
        <w:tc>
          <w:tcPr>
            <w:tcW w:w="500" w:type="dxa"/>
            <w:shd w:val="clear" w:color="auto" w:fill="auto"/>
            <w:vAlign w:val="center"/>
          </w:tcPr>
          <w:p w14:paraId="1C8CC211" w14:textId="77777777" w:rsidR="00E376C4" w:rsidRPr="00E668AA" w:rsidRDefault="00E376C4" w:rsidP="00E15AA0">
            <w:pPr>
              <w:ind w:left="-108" w:right="-108"/>
              <w:jc w:val="center"/>
              <w:rPr>
                <w:sz w:val="18"/>
                <w:szCs w:val="18"/>
              </w:rPr>
            </w:pPr>
            <w:r w:rsidRPr="00E668AA">
              <w:rPr>
                <w:sz w:val="18"/>
                <w:szCs w:val="18"/>
              </w:rPr>
              <w:t>-</w:t>
            </w:r>
          </w:p>
        </w:tc>
      </w:tr>
      <w:tr w:rsidR="00E376C4" w:rsidRPr="008B4DDE" w14:paraId="19A6B04A" w14:textId="77777777" w:rsidTr="00E15AA0">
        <w:trPr>
          <w:trHeight w:val="454"/>
        </w:trPr>
        <w:tc>
          <w:tcPr>
            <w:tcW w:w="2325" w:type="dxa"/>
            <w:tcMar>
              <w:left w:w="85" w:type="dxa"/>
              <w:right w:w="85" w:type="dxa"/>
            </w:tcMar>
            <w:vAlign w:val="center"/>
          </w:tcPr>
          <w:p w14:paraId="4A20A6CD" w14:textId="77777777" w:rsidR="00E376C4" w:rsidRPr="00286917" w:rsidRDefault="00E376C4" w:rsidP="00E15AA0">
            <w:pPr>
              <w:rPr>
                <w:sz w:val="18"/>
                <w:szCs w:val="18"/>
              </w:rPr>
            </w:pPr>
            <w:r>
              <w:rPr>
                <w:sz w:val="18"/>
                <w:szCs w:val="18"/>
              </w:rPr>
              <w:t>TP02 Scheme Accounting</w:t>
            </w:r>
          </w:p>
        </w:tc>
        <w:tc>
          <w:tcPr>
            <w:tcW w:w="12332" w:type="dxa"/>
            <w:gridSpan w:val="17"/>
            <w:vAlign w:val="center"/>
          </w:tcPr>
          <w:p w14:paraId="61ABDF69" w14:textId="77777777" w:rsidR="00E376C4" w:rsidRPr="00D7779E" w:rsidRDefault="00E376C4" w:rsidP="00E15AA0">
            <w:pPr>
              <w:jc w:val="center"/>
              <w:rPr>
                <w:sz w:val="18"/>
                <w:szCs w:val="18"/>
              </w:rPr>
            </w:pPr>
            <w:r>
              <w:rPr>
                <w:sz w:val="18"/>
                <w:szCs w:val="18"/>
              </w:rPr>
              <w:t xml:space="preserve">Audit </w:t>
            </w:r>
            <w:r w:rsidRPr="00176ACF">
              <w:rPr>
                <w:i/>
                <w:sz w:val="18"/>
                <w:szCs w:val="18"/>
              </w:rPr>
              <w:t>‘Deferred’</w:t>
            </w:r>
            <w:r>
              <w:rPr>
                <w:sz w:val="18"/>
                <w:szCs w:val="18"/>
              </w:rPr>
              <w:t xml:space="preserve"> into 2016 Plan and replaced with </w:t>
            </w:r>
            <w:r w:rsidRPr="00AF50D2">
              <w:rPr>
                <w:i/>
                <w:sz w:val="18"/>
                <w:szCs w:val="18"/>
              </w:rPr>
              <w:t>TP09 Scheme Reform – Operational Effectiveness</w:t>
            </w:r>
          </w:p>
        </w:tc>
      </w:tr>
      <w:tr w:rsidR="00E376C4" w:rsidRPr="008B4DDE" w14:paraId="5999F062" w14:textId="77777777" w:rsidTr="00E15AA0">
        <w:trPr>
          <w:trHeight w:val="454"/>
        </w:trPr>
        <w:tc>
          <w:tcPr>
            <w:tcW w:w="2325" w:type="dxa"/>
            <w:tcMar>
              <w:left w:w="85" w:type="dxa"/>
              <w:right w:w="85" w:type="dxa"/>
            </w:tcMar>
            <w:vAlign w:val="center"/>
          </w:tcPr>
          <w:p w14:paraId="2AC5C500" w14:textId="77777777" w:rsidR="00E376C4" w:rsidRPr="00286917" w:rsidRDefault="00E376C4" w:rsidP="00E15AA0">
            <w:pPr>
              <w:rPr>
                <w:sz w:val="18"/>
                <w:szCs w:val="18"/>
              </w:rPr>
            </w:pPr>
            <w:r>
              <w:rPr>
                <w:sz w:val="18"/>
                <w:szCs w:val="18"/>
              </w:rPr>
              <w:t xml:space="preserve">TP03 Monthly Data Collection </w:t>
            </w:r>
          </w:p>
        </w:tc>
        <w:tc>
          <w:tcPr>
            <w:tcW w:w="432" w:type="dxa"/>
            <w:vAlign w:val="center"/>
          </w:tcPr>
          <w:p w14:paraId="00235ABC" w14:textId="77777777" w:rsidR="00E376C4" w:rsidRPr="00286917" w:rsidRDefault="00E376C4" w:rsidP="00E15AA0">
            <w:pPr>
              <w:jc w:val="center"/>
              <w:rPr>
                <w:rFonts w:cs="Arial"/>
                <w:sz w:val="18"/>
                <w:szCs w:val="18"/>
              </w:rPr>
            </w:pPr>
            <w:r>
              <w:rPr>
                <w:rFonts w:cs="Arial"/>
                <w:sz w:val="18"/>
                <w:szCs w:val="18"/>
              </w:rPr>
              <w:t>AB</w:t>
            </w:r>
          </w:p>
        </w:tc>
        <w:tc>
          <w:tcPr>
            <w:tcW w:w="500" w:type="dxa"/>
            <w:vAlign w:val="center"/>
          </w:tcPr>
          <w:p w14:paraId="675C8795" w14:textId="77777777" w:rsidR="00E376C4" w:rsidRPr="00286917" w:rsidRDefault="00E376C4" w:rsidP="00E15AA0">
            <w:pPr>
              <w:jc w:val="center"/>
              <w:rPr>
                <w:rFonts w:cs="Arial"/>
                <w:sz w:val="18"/>
                <w:szCs w:val="18"/>
              </w:rPr>
            </w:pPr>
          </w:p>
        </w:tc>
        <w:tc>
          <w:tcPr>
            <w:tcW w:w="500" w:type="dxa"/>
            <w:vAlign w:val="center"/>
          </w:tcPr>
          <w:p w14:paraId="63CA3C30" w14:textId="77777777" w:rsidR="00E376C4" w:rsidRPr="00286917" w:rsidRDefault="00E376C4" w:rsidP="00E15AA0">
            <w:pPr>
              <w:jc w:val="center"/>
              <w:rPr>
                <w:rFonts w:cs="Arial"/>
                <w:sz w:val="18"/>
                <w:szCs w:val="18"/>
              </w:rPr>
            </w:pPr>
          </w:p>
        </w:tc>
        <w:tc>
          <w:tcPr>
            <w:tcW w:w="500" w:type="dxa"/>
            <w:vAlign w:val="center"/>
          </w:tcPr>
          <w:p w14:paraId="6073FC97" w14:textId="77777777" w:rsidR="00E376C4" w:rsidRPr="00286917" w:rsidRDefault="00E376C4" w:rsidP="00E15AA0">
            <w:pPr>
              <w:jc w:val="center"/>
              <w:rPr>
                <w:rFonts w:cs="Arial"/>
                <w:sz w:val="18"/>
                <w:szCs w:val="18"/>
              </w:rPr>
            </w:pPr>
          </w:p>
        </w:tc>
        <w:tc>
          <w:tcPr>
            <w:tcW w:w="500" w:type="dxa"/>
            <w:vAlign w:val="center"/>
          </w:tcPr>
          <w:p w14:paraId="5CAE100F" w14:textId="77777777" w:rsidR="00E376C4" w:rsidRPr="00286917" w:rsidRDefault="00E376C4" w:rsidP="00E15AA0">
            <w:pPr>
              <w:jc w:val="center"/>
              <w:rPr>
                <w:rFonts w:cs="Arial"/>
                <w:sz w:val="18"/>
                <w:szCs w:val="18"/>
              </w:rPr>
            </w:pPr>
            <w:r>
              <w:rPr>
                <w:rFonts w:cs="Arial"/>
                <w:sz w:val="18"/>
                <w:szCs w:val="18"/>
              </w:rPr>
              <w:t>25</w:t>
            </w:r>
          </w:p>
        </w:tc>
        <w:tc>
          <w:tcPr>
            <w:tcW w:w="1100" w:type="dxa"/>
            <w:tcMar>
              <w:left w:w="113" w:type="dxa"/>
              <w:right w:w="85" w:type="dxa"/>
            </w:tcMar>
            <w:vAlign w:val="center"/>
          </w:tcPr>
          <w:p w14:paraId="1CAAFC2C" w14:textId="77777777" w:rsidR="00E376C4" w:rsidRPr="00FE6E5A" w:rsidRDefault="00E376C4" w:rsidP="00E15AA0">
            <w:pPr>
              <w:ind w:left="-135" w:right="-97"/>
              <w:jc w:val="center"/>
              <w:rPr>
                <w:sz w:val="18"/>
                <w:szCs w:val="18"/>
              </w:rPr>
            </w:pPr>
            <w:r>
              <w:rPr>
                <w:sz w:val="18"/>
                <w:szCs w:val="18"/>
              </w:rPr>
              <w:t>Planning</w:t>
            </w:r>
          </w:p>
        </w:tc>
        <w:tc>
          <w:tcPr>
            <w:tcW w:w="1100" w:type="dxa"/>
            <w:vAlign w:val="center"/>
          </w:tcPr>
          <w:p w14:paraId="6698ECF6" w14:textId="77777777" w:rsidR="00E376C4" w:rsidRPr="00286917" w:rsidRDefault="00E376C4" w:rsidP="00E15AA0">
            <w:pPr>
              <w:jc w:val="center"/>
              <w:rPr>
                <w:sz w:val="18"/>
                <w:szCs w:val="18"/>
              </w:rPr>
            </w:pPr>
            <w:r>
              <w:rPr>
                <w:sz w:val="18"/>
                <w:szCs w:val="18"/>
              </w:rPr>
              <w:t>Sep 2015</w:t>
            </w:r>
          </w:p>
        </w:tc>
        <w:tc>
          <w:tcPr>
            <w:tcW w:w="1000" w:type="dxa"/>
            <w:tcBorders>
              <w:bottom w:val="single" w:sz="4" w:space="0" w:color="auto"/>
            </w:tcBorders>
            <w:shd w:val="clear" w:color="auto" w:fill="auto"/>
            <w:vAlign w:val="center"/>
          </w:tcPr>
          <w:p w14:paraId="13C7966D" w14:textId="77777777" w:rsidR="00E376C4" w:rsidRPr="00286917" w:rsidRDefault="00E376C4" w:rsidP="00E15AA0">
            <w:pPr>
              <w:jc w:val="center"/>
              <w:rPr>
                <w:sz w:val="18"/>
                <w:szCs w:val="18"/>
              </w:rPr>
            </w:pPr>
          </w:p>
        </w:tc>
        <w:tc>
          <w:tcPr>
            <w:tcW w:w="900" w:type="dxa"/>
            <w:shd w:val="clear" w:color="auto" w:fill="auto"/>
            <w:vAlign w:val="center"/>
          </w:tcPr>
          <w:p w14:paraId="6AE28D24" w14:textId="77777777" w:rsidR="00E376C4" w:rsidRPr="00286917" w:rsidRDefault="00E376C4" w:rsidP="00E15AA0">
            <w:pPr>
              <w:jc w:val="center"/>
              <w:rPr>
                <w:sz w:val="18"/>
                <w:szCs w:val="18"/>
              </w:rPr>
            </w:pPr>
          </w:p>
        </w:tc>
        <w:tc>
          <w:tcPr>
            <w:tcW w:w="1000" w:type="dxa"/>
            <w:shd w:val="clear" w:color="auto" w:fill="auto"/>
            <w:vAlign w:val="center"/>
          </w:tcPr>
          <w:p w14:paraId="104D8B1A" w14:textId="77777777" w:rsidR="00E376C4" w:rsidRPr="00286917" w:rsidRDefault="00E376C4" w:rsidP="00E15AA0">
            <w:pPr>
              <w:jc w:val="center"/>
              <w:rPr>
                <w:sz w:val="18"/>
                <w:szCs w:val="18"/>
              </w:rPr>
            </w:pPr>
            <w:r>
              <w:rPr>
                <w:sz w:val="18"/>
                <w:szCs w:val="18"/>
              </w:rPr>
              <w:t>Nov 2015</w:t>
            </w:r>
          </w:p>
        </w:tc>
        <w:tc>
          <w:tcPr>
            <w:tcW w:w="1000" w:type="dxa"/>
            <w:tcBorders>
              <w:bottom w:val="single" w:sz="4" w:space="0" w:color="auto"/>
            </w:tcBorders>
            <w:shd w:val="clear" w:color="auto" w:fill="auto"/>
            <w:vAlign w:val="center"/>
          </w:tcPr>
          <w:p w14:paraId="09DE2304" w14:textId="77777777" w:rsidR="00E376C4" w:rsidRPr="00837764" w:rsidRDefault="00E376C4" w:rsidP="00E15AA0">
            <w:pPr>
              <w:jc w:val="center"/>
              <w:rPr>
                <w:sz w:val="18"/>
                <w:szCs w:val="18"/>
              </w:rPr>
            </w:pPr>
          </w:p>
        </w:tc>
        <w:tc>
          <w:tcPr>
            <w:tcW w:w="1000" w:type="dxa"/>
            <w:shd w:val="clear" w:color="auto" w:fill="auto"/>
            <w:vAlign w:val="center"/>
          </w:tcPr>
          <w:p w14:paraId="29F1F745" w14:textId="77777777" w:rsidR="00E376C4" w:rsidRPr="00286917" w:rsidRDefault="00E376C4" w:rsidP="00E15AA0">
            <w:pPr>
              <w:jc w:val="center"/>
              <w:rPr>
                <w:sz w:val="18"/>
                <w:szCs w:val="18"/>
              </w:rPr>
            </w:pPr>
          </w:p>
        </w:tc>
        <w:tc>
          <w:tcPr>
            <w:tcW w:w="800" w:type="dxa"/>
            <w:shd w:val="clear" w:color="auto" w:fill="auto"/>
            <w:vAlign w:val="center"/>
          </w:tcPr>
          <w:p w14:paraId="42A7C8FD" w14:textId="77777777" w:rsidR="00E376C4" w:rsidRPr="00155566" w:rsidRDefault="00E376C4" w:rsidP="00E15AA0">
            <w:pPr>
              <w:jc w:val="center"/>
              <w:rPr>
                <w:sz w:val="18"/>
                <w:szCs w:val="18"/>
              </w:rPr>
            </w:pPr>
          </w:p>
        </w:tc>
        <w:tc>
          <w:tcPr>
            <w:tcW w:w="500" w:type="dxa"/>
            <w:shd w:val="clear" w:color="auto" w:fill="auto"/>
            <w:vAlign w:val="center"/>
          </w:tcPr>
          <w:p w14:paraId="39D67138" w14:textId="77777777" w:rsidR="00E376C4" w:rsidRPr="00155566" w:rsidRDefault="00E376C4" w:rsidP="00E15AA0">
            <w:pPr>
              <w:jc w:val="center"/>
              <w:rPr>
                <w:sz w:val="18"/>
                <w:szCs w:val="18"/>
              </w:rPr>
            </w:pPr>
          </w:p>
        </w:tc>
        <w:tc>
          <w:tcPr>
            <w:tcW w:w="500" w:type="dxa"/>
            <w:shd w:val="clear" w:color="auto" w:fill="auto"/>
            <w:vAlign w:val="center"/>
          </w:tcPr>
          <w:p w14:paraId="72C24CFA" w14:textId="77777777" w:rsidR="00E376C4" w:rsidRPr="00155566" w:rsidRDefault="00E376C4" w:rsidP="00E15AA0">
            <w:pPr>
              <w:jc w:val="center"/>
              <w:rPr>
                <w:sz w:val="18"/>
                <w:szCs w:val="18"/>
              </w:rPr>
            </w:pPr>
          </w:p>
        </w:tc>
        <w:tc>
          <w:tcPr>
            <w:tcW w:w="500" w:type="dxa"/>
            <w:shd w:val="clear" w:color="auto" w:fill="auto"/>
            <w:vAlign w:val="center"/>
          </w:tcPr>
          <w:p w14:paraId="231018A5" w14:textId="77777777" w:rsidR="00E376C4" w:rsidRPr="00155566" w:rsidRDefault="00E376C4" w:rsidP="00E15AA0">
            <w:pPr>
              <w:jc w:val="center"/>
              <w:rPr>
                <w:sz w:val="18"/>
                <w:szCs w:val="18"/>
              </w:rPr>
            </w:pPr>
          </w:p>
        </w:tc>
        <w:tc>
          <w:tcPr>
            <w:tcW w:w="500" w:type="dxa"/>
            <w:shd w:val="clear" w:color="auto" w:fill="auto"/>
            <w:vAlign w:val="center"/>
          </w:tcPr>
          <w:p w14:paraId="3B8E3527" w14:textId="77777777" w:rsidR="00E376C4" w:rsidRPr="00155566" w:rsidRDefault="00E376C4" w:rsidP="00E15AA0">
            <w:pPr>
              <w:jc w:val="center"/>
              <w:rPr>
                <w:sz w:val="18"/>
                <w:szCs w:val="18"/>
              </w:rPr>
            </w:pPr>
          </w:p>
        </w:tc>
      </w:tr>
      <w:tr w:rsidR="00E376C4" w:rsidRPr="008B4DDE" w14:paraId="4B3F938B" w14:textId="77777777" w:rsidTr="00E15AA0">
        <w:trPr>
          <w:trHeight w:val="454"/>
        </w:trPr>
        <w:tc>
          <w:tcPr>
            <w:tcW w:w="2325" w:type="dxa"/>
            <w:tcMar>
              <w:left w:w="85" w:type="dxa"/>
              <w:right w:w="85" w:type="dxa"/>
            </w:tcMar>
            <w:vAlign w:val="center"/>
          </w:tcPr>
          <w:p w14:paraId="01A7C9EE" w14:textId="77777777" w:rsidR="00E376C4" w:rsidRPr="00286917" w:rsidRDefault="00E376C4" w:rsidP="00E15AA0">
            <w:pPr>
              <w:rPr>
                <w:sz w:val="18"/>
                <w:szCs w:val="18"/>
              </w:rPr>
            </w:pPr>
            <w:r>
              <w:rPr>
                <w:sz w:val="18"/>
                <w:szCs w:val="18"/>
              </w:rPr>
              <w:t>TP04 Contributions</w:t>
            </w:r>
          </w:p>
        </w:tc>
        <w:tc>
          <w:tcPr>
            <w:tcW w:w="12332" w:type="dxa"/>
            <w:gridSpan w:val="17"/>
            <w:vAlign w:val="center"/>
          </w:tcPr>
          <w:p w14:paraId="1CFA5946" w14:textId="77777777" w:rsidR="00E376C4" w:rsidRPr="003C6818" w:rsidRDefault="00E376C4" w:rsidP="00E15AA0">
            <w:pPr>
              <w:jc w:val="center"/>
              <w:rPr>
                <w:rFonts w:cs="Arial"/>
                <w:sz w:val="18"/>
                <w:szCs w:val="18"/>
              </w:rPr>
            </w:pPr>
            <w:r>
              <w:rPr>
                <w:sz w:val="18"/>
                <w:szCs w:val="18"/>
              </w:rPr>
              <w:t xml:space="preserve">Audit </w:t>
            </w:r>
            <w:r w:rsidRPr="00176ACF">
              <w:rPr>
                <w:i/>
                <w:sz w:val="18"/>
                <w:szCs w:val="18"/>
              </w:rPr>
              <w:t>‘Deferred’</w:t>
            </w:r>
            <w:r>
              <w:rPr>
                <w:sz w:val="18"/>
                <w:szCs w:val="18"/>
              </w:rPr>
              <w:t xml:space="preserve"> into 2016 Plan and replaced with </w:t>
            </w:r>
            <w:r w:rsidRPr="00AF50D2">
              <w:rPr>
                <w:i/>
                <w:sz w:val="18"/>
                <w:szCs w:val="18"/>
              </w:rPr>
              <w:t>TP09 Scheme Reform – Operational Effectiveness</w:t>
            </w:r>
          </w:p>
        </w:tc>
      </w:tr>
      <w:tr w:rsidR="00E376C4" w:rsidRPr="008B4DDE" w14:paraId="77299331" w14:textId="77777777" w:rsidTr="00E15AA0">
        <w:trPr>
          <w:trHeight w:val="454"/>
        </w:trPr>
        <w:tc>
          <w:tcPr>
            <w:tcW w:w="2325" w:type="dxa"/>
            <w:tcMar>
              <w:left w:w="85" w:type="dxa"/>
              <w:right w:w="85" w:type="dxa"/>
            </w:tcMar>
            <w:vAlign w:val="center"/>
          </w:tcPr>
          <w:p w14:paraId="610C1AEA" w14:textId="77777777" w:rsidR="00E376C4" w:rsidRPr="00286917" w:rsidRDefault="00E376C4" w:rsidP="00E15AA0">
            <w:pPr>
              <w:rPr>
                <w:sz w:val="18"/>
                <w:szCs w:val="18"/>
              </w:rPr>
            </w:pPr>
            <w:r>
              <w:rPr>
                <w:sz w:val="18"/>
                <w:szCs w:val="18"/>
              </w:rPr>
              <w:t xml:space="preserve">TP05 Fraud Data Mining </w:t>
            </w:r>
          </w:p>
        </w:tc>
        <w:tc>
          <w:tcPr>
            <w:tcW w:w="432" w:type="dxa"/>
            <w:vAlign w:val="center"/>
          </w:tcPr>
          <w:p w14:paraId="28717C52" w14:textId="77777777" w:rsidR="00E376C4" w:rsidRPr="00286917" w:rsidRDefault="00E376C4" w:rsidP="00E15AA0">
            <w:pPr>
              <w:jc w:val="center"/>
              <w:rPr>
                <w:rFonts w:cs="Arial"/>
                <w:sz w:val="18"/>
                <w:szCs w:val="18"/>
              </w:rPr>
            </w:pPr>
            <w:r>
              <w:rPr>
                <w:rFonts w:cs="Arial"/>
                <w:sz w:val="18"/>
                <w:szCs w:val="18"/>
              </w:rPr>
              <w:t>HU</w:t>
            </w:r>
          </w:p>
        </w:tc>
        <w:tc>
          <w:tcPr>
            <w:tcW w:w="500" w:type="dxa"/>
            <w:vAlign w:val="center"/>
          </w:tcPr>
          <w:p w14:paraId="24BB0C30" w14:textId="77777777" w:rsidR="00E376C4" w:rsidRPr="00286917" w:rsidRDefault="00E376C4" w:rsidP="00E15AA0">
            <w:pPr>
              <w:jc w:val="center"/>
              <w:rPr>
                <w:rFonts w:cs="Arial"/>
                <w:sz w:val="18"/>
                <w:szCs w:val="18"/>
              </w:rPr>
            </w:pPr>
          </w:p>
        </w:tc>
        <w:tc>
          <w:tcPr>
            <w:tcW w:w="500" w:type="dxa"/>
            <w:vAlign w:val="center"/>
          </w:tcPr>
          <w:p w14:paraId="36CF6255" w14:textId="77777777" w:rsidR="00E376C4" w:rsidRPr="00286917" w:rsidRDefault="00E376C4" w:rsidP="00E15AA0">
            <w:pPr>
              <w:jc w:val="center"/>
              <w:rPr>
                <w:rFonts w:cs="Arial"/>
                <w:sz w:val="18"/>
                <w:szCs w:val="18"/>
              </w:rPr>
            </w:pPr>
          </w:p>
        </w:tc>
        <w:tc>
          <w:tcPr>
            <w:tcW w:w="500" w:type="dxa"/>
            <w:vAlign w:val="center"/>
          </w:tcPr>
          <w:p w14:paraId="4CFC2900" w14:textId="77777777" w:rsidR="00E376C4" w:rsidRPr="00286917" w:rsidRDefault="00E376C4" w:rsidP="00E15AA0">
            <w:pPr>
              <w:jc w:val="center"/>
              <w:rPr>
                <w:rFonts w:cs="Arial"/>
                <w:sz w:val="18"/>
                <w:szCs w:val="18"/>
              </w:rPr>
            </w:pPr>
            <w:r>
              <w:rPr>
                <w:rFonts w:cs="Arial"/>
                <w:sz w:val="18"/>
                <w:szCs w:val="18"/>
              </w:rPr>
              <w:t>20</w:t>
            </w:r>
          </w:p>
        </w:tc>
        <w:tc>
          <w:tcPr>
            <w:tcW w:w="500" w:type="dxa"/>
            <w:vAlign w:val="center"/>
          </w:tcPr>
          <w:p w14:paraId="00BDC1D7" w14:textId="77777777" w:rsidR="00E376C4" w:rsidRPr="00286917" w:rsidRDefault="00E376C4" w:rsidP="00E15AA0">
            <w:pPr>
              <w:jc w:val="center"/>
              <w:rPr>
                <w:rFonts w:cs="Arial"/>
                <w:sz w:val="18"/>
                <w:szCs w:val="18"/>
              </w:rPr>
            </w:pPr>
          </w:p>
        </w:tc>
        <w:tc>
          <w:tcPr>
            <w:tcW w:w="1100" w:type="dxa"/>
            <w:tcMar>
              <w:left w:w="113" w:type="dxa"/>
              <w:right w:w="85" w:type="dxa"/>
            </w:tcMar>
            <w:vAlign w:val="center"/>
          </w:tcPr>
          <w:p w14:paraId="0AC20A9C" w14:textId="77777777" w:rsidR="00E376C4" w:rsidRPr="00F63852" w:rsidRDefault="00E376C4" w:rsidP="00E15AA0">
            <w:pPr>
              <w:ind w:left="-113" w:right="-85"/>
              <w:jc w:val="center"/>
              <w:rPr>
                <w:sz w:val="18"/>
                <w:szCs w:val="18"/>
              </w:rPr>
            </w:pPr>
            <w:r>
              <w:rPr>
                <w:sz w:val="18"/>
                <w:szCs w:val="18"/>
              </w:rPr>
              <w:t>Final Draft TOR</w:t>
            </w:r>
          </w:p>
        </w:tc>
        <w:tc>
          <w:tcPr>
            <w:tcW w:w="1100" w:type="dxa"/>
            <w:vAlign w:val="center"/>
          </w:tcPr>
          <w:p w14:paraId="511DAA4F" w14:textId="77777777" w:rsidR="00E376C4" w:rsidRPr="00286917" w:rsidRDefault="00E376C4" w:rsidP="00E15AA0">
            <w:pPr>
              <w:jc w:val="center"/>
              <w:rPr>
                <w:sz w:val="18"/>
                <w:szCs w:val="18"/>
              </w:rPr>
            </w:pPr>
            <w:r>
              <w:rPr>
                <w:sz w:val="18"/>
                <w:szCs w:val="18"/>
              </w:rPr>
              <w:t>Aug 2015</w:t>
            </w:r>
          </w:p>
        </w:tc>
        <w:tc>
          <w:tcPr>
            <w:tcW w:w="1000" w:type="dxa"/>
            <w:tcBorders>
              <w:bottom w:val="single" w:sz="4" w:space="0" w:color="auto"/>
            </w:tcBorders>
            <w:shd w:val="clear" w:color="auto" w:fill="00B050"/>
            <w:vAlign w:val="center"/>
          </w:tcPr>
          <w:p w14:paraId="7A1B8169" w14:textId="77777777" w:rsidR="00E376C4" w:rsidRPr="00CE1B48" w:rsidRDefault="00E376C4" w:rsidP="00E15AA0">
            <w:pPr>
              <w:jc w:val="center"/>
              <w:rPr>
                <w:sz w:val="18"/>
                <w:szCs w:val="18"/>
              </w:rPr>
            </w:pPr>
            <w:r>
              <w:rPr>
                <w:sz w:val="18"/>
                <w:szCs w:val="18"/>
              </w:rPr>
              <w:t>Jul 2015</w:t>
            </w:r>
          </w:p>
        </w:tc>
        <w:tc>
          <w:tcPr>
            <w:tcW w:w="900" w:type="dxa"/>
            <w:shd w:val="clear" w:color="auto" w:fill="auto"/>
            <w:vAlign w:val="center"/>
          </w:tcPr>
          <w:p w14:paraId="0C40802D" w14:textId="77777777" w:rsidR="00E376C4" w:rsidRPr="00286917" w:rsidRDefault="00E376C4" w:rsidP="00E15AA0">
            <w:pPr>
              <w:jc w:val="center"/>
              <w:rPr>
                <w:sz w:val="18"/>
                <w:szCs w:val="18"/>
              </w:rPr>
            </w:pPr>
          </w:p>
        </w:tc>
        <w:tc>
          <w:tcPr>
            <w:tcW w:w="1000" w:type="dxa"/>
            <w:shd w:val="clear" w:color="auto" w:fill="auto"/>
            <w:vAlign w:val="center"/>
          </w:tcPr>
          <w:p w14:paraId="2181E889" w14:textId="77777777" w:rsidR="00E376C4" w:rsidRPr="00286917" w:rsidRDefault="00E376C4" w:rsidP="00E15AA0">
            <w:pPr>
              <w:jc w:val="center"/>
              <w:rPr>
                <w:sz w:val="18"/>
                <w:szCs w:val="18"/>
              </w:rPr>
            </w:pPr>
            <w:r>
              <w:rPr>
                <w:sz w:val="18"/>
                <w:szCs w:val="18"/>
              </w:rPr>
              <w:t>Nov 2015</w:t>
            </w:r>
          </w:p>
        </w:tc>
        <w:tc>
          <w:tcPr>
            <w:tcW w:w="1000" w:type="dxa"/>
            <w:tcBorders>
              <w:bottom w:val="single" w:sz="4" w:space="0" w:color="auto"/>
            </w:tcBorders>
            <w:shd w:val="clear" w:color="auto" w:fill="auto"/>
            <w:vAlign w:val="center"/>
          </w:tcPr>
          <w:p w14:paraId="0FC28D5D" w14:textId="77777777" w:rsidR="00E376C4" w:rsidRPr="00155566" w:rsidRDefault="00E376C4" w:rsidP="00E15AA0">
            <w:pPr>
              <w:jc w:val="center"/>
              <w:rPr>
                <w:i/>
                <w:sz w:val="18"/>
                <w:szCs w:val="18"/>
              </w:rPr>
            </w:pPr>
          </w:p>
        </w:tc>
        <w:tc>
          <w:tcPr>
            <w:tcW w:w="1000" w:type="dxa"/>
            <w:shd w:val="clear" w:color="auto" w:fill="auto"/>
            <w:vAlign w:val="center"/>
          </w:tcPr>
          <w:p w14:paraId="35B5E81A" w14:textId="77777777" w:rsidR="00E376C4" w:rsidRPr="00286917" w:rsidRDefault="00E376C4" w:rsidP="00E15AA0">
            <w:pPr>
              <w:jc w:val="center"/>
              <w:rPr>
                <w:sz w:val="18"/>
                <w:szCs w:val="18"/>
              </w:rPr>
            </w:pPr>
          </w:p>
        </w:tc>
        <w:tc>
          <w:tcPr>
            <w:tcW w:w="800" w:type="dxa"/>
            <w:shd w:val="clear" w:color="auto" w:fill="auto"/>
            <w:vAlign w:val="center"/>
          </w:tcPr>
          <w:p w14:paraId="1E95F395" w14:textId="77777777" w:rsidR="00E376C4" w:rsidRPr="00286917" w:rsidRDefault="00E376C4" w:rsidP="00E15AA0">
            <w:pPr>
              <w:jc w:val="center"/>
              <w:rPr>
                <w:sz w:val="18"/>
                <w:szCs w:val="18"/>
              </w:rPr>
            </w:pPr>
          </w:p>
        </w:tc>
        <w:tc>
          <w:tcPr>
            <w:tcW w:w="500" w:type="dxa"/>
            <w:shd w:val="clear" w:color="auto" w:fill="auto"/>
            <w:vAlign w:val="center"/>
          </w:tcPr>
          <w:p w14:paraId="79AE4F33" w14:textId="77777777" w:rsidR="00E376C4" w:rsidRPr="00286917" w:rsidRDefault="00E376C4" w:rsidP="00E15AA0">
            <w:pPr>
              <w:jc w:val="center"/>
              <w:rPr>
                <w:sz w:val="18"/>
                <w:szCs w:val="18"/>
              </w:rPr>
            </w:pPr>
          </w:p>
        </w:tc>
        <w:tc>
          <w:tcPr>
            <w:tcW w:w="500" w:type="dxa"/>
            <w:shd w:val="clear" w:color="auto" w:fill="auto"/>
            <w:vAlign w:val="center"/>
          </w:tcPr>
          <w:p w14:paraId="2F2160F2" w14:textId="77777777" w:rsidR="00E376C4" w:rsidRPr="00286917" w:rsidRDefault="00E376C4" w:rsidP="00E15AA0">
            <w:pPr>
              <w:jc w:val="center"/>
              <w:rPr>
                <w:sz w:val="18"/>
                <w:szCs w:val="18"/>
              </w:rPr>
            </w:pPr>
          </w:p>
        </w:tc>
        <w:tc>
          <w:tcPr>
            <w:tcW w:w="500" w:type="dxa"/>
            <w:shd w:val="clear" w:color="auto" w:fill="auto"/>
            <w:vAlign w:val="center"/>
          </w:tcPr>
          <w:p w14:paraId="2E9102B3" w14:textId="77777777" w:rsidR="00E376C4" w:rsidRPr="00286917" w:rsidRDefault="00E376C4" w:rsidP="00E15AA0">
            <w:pPr>
              <w:jc w:val="center"/>
              <w:rPr>
                <w:sz w:val="18"/>
                <w:szCs w:val="18"/>
              </w:rPr>
            </w:pPr>
          </w:p>
        </w:tc>
        <w:tc>
          <w:tcPr>
            <w:tcW w:w="500" w:type="dxa"/>
            <w:shd w:val="clear" w:color="auto" w:fill="auto"/>
            <w:vAlign w:val="center"/>
          </w:tcPr>
          <w:p w14:paraId="0C215E41" w14:textId="77777777" w:rsidR="00E376C4" w:rsidRPr="00286917" w:rsidRDefault="00E376C4" w:rsidP="00E15AA0">
            <w:pPr>
              <w:jc w:val="center"/>
              <w:rPr>
                <w:sz w:val="18"/>
                <w:szCs w:val="18"/>
              </w:rPr>
            </w:pPr>
          </w:p>
        </w:tc>
      </w:tr>
      <w:tr w:rsidR="00E376C4" w:rsidRPr="008B4DDE" w14:paraId="7ABC6B90" w14:textId="77777777" w:rsidTr="00E15AA0">
        <w:trPr>
          <w:trHeight w:val="454"/>
        </w:trPr>
        <w:tc>
          <w:tcPr>
            <w:tcW w:w="2325" w:type="dxa"/>
            <w:tcMar>
              <w:left w:w="85" w:type="dxa"/>
              <w:right w:w="85" w:type="dxa"/>
            </w:tcMar>
            <w:vAlign w:val="center"/>
          </w:tcPr>
          <w:p w14:paraId="1100A5C1" w14:textId="77777777" w:rsidR="00E376C4" w:rsidRPr="00286917" w:rsidRDefault="00E376C4" w:rsidP="00E15AA0">
            <w:pPr>
              <w:rPr>
                <w:sz w:val="18"/>
                <w:szCs w:val="18"/>
              </w:rPr>
            </w:pPr>
            <w:r>
              <w:rPr>
                <w:sz w:val="18"/>
                <w:szCs w:val="18"/>
              </w:rPr>
              <w:t xml:space="preserve">TP06 Deferred Members Project </w:t>
            </w:r>
          </w:p>
        </w:tc>
        <w:tc>
          <w:tcPr>
            <w:tcW w:w="432" w:type="dxa"/>
            <w:vAlign w:val="center"/>
          </w:tcPr>
          <w:p w14:paraId="60E3A69E" w14:textId="77777777" w:rsidR="00E376C4" w:rsidRPr="00286917" w:rsidRDefault="00E376C4" w:rsidP="00E15AA0">
            <w:pPr>
              <w:jc w:val="center"/>
              <w:rPr>
                <w:rFonts w:cs="Arial"/>
                <w:sz w:val="18"/>
                <w:szCs w:val="18"/>
              </w:rPr>
            </w:pPr>
            <w:r>
              <w:rPr>
                <w:rFonts w:cs="Arial"/>
                <w:sz w:val="18"/>
                <w:szCs w:val="18"/>
              </w:rPr>
              <w:t>HU</w:t>
            </w:r>
          </w:p>
        </w:tc>
        <w:tc>
          <w:tcPr>
            <w:tcW w:w="500" w:type="dxa"/>
            <w:vAlign w:val="center"/>
          </w:tcPr>
          <w:p w14:paraId="187BDC82" w14:textId="77777777" w:rsidR="00E376C4" w:rsidRPr="00286917" w:rsidRDefault="00E376C4" w:rsidP="00E15AA0">
            <w:pPr>
              <w:jc w:val="center"/>
              <w:rPr>
                <w:rFonts w:cs="Arial"/>
                <w:sz w:val="18"/>
                <w:szCs w:val="18"/>
              </w:rPr>
            </w:pPr>
          </w:p>
        </w:tc>
        <w:tc>
          <w:tcPr>
            <w:tcW w:w="500" w:type="dxa"/>
            <w:vAlign w:val="center"/>
          </w:tcPr>
          <w:p w14:paraId="62C72A49" w14:textId="77777777" w:rsidR="00E376C4" w:rsidRPr="00286917" w:rsidRDefault="00E376C4" w:rsidP="00E15AA0">
            <w:pPr>
              <w:jc w:val="center"/>
              <w:rPr>
                <w:rFonts w:cs="Arial"/>
                <w:sz w:val="18"/>
                <w:szCs w:val="18"/>
              </w:rPr>
            </w:pPr>
            <w:r>
              <w:rPr>
                <w:rFonts w:cs="Arial"/>
                <w:sz w:val="18"/>
                <w:szCs w:val="18"/>
              </w:rPr>
              <w:t>25</w:t>
            </w:r>
          </w:p>
        </w:tc>
        <w:tc>
          <w:tcPr>
            <w:tcW w:w="500" w:type="dxa"/>
            <w:vAlign w:val="center"/>
          </w:tcPr>
          <w:p w14:paraId="0DAE222B" w14:textId="77777777" w:rsidR="00E376C4" w:rsidRPr="00286917" w:rsidRDefault="00E376C4" w:rsidP="00E15AA0">
            <w:pPr>
              <w:jc w:val="center"/>
              <w:rPr>
                <w:rFonts w:cs="Arial"/>
                <w:sz w:val="18"/>
                <w:szCs w:val="18"/>
              </w:rPr>
            </w:pPr>
          </w:p>
        </w:tc>
        <w:tc>
          <w:tcPr>
            <w:tcW w:w="500" w:type="dxa"/>
            <w:vAlign w:val="center"/>
          </w:tcPr>
          <w:p w14:paraId="6C617175" w14:textId="77777777" w:rsidR="00E376C4" w:rsidRPr="00286917" w:rsidRDefault="00E376C4" w:rsidP="00E15AA0">
            <w:pPr>
              <w:jc w:val="center"/>
              <w:rPr>
                <w:rFonts w:cs="Arial"/>
                <w:sz w:val="18"/>
                <w:szCs w:val="18"/>
              </w:rPr>
            </w:pPr>
          </w:p>
        </w:tc>
        <w:tc>
          <w:tcPr>
            <w:tcW w:w="1100" w:type="dxa"/>
            <w:tcMar>
              <w:left w:w="113" w:type="dxa"/>
              <w:right w:w="85" w:type="dxa"/>
            </w:tcMar>
            <w:vAlign w:val="center"/>
          </w:tcPr>
          <w:p w14:paraId="714A8B4A" w14:textId="77777777" w:rsidR="00E376C4" w:rsidRPr="00286917" w:rsidRDefault="00E376C4" w:rsidP="00E15AA0">
            <w:pPr>
              <w:ind w:left="-113" w:right="-85"/>
              <w:jc w:val="center"/>
              <w:rPr>
                <w:sz w:val="18"/>
                <w:szCs w:val="18"/>
              </w:rPr>
            </w:pPr>
            <w:r>
              <w:rPr>
                <w:sz w:val="18"/>
                <w:szCs w:val="18"/>
              </w:rPr>
              <w:t>Final TOR Issued</w:t>
            </w:r>
          </w:p>
        </w:tc>
        <w:tc>
          <w:tcPr>
            <w:tcW w:w="1100" w:type="dxa"/>
            <w:vAlign w:val="center"/>
          </w:tcPr>
          <w:p w14:paraId="53CE8467" w14:textId="77777777" w:rsidR="00E376C4" w:rsidRPr="00286917" w:rsidRDefault="00E376C4" w:rsidP="00E15AA0">
            <w:pPr>
              <w:jc w:val="center"/>
              <w:rPr>
                <w:sz w:val="18"/>
                <w:szCs w:val="18"/>
              </w:rPr>
            </w:pPr>
            <w:r>
              <w:rPr>
                <w:sz w:val="18"/>
                <w:szCs w:val="18"/>
              </w:rPr>
              <w:t>Jun 2015</w:t>
            </w:r>
          </w:p>
        </w:tc>
        <w:tc>
          <w:tcPr>
            <w:tcW w:w="1000" w:type="dxa"/>
            <w:tcBorders>
              <w:bottom w:val="single" w:sz="4" w:space="0" w:color="auto"/>
            </w:tcBorders>
            <w:shd w:val="clear" w:color="auto" w:fill="00B050"/>
            <w:vAlign w:val="center"/>
          </w:tcPr>
          <w:p w14:paraId="34BA3A43" w14:textId="77777777" w:rsidR="00E376C4" w:rsidRPr="00286917" w:rsidRDefault="00E376C4" w:rsidP="00E15AA0">
            <w:pPr>
              <w:jc w:val="center"/>
              <w:rPr>
                <w:sz w:val="18"/>
                <w:szCs w:val="18"/>
              </w:rPr>
            </w:pPr>
            <w:r>
              <w:rPr>
                <w:sz w:val="18"/>
                <w:szCs w:val="18"/>
              </w:rPr>
              <w:t>Jun 2015</w:t>
            </w:r>
          </w:p>
        </w:tc>
        <w:tc>
          <w:tcPr>
            <w:tcW w:w="900" w:type="dxa"/>
            <w:shd w:val="clear" w:color="auto" w:fill="auto"/>
            <w:vAlign w:val="center"/>
          </w:tcPr>
          <w:p w14:paraId="6759E3D2" w14:textId="77777777" w:rsidR="00E376C4" w:rsidRPr="00286917" w:rsidRDefault="00E376C4" w:rsidP="00E15AA0">
            <w:pPr>
              <w:jc w:val="center"/>
              <w:rPr>
                <w:sz w:val="18"/>
                <w:szCs w:val="18"/>
              </w:rPr>
            </w:pPr>
            <w:r>
              <w:rPr>
                <w:sz w:val="18"/>
                <w:szCs w:val="18"/>
              </w:rPr>
              <w:t>13/07/15</w:t>
            </w:r>
          </w:p>
        </w:tc>
        <w:tc>
          <w:tcPr>
            <w:tcW w:w="1000" w:type="dxa"/>
            <w:shd w:val="clear" w:color="auto" w:fill="auto"/>
            <w:vAlign w:val="center"/>
          </w:tcPr>
          <w:p w14:paraId="7E85D410" w14:textId="77777777" w:rsidR="00E376C4" w:rsidRPr="00286917" w:rsidRDefault="00E376C4" w:rsidP="00E15AA0">
            <w:pPr>
              <w:jc w:val="center"/>
              <w:rPr>
                <w:sz w:val="18"/>
                <w:szCs w:val="18"/>
              </w:rPr>
            </w:pPr>
            <w:r>
              <w:rPr>
                <w:sz w:val="18"/>
                <w:szCs w:val="18"/>
              </w:rPr>
              <w:t>Nov 2015</w:t>
            </w:r>
          </w:p>
        </w:tc>
        <w:tc>
          <w:tcPr>
            <w:tcW w:w="1000" w:type="dxa"/>
            <w:tcBorders>
              <w:bottom w:val="single" w:sz="4" w:space="0" w:color="auto"/>
            </w:tcBorders>
            <w:shd w:val="clear" w:color="auto" w:fill="auto"/>
            <w:vAlign w:val="center"/>
          </w:tcPr>
          <w:p w14:paraId="6F2575C7" w14:textId="77777777" w:rsidR="00E376C4" w:rsidRPr="00286917" w:rsidRDefault="00E376C4" w:rsidP="00E15AA0">
            <w:pPr>
              <w:jc w:val="center"/>
              <w:rPr>
                <w:i/>
                <w:sz w:val="18"/>
                <w:szCs w:val="18"/>
              </w:rPr>
            </w:pPr>
          </w:p>
        </w:tc>
        <w:tc>
          <w:tcPr>
            <w:tcW w:w="1000" w:type="dxa"/>
            <w:shd w:val="clear" w:color="auto" w:fill="auto"/>
            <w:vAlign w:val="center"/>
          </w:tcPr>
          <w:p w14:paraId="0B2438D3" w14:textId="77777777" w:rsidR="00E376C4" w:rsidRPr="00286917" w:rsidRDefault="00E376C4" w:rsidP="00E15AA0">
            <w:pPr>
              <w:jc w:val="center"/>
              <w:rPr>
                <w:sz w:val="18"/>
                <w:szCs w:val="18"/>
              </w:rPr>
            </w:pPr>
          </w:p>
        </w:tc>
        <w:tc>
          <w:tcPr>
            <w:tcW w:w="800" w:type="dxa"/>
            <w:shd w:val="clear" w:color="auto" w:fill="auto"/>
            <w:vAlign w:val="center"/>
          </w:tcPr>
          <w:p w14:paraId="07A4AEED" w14:textId="77777777" w:rsidR="00E376C4" w:rsidRPr="00286917" w:rsidRDefault="00E376C4" w:rsidP="00E15AA0">
            <w:pPr>
              <w:jc w:val="center"/>
              <w:rPr>
                <w:sz w:val="18"/>
                <w:szCs w:val="18"/>
              </w:rPr>
            </w:pPr>
          </w:p>
        </w:tc>
        <w:tc>
          <w:tcPr>
            <w:tcW w:w="500" w:type="dxa"/>
            <w:shd w:val="clear" w:color="auto" w:fill="auto"/>
            <w:vAlign w:val="center"/>
          </w:tcPr>
          <w:p w14:paraId="53D77D62" w14:textId="77777777" w:rsidR="00E376C4" w:rsidRPr="00286917" w:rsidRDefault="00E376C4" w:rsidP="00E15AA0">
            <w:pPr>
              <w:jc w:val="center"/>
              <w:rPr>
                <w:sz w:val="18"/>
                <w:szCs w:val="18"/>
              </w:rPr>
            </w:pPr>
          </w:p>
        </w:tc>
        <w:tc>
          <w:tcPr>
            <w:tcW w:w="500" w:type="dxa"/>
            <w:shd w:val="clear" w:color="auto" w:fill="auto"/>
            <w:vAlign w:val="center"/>
          </w:tcPr>
          <w:p w14:paraId="0CF1F6CA" w14:textId="77777777" w:rsidR="00E376C4" w:rsidRPr="00286917" w:rsidRDefault="00E376C4" w:rsidP="00E15AA0">
            <w:pPr>
              <w:jc w:val="center"/>
              <w:rPr>
                <w:sz w:val="18"/>
                <w:szCs w:val="18"/>
              </w:rPr>
            </w:pPr>
          </w:p>
        </w:tc>
        <w:tc>
          <w:tcPr>
            <w:tcW w:w="500" w:type="dxa"/>
            <w:shd w:val="clear" w:color="auto" w:fill="auto"/>
            <w:vAlign w:val="center"/>
          </w:tcPr>
          <w:p w14:paraId="39956339" w14:textId="77777777" w:rsidR="00E376C4" w:rsidRPr="00286917" w:rsidRDefault="00E376C4" w:rsidP="00E15AA0">
            <w:pPr>
              <w:jc w:val="center"/>
              <w:rPr>
                <w:sz w:val="18"/>
                <w:szCs w:val="18"/>
              </w:rPr>
            </w:pPr>
          </w:p>
        </w:tc>
        <w:tc>
          <w:tcPr>
            <w:tcW w:w="500" w:type="dxa"/>
            <w:shd w:val="clear" w:color="auto" w:fill="auto"/>
            <w:vAlign w:val="center"/>
          </w:tcPr>
          <w:p w14:paraId="330C5242" w14:textId="77777777" w:rsidR="00E376C4" w:rsidRPr="00286917" w:rsidRDefault="00E376C4" w:rsidP="00E15AA0">
            <w:pPr>
              <w:jc w:val="center"/>
              <w:rPr>
                <w:sz w:val="18"/>
                <w:szCs w:val="18"/>
              </w:rPr>
            </w:pPr>
          </w:p>
        </w:tc>
      </w:tr>
      <w:tr w:rsidR="00E376C4" w:rsidRPr="008B4DDE" w14:paraId="2CFEC492" w14:textId="77777777" w:rsidTr="00E15AA0">
        <w:trPr>
          <w:trHeight w:val="454"/>
        </w:trPr>
        <w:tc>
          <w:tcPr>
            <w:tcW w:w="2325" w:type="dxa"/>
            <w:tcMar>
              <w:left w:w="85" w:type="dxa"/>
              <w:right w:w="85" w:type="dxa"/>
            </w:tcMar>
            <w:vAlign w:val="center"/>
          </w:tcPr>
          <w:p w14:paraId="29777F5B" w14:textId="77777777" w:rsidR="00E376C4" w:rsidRPr="00286917" w:rsidRDefault="00E376C4" w:rsidP="00E15AA0">
            <w:pPr>
              <w:rPr>
                <w:sz w:val="18"/>
                <w:szCs w:val="18"/>
              </w:rPr>
            </w:pPr>
            <w:r>
              <w:rPr>
                <w:sz w:val="18"/>
                <w:szCs w:val="18"/>
              </w:rPr>
              <w:lastRenderedPageBreak/>
              <w:t>TP07 Scheme Reform – Training and Procedures</w:t>
            </w:r>
          </w:p>
        </w:tc>
        <w:tc>
          <w:tcPr>
            <w:tcW w:w="432" w:type="dxa"/>
            <w:vAlign w:val="center"/>
          </w:tcPr>
          <w:p w14:paraId="685D8C44" w14:textId="77777777" w:rsidR="00E376C4" w:rsidRPr="00286917" w:rsidRDefault="00E376C4" w:rsidP="00E15AA0">
            <w:pPr>
              <w:jc w:val="center"/>
              <w:rPr>
                <w:rFonts w:cs="Arial"/>
                <w:sz w:val="18"/>
                <w:szCs w:val="18"/>
              </w:rPr>
            </w:pPr>
            <w:r>
              <w:rPr>
                <w:rFonts w:cs="Arial"/>
                <w:sz w:val="18"/>
                <w:szCs w:val="18"/>
              </w:rPr>
              <w:t>HU</w:t>
            </w:r>
          </w:p>
        </w:tc>
        <w:tc>
          <w:tcPr>
            <w:tcW w:w="500" w:type="dxa"/>
            <w:vAlign w:val="center"/>
          </w:tcPr>
          <w:p w14:paraId="67DAEE1C" w14:textId="77777777" w:rsidR="00E376C4" w:rsidRPr="00286917" w:rsidRDefault="00E376C4" w:rsidP="00E15AA0">
            <w:pPr>
              <w:jc w:val="center"/>
              <w:rPr>
                <w:rFonts w:cs="Arial"/>
                <w:sz w:val="18"/>
                <w:szCs w:val="18"/>
              </w:rPr>
            </w:pPr>
            <w:r>
              <w:rPr>
                <w:rFonts w:cs="Arial"/>
                <w:sz w:val="18"/>
                <w:szCs w:val="18"/>
              </w:rPr>
              <w:t>30</w:t>
            </w:r>
          </w:p>
        </w:tc>
        <w:tc>
          <w:tcPr>
            <w:tcW w:w="500" w:type="dxa"/>
            <w:vAlign w:val="center"/>
          </w:tcPr>
          <w:p w14:paraId="54ED871B" w14:textId="77777777" w:rsidR="00E376C4" w:rsidRPr="00286917" w:rsidRDefault="00E376C4" w:rsidP="00E15AA0">
            <w:pPr>
              <w:jc w:val="center"/>
              <w:rPr>
                <w:rFonts w:cs="Arial"/>
                <w:sz w:val="18"/>
                <w:szCs w:val="18"/>
              </w:rPr>
            </w:pPr>
          </w:p>
        </w:tc>
        <w:tc>
          <w:tcPr>
            <w:tcW w:w="500" w:type="dxa"/>
            <w:vAlign w:val="center"/>
          </w:tcPr>
          <w:p w14:paraId="3764F5F8" w14:textId="77777777" w:rsidR="00E376C4" w:rsidRPr="00286917" w:rsidRDefault="00E376C4" w:rsidP="00E15AA0">
            <w:pPr>
              <w:jc w:val="center"/>
              <w:rPr>
                <w:rFonts w:cs="Arial"/>
                <w:sz w:val="18"/>
                <w:szCs w:val="18"/>
              </w:rPr>
            </w:pPr>
          </w:p>
        </w:tc>
        <w:tc>
          <w:tcPr>
            <w:tcW w:w="500" w:type="dxa"/>
            <w:vAlign w:val="center"/>
          </w:tcPr>
          <w:p w14:paraId="373CF8CC" w14:textId="77777777" w:rsidR="00E376C4" w:rsidRPr="00286917" w:rsidRDefault="00E376C4" w:rsidP="00E15AA0">
            <w:pPr>
              <w:jc w:val="center"/>
              <w:rPr>
                <w:rFonts w:cs="Arial"/>
                <w:sz w:val="18"/>
                <w:szCs w:val="18"/>
              </w:rPr>
            </w:pPr>
          </w:p>
        </w:tc>
        <w:tc>
          <w:tcPr>
            <w:tcW w:w="1100" w:type="dxa"/>
            <w:tcMar>
              <w:left w:w="113" w:type="dxa"/>
              <w:right w:w="85" w:type="dxa"/>
            </w:tcMar>
            <w:vAlign w:val="center"/>
          </w:tcPr>
          <w:p w14:paraId="39216B73" w14:textId="77777777" w:rsidR="00E376C4" w:rsidRPr="009D5D3F" w:rsidRDefault="00E376C4" w:rsidP="00E15AA0">
            <w:pPr>
              <w:ind w:left="-113" w:right="-85"/>
              <w:jc w:val="center"/>
              <w:rPr>
                <w:sz w:val="18"/>
                <w:szCs w:val="18"/>
              </w:rPr>
            </w:pPr>
            <w:r>
              <w:rPr>
                <w:sz w:val="18"/>
                <w:szCs w:val="18"/>
              </w:rPr>
              <w:t>Final Report</w:t>
            </w:r>
          </w:p>
        </w:tc>
        <w:tc>
          <w:tcPr>
            <w:tcW w:w="1100" w:type="dxa"/>
            <w:vAlign w:val="center"/>
          </w:tcPr>
          <w:p w14:paraId="5223DD3D" w14:textId="77777777" w:rsidR="00E376C4" w:rsidRPr="00286917" w:rsidRDefault="00E376C4" w:rsidP="00E15AA0">
            <w:pPr>
              <w:jc w:val="center"/>
              <w:rPr>
                <w:sz w:val="18"/>
                <w:szCs w:val="18"/>
              </w:rPr>
            </w:pPr>
            <w:r>
              <w:rPr>
                <w:sz w:val="18"/>
                <w:szCs w:val="18"/>
              </w:rPr>
              <w:t>Feb 2015</w:t>
            </w:r>
          </w:p>
        </w:tc>
        <w:tc>
          <w:tcPr>
            <w:tcW w:w="1000" w:type="dxa"/>
            <w:tcBorders>
              <w:bottom w:val="single" w:sz="4" w:space="0" w:color="auto"/>
            </w:tcBorders>
            <w:shd w:val="clear" w:color="auto" w:fill="00B050"/>
            <w:vAlign w:val="center"/>
          </w:tcPr>
          <w:p w14:paraId="44EB4B6C" w14:textId="77777777" w:rsidR="00E376C4" w:rsidRPr="00286917" w:rsidRDefault="00E376C4" w:rsidP="00E15AA0">
            <w:pPr>
              <w:jc w:val="center"/>
              <w:rPr>
                <w:color w:val="000000"/>
                <w:sz w:val="18"/>
                <w:szCs w:val="18"/>
              </w:rPr>
            </w:pPr>
            <w:r>
              <w:rPr>
                <w:color w:val="000000"/>
                <w:sz w:val="18"/>
                <w:szCs w:val="18"/>
              </w:rPr>
              <w:t>Jan 2015</w:t>
            </w:r>
          </w:p>
        </w:tc>
        <w:tc>
          <w:tcPr>
            <w:tcW w:w="900" w:type="dxa"/>
            <w:shd w:val="clear" w:color="auto" w:fill="auto"/>
            <w:vAlign w:val="center"/>
          </w:tcPr>
          <w:p w14:paraId="11B9350B" w14:textId="77777777" w:rsidR="00E376C4" w:rsidRPr="00286917" w:rsidRDefault="00E376C4" w:rsidP="00E15AA0">
            <w:pPr>
              <w:jc w:val="center"/>
              <w:rPr>
                <w:sz w:val="18"/>
                <w:szCs w:val="18"/>
              </w:rPr>
            </w:pPr>
            <w:r>
              <w:rPr>
                <w:sz w:val="18"/>
                <w:szCs w:val="18"/>
              </w:rPr>
              <w:t>04/03/15</w:t>
            </w:r>
          </w:p>
        </w:tc>
        <w:tc>
          <w:tcPr>
            <w:tcW w:w="1000" w:type="dxa"/>
            <w:shd w:val="clear" w:color="auto" w:fill="auto"/>
            <w:vAlign w:val="center"/>
          </w:tcPr>
          <w:p w14:paraId="0934B36D" w14:textId="77777777" w:rsidR="00E376C4" w:rsidRPr="00286917" w:rsidRDefault="00E376C4" w:rsidP="00E15AA0">
            <w:pPr>
              <w:jc w:val="center"/>
              <w:rPr>
                <w:sz w:val="18"/>
                <w:szCs w:val="18"/>
              </w:rPr>
            </w:pPr>
            <w:r>
              <w:rPr>
                <w:sz w:val="18"/>
                <w:szCs w:val="18"/>
              </w:rPr>
              <w:t>Apr 2015</w:t>
            </w:r>
          </w:p>
        </w:tc>
        <w:tc>
          <w:tcPr>
            <w:tcW w:w="1000" w:type="dxa"/>
            <w:tcBorders>
              <w:bottom w:val="single" w:sz="4" w:space="0" w:color="auto"/>
            </w:tcBorders>
            <w:shd w:val="clear" w:color="auto" w:fill="00B050"/>
            <w:vAlign w:val="center"/>
          </w:tcPr>
          <w:p w14:paraId="45D41A90" w14:textId="77777777" w:rsidR="00E376C4" w:rsidRPr="00145B62" w:rsidRDefault="00E376C4" w:rsidP="00E15AA0">
            <w:pPr>
              <w:jc w:val="center"/>
              <w:rPr>
                <w:sz w:val="18"/>
                <w:szCs w:val="18"/>
              </w:rPr>
            </w:pPr>
            <w:r>
              <w:rPr>
                <w:sz w:val="18"/>
                <w:szCs w:val="18"/>
              </w:rPr>
              <w:t>Apr 2015</w:t>
            </w:r>
          </w:p>
        </w:tc>
        <w:tc>
          <w:tcPr>
            <w:tcW w:w="1000" w:type="dxa"/>
            <w:shd w:val="clear" w:color="auto" w:fill="auto"/>
            <w:vAlign w:val="center"/>
          </w:tcPr>
          <w:p w14:paraId="750BE877" w14:textId="77777777" w:rsidR="00E376C4" w:rsidRPr="00286917" w:rsidRDefault="00E376C4" w:rsidP="00E15AA0">
            <w:pPr>
              <w:jc w:val="center"/>
              <w:rPr>
                <w:sz w:val="18"/>
                <w:szCs w:val="18"/>
              </w:rPr>
            </w:pPr>
            <w:r>
              <w:rPr>
                <w:sz w:val="18"/>
                <w:szCs w:val="18"/>
              </w:rPr>
              <w:t>01/05/15</w:t>
            </w:r>
          </w:p>
        </w:tc>
        <w:tc>
          <w:tcPr>
            <w:tcW w:w="800" w:type="dxa"/>
            <w:shd w:val="clear" w:color="auto" w:fill="auto"/>
            <w:vAlign w:val="center"/>
          </w:tcPr>
          <w:p w14:paraId="64E21B7C" w14:textId="77777777" w:rsidR="00E376C4" w:rsidRPr="0001754C" w:rsidRDefault="00E376C4" w:rsidP="00E15AA0">
            <w:pPr>
              <w:jc w:val="center"/>
              <w:rPr>
                <w:sz w:val="18"/>
                <w:szCs w:val="18"/>
              </w:rPr>
            </w:pPr>
            <w:r>
              <w:rPr>
                <w:sz w:val="18"/>
                <w:szCs w:val="18"/>
              </w:rPr>
              <w:t>E</w:t>
            </w:r>
          </w:p>
        </w:tc>
        <w:tc>
          <w:tcPr>
            <w:tcW w:w="500" w:type="dxa"/>
            <w:shd w:val="clear" w:color="auto" w:fill="auto"/>
            <w:vAlign w:val="center"/>
          </w:tcPr>
          <w:p w14:paraId="5145406F" w14:textId="77777777" w:rsidR="00E376C4" w:rsidRPr="00F814A4" w:rsidRDefault="00E376C4" w:rsidP="00E15AA0">
            <w:pPr>
              <w:jc w:val="center"/>
              <w:rPr>
                <w:sz w:val="18"/>
                <w:szCs w:val="18"/>
              </w:rPr>
            </w:pPr>
            <w:r>
              <w:rPr>
                <w:sz w:val="18"/>
                <w:szCs w:val="18"/>
              </w:rPr>
              <w:t>-</w:t>
            </w:r>
          </w:p>
        </w:tc>
        <w:tc>
          <w:tcPr>
            <w:tcW w:w="500" w:type="dxa"/>
            <w:shd w:val="clear" w:color="auto" w:fill="auto"/>
            <w:vAlign w:val="center"/>
          </w:tcPr>
          <w:p w14:paraId="68C5BABD" w14:textId="77777777" w:rsidR="00E376C4" w:rsidRPr="00F814A4" w:rsidRDefault="00E376C4" w:rsidP="00E15AA0">
            <w:pPr>
              <w:jc w:val="center"/>
              <w:rPr>
                <w:sz w:val="18"/>
                <w:szCs w:val="18"/>
              </w:rPr>
            </w:pPr>
            <w:r>
              <w:rPr>
                <w:sz w:val="18"/>
                <w:szCs w:val="18"/>
              </w:rPr>
              <w:t>-</w:t>
            </w:r>
          </w:p>
        </w:tc>
        <w:tc>
          <w:tcPr>
            <w:tcW w:w="500" w:type="dxa"/>
            <w:shd w:val="clear" w:color="auto" w:fill="auto"/>
            <w:vAlign w:val="center"/>
          </w:tcPr>
          <w:p w14:paraId="0499CB64" w14:textId="77777777" w:rsidR="00E376C4" w:rsidRPr="00F814A4" w:rsidRDefault="00E376C4" w:rsidP="00E15AA0">
            <w:pPr>
              <w:jc w:val="center"/>
              <w:rPr>
                <w:sz w:val="18"/>
                <w:szCs w:val="18"/>
              </w:rPr>
            </w:pPr>
            <w:r>
              <w:rPr>
                <w:sz w:val="18"/>
                <w:szCs w:val="18"/>
              </w:rPr>
              <w:t>1</w:t>
            </w:r>
          </w:p>
        </w:tc>
        <w:tc>
          <w:tcPr>
            <w:tcW w:w="500" w:type="dxa"/>
            <w:shd w:val="clear" w:color="auto" w:fill="auto"/>
            <w:vAlign w:val="center"/>
          </w:tcPr>
          <w:p w14:paraId="1B1C6FEE" w14:textId="77777777" w:rsidR="00E376C4" w:rsidRPr="00F814A4" w:rsidRDefault="00E376C4" w:rsidP="00E15AA0">
            <w:pPr>
              <w:jc w:val="center"/>
              <w:rPr>
                <w:sz w:val="18"/>
                <w:szCs w:val="18"/>
              </w:rPr>
            </w:pPr>
            <w:r>
              <w:rPr>
                <w:sz w:val="18"/>
                <w:szCs w:val="18"/>
              </w:rPr>
              <w:t>2</w:t>
            </w:r>
          </w:p>
        </w:tc>
      </w:tr>
      <w:tr w:rsidR="00E376C4" w:rsidRPr="008B4DDE" w14:paraId="1875184D" w14:textId="77777777" w:rsidTr="00E15AA0">
        <w:trPr>
          <w:trHeight w:val="454"/>
        </w:trPr>
        <w:tc>
          <w:tcPr>
            <w:tcW w:w="2325" w:type="dxa"/>
            <w:tcMar>
              <w:left w:w="85" w:type="dxa"/>
              <w:right w:w="85" w:type="dxa"/>
            </w:tcMar>
            <w:vAlign w:val="center"/>
          </w:tcPr>
          <w:p w14:paraId="44C7D6FA" w14:textId="77777777" w:rsidR="00E376C4" w:rsidRPr="00286917" w:rsidRDefault="00E376C4" w:rsidP="00E15AA0">
            <w:pPr>
              <w:rPr>
                <w:color w:val="000000"/>
                <w:sz w:val="18"/>
                <w:szCs w:val="18"/>
              </w:rPr>
            </w:pPr>
            <w:r>
              <w:rPr>
                <w:color w:val="000000"/>
                <w:sz w:val="18"/>
                <w:szCs w:val="18"/>
              </w:rPr>
              <w:t xml:space="preserve">TP08 Scheme Reform – Flexibilities </w:t>
            </w:r>
          </w:p>
        </w:tc>
        <w:tc>
          <w:tcPr>
            <w:tcW w:w="432" w:type="dxa"/>
            <w:vAlign w:val="center"/>
          </w:tcPr>
          <w:p w14:paraId="418F08AA" w14:textId="77777777" w:rsidR="00E376C4" w:rsidRPr="00286917" w:rsidRDefault="00E376C4" w:rsidP="00E15AA0">
            <w:pPr>
              <w:jc w:val="center"/>
              <w:rPr>
                <w:rFonts w:cs="Arial"/>
                <w:color w:val="000000"/>
                <w:sz w:val="18"/>
                <w:szCs w:val="18"/>
              </w:rPr>
            </w:pPr>
            <w:r>
              <w:rPr>
                <w:rFonts w:cs="Arial"/>
                <w:color w:val="000000"/>
                <w:sz w:val="18"/>
                <w:szCs w:val="18"/>
              </w:rPr>
              <w:t>HU</w:t>
            </w:r>
          </w:p>
        </w:tc>
        <w:tc>
          <w:tcPr>
            <w:tcW w:w="500" w:type="dxa"/>
            <w:vAlign w:val="center"/>
          </w:tcPr>
          <w:p w14:paraId="274C456A" w14:textId="77777777" w:rsidR="00E376C4" w:rsidRPr="00286917" w:rsidRDefault="00E376C4" w:rsidP="00E15AA0">
            <w:pPr>
              <w:jc w:val="center"/>
              <w:rPr>
                <w:rFonts w:cs="Arial"/>
                <w:color w:val="000000"/>
                <w:sz w:val="18"/>
                <w:szCs w:val="18"/>
              </w:rPr>
            </w:pPr>
            <w:r>
              <w:rPr>
                <w:rFonts w:cs="Arial"/>
                <w:color w:val="000000"/>
                <w:sz w:val="18"/>
                <w:szCs w:val="18"/>
              </w:rPr>
              <w:t>25</w:t>
            </w:r>
          </w:p>
        </w:tc>
        <w:tc>
          <w:tcPr>
            <w:tcW w:w="500" w:type="dxa"/>
            <w:vAlign w:val="center"/>
          </w:tcPr>
          <w:p w14:paraId="340FBD50" w14:textId="77777777" w:rsidR="00E376C4" w:rsidRPr="00286917" w:rsidRDefault="00E376C4" w:rsidP="00E15AA0">
            <w:pPr>
              <w:jc w:val="center"/>
              <w:rPr>
                <w:rFonts w:cs="Arial"/>
                <w:color w:val="000000"/>
                <w:sz w:val="18"/>
                <w:szCs w:val="18"/>
              </w:rPr>
            </w:pPr>
          </w:p>
        </w:tc>
        <w:tc>
          <w:tcPr>
            <w:tcW w:w="500" w:type="dxa"/>
            <w:vAlign w:val="center"/>
          </w:tcPr>
          <w:p w14:paraId="5ADE7CAE" w14:textId="77777777" w:rsidR="00E376C4" w:rsidRPr="00286917" w:rsidRDefault="00E376C4" w:rsidP="00E15AA0">
            <w:pPr>
              <w:jc w:val="center"/>
              <w:rPr>
                <w:rFonts w:cs="Arial"/>
                <w:color w:val="000000"/>
                <w:sz w:val="18"/>
                <w:szCs w:val="18"/>
              </w:rPr>
            </w:pPr>
          </w:p>
        </w:tc>
        <w:tc>
          <w:tcPr>
            <w:tcW w:w="500" w:type="dxa"/>
            <w:vAlign w:val="center"/>
          </w:tcPr>
          <w:p w14:paraId="2461F827" w14:textId="77777777" w:rsidR="00E376C4" w:rsidRPr="00286917" w:rsidRDefault="00E376C4" w:rsidP="00E15AA0">
            <w:pPr>
              <w:jc w:val="center"/>
              <w:rPr>
                <w:rFonts w:cs="Arial"/>
                <w:color w:val="000000"/>
                <w:sz w:val="18"/>
                <w:szCs w:val="18"/>
              </w:rPr>
            </w:pPr>
          </w:p>
        </w:tc>
        <w:tc>
          <w:tcPr>
            <w:tcW w:w="1100" w:type="dxa"/>
            <w:tcMar>
              <w:left w:w="113" w:type="dxa"/>
              <w:right w:w="85" w:type="dxa"/>
            </w:tcMar>
            <w:vAlign w:val="center"/>
          </w:tcPr>
          <w:p w14:paraId="5D79BAF2" w14:textId="77777777" w:rsidR="00E376C4" w:rsidRPr="00286917" w:rsidRDefault="00E376C4" w:rsidP="00E15AA0">
            <w:pPr>
              <w:ind w:left="-135" w:right="-97"/>
              <w:jc w:val="center"/>
              <w:rPr>
                <w:color w:val="000000"/>
                <w:sz w:val="18"/>
                <w:szCs w:val="18"/>
              </w:rPr>
            </w:pPr>
            <w:r>
              <w:rPr>
                <w:color w:val="000000"/>
                <w:sz w:val="18"/>
                <w:szCs w:val="18"/>
              </w:rPr>
              <w:t>Final Report</w:t>
            </w:r>
          </w:p>
        </w:tc>
        <w:tc>
          <w:tcPr>
            <w:tcW w:w="1100" w:type="dxa"/>
            <w:vAlign w:val="center"/>
          </w:tcPr>
          <w:p w14:paraId="2205BA65" w14:textId="77777777" w:rsidR="00E376C4" w:rsidRPr="00286917" w:rsidRDefault="00E376C4" w:rsidP="00E15AA0">
            <w:pPr>
              <w:jc w:val="center"/>
              <w:rPr>
                <w:sz w:val="18"/>
                <w:szCs w:val="18"/>
              </w:rPr>
            </w:pPr>
            <w:r>
              <w:rPr>
                <w:sz w:val="18"/>
                <w:szCs w:val="18"/>
              </w:rPr>
              <w:t xml:space="preserve"> Mar 2015</w:t>
            </w:r>
          </w:p>
        </w:tc>
        <w:tc>
          <w:tcPr>
            <w:tcW w:w="1000" w:type="dxa"/>
            <w:tcBorders>
              <w:bottom w:val="single" w:sz="4" w:space="0" w:color="auto"/>
            </w:tcBorders>
            <w:shd w:val="clear" w:color="auto" w:fill="00B050"/>
            <w:vAlign w:val="center"/>
          </w:tcPr>
          <w:p w14:paraId="50CC7E6C" w14:textId="77777777" w:rsidR="00E376C4" w:rsidRPr="00286917" w:rsidRDefault="00E376C4" w:rsidP="00E15AA0">
            <w:pPr>
              <w:jc w:val="center"/>
              <w:rPr>
                <w:sz w:val="18"/>
                <w:szCs w:val="18"/>
              </w:rPr>
            </w:pPr>
            <w:r>
              <w:rPr>
                <w:sz w:val="18"/>
                <w:szCs w:val="18"/>
              </w:rPr>
              <w:t>Jan 2015</w:t>
            </w:r>
          </w:p>
        </w:tc>
        <w:tc>
          <w:tcPr>
            <w:tcW w:w="900" w:type="dxa"/>
            <w:shd w:val="clear" w:color="auto" w:fill="auto"/>
            <w:vAlign w:val="center"/>
          </w:tcPr>
          <w:p w14:paraId="501AC4E2" w14:textId="77777777" w:rsidR="00E376C4" w:rsidRPr="00286917" w:rsidRDefault="00E376C4" w:rsidP="00E15AA0">
            <w:pPr>
              <w:jc w:val="center"/>
              <w:rPr>
                <w:sz w:val="18"/>
                <w:szCs w:val="18"/>
              </w:rPr>
            </w:pPr>
            <w:r>
              <w:rPr>
                <w:sz w:val="18"/>
                <w:szCs w:val="18"/>
              </w:rPr>
              <w:t>04/03/15</w:t>
            </w:r>
          </w:p>
        </w:tc>
        <w:tc>
          <w:tcPr>
            <w:tcW w:w="1000" w:type="dxa"/>
            <w:shd w:val="clear" w:color="auto" w:fill="auto"/>
            <w:vAlign w:val="center"/>
          </w:tcPr>
          <w:p w14:paraId="2DFFEF2A" w14:textId="77777777" w:rsidR="00E376C4" w:rsidRPr="00286917" w:rsidRDefault="00E376C4" w:rsidP="00E15AA0">
            <w:pPr>
              <w:rPr>
                <w:sz w:val="18"/>
                <w:szCs w:val="18"/>
              </w:rPr>
            </w:pPr>
            <w:r>
              <w:rPr>
                <w:sz w:val="18"/>
                <w:szCs w:val="18"/>
              </w:rPr>
              <w:t xml:space="preserve"> May 2015</w:t>
            </w:r>
          </w:p>
        </w:tc>
        <w:tc>
          <w:tcPr>
            <w:tcW w:w="1000" w:type="dxa"/>
            <w:tcBorders>
              <w:bottom w:val="single" w:sz="4" w:space="0" w:color="auto"/>
            </w:tcBorders>
            <w:shd w:val="clear" w:color="auto" w:fill="00B050"/>
            <w:vAlign w:val="center"/>
          </w:tcPr>
          <w:p w14:paraId="4E86E8A9" w14:textId="77777777" w:rsidR="00E376C4" w:rsidRPr="00286917" w:rsidRDefault="00E376C4" w:rsidP="00E15AA0">
            <w:pPr>
              <w:jc w:val="center"/>
              <w:rPr>
                <w:sz w:val="18"/>
                <w:szCs w:val="18"/>
              </w:rPr>
            </w:pPr>
            <w:r>
              <w:rPr>
                <w:sz w:val="18"/>
                <w:szCs w:val="18"/>
              </w:rPr>
              <w:t>May 2015</w:t>
            </w:r>
          </w:p>
        </w:tc>
        <w:tc>
          <w:tcPr>
            <w:tcW w:w="1000" w:type="dxa"/>
            <w:shd w:val="clear" w:color="auto" w:fill="auto"/>
            <w:vAlign w:val="center"/>
          </w:tcPr>
          <w:p w14:paraId="28988366" w14:textId="77777777" w:rsidR="00E376C4" w:rsidRPr="00C5374D" w:rsidRDefault="00E376C4" w:rsidP="00E15AA0">
            <w:pPr>
              <w:jc w:val="center"/>
              <w:rPr>
                <w:sz w:val="18"/>
                <w:szCs w:val="18"/>
              </w:rPr>
            </w:pPr>
            <w:r w:rsidRPr="00C5374D">
              <w:rPr>
                <w:sz w:val="18"/>
                <w:szCs w:val="18"/>
              </w:rPr>
              <w:t>05/06/15</w:t>
            </w:r>
          </w:p>
        </w:tc>
        <w:tc>
          <w:tcPr>
            <w:tcW w:w="800" w:type="dxa"/>
            <w:tcBorders>
              <w:bottom w:val="single" w:sz="4" w:space="0" w:color="auto"/>
            </w:tcBorders>
            <w:shd w:val="clear" w:color="auto" w:fill="auto"/>
            <w:vAlign w:val="center"/>
          </w:tcPr>
          <w:p w14:paraId="7DF59806" w14:textId="77777777" w:rsidR="00E376C4" w:rsidRPr="00C5374D" w:rsidRDefault="00E376C4" w:rsidP="00E15AA0">
            <w:pPr>
              <w:jc w:val="center"/>
              <w:rPr>
                <w:sz w:val="18"/>
                <w:szCs w:val="18"/>
              </w:rPr>
            </w:pPr>
            <w:r w:rsidRPr="00C5374D">
              <w:rPr>
                <w:sz w:val="18"/>
                <w:szCs w:val="18"/>
              </w:rPr>
              <w:t>IR</w:t>
            </w:r>
          </w:p>
        </w:tc>
        <w:tc>
          <w:tcPr>
            <w:tcW w:w="500" w:type="dxa"/>
            <w:shd w:val="clear" w:color="auto" w:fill="auto"/>
            <w:vAlign w:val="center"/>
          </w:tcPr>
          <w:p w14:paraId="51D61251" w14:textId="77777777" w:rsidR="00E376C4" w:rsidRPr="00C5374D" w:rsidRDefault="00E376C4" w:rsidP="00E15AA0">
            <w:pPr>
              <w:jc w:val="center"/>
              <w:rPr>
                <w:sz w:val="18"/>
                <w:szCs w:val="18"/>
              </w:rPr>
            </w:pPr>
            <w:r w:rsidRPr="00C5374D">
              <w:rPr>
                <w:sz w:val="18"/>
                <w:szCs w:val="18"/>
              </w:rPr>
              <w:t>-</w:t>
            </w:r>
          </w:p>
        </w:tc>
        <w:tc>
          <w:tcPr>
            <w:tcW w:w="500" w:type="dxa"/>
            <w:shd w:val="clear" w:color="auto" w:fill="auto"/>
            <w:vAlign w:val="center"/>
          </w:tcPr>
          <w:p w14:paraId="1C899C19" w14:textId="77777777" w:rsidR="00E376C4" w:rsidRPr="00C5374D" w:rsidRDefault="00E376C4" w:rsidP="00E15AA0">
            <w:pPr>
              <w:jc w:val="center"/>
              <w:rPr>
                <w:sz w:val="18"/>
                <w:szCs w:val="18"/>
              </w:rPr>
            </w:pPr>
            <w:r w:rsidRPr="00C5374D">
              <w:rPr>
                <w:sz w:val="18"/>
                <w:szCs w:val="18"/>
              </w:rPr>
              <w:t>-</w:t>
            </w:r>
          </w:p>
        </w:tc>
        <w:tc>
          <w:tcPr>
            <w:tcW w:w="500" w:type="dxa"/>
            <w:shd w:val="clear" w:color="auto" w:fill="auto"/>
            <w:vAlign w:val="center"/>
          </w:tcPr>
          <w:p w14:paraId="6636296C" w14:textId="77777777" w:rsidR="00E376C4" w:rsidRPr="00C5374D" w:rsidRDefault="00E376C4" w:rsidP="00E15AA0">
            <w:pPr>
              <w:jc w:val="center"/>
              <w:rPr>
                <w:sz w:val="18"/>
                <w:szCs w:val="18"/>
              </w:rPr>
            </w:pPr>
            <w:r w:rsidRPr="00C5374D">
              <w:rPr>
                <w:sz w:val="18"/>
                <w:szCs w:val="18"/>
              </w:rPr>
              <w:t>3</w:t>
            </w:r>
          </w:p>
        </w:tc>
        <w:tc>
          <w:tcPr>
            <w:tcW w:w="500" w:type="dxa"/>
            <w:shd w:val="clear" w:color="auto" w:fill="auto"/>
            <w:vAlign w:val="center"/>
          </w:tcPr>
          <w:p w14:paraId="46DFF2DE" w14:textId="77777777" w:rsidR="00E376C4" w:rsidRPr="00C5374D" w:rsidRDefault="00E376C4" w:rsidP="00E15AA0">
            <w:pPr>
              <w:jc w:val="center"/>
              <w:rPr>
                <w:sz w:val="18"/>
                <w:szCs w:val="18"/>
              </w:rPr>
            </w:pPr>
            <w:r w:rsidRPr="00C5374D">
              <w:rPr>
                <w:sz w:val="18"/>
                <w:szCs w:val="18"/>
              </w:rPr>
              <w:t>1</w:t>
            </w:r>
          </w:p>
        </w:tc>
      </w:tr>
      <w:tr w:rsidR="00E376C4" w:rsidRPr="008B4DDE" w14:paraId="63BDFE71" w14:textId="77777777" w:rsidTr="00E15AA0">
        <w:trPr>
          <w:trHeight w:val="454"/>
        </w:trPr>
        <w:tc>
          <w:tcPr>
            <w:tcW w:w="2325" w:type="dxa"/>
            <w:tcMar>
              <w:left w:w="85" w:type="dxa"/>
              <w:right w:w="85" w:type="dxa"/>
            </w:tcMar>
            <w:vAlign w:val="center"/>
          </w:tcPr>
          <w:p w14:paraId="5F31F9CB" w14:textId="77777777" w:rsidR="00E376C4" w:rsidRPr="00286917" w:rsidRDefault="00E376C4" w:rsidP="00E15AA0">
            <w:pPr>
              <w:jc w:val="both"/>
              <w:rPr>
                <w:sz w:val="18"/>
                <w:szCs w:val="18"/>
              </w:rPr>
            </w:pPr>
            <w:r>
              <w:rPr>
                <w:sz w:val="18"/>
                <w:szCs w:val="18"/>
              </w:rPr>
              <w:t xml:space="preserve">IT01 Hartlink Change Management </w:t>
            </w:r>
          </w:p>
        </w:tc>
        <w:tc>
          <w:tcPr>
            <w:tcW w:w="432" w:type="dxa"/>
            <w:vAlign w:val="center"/>
          </w:tcPr>
          <w:p w14:paraId="1B48C6F3" w14:textId="77777777" w:rsidR="00E376C4" w:rsidRPr="00286917" w:rsidRDefault="00E376C4" w:rsidP="00E15AA0">
            <w:pPr>
              <w:jc w:val="center"/>
              <w:rPr>
                <w:sz w:val="18"/>
                <w:szCs w:val="18"/>
              </w:rPr>
            </w:pPr>
            <w:r>
              <w:rPr>
                <w:sz w:val="18"/>
                <w:szCs w:val="18"/>
              </w:rPr>
              <w:t>IT</w:t>
            </w:r>
          </w:p>
        </w:tc>
        <w:tc>
          <w:tcPr>
            <w:tcW w:w="500" w:type="dxa"/>
            <w:vAlign w:val="center"/>
          </w:tcPr>
          <w:p w14:paraId="520528D3" w14:textId="77777777" w:rsidR="00E376C4" w:rsidRPr="00286917" w:rsidRDefault="00E376C4" w:rsidP="00E15AA0">
            <w:pPr>
              <w:jc w:val="center"/>
              <w:rPr>
                <w:rFonts w:cs="Arial"/>
                <w:sz w:val="18"/>
                <w:szCs w:val="18"/>
              </w:rPr>
            </w:pPr>
          </w:p>
        </w:tc>
        <w:tc>
          <w:tcPr>
            <w:tcW w:w="500" w:type="dxa"/>
            <w:vAlign w:val="center"/>
          </w:tcPr>
          <w:p w14:paraId="2AFC0A9C" w14:textId="77777777" w:rsidR="00E376C4" w:rsidRPr="00286917" w:rsidRDefault="00E376C4" w:rsidP="00E15AA0">
            <w:pPr>
              <w:jc w:val="center"/>
              <w:rPr>
                <w:rFonts w:cs="Arial"/>
                <w:sz w:val="18"/>
                <w:szCs w:val="18"/>
              </w:rPr>
            </w:pPr>
            <w:r>
              <w:rPr>
                <w:rFonts w:cs="Arial"/>
                <w:sz w:val="18"/>
                <w:szCs w:val="18"/>
              </w:rPr>
              <w:t>30</w:t>
            </w:r>
          </w:p>
        </w:tc>
        <w:tc>
          <w:tcPr>
            <w:tcW w:w="500" w:type="dxa"/>
            <w:vAlign w:val="center"/>
          </w:tcPr>
          <w:p w14:paraId="222FC1FD" w14:textId="77777777" w:rsidR="00E376C4" w:rsidRPr="00286917" w:rsidRDefault="00E376C4" w:rsidP="00E15AA0">
            <w:pPr>
              <w:jc w:val="center"/>
              <w:rPr>
                <w:rFonts w:cs="Arial"/>
                <w:sz w:val="18"/>
                <w:szCs w:val="18"/>
              </w:rPr>
            </w:pPr>
          </w:p>
        </w:tc>
        <w:tc>
          <w:tcPr>
            <w:tcW w:w="500" w:type="dxa"/>
            <w:vAlign w:val="center"/>
          </w:tcPr>
          <w:p w14:paraId="1D31CD0C" w14:textId="77777777" w:rsidR="00E376C4" w:rsidRPr="00286917" w:rsidRDefault="00E376C4" w:rsidP="00E15AA0">
            <w:pPr>
              <w:jc w:val="center"/>
              <w:rPr>
                <w:rFonts w:cs="Arial"/>
                <w:sz w:val="18"/>
                <w:szCs w:val="18"/>
              </w:rPr>
            </w:pPr>
          </w:p>
        </w:tc>
        <w:tc>
          <w:tcPr>
            <w:tcW w:w="1100" w:type="dxa"/>
            <w:tcMar>
              <w:left w:w="113" w:type="dxa"/>
              <w:right w:w="85" w:type="dxa"/>
            </w:tcMar>
            <w:vAlign w:val="center"/>
          </w:tcPr>
          <w:p w14:paraId="1A93F970" w14:textId="77777777" w:rsidR="00E376C4" w:rsidRDefault="00E376C4" w:rsidP="00E15AA0">
            <w:pPr>
              <w:ind w:left="-113" w:right="-85"/>
              <w:jc w:val="center"/>
              <w:rPr>
                <w:sz w:val="18"/>
                <w:szCs w:val="18"/>
              </w:rPr>
            </w:pPr>
            <w:r>
              <w:rPr>
                <w:sz w:val="18"/>
                <w:szCs w:val="18"/>
              </w:rPr>
              <w:t>Final Report</w:t>
            </w:r>
          </w:p>
        </w:tc>
        <w:tc>
          <w:tcPr>
            <w:tcW w:w="1100" w:type="dxa"/>
            <w:vAlign w:val="center"/>
          </w:tcPr>
          <w:p w14:paraId="39D4FA61" w14:textId="77777777" w:rsidR="00E376C4" w:rsidRDefault="00E376C4" w:rsidP="00E15AA0">
            <w:pPr>
              <w:jc w:val="center"/>
              <w:rPr>
                <w:color w:val="000000"/>
                <w:sz w:val="18"/>
                <w:szCs w:val="18"/>
              </w:rPr>
            </w:pPr>
            <w:r>
              <w:rPr>
                <w:color w:val="000000"/>
                <w:sz w:val="18"/>
                <w:szCs w:val="18"/>
              </w:rPr>
              <w:t>May 2015</w:t>
            </w:r>
          </w:p>
        </w:tc>
        <w:tc>
          <w:tcPr>
            <w:tcW w:w="1000" w:type="dxa"/>
            <w:tcBorders>
              <w:bottom w:val="single" w:sz="4" w:space="0" w:color="auto"/>
            </w:tcBorders>
            <w:shd w:val="clear" w:color="auto" w:fill="00B050"/>
            <w:vAlign w:val="center"/>
          </w:tcPr>
          <w:p w14:paraId="3A963A06" w14:textId="77777777" w:rsidR="00E376C4" w:rsidRPr="00286917" w:rsidRDefault="00E376C4" w:rsidP="00E15AA0">
            <w:pPr>
              <w:jc w:val="center"/>
              <w:rPr>
                <w:sz w:val="18"/>
                <w:szCs w:val="18"/>
              </w:rPr>
            </w:pPr>
            <w:r>
              <w:rPr>
                <w:sz w:val="18"/>
                <w:szCs w:val="18"/>
              </w:rPr>
              <w:t>Mar 2015</w:t>
            </w:r>
          </w:p>
        </w:tc>
        <w:tc>
          <w:tcPr>
            <w:tcW w:w="900" w:type="dxa"/>
            <w:shd w:val="clear" w:color="auto" w:fill="auto"/>
            <w:vAlign w:val="center"/>
          </w:tcPr>
          <w:p w14:paraId="303CC967" w14:textId="77777777" w:rsidR="00E376C4" w:rsidRPr="00286917" w:rsidRDefault="00E376C4" w:rsidP="00E15AA0">
            <w:pPr>
              <w:jc w:val="center"/>
              <w:rPr>
                <w:sz w:val="18"/>
                <w:szCs w:val="18"/>
              </w:rPr>
            </w:pPr>
            <w:r>
              <w:rPr>
                <w:sz w:val="18"/>
                <w:szCs w:val="18"/>
              </w:rPr>
              <w:t>24/03/15</w:t>
            </w:r>
          </w:p>
        </w:tc>
        <w:tc>
          <w:tcPr>
            <w:tcW w:w="1000" w:type="dxa"/>
            <w:shd w:val="clear" w:color="auto" w:fill="auto"/>
            <w:vAlign w:val="center"/>
          </w:tcPr>
          <w:p w14:paraId="27074A5D" w14:textId="77777777" w:rsidR="00E376C4" w:rsidRDefault="00E376C4" w:rsidP="00E15AA0">
            <w:pPr>
              <w:jc w:val="center"/>
              <w:rPr>
                <w:sz w:val="18"/>
                <w:szCs w:val="18"/>
              </w:rPr>
            </w:pPr>
            <w:r>
              <w:rPr>
                <w:sz w:val="18"/>
                <w:szCs w:val="18"/>
              </w:rPr>
              <w:t>Jun 2015</w:t>
            </w:r>
          </w:p>
        </w:tc>
        <w:tc>
          <w:tcPr>
            <w:tcW w:w="1000" w:type="dxa"/>
            <w:shd w:val="clear" w:color="auto" w:fill="00B050"/>
            <w:vAlign w:val="center"/>
          </w:tcPr>
          <w:p w14:paraId="5DBC925F" w14:textId="77777777" w:rsidR="00E376C4" w:rsidRPr="00286917" w:rsidRDefault="00E376C4" w:rsidP="00E15AA0">
            <w:pPr>
              <w:jc w:val="center"/>
              <w:rPr>
                <w:sz w:val="18"/>
                <w:szCs w:val="18"/>
              </w:rPr>
            </w:pPr>
            <w:r>
              <w:rPr>
                <w:sz w:val="18"/>
                <w:szCs w:val="18"/>
              </w:rPr>
              <w:t>May 2015</w:t>
            </w:r>
          </w:p>
        </w:tc>
        <w:tc>
          <w:tcPr>
            <w:tcW w:w="1000" w:type="dxa"/>
            <w:shd w:val="clear" w:color="auto" w:fill="auto"/>
            <w:vAlign w:val="center"/>
          </w:tcPr>
          <w:p w14:paraId="26483662" w14:textId="77777777" w:rsidR="00E376C4" w:rsidRPr="00F72969" w:rsidRDefault="00E376C4" w:rsidP="00E15AA0">
            <w:pPr>
              <w:jc w:val="center"/>
              <w:rPr>
                <w:sz w:val="18"/>
                <w:szCs w:val="18"/>
              </w:rPr>
            </w:pPr>
            <w:r>
              <w:rPr>
                <w:sz w:val="18"/>
                <w:szCs w:val="18"/>
              </w:rPr>
              <w:t>12/06</w:t>
            </w:r>
            <w:r w:rsidRPr="00F72969">
              <w:rPr>
                <w:sz w:val="18"/>
                <w:szCs w:val="18"/>
              </w:rPr>
              <w:t>/15</w:t>
            </w:r>
          </w:p>
        </w:tc>
        <w:tc>
          <w:tcPr>
            <w:tcW w:w="800" w:type="dxa"/>
            <w:shd w:val="clear" w:color="auto" w:fill="auto"/>
            <w:vAlign w:val="center"/>
          </w:tcPr>
          <w:p w14:paraId="3B5B0859" w14:textId="77777777" w:rsidR="00E376C4" w:rsidRPr="00F72969" w:rsidRDefault="00E376C4" w:rsidP="00E15AA0">
            <w:pPr>
              <w:jc w:val="center"/>
              <w:rPr>
                <w:sz w:val="18"/>
                <w:szCs w:val="18"/>
              </w:rPr>
            </w:pPr>
            <w:r w:rsidRPr="00F72969">
              <w:rPr>
                <w:sz w:val="18"/>
                <w:szCs w:val="18"/>
              </w:rPr>
              <w:t>SIR</w:t>
            </w:r>
          </w:p>
        </w:tc>
        <w:tc>
          <w:tcPr>
            <w:tcW w:w="500" w:type="dxa"/>
            <w:shd w:val="clear" w:color="auto" w:fill="auto"/>
            <w:vAlign w:val="center"/>
          </w:tcPr>
          <w:p w14:paraId="2E5C0165" w14:textId="77777777" w:rsidR="00E376C4" w:rsidRPr="00F72969" w:rsidRDefault="00E376C4" w:rsidP="00E15AA0">
            <w:pPr>
              <w:jc w:val="center"/>
              <w:rPr>
                <w:sz w:val="18"/>
                <w:szCs w:val="18"/>
              </w:rPr>
            </w:pPr>
            <w:r w:rsidRPr="00F72969">
              <w:rPr>
                <w:sz w:val="18"/>
                <w:szCs w:val="18"/>
              </w:rPr>
              <w:t>-</w:t>
            </w:r>
          </w:p>
        </w:tc>
        <w:tc>
          <w:tcPr>
            <w:tcW w:w="500" w:type="dxa"/>
            <w:shd w:val="clear" w:color="auto" w:fill="auto"/>
            <w:vAlign w:val="center"/>
          </w:tcPr>
          <w:p w14:paraId="1AAE48F9" w14:textId="77777777" w:rsidR="00E376C4" w:rsidRPr="00F72969" w:rsidRDefault="00E376C4" w:rsidP="00E15AA0">
            <w:pPr>
              <w:jc w:val="center"/>
              <w:rPr>
                <w:sz w:val="18"/>
                <w:szCs w:val="18"/>
              </w:rPr>
            </w:pPr>
            <w:r w:rsidRPr="00F72969">
              <w:rPr>
                <w:sz w:val="18"/>
                <w:szCs w:val="18"/>
              </w:rPr>
              <w:t>1</w:t>
            </w:r>
          </w:p>
        </w:tc>
        <w:tc>
          <w:tcPr>
            <w:tcW w:w="500" w:type="dxa"/>
            <w:shd w:val="clear" w:color="auto" w:fill="auto"/>
            <w:vAlign w:val="center"/>
          </w:tcPr>
          <w:p w14:paraId="2B3244A9" w14:textId="77777777" w:rsidR="00E376C4" w:rsidRPr="00F72969" w:rsidRDefault="00E376C4" w:rsidP="00E15AA0">
            <w:pPr>
              <w:jc w:val="center"/>
              <w:rPr>
                <w:sz w:val="18"/>
                <w:szCs w:val="18"/>
              </w:rPr>
            </w:pPr>
            <w:r w:rsidRPr="00F72969">
              <w:rPr>
                <w:sz w:val="18"/>
                <w:szCs w:val="18"/>
              </w:rPr>
              <w:t>1</w:t>
            </w:r>
          </w:p>
        </w:tc>
        <w:tc>
          <w:tcPr>
            <w:tcW w:w="500" w:type="dxa"/>
            <w:shd w:val="clear" w:color="auto" w:fill="auto"/>
            <w:vAlign w:val="center"/>
          </w:tcPr>
          <w:p w14:paraId="4280D6D2" w14:textId="77777777" w:rsidR="00E376C4" w:rsidRPr="00F72969" w:rsidRDefault="00E376C4" w:rsidP="00E15AA0">
            <w:pPr>
              <w:jc w:val="center"/>
              <w:rPr>
                <w:sz w:val="18"/>
                <w:szCs w:val="18"/>
              </w:rPr>
            </w:pPr>
            <w:r w:rsidRPr="00F72969">
              <w:rPr>
                <w:sz w:val="18"/>
                <w:szCs w:val="18"/>
              </w:rPr>
              <w:t>1</w:t>
            </w:r>
          </w:p>
        </w:tc>
      </w:tr>
      <w:tr w:rsidR="00E376C4" w:rsidRPr="008B4DDE" w14:paraId="013E1EDD" w14:textId="77777777" w:rsidTr="00E15AA0">
        <w:trPr>
          <w:trHeight w:val="454"/>
        </w:trPr>
        <w:tc>
          <w:tcPr>
            <w:tcW w:w="2325" w:type="dxa"/>
            <w:tcMar>
              <w:left w:w="85" w:type="dxa"/>
              <w:right w:w="85" w:type="dxa"/>
            </w:tcMar>
            <w:vAlign w:val="center"/>
          </w:tcPr>
          <w:p w14:paraId="0AD7322F" w14:textId="77777777" w:rsidR="00E376C4" w:rsidRPr="00286917" w:rsidRDefault="00E376C4" w:rsidP="00E15AA0">
            <w:pPr>
              <w:jc w:val="both"/>
              <w:rPr>
                <w:sz w:val="18"/>
                <w:szCs w:val="18"/>
              </w:rPr>
            </w:pPr>
            <w:r>
              <w:rPr>
                <w:sz w:val="18"/>
                <w:szCs w:val="18"/>
              </w:rPr>
              <w:t xml:space="preserve">IT02 RMH Environment </w:t>
            </w:r>
          </w:p>
        </w:tc>
        <w:tc>
          <w:tcPr>
            <w:tcW w:w="432" w:type="dxa"/>
            <w:vAlign w:val="center"/>
          </w:tcPr>
          <w:p w14:paraId="7CACF596" w14:textId="77777777" w:rsidR="00E376C4" w:rsidRPr="00286917" w:rsidRDefault="00E376C4" w:rsidP="00E15AA0">
            <w:pPr>
              <w:jc w:val="center"/>
              <w:rPr>
                <w:sz w:val="18"/>
                <w:szCs w:val="18"/>
              </w:rPr>
            </w:pPr>
            <w:r>
              <w:rPr>
                <w:sz w:val="18"/>
                <w:szCs w:val="18"/>
              </w:rPr>
              <w:t>IT</w:t>
            </w:r>
          </w:p>
        </w:tc>
        <w:tc>
          <w:tcPr>
            <w:tcW w:w="500" w:type="dxa"/>
            <w:vAlign w:val="center"/>
          </w:tcPr>
          <w:p w14:paraId="12566465" w14:textId="77777777" w:rsidR="00E376C4" w:rsidRPr="00286917" w:rsidRDefault="00E376C4" w:rsidP="00E15AA0">
            <w:pPr>
              <w:jc w:val="center"/>
              <w:rPr>
                <w:rFonts w:cs="Arial"/>
                <w:sz w:val="18"/>
                <w:szCs w:val="18"/>
              </w:rPr>
            </w:pPr>
          </w:p>
        </w:tc>
        <w:tc>
          <w:tcPr>
            <w:tcW w:w="500" w:type="dxa"/>
            <w:vAlign w:val="center"/>
          </w:tcPr>
          <w:p w14:paraId="1756358F" w14:textId="77777777" w:rsidR="00E376C4" w:rsidRPr="00286917" w:rsidRDefault="00E376C4" w:rsidP="00E15AA0">
            <w:pPr>
              <w:jc w:val="center"/>
              <w:rPr>
                <w:rFonts w:cs="Arial"/>
                <w:sz w:val="18"/>
                <w:szCs w:val="18"/>
              </w:rPr>
            </w:pPr>
          </w:p>
        </w:tc>
        <w:tc>
          <w:tcPr>
            <w:tcW w:w="500" w:type="dxa"/>
            <w:vAlign w:val="center"/>
          </w:tcPr>
          <w:p w14:paraId="615171A2" w14:textId="77777777" w:rsidR="00E376C4" w:rsidRPr="00286917" w:rsidRDefault="00E376C4" w:rsidP="00E15AA0">
            <w:pPr>
              <w:jc w:val="center"/>
              <w:rPr>
                <w:rFonts w:cs="Arial"/>
                <w:sz w:val="18"/>
                <w:szCs w:val="18"/>
              </w:rPr>
            </w:pPr>
            <w:r>
              <w:rPr>
                <w:rFonts w:cs="Arial"/>
                <w:sz w:val="18"/>
                <w:szCs w:val="18"/>
              </w:rPr>
              <w:t>40</w:t>
            </w:r>
          </w:p>
        </w:tc>
        <w:tc>
          <w:tcPr>
            <w:tcW w:w="500" w:type="dxa"/>
            <w:vAlign w:val="center"/>
          </w:tcPr>
          <w:p w14:paraId="0C814705" w14:textId="77777777" w:rsidR="00E376C4" w:rsidRPr="00286917" w:rsidRDefault="00E376C4" w:rsidP="00E15AA0">
            <w:pPr>
              <w:jc w:val="center"/>
              <w:rPr>
                <w:rFonts w:cs="Arial"/>
                <w:sz w:val="18"/>
                <w:szCs w:val="18"/>
              </w:rPr>
            </w:pPr>
          </w:p>
        </w:tc>
        <w:tc>
          <w:tcPr>
            <w:tcW w:w="1100" w:type="dxa"/>
            <w:tcMar>
              <w:left w:w="113" w:type="dxa"/>
              <w:right w:w="85" w:type="dxa"/>
            </w:tcMar>
            <w:vAlign w:val="center"/>
          </w:tcPr>
          <w:p w14:paraId="568E4542" w14:textId="77777777" w:rsidR="00E376C4" w:rsidRDefault="00E376C4" w:rsidP="00E15AA0">
            <w:pPr>
              <w:ind w:left="-113" w:right="-85"/>
              <w:jc w:val="center"/>
              <w:rPr>
                <w:sz w:val="18"/>
                <w:szCs w:val="18"/>
              </w:rPr>
            </w:pPr>
            <w:r>
              <w:rPr>
                <w:sz w:val="18"/>
                <w:szCs w:val="18"/>
              </w:rPr>
              <w:t>Not Started</w:t>
            </w:r>
          </w:p>
        </w:tc>
        <w:tc>
          <w:tcPr>
            <w:tcW w:w="1100" w:type="dxa"/>
            <w:vAlign w:val="center"/>
          </w:tcPr>
          <w:p w14:paraId="2B03E8E4" w14:textId="77777777" w:rsidR="00E376C4" w:rsidRDefault="00E376C4" w:rsidP="00E15AA0">
            <w:pPr>
              <w:jc w:val="center"/>
              <w:rPr>
                <w:color w:val="000000"/>
                <w:sz w:val="18"/>
                <w:szCs w:val="18"/>
              </w:rPr>
            </w:pPr>
            <w:r>
              <w:rPr>
                <w:color w:val="000000"/>
                <w:sz w:val="18"/>
                <w:szCs w:val="18"/>
              </w:rPr>
              <w:t>Oct 2015</w:t>
            </w:r>
          </w:p>
        </w:tc>
        <w:tc>
          <w:tcPr>
            <w:tcW w:w="1000" w:type="dxa"/>
            <w:tcBorders>
              <w:bottom w:val="single" w:sz="4" w:space="0" w:color="auto"/>
            </w:tcBorders>
            <w:shd w:val="clear" w:color="auto" w:fill="auto"/>
            <w:vAlign w:val="center"/>
          </w:tcPr>
          <w:p w14:paraId="500A4C97" w14:textId="77777777" w:rsidR="00E376C4" w:rsidRPr="00286917" w:rsidRDefault="00E376C4" w:rsidP="00E15AA0">
            <w:pPr>
              <w:jc w:val="center"/>
              <w:rPr>
                <w:sz w:val="18"/>
                <w:szCs w:val="18"/>
              </w:rPr>
            </w:pPr>
          </w:p>
        </w:tc>
        <w:tc>
          <w:tcPr>
            <w:tcW w:w="900" w:type="dxa"/>
            <w:shd w:val="clear" w:color="auto" w:fill="auto"/>
            <w:vAlign w:val="center"/>
          </w:tcPr>
          <w:p w14:paraId="36292DEC" w14:textId="77777777" w:rsidR="00E376C4" w:rsidRPr="00286917" w:rsidRDefault="00E376C4" w:rsidP="00E15AA0">
            <w:pPr>
              <w:jc w:val="center"/>
              <w:rPr>
                <w:sz w:val="18"/>
                <w:szCs w:val="18"/>
              </w:rPr>
            </w:pPr>
          </w:p>
        </w:tc>
        <w:tc>
          <w:tcPr>
            <w:tcW w:w="1000" w:type="dxa"/>
            <w:shd w:val="clear" w:color="auto" w:fill="auto"/>
            <w:vAlign w:val="center"/>
          </w:tcPr>
          <w:p w14:paraId="64D3943E" w14:textId="77777777" w:rsidR="00E376C4" w:rsidRDefault="00E376C4" w:rsidP="00E15AA0">
            <w:pPr>
              <w:jc w:val="center"/>
              <w:rPr>
                <w:sz w:val="18"/>
                <w:szCs w:val="18"/>
              </w:rPr>
            </w:pPr>
            <w:r>
              <w:rPr>
                <w:sz w:val="18"/>
                <w:szCs w:val="18"/>
              </w:rPr>
              <w:t>Dec 2015</w:t>
            </w:r>
          </w:p>
        </w:tc>
        <w:tc>
          <w:tcPr>
            <w:tcW w:w="1000" w:type="dxa"/>
            <w:tcBorders>
              <w:bottom w:val="single" w:sz="4" w:space="0" w:color="auto"/>
            </w:tcBorders>
            <w:shd w:val="clear" w:color="auto" w:fill="auto"/>
            <w:vAlign w:val="center"/>
          </w:tcPr>
          <w:p w14:paraId="23EB02BD" w14:textId="77777777" w:rsidR="00E376C4" w:rsidRPr="00286917" w:rsidRDefault="00E376C4" w:rsidP="00E15AA0">
            <w:pPr>
              <w:jc w:val="center"/>
              <w:rPr>
                <w:sz w:val="18"/>
                <w:szCs w:val="18"/>
              </w:rPr>
            </w:pPr>
          </w:p>
        </w:tc>
        <w:tc>
          <w:tcPr>
            <w:tcW w:w="1000" w:type="dxa"/>
            <w:shd w:val="clear" w:color="auto" w:fill="auto"/>
            <w:vAlign w:val="center"/>
          </w:tcPr>
          <w:p w14:paraId="09D4DBF0" w14:textId="77777777" w:rsidR="00E376C4" w:rsidRPr="00286917" w:rsidRDefault="00E376C4" w:rsidP="00E15AA0">
            <w:pPr>
              <w:jc w:val="center"/>
              <w:rPr>
                <w:sz w:val="18"/>
                <w:szCs w:val="18"/>
              </w:rPr>
            </w:pPr>
          </w:p>
        </w:tc>
        <w:tc>
          <w:tcPr>
            <w:tcW w:w="800" w:type="dxa"/>
            <w:shd w:val="clear" w:color="auto" w:fill="auto"/>
            <w:vAlign w:val="center"/>
          </w:tcPr>
          <w:p w14:paraId="46064068" w14:textId="77777777" w:rsidR="00E376C4" w:rsidRPr="00286917" w:rsidRDefault="00E376C4" w:rsidP="00E15AA0">
            <w:pPr>
              <w:jc w:val="center"/>
              <w:rPr>
                <w:sz w:val="18"/>
                <w:szCs w:val="18"/>
              </w:rPr>
            </w:pPr>
          </w:p>
        </w:tc>
        <w:tc>
          <w:tcPr>
            <w:tcW w:w="500" w:type="dxa"/>
            <w:shd w:val="clear" w:color="auto" w:fill="auto"/>
            <w:vAlign w:val="center"/>
          </w:tcPr>
          <w:p w14:paraId="78E1B4CA" w14:textId="77777777" w:rsidR="00E376C4" w:rsidRPr="00286917" w:rsidRDefault="00E376C4" w:rsidP="00E15AA0">
            <w:pPr>
              <w:jc w:val="center"/>
              <w:rPr>
                <w:sz w:val="18"/>
                <w:szCs w:val="18"/>
              </w:rPr>
            </w:pPr>
          </w:p>
        </w:tc>
        <w:tc>
          <w:tcPr>
            <w:tcW w:w="500" w:type="dxa"/>
            <w:shd w:val="clear" w:color="auto" w:fill="auto"/>
            <w:vAlign w:val="center"/>
          </w:tcPr>
          <w:p w14:paraId="05E18F84" w14:textId="77777777" w:rsidR="00E376C4" w:rsidRPr="00286917" w:rsidRDefault="00E376C4" w:rsidP="00E15AA0">
            <w:pPr>
              <w:jc w:val="center"/>
              <w:rPr>
                <w:sz w:val="18"/>
                <w:szCs w:val="18"/>
              </w:rPr>
            </w:pPr>
          </w:p>
        </w:tc>
        <w:tc>
          <w:tcPr>
            <w:tcW w:w="500" w:type="dxa"/>
            <w:shd w:val="clear" w:color="auto" w:fill="auto"/>
            <w:vAlign w:val="center"/>
          </w:tcPr>
          <w:p w14:paraId="394B5E3F" w14:textId="77777777" w:rsidR="00E376C4" w:rsidRPr="00286917" w:rsidRDefault="00E376C4" w:rsidP="00E15AA0">
            <w:pPr>
              <w:jc w:val="center"/>
              <w:rPr>
                <w:sz w:val="18"/>
                <w:szCs w:val="18"/>
              </w:rPr>
            </w:pPr>
          </w:p>
        </w:tc>
        <w:tc>
          <w:tcPr>
            <w:tcW w:w="500" w:type="dxa"/>
            <w:shd w:val="clear" w:color="auto" w:fill="auto"/>
            <w:vAlign w:val="center"/>
          </w:tcPr>
          <w:p w14:paraId="1B6B5F92" w14:textId="77777777" w:rsidR="00E376C4" w:rsidRPr="00286917" w:rsidRDefault="00E376C4" w:rsidP="00E15AA0">
            <w:pPr>
              <w:jc w:val="center"/>
              <w:rPr>
                <w:sz w:val="18"/>
                <w:szCs w:val="18"/>
              </w:rPr>
            </w:pPr>
          </w:p>
        </w:tc>
      </w:tr>
      <w:tr w:rsidR="00E376C4" w:rsidRPr="008B4DDE" w14:paraId="1B213AAA" w14:textId="77777777" w:rsidTr="00E15AA0">
        <w:trPr>
          <w:trHeight w:val="454"/>
        </w:trPr>
        <w:tc>
          <w:tcPr>
            <w:tcW w:w="2325" w:type="dxa"/>
            <w:tcMar>
              <w:left w:w="85" w:type="dxa"/>
              <w:right w:w="85" w:type="dxa"/>
            </w:tcMar>
            <w:vAlign w:val="center"/>
          </w:tcPr>
          <w:p w14:paraId="4732A7F3" w14:textId="77777777" w:rsidR="00E376C4" w:rsidRDefault="00E376C4" w:rsidP="00E15AA0">
            <w:pPr>
              <w:jc w:val="both"/>
              <w:rPr>
                <w:sz w:val="18"/>
                <w:szCs w:val="18"/>
              </w:rPr>
            </w:pPr>
            <w:r>
              <w:rPr>
                <w:sz w:val="18"/>
                <w:szCs w:val="18"/>
              </w:rPr>
              <w:t>TP09 Scheme Reform – Operational Effectiveness</w:t>
            </w:r>
          </w:p>
        </w:tc>
        <w:tc>
          <w:tcPr>
            <w:tcW w:w="432" w:type="dxa"/>
            <w:vAlign w:val="center"/>
          </w:tcPr>
          <w:p w14:paraId="7D6200CC" w14:textId="77777777" w:rsidR="00E376C4" w:rsidRDefault="00E376C4" w:rsidP="00E15AA0">
            <w:pPr>
              <w:jc w:val="center"/>
              <w:rPr>
                <w:sz w:val="18"/>
                <w:szCs w:val="18"/>
              </w:rPr>
            </w:pPr>
            <w:r>
              <w:rPr>
                <w:sz w:val="18"/>
                <w:szCs w:val="18"/>
              </w:rPr>
              <w:t>HU</w:t>
            </w:r>
          </w:p>
        </w:tc>
        <w:tc>
          <w:tcPr>
            <w:tcW w:w="500" w:type="dxa"/>
            <w:vAlign w:val="center"/>
          </w:tcPr>
          <w:p w14:paraId="33C59084" w14:textId="77777777" w:rsidR="00E376C4" w:rsidRPr="00286917" w:rsidRDefault="00E376C4" w:rsidP="00E15AA0">
            <w:pPr>
              <w:jc w:val="center"/>
              <w:rPr>
                <w:rFonts w:cs="Arial"/>
                <w:sz w:val="18"/>
                <w:szCs w:val="18"/>
              </w:rPr>
            </w:pPr>
          </w:p>
        </w:tc>
        <w:tc>
          <w:tcPr>
            <w:tcW w:w="500" w:type="dxa"/>
            <w:vAlign w:val="center"/>
          </w:tcPr>
          <w:p w14:paraId="3D45DBEA" w14:textId="77777777" w:rsidR="00E376C4" w:rsidRPr="00286917" w:rsidRDefault="00E376C4" w:rsidP="00E15AA0">
            <w:pPr>
              <w:jc w:val="center"/>
              <w:rPr>
                <w:rFonts w:cs="Arial"/>
                <w:sz w:val="18"/>
                <w:szCs w:val="18"/>
              </w:rPr>
            </w:pPr>
          </w:p>
        </w:tc>
        <w:tc>
          <w:tcPr>
            <w:tcW w:w="500" w:type="dxa"/>
            <w:vAlign w:val="center"/>
          </w:tcPr>
          <w:p w14:paraId="3C12702F" w14:textId="77777777" w:rsidR="00E376C4" w:rsidRDefault="00E376C4" w:rsidP="00E15AA0">
            <w:pPr>
              <w:jc w:val="center"/>
              <w:rPr>
                <w:rFonts w:cs="Arial"/>
                <w:sz w:val="18"/>
                <w:szCs w:val="18"/>
              </w:rPr>
            </w:pPr>
          </w:p>
        </w:tc>
        <w:tc>
          <w:tcPr>
            <w:tcW w:w="500" w:type="dxa"/>
            <w:vAlign w:val="center"/>
          </w:tcPr>
          <w:p w14:paraId="2A667C30" w14:textId="77777777" w:rsidR="00E376C4" w:rsidRPr="00286917" w:rsidRDefault="00E376C4" w:rsidP="00E15AA0">
            <w:pPr>
              <w:jc w:val="center"/>
              <w:rPr>
                <w:rFonts w:cs="Arial"/>
                <w:sz w:val="18"/>
                <w:szCs w:val="18"/>
              </w:rPr>
            </w:pPr>
            <w:r>
              <w:rPr>
                <w:rFonts w:cs="Arial"/>
                <w:sz w:val="18"/>
                <w:szCs w:val="18"/>
              </w:rPr>
              <w:t>55</w:t>
            </w:r>
          </w:p>
        </w:tc>
        <w:tc>
          <w:tcPr>
            <w:tcW w:w="1100" w:type="dxa"/>
            <w:tcMar>
              <w:left w:w="113" w:type="dxa"/>
              <w:right w:w="85" w:type="dxa"/>
            </w:tcMar>
            <w:vAlign w:val="center"/>
          </w:tcPr>
          <w:p w14:paraId="38B7115C" w14:textId="77777777" w:rsidR="00E376C4" w:rsidRDefault="00E376C4" w:rsidP="00E15AA0">
            <w:pPr>
              <w:ind w:left="-113" w:right="-85"/>
              <w:jc w:val="center"/>
              <w:rPr>
                <w:sz w:val="18"/>
                <w:szCs w:val="18"/>
              </w:rPr>
            </w:pPr>
            <w:r>
              <w:rPr>
                <w:sz w:val="18"/>
                <w:szCs w:val="18"/>
              </w:rPr>
              <w:t>Planning</w:t>
            </w:r>
          </w:p>
        </w:tc>
        <w:tc>
          <w:tcPr>
            <w:tcW w:w="1100" w:type="dxa"/>
            <w:vAlign w:val="center"/>
          </w:tcPr>
          <w:p w14:paraId="6221BAAE" w14:textId="77777777" w:rsidR="00E376C4" w:rsidRDefault="00E376C4" w:rsidP="00E15AA0">
            <w:pPr>
              <w:jc w:val="center"/>
              <w:rPr>
                <w:color w:val="000000"/>
                <w:sz w:val="18"/>
                <w:szCs w:val="18"/>
              </w:rPr>
            </w:pPr>
            <w:r>
              <w:rPr>
                <w:color w:val="000000"/>
                <w:sz w:val="18"/>
                <w:szCs w:val="18"/>
              </w:rPr>
              <w:t>Sep 2015</w:t>
            </w:r>
          </w:p>
        </w:tc>
        <w:tc>
          <w:tcPr>
            <w:tcW w:w="1000" w:type="dxa"/>
            <w:tcBorders>
              <w:bottom w:val="single" w:sz="4" w:space="0" w:color="auto"/>
            </w:tcBorders>
            <w:shd w:val="clear" w:color="auto" w:fill="auto"/>
            <w:vAlign w:val="center"/>
          </w:tcPr>
          <w:p w14:paraId="43039142" w14:textId="77777777" w:rsidR="00E376C4" w:rsidRPr="00286917" w:rsidRDefault="00E376C4" w:rsidP="00E15AA0">
            <w:pPr>
              <w:jc w:val="center"/>
              <w:rPr>
                <w:sz w:val="18"/>
                <w:szCs w:val="18"/>
              </w:rPr>
            </w:pPr>
          </w:p>
        </w:tc>
        <w:tc>
          <w:tcPr>
            <w:tcW w:w="900" w:type="dxa"/>
            <w:shd w:val="clear" w:color="auto" w:fill="auto"/>
            <w:vAlign w:val="center"/>
          </w:tcPr>
          <w:p w14:paraId="7AE867F7" w14:textId="77777777" w:rsidR="00E376C4" w:rsidRPr="00286917" w:rsidRDefault="00E376C4" w:rsidP="00E15AA0">
            <w:pPr>
              <w:jc w:val="center"/>
              <w:rPr>
                <w:sz w:val="18"/>
                <w:szCs w:val="18"/>
              </w:rPr>
            </w:pPr>
          </w:p>
        </w:tc>
        <w:tc>
          <w:tcPr>
            <w:tcW w:w="1000" w:type="dxa"/>
            <w:shd w:val="clear" w:color="auto" w:fill="auto"/>
            <w:vAlign w:val="center"/>
          </w:tcPr>
          <w:p w14:paraId="40E96A83" w14:textId="77777777" w:rsidR="00E376C4" w:rsidRDefault="00E376C4" w:rsidP="00E15AA0">
            <w:pPr>
              <w:jc w:val="center"/>
              <w:rPr>
                <w:sz w:val="18"/>
                <w:szCs w:val="18"/>
              </w:rPr>
            </w:pPr>
            <w:r>
              <w:rPr>
                <w:sz w:val="18"/>
                <w:szCs w:val="18"/>
              </w:rPr>
              <w:t>Dec 2015</w:t>
            </w:r>
          </w:p>
        </w:tc>
        <w:tc>
          <w:tcPr>
            <w:tcW w:w="1000" w:type="dxa"/>
            <w:tcBorders>
              <w:bottom w:val="single" w:sz="4" w:space="0" w:color="auto"/>
            </w:tcBorders>
            <w:shd w:val="clear" w:color="auto" w:fill="auto"/>
            <w:vAlign w:val="center"/>
          </w:tcPr>
          <w:p w14:paraId="55A80020" w14:textId="77777777" w:rsidR="00E376C4" w:rsidRPr="00286917" w:rsidRDefault="00E376C4" w:rsidP="00E15AA0">
            <w:pPr>
              <w:jc w:val="center"/>
              <w:rPr>
                <w:sz w:val="18"/>
                <w:szCs w:val="18"/>
              </w:rPr>
            </w:pPr>
          </w:p>
        </w:tc>
        <w:tc>
          <w:tcPr>
            <w:tcW w:w="1000" w:type="dxa"/>
            <w:shd w:val="clear" w:color="auto" w:fill="auto"/>
            <w:vAlign w:val="center"/>
          </w:tcPr>
          <w:p w14:paraId="2919B1FB" w14:textId="77777777" w:rsidR="00E376C4" w:rsidRPr="00286917" w:rsidRDefault="00E376C4" w:rsidP="00E15AA0">
            <w:pPr>
              <w:jc w:val="center"/>
              <w:rPr>
                <w:sz w:val="18"/>
                <w:szCs w:val="18"/>
              </w:rPr>
            </w:pPr>
          </w:p>
        </w:tc>
        <w:tc>
          <w:tcPr>
            <w:tcW w:w="800" w:type="dxa"/>
            <w:shd w:val="clear" w:color="auto" w:fill="auto"/>
            <w:vAlign w:val="center"/>
          </w:tcPr>
          <w:p w14:paraId="59CDA24E" w14:textId="77777777" w:rsidR="00E376C4" w:rsidRPr="00286917" w:rsidRDefault="00E376C4" w:rsidP="00E15AA0">
            <w:pPr>
              <w:jc w:val="center"/>
              <w:rPr>
                <w:sz w:val="18"/>
                <w:szCs w:val="18"/>
              </w:rPr>
            </w:pPr>
          </w:p>
        </w:tc>
        <w:tc>
          <w:tcPr>
            <w:tcW w:w="500" w:type="dxa"/>
            <w:shd w:val="clear" w:color="auto" w:fill="auto"/>
            <w:vAlign w:val="center"/>
          </w:tcPr>
          <w:p w14:paraId="40D8660C" w14:textId="77777777" w:rsidR="00E376C4" w:rsidRPr="00286917" w:rsidRDefault="00E376C4" w:rsidP="00E15AA0">
            <w:pPr>
              <w:jc w:val="center"/>
              <w:rPr>
                <w:sz w:val="18"/>
                <w:szCs w:val="18"/>
              </w:rPr>
            </w:pPr>
          </w:p>
        </w:tc>
        <w:tc>
          <w:tcPr>
            <w:tcW w:w="500" w:type="dxa"/>
            <w:shd w:val="clear" w:color="auto" w:fill="auto"/>
            <w:vAlign w:val="center"/>
          </w:tcPr>
          <w:p w14:paraId="48CFC0C9" w14:textId="77777777" w:rsidR="00E376C4" w:rsidRPr="00286917" w:rsidRDefault="00E376C4" w:rsidP="00E15AA0">
            <w:pPr>
              <w:jc w:val="center"/>
              <w:rPr>
                <w:sz w:val="18"/>
                <w:szCs w:val="18"/>
              </w:rPr>
            </w:pPr>
          </w:p>
        </w:tc>
        <w:tc>
          <w:tcPr>
            <w:tcW w:w="500" w:type="dxa"/>
            <w:shd w:val="clear" w:color="auto" w:fill="auto"/>
            <w:vAlign w:val="center"/>
          </w:tcPr>
          <w:p w14:paraId="6523C478" w14:textId="77777777" w:rsidR="00E376C4" w:rsidRPr="00286917" w:rsidRDefault="00E376C4" w:rsidP="00E15AA0">
            <w:pPr>
              <w:jc w:val="center"/>
              <w:rPr>
                <w:sz w:val="18"/>
                <w:szCs w:val="18"/>
              </w:rPr>
            </w:pPr>
          </w:p>
        </w:tc>
        <w:tc>
          <w:tcPr>
            <w:tcW w:w="500" w:type="dxa"/>
            <w:shd w:val="clear" w:color="auto" w:fill="auto"/>
            <w:vAlign w:val="center"/>
          </w:tcPr>
          <w:p w14:paraId="28352D8D" w14:textId="77777777" w:rsidR="00E376C4" w:rsidRPr="00286917" w:rsidRDefault="00E376C4" w:rsidP="00E15AA0">
            <w:pPr>
              <w:jc w:val="center"/>
              <w:rPr>
                <w:sz w:val="18"/>
                <w:szCs w:val="18"/>
              </w:rPr>
            </w:pPr>
          </w:p>
        </w:tc>
      </w:tr>
      <w:tr w:rsidR="00E376C4" w:rsidRPr="008B4DDE" w14:paraId="15B0C535" w14:textId="77777777" w:rsidTr="00E15AA0">
        <w:trPr>
          <w:trHeight w:val="454"/>
        </w:trPr>
        <w:tc>
          <w:tcPr>
            <w:tcW w:w="2325" w:type="dxa"/>
            <w:tcMar>
              <w:left w:w="85" w:type="dxa"/>
              <w:right w:w="85" w:type="dxa"/>
            </w:tcMar>
            <w:vAlign w:val="center"/>
          </w:tcPr>
          <w:p w14:paraId="64D44753" w14:textId="77777777" w:rsidR="00E376C4" w:rsidRPr="00286917" w:rsidRDefault="00E376C4" w:rsidP="00E15AA0">
            <w:pPr>
              <w:jc w:val="both"/>
              <w:rPr>
                <w:sz w:val="18"/>
                <w:szCs w:val="18"/>
              </w:rPr>
            </w:pPr>
            <w:r w:rsidRPr="00286917">
              <w:rPr>
                <w:sz w:val="18"/>
                <w:szCs w:val="18"/>
              </w:rPr>
              <w:t>Annual Assurance Statement</w:t>
            </w:r>
          </w:p>
        </w:tc>
        <w:tc>
          <w:tcPr>
            <w:tcW w:w="432" w:type="dxa"/>
            <w:vAlign w:val="center"/>
          </w:tcPr>
          <w:p w14:paraId="3EC12480" w14:textId="77777777" w:rsidR="00E376C4" w:rsidRPr="00286917" w:rsidRDefault="00E376C4" w:rsidP="00E15AA0">
            <w:pPr>
              <w:jc w:val="center"/>
              <w:rPr>
                <w:sz w:val="18"/>
                <w:szCs w:val="18"/>
              </w:rPr>
            </w:pPr>
            <w:r w:rsidRPr="00286917">
              <w:rPr>
                <w:sz w:val="18"/>
                <w:szCs w:val="18"/>
              </w:rPr>
              <w:t>CD</w:t>
            </w:r>
          </w:p>
        </w:tc>
        <w:tc>
          <w:tcPr>
            <w:tcW w:w="500" w:type="dxa"/>
            <w:vAlign w:val="center"/>
          </w:tcPr>
          <w:p w14:paraId="12A22B2E" w14:textId="77777777" w:rsidR="00E376C4" w:rsidRPr="00286917" w:rsidRDefault="00E376C4" w:rsidP="00E15AA0">
            <w:pPr>
              <w:jc w:val="center"/>
              <w:rPr>
                <w:rFonts w:cs="Arial"/>
                <w:sz w:val="18"/>
                <w:szCs w:val="18"/>
              </w:rPr>
            </w:pPr>
          </w:p>
        </w:tc>
        <w:tc>
          <w:tcPr>
            <w:tcW w:w="500" w:type="dxa"/>
            <w:vAlign w:val="center"/>
          </w:tcPr>
          <w:p w14:paraId="725F2DAB" w14:textId="77777777" w:rsidR="00E376C4" w:rsidRPr="00286917" w:rsidRDefault="00E376C4" w:rsidP="00E15AA0">
            <w:pPr>
              <w:jc w:val="center"/>
              <w:rPr>
                <w:rFonts w:cs="Arial"/>
                <w:sz w:val="18"/>
                <w:szCs w:val="18"/>
              </w:rPr>
            </w:pPr>
            <w:r w:rsidRPr="00286917">
              <w:rPr>
                <w:rFonts w:cs="Arial"/>
                <w:sz w:val="18"/>
                <w:szCs w:val="18"/>
              </w:rPr>
              <w:t>5</w:t>
            </w:r>
          </w:p>
        </w:tc>
        <w:tc>
          <w:tcPr>
            <w:tcW w:w="500" w:type="dxa"/>
            <w:vAlign w:val="center"/>
          </w:tcPr>
          <w:p w14:paraId="4867EE89" w14:textId="77777777" w:rsidR="00E376C4" w:rsidRPr="00286917" w:rsidRDefault="00E376C4" w:rsidP="00E15AA0">
            <w:pPr>
              <w:jc w:val="center"/>
              <w:rPr>
                <w:rFonts w:cs="Arial"/>
                <w:sz w:val="18"/>
                <w:szCs w:val="18"/>
              </w:rPr>
            </w:pPr>
          </w:p>
        </w:tc>
        <w:tc>
          <w:tcPr>
            <w:tcW w:w="500" w:type="dxa"/>
            <w:vAlign w:val="center"/>
          </w:tcPr>
          <w:p w14:paraId="5636C985" w14:textId="77777777" w:rsidR="00E376C4" w:rsidRPr="00286917" w:rsidRDefault="00E376C4" w:rsidP="00E15AA0">
            <w:pPr>
              <w:jc w:val="center"/>
              <w:rPr>
                <w:rFonts w:cs="Arial"/>
                <w:sz w:val="18"/>
                <w:szCs w:val="18"/>
              </w:rPr>
            </w:pPr>
          </w:p>
        </w:tc>
        <w:tc>
          <w:tcPr>
            <w:tcW w:w="1100" w:type="dxa"/>
            <w:tcMar>
              <w:left w:w="113" w:type="dxa"/>
              <w:right w:w="85" w:type="dxa"/>
            </w:tcMar>
            <w:vAlign w:val="center"/>
          </w:tcPr>
          <w:p w14:paraId="0EDDE5A9" w14:textId="77777777" w:rsidR="00E376C4" w:rsidRPr="00286917" w:rsidRDefault="00E376C4" w:rsidP="00E15AA0">
            <w:pPr>
              <w:ind w:left="-113" w:right="-85"/>
              <w:jc w:val="center"/>
              <w:rPr>
                <w:sz w:val="18"/>
                <w:szCs w:val="18"/>
              </w:rPr>
            </w:pPr>
            <w:r>
              <w:rPr>
                <w:sz w:val="18"/>
                <w:szCs w:val="18"/>
              </w:rPr>
              <w:t>Complete</w:t>
            </w:r>
          </w:p>
        </w:tc>
        <w:tc>
          <w:tcPr>
            <w:tcW w:w="1100" w:type="dxa"/>
            <w:vAlign w:val="center"/>
          </w:tcPr>
          <w:p w14:paraId="71C03EE9" w14:textId="77777777" w:rsidR="00E376C4" w:rsidRPr="00286917" w:rsidRDefault="00E376C4" w:rsidP="00E15AA0">
            <w:pPr>
              <w:jc w:val="center"/>
              <w:rPr>
                <w:color w:val="000000"/>
                <w:sz w:val="18"/>
                <w:szCs w:val="18"/>
              </w:rPr>
            </w:pPr>
            <w:r>
              <w:rPr>
                <w:color w:val="000000"/>
                <w:sz w:val="18"/>
                <w:szCs w:val="18"/>
              </w:rPr>
              <w:t>N/A</w:t>
            </w:r>
          </w:p>
        </w:tc>
        <w:tc>
          <w:tcPr>
            <w:tcW w:w="1000" w:type="dxa"/>
            <w:tcBorders>
              <w:bottom w:val="single" w:sz="4" w:space="0" w:color="auto"/>
            </w:tcBorders>
            <w:shd w:val="clear" w:color="auto" w:fill="auto"/>
            <w:vAlign w:val="center"/>
          </w:tcPr>
          <w:p w14:paraId="773A6B86" w14:textId="77777777" w:rsidR="00E376C4" w:rsidRPr="00286917" w:rsidRDefault="00E376C4" w:rsidP="00E15AA0">
            <w:pPr>
              <w:jc w:val="center"/>
              <w:rPr>
                <w:sz w:val="18"/>
                <w:szCs w:val="18"/>
              </w:rPr>
            </w:pPr>
            <w:r>
              <w:rPr>
                <w:sz w:val="18"/>
                <w:szCs w:val="18"/>
              </w:rPr>
              <w:t>N/A</w:t>
            </w:r>
          </w:p>
        </w:tc>
        <w:tc>
          <w:tcPr>
            <w:tcW w:w="900" w:type="dxa"/>
            <w:shd w:val="clear" w:color="auto" w:fill="auto"/>
            <w:vAlign w:val="center"/>
          </w:tcPr>
          <w:p w14:paraId="173BEFB0" w14:textId="77777777" w:rsidR="00E376C4" w:rsidRPr="00286917" w:rsidRDefault="00E376C4" w:rsidP="00E15AA0">
            <w:pPr>
              <w:jc w:val="center"/>
              <w:rPr>
                <w:sz w:val="18"/>
                <w:szCs w:val="18"/>
              </w:rPr>
            </w:pPr>
            <w:r>
              <w:rPr>
                <w:sz w:val="18"/>
                <w:szCs w:val="18"/>
              </w:rPr>
              <w:t>N/A</w:t>
            </w:r>
          </w:p>
        </w:tc>
        <w:tc>
          <w:tcPr>
            <w:tcW w:w="1000" w:type="dxa"/>
            <w:shd w:val="clear" w:color="auto" w:fill="auto"/>
            <w:vAlign w:val="center"/>
          </w:tcPr>
          <w:p w14:paraId="7166FE16" w14:textId="77777777" w:rsidR="00E376C4" w:rsidRPr="00286917" w:rsidRDefault="00E376C4" w:rsidP="00E15AA0">
            <w:pPr>
              <w:jc w:val="center"/>
              <w:rPr>
                <w:sz w:val="18"/>
                <w:szCs w:val="18"/>
              </w:rPr>
            </w:pPr>
            <w:r>
              <w:rPr>
                <w:sz w:val="18"/>
                <w:szCs w:val="18"/>
              </w:rPr>
              <w:t>Apr 2015</w:t>
            </w:r>
          </w:p>
        </w:tc>
        <w:tc>
          <w:tcPr>
            <w:tcW w:w="1000" w:type="dxa"/>
            <w:shd w:val="clear" w:color="auto" w:fill="00B050"/>
            <w:vAlign w:val="center"/>
          </w:tcPr>
          <w:p w14:paraId="172E9951" w14:textId="77777777" w:rsidR="00E376C4" w:rsidRPr="00286917" w:rsidRDefault="00E376C4" w:rsidP="00E15AA0">
            <w:pPr>
              <w:jc w:val="center"/>
              <w:rPr>
                <w:sz w:val="18"/>
                <w:szCs w:val="18"/>
              </w:rPr>
            </w:pPr>
            <w:r>
              <w:rPr>
                <w:sz w:val="18"/>
                <w:szCs w:val="18"/>
              </w:rPr>
              <w:t>Apr 2015</w:t>
            </w:r>
          </w:p>
        </w:tc>
        <w:tc>
          <w:tcPr>
            <w:tcW w:w="1000" w:type="dxa"/>
            <w:shd w:val="clear" w:color="auto" w:fill="auto"/>
            <w:vAlign w:val="center"/>
          </w:tcPr>
          <w:p w14:paraId="71BC6D8C" w14:textId="77777777" w:rsidR="00E376C4" w:rsidRPr="00286917" w:rsidRDefault="00E376C4" w:rsidP="00E15AA0">
            <w:pPr>
              <w:jc w:val="center"/>
              <w:rPr>
                <w:sz w:val="18"/>
                <w:szCs w:val="18"/>
              </w:rPr>
            </w:pPr>
            <w:r>
              <w:rPr>
                <w:sz w:val="18"/>
                <w:szCs w:val="18"/>
              </w:rPr>
              <w:t>N/A</w:t>
            </w:r>
          </w:p>
        </w:tc>
        <w:tc>
          <w:tcPr>
            <w:tcW w:w="800" w:type="dxa"/>
            <w:shd w:val="clear" w:color="auto" w:fill="auto"/>
            <w:vAlign w:val="center"/>
          </w:tcPr>
          <w:p w14:paraId="64C38BBE" w14:textId="77777777" w:rsidR="00E376C4" w:rsidRPr="00286917" w:rsidRDefault="00E376C4" w:rsidP="00E15AA0">
            <w:pPr>
              <w:jc w:val="center"/>
              <w:rPr>
                <w:sz w:val="18"/>
                <w:szCs w:val="18"/>
              </w:rPr>
            </w:pPr>
            <w:r>
              <w:rPr>
                <w:sz w:val="18"/>
                <w:szCs w:val="18"/>
              </w:rPr>
              <w:t>N/A</w:t>
            </w:r>
          </w:p>
        </w:tc>
        <w:tc>
          <w:tcPr>
            <w:tcW w:w="500" w:type="dxa"/>
            <w:shd w:val="clear" w:color="auto" w:fill="auto"/>
            <w:vAlign w:val="center"/>
          </w:tcPr>
          <w:p w14:paraId="3CD4E9D7" w14:textId="77777777" w:rsidR="00E376C4" w:rsidRPr="00286917" w:rsidRDefault="00E376C4" w:rsidP="00E15AA0">
            <w:pPr>
              <w:jc w:val="center"/>
              <w:rPr>
                <w:sz w:val="18"/>
                <w:szCs w:val="18"/>
              </w:rPr>
            </w:pPr>
            <w:r>
              <w:rPr>
                <w:sz w:val="18"/>
                <w:szCs w:val="18"/>
              </w:rPr>
              <w:t>-</w:t>
            </w:r>
          </w:p>
        </w:tc>
        <w:tc>
          <w:tcPr>
            <w:tcW w:w="500" w:type="dxa"/>
            <w:shd w:val="clear" w:color="auto" w:fill="auto"/>
            <w:vAlign w:val="center"/>
          </w:tcPr>
          <w:p w14:paraId="4F1BB392" w14:textId="77777777" w:rsidR="00E376C4" w:rsidRPr="00286917" w:rsidRDefault="00E376C4" w:rsidP="00E15AA0">
            <w:pPr>
              <w:jc w:val="center"/>
              <w:rPr>
                <w:sz w:val="18"/>
                <w:szCs w:val="18"/>
              </w:rPr>
            </w:pPr>
            <w:r>
              <w:rPr>
                <w:sz w:val="18"/>
                <w:szCs w:val="18"/>
              </w:rPr>
              <w:t>-</w:t>
            </w:r>
          </w:p>
        </w:tc>
        <w:tc>
          <w:tcPr>
            <w:tcW w:w="500" w:type="dxa"/>
            <w:shd w:val="clear" w:color="auto" w:fill="auto"/>
            <w:vAlign w:val="center"/>
          </w:tcPr>
          <w:p w14:paraId="74C4D967" w14:textId="77777777" w:rsidR="00E376C4" w:rsidRPr="00286917" w:rsidRDefault="00E376C4" w:rsidP="00E15AA0">
            <w:pPr>
              <w:jc w:val="center"/>
              <w:rPr>
                <w:sz w:val="18"/>
                <w:szCs w:val="18"/>
              </w:rPr>
            </w:pPr>
            <w:r>
              <w:rPr>
                <w:sz w:val="18"/>
                <w:szCs w:val="18"/>
              </w:rPr>
              <w:t>-</w:t>
            </w:r>
          </w:p>
        </w:tc>
        <w:tc>
          <w:tcPr>
            <w:tcW w:w="500" w:type="dxa"/>
            <w:shd w:val="clear" w:color="auto" w:fill="auto"/>
            <w:vAlign w:val="center"/>
          </w:tcPr>
          <w:p w14:paraId="3ED53DCD" w14:textId="77777777" w:rsidR="00E376C4" w:rsidRPr="00286917" w:rsidRDefault="00E376C4" w:rsidP="00E15AA0">
            <w:pPr>
              <w:jc w:val="center"/>
              <w:rPr>
                <w:sz w:val="18"/>
                <w:szCs w:val="18"/>
              </w:rPr>
            </w:pPr>
            <w:r>
              <w:rPr>
                <w:sz w:val="18"/>
                <w:szCs w:val="18"/>
              </w:rPr>
              <w:t>-</w:t>
            </w:r>
          </w:p>
        </w:tc>
      </w:tr>
      <w:tr w:rsidR="00E376C4" w:rsidRPr="006B155F" w14:paraId="5D24D8D4" w14:textId="77777777" w:rsidTr="00E15AA0">
        <w:tc>
          <w:tcPr>
            <w:tcW w:w="2325" w:type="dxa"/>
            <w:shd w:val="clear" w:color="auto" w:fill="004E73"/>
            <w:tcMar>
              <w:left w:w="85" w:type="dxa"/>
              <w:right w:w="85" w:type="dxa"/>
            </w:tcMar>
            <w:vAlign w:val="center"/>
          </w:tcPr>
          <w:p w14:paraId="398A2CAA" w14:textId="77777777" w:rsidR="00E376C4" w:rsidRPr="00286917" w:rsidRDefault="00E376C4" w:rsidP="00E15AA0">
            <w:pPr>
              <w:spacing w:after="120"/>
              <w:jc w:val="both"/>
              <w:rPr>
                <w:b/>
              </w:rPr>
            </w:pPr>
            <w:r w:rsidRPr="00286917">
              <w:rPr>
                <w:b/>
                <w:sz w:val="22"/>
                <w:szCs w:val="22"/>
              </w:rPr>
              <w:t xml:space="preserve">Total </w:t>
            </w:r>
          </w:p>
        </w:tc>
        <w:tc>
          <w:tcPr>
            <w:tcW w:w="432" w:type="dxa"/>
            <w:shd w:val="clear" w:color="auto" w:fill="004E73"/>
            <w:vAlign w:val="center"/>
          </w:tcPr>
          <w:p w14:paraId="04E04842" w14:textId="77777777" w:rsidR="00E376C4" w:rsidRPr="00286917" w:rsidRDefault="00E376C4" w:rsidP="00E15AA0">
            <w:pPr>
              <w:spacing w:after="120"/>
              <w:jc w:val="center"/>
              <w:rPr>
                <w:b/>
              </w:rPr>
            </w:pPr>
          </w:p>
        </w:tc>
        <w:tc>
          <w:tcPr>
            <w:tcW w:w="500" w:type="dxa"/>
            <w:shd w:val="clear" w:color="auto" w:fill="004E73"/>
            <w:vAlign w:val="center"/>
          </w:tcPr>
          <w:p w14:paraId="2B40BEEE" w14:textId="77777777" w:rsidR="00E376C4" w:rsidRPr="003971C1" w:rsidRDefault="00E376C4" w:rsidP="00E15AA0">
            <w:pPr>
              <w:spacing w:after="120"/>
              <w:jc w:val="center"/>
              <w:rPr>
                <w:b/>
                <w:sz w:val="22"/>
                <w:szCs w:val="22"/>
              </w:rPr>
            </w:pPr>
            <w:r w:rsidRPr="003971C1">
              <w:rPr>
                <w:b/>
                <w:sz w:val="22"/>
                <w:szCs w:val="22"/>
              </w:rPr>
              <w:t>85</w:t>
            </w:r>
          </w:p>
        </w:tc>
        <w:tc>
          <w:tcPr>
            <w:tcW w:w="500" w:type="dxa"/>
            <w:shd w:val="clear" w:color="auto" w:fill="004E73"/>
            <w:vAlign w:val="center"/>
          </w:tcPr>
          <w:p w14:paraId="6DE977B7" w14:textId="77777777" w:rsidR="00E376C4" w:rsidRPr="003971C1" w:rsidRDefault="00E376C4" w:rsidP="00E15AA0">
            <w:pPr>
              <w:spacing w:after="120"/>
              <w:jc w:val="center"/>
              <w:rPr>
                <w:b/>
                <w:sz w:val="22"/>
                <w:szCs w:val="22"/>
              </w:rPr>
            </w:pPr>
            <w:r w:rsidRPr="003971C1">
              <w:rPr>
                <w:b/>
                <w:sz w:val="22"/>
                <w:szCs w:val="22"/>
              </w:rPr>
              <w:t>60</w:t>
            </w:r>
          </w:p>
        </w:tc>
        <w:tc>
          <w:tcPr>
            <w:tcW w:w="500" w:type="dxa"/>
            <w:shd w:val="clear" w:color="auto" w:fill="004E73"/>
            <w:vAlign w:val="center"/>
          </w:tcPr>
          <w:p w14:paraId="30A29DB8" w14:textId="77777777" w:rsidR="00E376C4" w:rsidRPr="00FB4F4D" w:rsidRDefault="00E376C4" w:rsidP="00E15AA0">
            <w:pPr>
              <w:spacing w:after="120"/>
              <w:jc w:val="center"/>
              <w:rPr>
                <w:b/>
                <w:highlight w:val="yellow"/>
              </w:rPr>
            </w:pPr>
            <w:r>
              <w:rPr>
                <w:b/>
                <w:sz w:val="22"/>
                <w:szCs w:val="22"/>
              </w:rPr>
              <w:t>60</w:t>
            </w:r>
          </w:p>
        </w:tc>
        <w:tc>
          <w:tcPr>
            <w:tcW w:w="500" w:type="dxa"/>
            <w:shd w:val="clear" w:color="auto" w:fill="004E73"/>
            <w:vAlign w:val="center"/>
          </w:tcPr>
          <w:p w14:paraId="69896772" w14:textId="77777777" w:rsidR="00E376C4" w:rsidRPr="00FB4F4D" w:rsidRDefault="00E376C4" w:rsidP="00E15AA0">
            <w:pPr>
              <w:spacing w:after="120"/>
              <w:jc w:val="center"/>
              <w:rPr>
                <w:b/>
              </w:rPr>
            </w:pPr>
            <w:r>
              <w:rPr>
                <w:b/>
                <w:sz w:val="22"/>
                <w:szCs w:val="22"/>
              </w:rPr>
              <w:t>80</w:t>
            </w:r>
          </w:p>
        </w:tc>
        <w:tc>
          <w:tcPr>
            <w:tcW w:w="1100" w:type="dxa"/>
            <w:shd w:val="clear" w:color="auto" w:fill="004E73"/>
            <w:tcMar>
              <w:left w:w="113" w:type="dxa"/>
              <w:right w:w="85" w:type="dxa"/>
            </w:tcMar>
            <w:vAlign w:val="center"/>
          </w:tcPr>
          <w:p w14:paraId="575264D1" w14:textId="77777777" w:rsidR="00E376C4" w:rsidRPr="00286917" w:rsidRDefault="00E376C4" w:rsidP="00E15AA0">
            <w:pPr>
              <w:spacing w:after="120"/>
              <w:jc w:val="center"/>
              <w:rPr>
                <w:b/>
              </w:rPr>
            </w:pPr>
          </w:p>
        </w:tc>
        <w:tc>
          <w:tcPr>
            <w:tcW w:w="1100" w:type="dxa"/>
            <w:shd w:val="clear" w:color="auto" w:fill="004E73"/>
          </w:tcPr>
          <w:p w14:paraId="0EF28F0E" w14:textId="77777777" w:rsidR="00E376C4" w:rsidRPr="00286917" w:rsidRDefault="00E376C4" w:rsidP="00E15AA0">
            <w:pPr>
              <w:spacing w:after="120"/>
              <w:jc w:val="center"/>
              <w:rPr>
                <w:b/>
              </w:rPr>
            </w:pPr>
          </w:p>
        </w:tc>
        <w:tc>
          <w:tcPr>
            <w:tcW w:w="1000" w:type="dxa"/>
            <w:shd w:val="clear" w:color="auto" w:fill="004E73"/>
          </w:tcPr>
          <w:p w14:paraId="0A66B97F" w14:textId="77777777" w:rsidR="00E376C4" w:rsidRPr="00286917" w:rsidRDefault="00E376C4" w:rsidP="00E15AA0">
            <w:pPr>
              <w:spacing w:after="120"/>
              <w:jc w:val="center"/>
              <w:rPr>
                <w:b/>
              </w:rPr>
            </w:pPr>
          </w:p>
        </w:tc>
        <w:tc>
          <w:tcPr>
            <w:tcW w:w="900" w:type="dxa"/>
            <w:shd w:val="clear" w:color="auto" w:fill="004E73"/>
          </w:tcPr>
          <w:p w14:paraId="21E6F376" w14:textId="77777777" w:rsidR="00E376C4" w:rsidRPr="00286917" w:rsidRDefault="00E376C4" w:rsidP="00E15AA0">
            <w:pPr>
              <w:spacing w:after="120"/>
              <w:jc w:val="center"/>
              <w:rPr>
                <w:b/>
              </w:rPr>
            </w:pPr>
          </w:p>
        </w:tc>
        <w:tc>
          <w:tcPr>
            <w:tcW w:w="1000" w:type="dxa"/>
            <w:shd w:val="clear" w:color="auto" w:fill="004E73"/>
          </w:tcPr>
          <w:p w14:paraId="3416C3CB" w14:textId="77777777" w:rsidR="00E376C4" w:rsidRPr="00286917" w:rsidRDefault="00E376C4" w:rsidP="00E15AA0">
            <w:pPr>
              <w:spacing w:after="120"/>
              <w:jc w:val="center"/>
              <w:rPr>
                <w:b/>
              </w:rPr>
            </w:pPr>
          </w:p>
        </w:tc>
        <w:tc>
          <w:tcPr>
            <w:tcW w:w="1000" w:type="dxa"/>
            <w:shd w:val="clear" w:color="auto" w:fill="004E73"/>
          </w:tcPr>
          <w:p w14:paraId="686218FD" w14:textId="77777777" w:rsidR="00E376C4" w:rsidRPr="00286917" w:rsidRDefault="00E376C4" w:rsidP="00E15AA0">
            <w:pPr>
              <w:spacing w:after="120"/>
              <w:jc w:val="center"/>
              <w:rPr>
                <w:b/>
              </w:rPr>
            </w:pPr>
          </w:p>
        </w:tc>
        <w:tc>
          <w:tcPr>
            <w:tcW w:w="1000" w:type="dxa"/>
            <w:shd w:val="clear" w:color="auto" w:fill="004E73"/>
          </w:tcPr>
          <w:p w14:paraId="16657E60" w14:textId="77777777" w:rsidR="00E376C4" w:rsidRPr="00286917" w:rsidRDefault="00E376C4" w:rsidP="00E15AA0">
            <w:pPr>
              <w:spacing w:after="120"/>
              <w:jc w:val="center"/>
              <w:rPr>
                <w:b/>
              </w:rPr>
            </w:pPr>
          </w:p>
        </w:tc>
        <w:tc>
          <w:tcPr>
            <w:tcW w:w="800" w:type="dxa"/>
            <w:shd w:val="clear" w:color="auto" w:fill="004E73"/>
          </w:tcPr>
          <w:p w14:paraId="4EADE1E5" w14:textId="77777777" w:rsidR="00E376C4" w:rsidRPr="00286917" w:rsidRDefault="00E376C4" w:rsidP="00E15AA0">
            <w:pPr>
              <w:spacing w:after="120"/>
              <w:jc w:val="center"/>
              <w:rPr>
                <w:b/>
              </w:rPr>
            </w:pPr>
          </w:p>
        </w:tc>
        <w:tc>
          <w:tcPr>
            <w:tcW w:w="500" w:type="dxa"/>
            <w:shd w:val="clear" w:color="auto" w:fill="004E73"/>
          </w:tcPr>
          <w:p w14:paraId="7FBFF0CB" w14:textId="77777777" w:rsidR="00E376C4" w:rsidRPr="00286917" w:rsidRDefault="00E376C4" w:rsidP="00E15AA0">
            <w:pPr>
              <w:spacing w:after="120"/>
              <w:jc w:val="center"/>
              <w:rPr>
                <w:b/>
              </w:rPr>
            </w:pPr>
          </w:p>
        </w:tc>
        <w:tc>
          <w:tcPr>
            <w:tcW w:w="500" w:type="dxa"/>
            <w:shd w:val="clear" w:color="auto" w:fill="004E73"/>
          </w:tcPr>
          <w:p w14:paraId="01859D73" w14:textId="77777777" w:rsidR="00E376C4" w:rsidRPr="00286917" w:rsidRDefault="00E376C4" w:rsidP="00E15AA0">
            <w:pPr>
              <w:spacing w:after="120"/>
              <w:jc w:val="center"/>
              <w:rPr>
                <w:b/>
              </w:rPr>
            </w:pPr>
          </w:p>
        </w:tc>
        <w:tc>
          <w:tcPr>
            <w:tcW w:w="500" w:type="dxa"/>
            <w:shd w:val="clear" w:color="auto" w:fill="004E73"/>
          </w:tcPr>
          <w:p w14:paraId="7DF6086F" w14:textId="77777777" w:rsidR="00E376C4" w:rsidRPr="00286917" w:rsidRDefault="00E376C4" w:rsidP="00E15AA0">
            <w:pPr>
              <w:spacing w:after="120"/>
              <w:jc w:val="center"/>
              <w:rPr>
                <w:b/>
              </w:rPr>
            </w:pPr>
          </w:p>
        </w:tc>
        <w:tc>
          <w:tcPr>
            <w:tcW w:w="500" w:type="dxa"/>
            <w:shd w:val="clear" w:color="auto" w:fill="004E73"/>
          </w:tcPr>
          <w:p w14:paraId="62AE8B5A" w14:textId="77777777" w:rsidR="00E376C4" w:rsidRPr="00286917" w:rsidRDefault="00E376C4" w:rsidP="00E15AA0">
            <w:pPr>
              <w:spacing w:after="120"/>
              <w:jc w:val="center"/>
              <w:rPr>
                <w:b/>
              </w:rPr>
            </w:pPr>
          </w:p>
        </w:tc>
      </w:tr>
    </w:tbl>
    <w:p w14:paraId="699F34C0" w14:textId="77777777" w:rsidR="00E376C4" w:rsidRPr="00053FD5" w:rsidRDefault="00E376C4" w:rsidP="00E376C4"/>
    <w:p w14:paraId="37704639" w14:textId="77777777" w:rsidR="000A7DC3" w:rsidRDefault="000A7DC3" w:rsidP="00C5630B">
      <w:pPr>
        <w:jc w:val="center"/>
        <w:rPr>
          <w:rFonts w:ascii="Calibri" w:hAnsi="Calibri" w:cs="Calibri"/>
          <w:b/>
          <w:sz w:val="28"/>
          <w:szCs w:val="28"/>
        </w:rPr>
      </w:pPr>
    </w:p>
    <w:p w14:paraId="6942C728" w14:textId="77777777" w:rsidR="000A7DC3" w:rsidRDefault="000A7DC3" w:rsidP="00C5630B">
      <w:pPr>
        <w:jc w:val="center"/>
        <w:rPr>
          <w:rFonts w:ascii="Calibri" w:hAnsi="Calibri" w:cs="Calibri"/>
          <w:b/>
          <w:sz w:val="28"/>
          <w:szCs w:val="28"/>
        </w:rPr>
      </w:pPr>
    </w:p>
    <w:p w14:paraId="41DF2A30" w14:textId="77777777" w:rsidR="000A7DC3" w:rsidRDefault="000A7DC3" w:rsidP="00C5630B">
      <w:pPr>
        <w:jc w:val="center"/>
        <w:rPr>
          <w:rFonts w:ascii="Calibri" w:hAnsi="Calibri" w:cs="Calibri"/>
          <w:b/>
          <w:sz w:val="28"/>
          <w:szCs w:val="28"/>
        </w:rPr>
      </w:pPr>
    </w:p>
    <w:p w14:paraId="2962596B" w14:textId="77777777" w:rsidR="00C5630B" w:rsidRDefault="00C5630B" w:rsidP="00356245">
      <w:pPr>
        <w:jc w:val="center"/>
        <w:rPr>
          <w:rFonts w:ascii="Calibri" w:hAnsi="Calibri" w:cs="Calibri"/>
          <w:b/>
          <w:sz w:val="28"/>
          <w:szCs w:val="28"/>
        </w:rPr>
      </w:pPr>
    </w:p>
    <w:sectPr w:rsidR="00C5630B" w:rsidSect="00E376C4">
      <w:headerReference w:type="default" r:id="rId16"/>
      <w:pgSz w:w="16838" w:h="11906" w:orient="landscape"/>
      <w:pgMar w:top="1797"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4DAC7" w14:textId="77777777" w:rsidR="00E57F0D" w:rsidRDefault="00E57F0D">
      <w:r>
        <w:separator/>
      </w:r>
    </w:p>
  </w:endnote>
  <w:endnote w:type="continuationSeparator" w:id="0">
    <w:p w14:paraId="08649D5D" w14:textId="77777777" w:rsidR="00E57F0D" w:rsidRDefault="00E5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Bold">
    <w:altName w:val="Times New Roman"/>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119842"/>
      <w:docPartObj>
        <w:docPartGallery w:val="Page Numbers (Bottom of Page)"/>
        <w:docPartUnique/>
      </w:docPartObj>
    </w:sdtPr>
    <w:sdtEndPr>
      <w:rPr>
        <w:noProof/>
      </w:rPr>
    </w:sdtEndPr>
    <w:sdtContent>
      <w:p w14:paraId="6ADAC9F1" w14:textId="272352D1" w:rsidR="00E376C4" w:rsidRDefault="00E376C4">
        <w:pPr>
          <w:pStyle w:val="Footer"/>
          <w:jc w:val="center"/>
        </w:pPr>
        <w:r>
          <w:fldChar w:fldCharType="begin"/>
        </w:r>
        <w:r>
          <w:instrText xml:space="preserve"> PAGE   \* MERGEFORMAT </w:instrText>
        </w:r>
        <w:r>
          <w:fldChar w:fldCharType="separate"/>
        </w:r>
        <w:r w:rsidR="00915AD0">
          <w:rPr>
            <w:noProof/>
          </w:rPr>
          <w:t>1</w:t>
        </w:r>
        <w:r>
          <w:rPr>
            <w:noProof/>
          </w:rPr>
          <w:fldChar w:fldCharType="end"/>
        </w:r>
      </w:p>
    </w:sdtContent>
  </w:sdt>
  <w:p w14:paraId="0EF12D8E" w14:textId="77777777" w:rsidR="00E376C4" w:rsidRDefault="00E37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7F6D7" w14:textId="77777777" w:rsidR="00E57F0D" w:rsidRDefault="00E57F0D">
      <w:r>
        <w:separator/>
      </w:r>
    </w:p>
  </w:footnote>
  <w:footnote w:type="continuationSeparator" w:id="0">
    <w:p w14:paraId="3C15FA94" w14:textId="77777777" w:rsidR="00E57F0D" w:rsidRDefault="00E57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78DA2" w14:textId="425800BA" w:rsidR="00E376C4" w:rsidRDefault="00EA5F6D">
    <w:pPr>
      <w:pStyle w:val="Header"/>
    </w:pPr>
    <w:r>
      <w:t>TPSPB Meeting 9 September 2015 : Agenda Item 7</w:t>
    </w:r>
  </w:p>
  <w:p w14:paraId="6BC13832" w14:textId="77777777" w:rsidR="00E376C4" w:rsidRDefault="00E376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BC902" w14:textId="1F1D6BB9" w:rsidR="00AB4A1C" w:rsidRDefault="00AB4A1C">
    <w:pPr>
      <w:pStyle w:val="Header"/>
    </w:pPr>
    <w:r>
      <w:t>TPSPB Board Meeting 9 September 2015 : Agenda item 7</w:t>
    </w:r>
  </w:p>
  <w:p w14:paraId="09CB3FCD" w14:textId="77777777" w:rsidR="00AB4A1C" w:rsidRDefault="00AB4A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2309"/>
    <w:multiLevelType w:val="hybridMultilevel"/>
    <w:tmpl w:val="F014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B10184"/>
    <w:multiLevelType w:val="hybridMultilevel"/>
    <w:tmpl w:val="0452097E"/>
    <w:lvl w:ilvl="0" w:tplc="8C6CA462">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E705C5"/>
    <w:multiLevelType w:val="hybridMultilevel"/>
    <w:tmpl w:val="75F813FA"/>
    <w:lvl w:ilvl="0" w:tplc="A5E48AA0">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054CA9"/>
    <w:multiLevelType w:val="hybridMultilevel"/>
    <w:tmpl w:val="0452097E"/>
    <w:lvl w:ilvl="0" w:tplc="8C6CA462">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93280E"/>
    <w:multiLevelType w:val="hybridMultilevel"/>
    <w:tmpl w:val="78EA3384"/>
    <w:lvl w:ilvl="0" w:tplc="861C85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nsid w:val="235A5D74"/>
    <w:multiLevelType w:val="hybridMultilevel"/>
    <w:tmpl w:val="CA4669C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8">
    <w:nsid w:val="3A330272"/>
    <w:multiLevelType w:val="hybridMultilevel"/>
    <w:tmpl w:val="DB76DE7A"/>
    <w:lvl w:ilvl="0" w:tplc="92EE57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AE042F"/>
    <w:multiLevelType w:val="hybridMultilevel"/>
    <w:tmpl w:val="0452097E"/>
    <w:lvl w:ilvl="0" w:tplc="8C6CA462">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CC00B7"/>
    <w:multiLevelType w:val="hybridMultilevel"/>
    <w:tmpl w:val="4210D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nsid w:val="48EB2ADD"/>
    <w:multiLevelType w:val="hybridMultilevel"/>
    <w:tmpl w:val="2E4A2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0C4026"/>
    <w:multiLevelType w:val="hybridMultilevel"/>
    <w:tmpl w:val="6046E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8525B4"/>
    <w:multiLevelType w:val="hybridMultilevel"/>
    <w:tmpl w:val="0452097E"/>
    <w:lvl w:ilvl="0" w:tplc="8C6CA462">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71379A"/>
    <w:multiLevelType w:val="hybridMultilevel"/>
    <w:tmpl w:val="79C60A1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1E53C4F"/>
    <w:multiLevelType w:val="hybridMultilevel"/>
    <w:tmpl w:val="C5725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2115127"/>
    <w:multiLevelType w:val="hybridMultilevel"/>
    <w:tmpl w:val="0452097E"/>
    <w:lvl w:ilvl="0" w:tplc="8C6CA462">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3B35D65"/>
    <w:multiLevelType w:val="hybridMultilevel"/>
    <w:tmpl w:val="1A1E77EA"/>
    <w:lvl w:ilvl="0" w:tplc="D278E8C0">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44C47ED"/>
    <w:multiLevelType w:val="hybridMultilevel"/>
    <w:tmpl w:val="5524A6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4073CA"/>
    <w:multiLevelType w:val="hybridMultilevel"/>
    <w:tmpl w:val="D2F6C1FA"/>
    <w:lvl w:ilvl="0" w:tplc="27C4128C">
      <w:start w:val="1"/>
      <w:numFmt w:val="bullet"/>
      <w:lvlText w:val="•"/>
      <w:lvlJc w:val="left"/>
      <w:pPr>
        <w:tabs>
          <w:tab w:val="num" w:pos="720"/>
        </w:tabs>
        <w:ind w:left="720" w:hanging="360"/>
      </w:pPr>
      <w:rPr>
        <w:rFonts w:ascii="Arial" w:hAnsi="Arial" w:hint="default"/>
      </w:rPr>
    </w:lvl>
    <w:lvl w:ilvl="1" w:tplc="CCC2AA5E" w:tentative="1">
      <w:start w:val="1"/>
      <w:numFmt w:val="bullet"/>
      <w:lvlText w:val="•"/>
      <w:lvlJc w:val="left"/>
      <w:pPr>
        <w:tabs>
          <w:tab w:val="num" w:pos="1440"/>
        </w:tabs>
        <w:ind w:left="1440" w:hanging="360"/>
      </w:pPr>
      <w:rPr>
        <w:rFonts w:ascii="Arial" w:hAnsi="Arial" w:hint="default"/>
      </w:rPr>
    </w:lvl>
    <w:lvl w:ilvl="2" w:tplc="62AE01CC" w:tentative="1">
      <w:start w:val="1"/>
      <w:numFmt w:val="bullet"/>
      <w:lvlText w:val="•"/>
      <w:lvlJc w:val="left"/>
      <w:pPr>
        <w:tabs>
          <w:tab w:val="num" w:pos="2160"/>
        </w:tabs>
        <w:ind w:left="2160" w:hanging="360"/>
      </w:pPr>
      <w:rPr>
        <w:rFonts w:ascii="Arial" w:hAnsi="Arial" w:hint="default"/>
      </w:rPr>
    </w:lvl>
    <w:lvl w:ilvl="3" w:tplc="5C7EE67C" w:tentative="1">
      <w:start w:val="1"/>
      <w:numFmt w:val="bullet"/>
      <w:lvlText w:val="•"/>
      <w:lvlJc w:val="left"/>
      <w:pPr>
        <w:tabs>
          <w:tab w:val="num" w:pos="2880"/>
        </w:tabs>
        <w:ind w:left="2880" w:hanging="360"/>
      </w:pPr>
      <w:rPr>
        <w:rFonts w:ascii="Arial" w:hAnsi="Arial" w:hint="default"/>
      </w:rPr>
    </w:lvl>
    <w:lvl w:ilvl="4" w:tplc="D5F0CE8C" w:tentative="1">
      <w:start w:val="1"/>
      <w:numFmt w:val="bullet"/>
      <w:lvlText w:val="•"/>
      <w:lvlJc w:val="left"/>
      <w:pPr>
        <w:tabs>
          <w:tab w:val="num" w:pos="3600"/>
        </w:tabs>
        <w:ind w:left="3600" w:hanging="360"/>
      </w:pPr>
      <w:rPr>
        <w:rFonts w:ascii="Arial" w:hAnsi="Arial" w:hint="default"/>
      </w:rPr>
    </w:lvl>
    <w:lvl w:ilvl="5" w:tplc="694AB266" w:tentative="1">
      <w:start w:val="1"/>
      <w:numFmt w:val="bullet"/>
      <w:lvlText w:val="•"/>
      <w:lvlJc w:val="left"/>
      <w:pPr>
        <w:tabs>
          <w:tab w:val="num" w:pos="4320"/>
        </w:tabs>
        <w:ind w:left="4320" w:hanging="360"/>
      </w:pPr>
      <w:rPr>
        <w:rFonts w:ascii="Arial" w:hAnsi="Arial" w:hint="default"/>
      </w:rPr>
    </w:lvl>
    <w:lvl w:ilvl="6" w:tplc="78B07094" w:tentative="1">
      <w:start w:val="1"/>
      <w:numFmt w:val="bullet"/>
      <w:lvlText w:val="•"/>
      <w:lvlJc w:val="left"/>
      <w:pPr>
        <w:tabs>
          <w:tab w:val="num" w:pos="5040"/>
        </w:tabs>
        <w:ind w:left="5040" w:hanging="360"/>
      </w:pPr>
      <w:rPr>
        <w:rFonts w:ascii="Arial" w:hAnsi="Arial" w:hint="default"/>
      </w:rPr>
    </w:lvl>
    <w:lvl w:ilvl="7" w:tplc="38F80CAA" w:tentative="1">
      <w:start w:val="1"/>
      <w:numFmt w:val="bullet"/>
      <w:lvlText w:val="•"/>
      <w:lvlJc w:val="left"/>
      <w:pPr>
        <w:tabs>
          <w:tab w:val="num" w:pos="5760"/>
        </w:tabs>
        <w:ind w:left="5760" w:hanging="360"/>
      </w:pPr>
      <w:rPr>
        <w:rFonts w:ascii="Arial" w:hAnsi="Arial" w:hint="default"/>
      </w:rPr>
    </w:lvl>
    <w:lvl w:ilvl="8" w:tplc="42669022" w:tentative="1">
      <w:start w:val="1"/>
      <w:numFmt w:val="bullet"/>
      <w:lvlText w:val="•"/>
      <w:lvlJc w:val="left"/>
      <w:pPr>
        <w:tabs>
          <w:tab w:val="num" w:pos="6480"/>
        </w:tabs>
        <w:ind w:left="6480" w:hanging="360"/>
      </w:pPr>
      <w:rPr>
        <w:rFonts w:ascii="Arial" w:hAnsi="Arial" w:hint="default"/>
      </w:rPr>
    </w:lvl>
  </w:abstractNum>
  <w:abstractNum w:abstractNumId="24">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7"/>
  </w:num>
  <w:num w:numId="3">
    <w:abstractNumId w:val="24"/>
  </w:num>
  <w:num w:numId="4">
    <w:abstractNumId w:val="5"/>
  </w:num>
  <w:num w:numId="5">
    <w:abstractNumId w:val="13"/>
  </w:num>
  <w:num w:numId="6">
    <w:abstractNumId w:val="18"/>
  </w:num>
  <w:num w:numId="7">
    <w:abstractNumId w:val="14"/>
  </w:num>
  <w:num w:numId="8">
    <w:abstractNumId w:val="2"/>
  </w:num>
  <w:num w:numId="9">
    <w:abstractNumId w:val="10"/>
  </w:num>
  <w:num w:numId="10">
    <w:abstractNumId w:val="22"/>
  </w:num>
  <w:num w:numId="11">
    <w:abstractNumId w:val="23"/>
  </w:num>
  <w:num w:numId="12">
    <w:abstractNumId w:val="19"/>
  </w:num>
  <w:num w:numId="13">
    <w:abstractNumId w:val="15"/>
  </w:num>
  <w:num w:numId="14">
    <w:abstractNumId w:val="20"/>
  </w:num>
  <w:num w:numId="15">
    <w:abstractNumId w:val="0"/>
  </w:num>
  <w:num w:numId="16">
    <w:abstractNumId w:val="1"/>
  </w:num>
  <w:num w:numId="17">
    <w:abstractNumId w:val="9"/>
  </w:num>
  <w:num w:numId="18">
    <w:abstractNumId w:val="16"/>
  </w:num>
  <w:num w:numId="19">
    <w:abstractNumId w:val="3"/>
  </w:num>
  <w:num w:numId="20">
    <w:abstractNumId w:val="12"/>
  </w:num>
  <w:num w:numId="21">
    <w:abstractNumId w:val="17"/>
  </w:num>
  <w:num w:numId="22">
    <w:abstractNumId w:val="6"/>
  </w:num>
  <w:num w:numId="23">
    <w:abstractNumId w:val="21"/>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kvKFtjTQSXtJoRXsu7GFGbdzzWA=" w:salt="1TSX2CjFPc5zge7hnsGCe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06"/>
    <w:rsid w:val="00000089"/>
    <w:rsid w:val="00011F78"/>
    <w:rsid w:val="00015EC6"/>
    <w:rsid w:val="00022DB6"/>
    <w:rsid w:val="000247E1"/>
    <w:rsid w:val="000402FC"/>
    <w:rsid w:val="00041864"/>
    <w:rsid w:val="0004776A"/>
    <w:rsid w:val="00057F28"/>
    <w:rsid w:val="00060377"/>
    <w:rsid w:val="000833EF"/>
    <w:rsid w:val="00083D20"/>
    <w:rsid w:val="000A0C1B"/>
    <w:rsid w:val="000A3070"/>
    <w:rsid w:val="000A3CCB"/>
    <w:rsid w:val="000A7B4B"/>
    <w:rsid w:val="000A7DC3"/>
    <w:rsid w:val="000B1468"/>
    <w:rsid w:val="000C4018"/>
    <w:rsid w:val="000D62D8"/>
    <w:rsid w:val="000F302B"/>
    <w:rsid w:val="000F4E59"/>
    <w:rsid w:val="00116F59"/>
    <w:rsid w:val="00117BDE"/>
    <w:rsid w:val="00123ACB"/>
    <w:rsid w:val="001362FD"/>
    <w:rsid w:val="001366BB"/>
    <w:rsid w:val="001372F2"/>
    <w:rsid w:val="00143B05"/>
    <w:rsid w:val="00153F85"/>
    <w:rsid w:val="00174BCF"/>
    <w:rsid w:val="00176043"/>
    <w:rsid w:val="00180A06"/>
    <w:rsid w:val="00182783"/>
    <w:rsid w:val="00187F8F"/>
    <w:rsid w:val="00195F8E"/>
    <w:rsid w:val="001A54FA"/>
    <w:rsid w:val="001B05C8"/>
    <w:rsid w:val="001B0DDF"/>
    <w:rsid w:val="001B6DF9"/>
    <w:rsid w:val="001C1651"/>
    <w:rsid w:val="001C699E"/>
    <w:rsid w:val="001D2E21"/>
    <w:rsid w:val="001D55BC"/>
    <w:rsid w:val="001D5890"/>
    <w:rsid w:val="001D7FB3"/>
    <w:rsid w:val="001E774E"/>
    <w:rsid w:val="002009C2"/>
    <w:rsid w:val="00202C41"/>
    <w:rsid w:val="00205FB9"/>
    <w:rsid w:val="00211C37"/>
    <w:rsid w:val="00212D24"/>
    <w:rsid w:val="00217581"/>
    <w:rsid w:val="00223723"/>
    <w:rsid w:val="00226366"/>
    <w:rsid w:val="002335B0"/>
    <w:rsid w:val="002338A1"/>
    <w:rsid w:val="0024290E"/>
    <w:rsid w:val="00242D2E"/>
    <w:rsid w:val="0024599B"/>
    <w:rsid w:val="00261949"/>
    <w:rsid w:val="00266064"/>
    <w:rsid w:val="00267EE0"/>
    <w:rsid w:val="002749B8"/>
    <w:rsid w:val="0027611C"/>
    <w:rsid w:val="00283203"/>
    <w:rsid w:val="002840D0"/>
    <w:rsid w:val="00295EFC"/>
    <w:rsid w:val="002A66BE"/>
    <w:rsid w:val="002B651E"/>
    <w:rsid w:val="002D2A7A"/>
    <w:rsid w:val="002D6D75"/>
    <w:rsid w:val="002E28FA"/>
    <w:rsid w:val="002F06F7"/>
    <w:rsid w:val="002F6007"/>
    <w:rsid w:val="00306F7F"/>
    <w:rsid w:val="00310708"/>
    <w:rsid w:val="00311C8A"/>
    <w:rsid w:val="00312BD3"/>
    <w:rsid w:val="00322AAE"/>
    <w:rsid w:val="00336872"/>
    <w:rsid w:val="00342B5C"/>
    <w:rsid w:val="003467A7"/>
    <w:rsid w:val="00347A3B"/>
    <w:rsid w:val="003503BE"/>
    <w:rsid w:val="00356245"/>
    <w:rsid w:val="00367EEB"/>
    <w:rsid w:val="00370895"/>
    <w:rsid w:val="00375273"/>
    <w:rsid w:val="00392AE9"/>
    <w:rsid w:val="003A2F92"/>
    <w:rsid w:val="003B3240"/>
    <w:rsid w:val="003B78F9"/>
    <w:rsid w:val="003D74A2"/>
    <w:rsid w:val="003D7A13"/>
    <w:rsid w:val="003E064F"/>
    <w:rsid w:val="003E1B86"/>
    <w:rsid w:val="003F1643"/>
    <w:rsid w:val="003F3C61"/>
    <w:rsid w:val="003F771B"/>
    <w:rsid w:val="00402829"/>
    <w:rsid w:val="00430DC5"/>
    <w:rsid w:val="00433910"/>
    <w:rsid w:val="0045014A"/>
    <w:rsid w:val="00450D89"/>
    <w:rsid w:val="004533A7"/>
    <w:rsid w:val="0045765A"/>
    <w:rsid w:val="00460505"/>
    <w:rsid w:val="00463122"/>
    <w:rsid w:val="00471773"/>
    <w:rsid w:val="00471ABD"/>
    <w:rsid w:val="00480E77"/>
    <w:rsid w:val="00481F37"/>
    <w:rsid w:val="00484C39"/>
    <w:rsid w:val="004955D9"/>
    <w:rsid w:val="004B17C9"/>
    <w:rsid w:val="004C4A2B"/>
    <w:rsid w:val="004E633C"/>
    <w:rsid w:val="004F3191"/>
    <w:rsid w:val="00511CA5"/>
    <w:rsid w:val="005128FA"/>
    <w:rsid w:val="005150CE"/>
    <w:rsid w:val="00522588"/>
    <w:rsid w:val="005248A4"/>
    <w:rsid w:val="00530814"/>
    <w:rsid w:val="00533406"/>
    <w:rsid w:val="00537911"/>
    <w:rsid w:val="005435BD"/>
    <w:rsid w:val="00545301"/>
    <w:rsid w:val="005500C1"/>
    <w:rsid w:val="00553534"/>
    <w:rsid w:val="00565333"/>
    <w:rsid w:val="005661A4"/>
    <w:rsid w:val="00571387"/>
    <w:rsid w:val="00574197"/>
    <w:rsid w:val="00580DCC"/>
    <w:rsid w:val="00591B39"/>
    <w:rsid w:val="00592809"/>
    <w:rsid w:val="00593F22"/>
    <w:rsid w:val="005B1CC3"/>
    <w:rsid w:val="005B5A07"/>
    <w:rsid w:val="005C1372"/>
    <w:rsid w:val="005C2AB4"/>
    <w:rsid w:val="005F7B8B"/>
    <w:rsid w:val="00604D9F"/>
    <w:rsid w:val="00605974"/>
    <w:rsid w:val="00606BB2"/>
    <w:rsid w:val="00607A4B"/>
    <w:rsid w:val="00610B44"/>
    <w:rsid w:val="00615241"/>
    <w:rsid w:val="00617765"/>
    <w:rsid w:val="00622379"/>
    <w:rsid w:val="0062704E"/>
    <w:rsid w:val="00632A7A"/>
    <w:rsid w:val="00634682"/>
    <w:rsid w:val="0063507E"/>
    <w:rsid w:val="006363E9"/>
    <w:rsid w:val="006545A6"/>
    <w:rsid w:val="00667DFE"/>
    <w:rsid w:val="006858D6"/>
    <w:rsid w:val="006869D6"/>
    <w:rsid w:val="00687908"/>
    <w:rsid w:val="006910A2"/>
    <w:rsid w:val="00695F57"/>
    <w:rsid w:val="006A0189"/>
    <w:rsid w:val="006A1127"/>
    <w:rsid w:val="006A2F72"/>
    <w:rsid w:val="006A3278"/>
    <w:rsid w:val="006D3EBD"/>
    <w:rsid w:val="006E6F0B"/>
    <w:rsid w:val="006E6FB4"/>
    <w:rsid w:val="006F4284"/>
    <w:rsid w:val="007104E4"/>
    <w:rsid w:val="00720DAA"/>
    <w:rsid w:val="007442BB"/>
    <w:rsid w:val="007463C5"/>
    <w:rsid w:val="00746846"/>
    <w:rsid w:val="007509C7"/>
    <w:rsid w:val="007510C3"/>
    <w:rsid w:val="007516D1"/>
    <w:rsid w:val="00753941"/>
    <w:rsid w:val="0076458E"/>
    <w:rsid w:val="00767063"/>
    <w:rsid w:val="007720C5"/>
    <w:rsid w:val="00772C48"/>
    <w:rsid w:val="00773FF3"/>
    <w:rsid w:val="0078040E"/>
    <w:rsid w:val="00793F0F"/>
    <w:rsid w:val="007940AE"/>
    <w:rsid w:val="007A10F9"/>
    <w:rsid w:val="007A4C02"/>
    <w:rsid w:val="007B476F"/>
    <w:rsid w:val="007B49CD"/>
    <w:rsid w:val="007B593B"/>
    <w:rsid w:val="007B5A46"/>
    <w:rsid w:val="007C1BC2"/>
    <w:rsid w:val="007D0DBA"/>
    <w:rsid w:val="007D4D58"/>
    <w:rsid w:val="007D4DB0"/>
    <w:rsid w:val="007E3DC2"/>
    <w:rsid w:val="007F073B"/>
    <w:rsid w:val="00805C72"/>
    <w:rsid w:val="00805CEA"/>
    <w:rsid w:val="00806F15"/>
    <w:rsid w:val="00821A7C"/>
    <w:rsid w:val="00831225"/>
    <w:rsid w:val="008321E7"/>
    <w:rsid w:val="008428AB"/>
    <w:rsid w:val="00844135"/>
    <w:rsid w:val="00863664"/>
    <w:rsid w:val="0086662B"/>
    <w:rsid w:val="0088151C"/>
    <w:rsid w:val="008817AB"/>
    <w:rsid w:val="008843A4"/>
    <w:rsid w:val="008B1C49"/>
    <w:rsid w:val="008B67CC"/>
    <w:rsid w:val="008B746D"/>
    <w:rsid w:val="008C2748"/>
    <w:rsid w:val="008D1228"/>
    <w:rsid w:val="008E07A8"/>
    <w:rsid w:val="008E3BDA"/>
    <w:rsid w:val="008E5853"/>
    <w:rsid w:val="008F452F"/>
    <w:rsid w:val="00902A95"/>
    <w:rsid w:val="00905ADC"/>
    <w:rsid w:val="00906C33"/>
    <w:rsid w:val="00915AD0"/>
    <w:rsid w:val="009173AF"/>
    <w:rsid w:val="00932946"/>
    <w:rsid w:val="009424FA"/>
    <w:rsid w:val="009426CB"/>
    <w:rsid w:val="0095214C"/>
    <w:rsid w:val="009559DC"/>
    <w:rsid w:val="00963073"/>
    <w:rsid w:val="00972D70"/>
    <w:rsid w:val="0097315A"/>
    <w:rsid w:val="009762A4"/>
    <w:rsid w:val="00984EAD"/>
    <w:rsid w:val="009961F8"/>
    <w:rsid w:val="009A2B05"/>
    <w:rsid w:val="009A3F0A"/>
    <w:rsid w:val="009A64D1"/>
    <w:rsid w:val="009B2692"/>
    <w:rsid w:val="009B287D"/>
    <w:rsid w:val="009B3EFE"/>
    <w:rsid w:val="009B493A"/>
    <w:rsid w:val="009B4FCC"/>
    <w:rsid w:val="009B7E66"/>
    <w:rsid w:val="009D3D73"/>
    <w:rsid w:val="009D5DF9"/>
    <w:rsid w:val="009E525D"/>
    <w:rsid w:val="009E73AD"/>
    <w:rsid w:val="009F5357"/>
    <w:rsid w:val="009F74DD"/>
    <w:rsid w:val="009F7653"/>
    <w:rsid w:val="00A00569"/>
    <w:rsid w:val="00A0392C"/>
    <w:rsid w:val="00A12D3A"/>
    <w:rsid w:val="00A135C6"/>
    <w:rsid w:val="00A21E85"/>
    <w:rsid w:val="00A25800"/>
    <w:rsid w:val="00A26D11"/>
    <w:rsid w:val="00A2712A"/>
    <w:rsid w:val="00A3306B"/>
    <w:rsid w:val="00A36044"/>
    <w:rsid w:val="00A366A9"/>
    <w:rsid w:val="00A43ED1"/>
    <w:rsid w:val="00A46912"/>
    <w:rsid w:val="00A64099"/>
    <w:rsid w:val="00A96425"/>
    <w:rsid w:val="00A979F1"/>
    <w:rsid w:val="00AB3B3C"/>
    <w:rsid w:val="00AB4A1C"/>
    <w:rsid w:val="00AB6016"/>
    <w:rsid w:val="00AC2A37"/>
    <w:rsid w:val="00AD0E50"/>
    <w:rsid w:val="00AD632D"/>
    <w:rsid w:val="00AD7A0B"/>
    <w:rsid w:val="00AF0554"/>
    <w:rsid w:val="00AF1C07"/>
    <w:rsid w:val="00AF3507"/>
    <w:rsid w:val="00AF737F"/>
    <w:rsid w:val="00B006DF"/>
    <w:rsid w:val="00B05ECD"/>
    <w:rsid w:val="00B06172"/>
    <w:rsid w:val="00B16A24"/>
    <w:rsid w:val="00B16A8C"/>
    <w:rsid w:val="00B240CF"/>
    <w:rsid w:val="00B275C1"/>
    <w:rsid w:val="00B608DF"/>
    <w:rsid w:val="00B62931"/>
    <w:rsid w:val="00B6522B"/>
    <w:rsid w:val="00B65709"/>
    <w:rsid w:val="00B65BD8"/>
    <w:rsid w:val="00B67DF2"/>
    <w:rsid w:val="00B8232C"/>
    <w:rsid w:val="00B84723"/>
    <w:rsid w:val="00B85BF7"/>
    <w:rsid w:val="00B939CC"/>
    <w:rsid w:val="00BA1580"/>
    <w:rsid w:val="00BA52B9"/>
    <w:rsid w:val="00BC547B"/>
    <w:rsid w:val="00BC7D86"/>
    <w:rsid w:val="00BD4B6C"/>
    <w:rsid w:val="00BF06D2"/>
    <w:rsid w:val="00BF55F6"/>
    <w:rsid w:val="00C37933"/>
    <w:rsid w:val="00C408C7"/>
    <w:rsid w:val="00C463F2"/>
    <w:rsid w:val="00C47EEA"/>
    <w:rsid w:val="00C519D0"/>
    <w:rsid w:val="00C5630B"/>
    <w:rsid w:val="00C70ACB"/>
    <w:rsid w:val="00C74109"/>
    <w:rsid w:val="00C74AC6"/>
    <w:rsid w:val="00C75969"/>
    <w:rsid w:val="00C82EB1"/>
    <w:rsid w:val="00C8363C"/>
    <w:rsid w:val="00C91809"/>
    <w:rsid w:val="00CA4FEC"/>
    <w:rsid w:val="00CB62A2"/>
    <w:rsid w:val="00CD7921"/>
    <w:rsid w:val="00CE084B"/>
    <w:rsid w:val="00CE4249"/>
    <w:rsid w:val="00CF626D"/>
    <w:rsid w:val="00D02D57"/>
    <w:rsid w:val="00D100D7"/>
    <w:rsid w:val="00D118D6"/>
    <w:rsid w:val="00D20266"/>
    <w:rsid w:val="00D20C29"/>
    <w:rsid w:val="00D25939"/>
    <w:rsid w:val="00D31A61"/>
    <w:rsid w:val="00D33842"/>
    <w:rsid w:val="00D47915"/>
    <w:rsid w:val="00D525DC"/>
    <w:rsid w:val="00D57D6E"/>
    <w:rsid w:val="00D61F5A"/>
    <w:rsid w:val="00D656C2"/>
    <w:rsid w:val="00D74FAA"/>
    <w:rsid w:val="00D76097"/>
    <w:rsid w:val="00D901A6"/>
    <w:rsid w:val="00D90C00"/>
    <w:rsid w:val="00D914BD"/>
    <w:rsid w:val="00D97D60"/>
    <w:rsid w:val="00D97FCD"/>
    <w:rsid w:val="00DA6823"/>
    <w:rsid w:val="00DB1DC4"/>
    <w:rsid w:val="00DB4C12"/>
    <w:rsid w:val="00DB7A9E"/>
    <w:rsid w:val="00DC6BD2"/>
    <w:rsid w:val="00DD1A10"/>
    <w:rsid w:val="00DD5F52"/>
    <w:rsid w:val="00DD742A"/>
    <w:rsid w:val="00E0081E"/>
    <w:rsid w:val="00E02094"/>
    <w:rsid w:val="00E05A7C"/>
    <w:rsid w:val="00E07439"/>
    <w:rsid w:val="00E10F4C"/>
    <w:rsid w:val="00E115AB"/>
    <w:rsid w:val="00E1714C"/>
    <w:rsid w:val="00E23885"/>
    <w:rsid w:val="00E2419F"/>
    <w:rsid w:val="00E2665A"/>
    <w:rsid w:val="00E3226F"/>
    <w:rsid w:val="00E366D6"/>
    <w:rsid w:val="00E376C4"/>
    <w:rsid w:val="00E46593"/>
    <w:rsid w:val="00E4793A"/>
    <w:rsid w:val="00E57F0D"/>
    <w:rsid w:val="00E63D8B"/>
    <w:rsid w:val="00E74849"/>
    <w:rsid w:val="00E749AF"/>
    <w:rsid w:val="00E81F4B"/>
    <w:rsid w:val="00E904C3"/>
    <w:rsid w:val="00E920C0"/>
    <w:rsid w:val="00E97659"/>
    <w:rsid w:val="00EA11BE"/>
    <w:rsid w:val="00EA5F6D"/>
    <w:rsid w:val="00EB7ACE"/>
    <w:rsid w:val="00EC644A"/>
    <w:rsid w:val="00EC6A3F"/>
    <w:rsid w:val="00EE4F35"/>
    <w:rsid w:val="00EE7286"/>
    <w:rsid w:val="00EF5C60"/>
    <w:rsid w:val="00F118C4"/>
    <w:rsid w:val="00F11DAF"/>
    <w:rsid w:val="00F22F63"/>
    <w:rsid w:val="00F30554"/>
    <w:rsid w:val="00F348D2"/>
    <w:rsid w:val="00F4325D"/>
    <w:rsid w:val="00F4485F"/>
    <w:rsid w:val="00F44B6A"/>
    <w:rsid w:val="00F521C7"/>
    <w:rsid w:val="00F569A2"/>
    <w:rsid w:val="00F60108"/>
    <w:rsid w:val="00F60BF8"/>
    <w:rsid w:val="00F64863"/>
    <w:rsid w:val="00F846C2"/>
    <w:rsid w:val="00F902F2"/>
    <w:rsid w:val="00F960C1"/>
    <w:rsid w:val="00FA0331"/>
    <w:rsid w:val="00FA4C3D"/>
    <w:rsid w:val="00FA6DD0"/>
    <w:rsid w:val="00FB0768"/>
    <w:rsid w:val="00FB7CE1"/>
    <w:rsid w:val="00FC0359"/>
    <w:rsid w:val="00FC049C"/>
    <w:rsid w:val="00FC1C0E"/>
    <w:rsid w:val="00FC5ED8"/>
    <w:rsid w:val="00FF2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9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uiPriority w:val="99"/>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CommentReference">
    <w:name w:val="annotation reference"/>
    <w:basedOn w:val="DefaultParagraphFont"/>
    <w:rsid w:val="003F771B"/>
    <w:rPr>
      <w:sz w:val="16"/>
      <w:szCs w:val="16"/>
    </w:rPr>
  </w:style>
  <w:style w:type="paragraph" w:styleId="CommentText">
    <w:name w:val="annotation text"/>
    <w:basedOn w:val="Normal"/>
    <w:link w:val="CommentTextChar"/>
    <w:rsid w:val="003F771B"/>
    <w:pPr>
      <w:widowControl/>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3F771B"/>
  </w:style>
  <w:style w:type="paragraph" w:styleId="BalloonText">
    <w:name w:val="Balloon Text"/>
    <w:basedOn w:val="Normal"/>
    <w:link w:val="BalloonTextChar"/>
    <w:rsid w:val="003F771B"/>
    <w:rPr>
      <w:rFonts w:ascii="Tahoma" w:hAnsi="Tahoma" w:cs="Tahoma"/>
      <w:sz w:val="16"/>
      <w:szCs w:val="16"/>
    </w:rPr>
  </w:style>
  <w:style w:type="character" w:customStyle="1" w:styleId="BalloonTextChar">
    <w:name w:val="Balloon Text Char"/>
    <w:basedOn w:val="DefaultParagraphFont"/>
    <w:link w:val="BalloonText"/>
    <w:rsid w:val="003F771B"/>
    <w:rPr>
      <w:rFonts w:ascii="Tahoma" w:hAnsi="Tahoma" w:cs="Tahoma"/>
      <w:sz w:val="16"/>
      <w:szCs w:val="16"/>
      <w:lang w:eastAsia="en-US"/>
    </w:rPr>
  </w:style>
  <w:style w:type="table" w:styleId="TableGrid">
    <w:name w:val="Table Grid"/>
    <w:basedOn w:val="TableNormal"/>
    <w:rsid w:val="00D90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99"/>
    <w:rsid w:val="008E07A8"/>
    <w:pPr>
      <w:widowControl/>
      <w:overflowPunct/>
      <w:autoSpaceDE/>
      <w:autoSpaceDN/>
      <w:adjustRightInd/>
      <w:textAlignment w:val="auto"/>
    </w:pPr>
    <w:rPr>
      <w:b/>
      <w:color w:val="FFFFFF"/>
      <w:szCs w:val="24"/>
      <w:lang w:eastAsia="en-GB"/>
    </w:rPr>
  </w:style>
  <w:style w:type="paragraph" w:styleId="CommentSubject">
    <w:name w:val="annotation subject"/>
    <w:basedOn w:val="CommentText"/>
    <w:next w:val="CommentText"/>
    <w:link w:val="CommentSubjectChar"/>
    <w:rsid w:val="00984EAD"/>
    <w:pPr>
      <w:widowControl w:val="0"/>
      <w:overflowPunct w:val="0"/>
      <w:autoSpaceDE w:val="0"/>
      <w:autoSpaceDN w:val="0"/>
      <w:adjustRightInd w:val="0"/>
      <w:textAlignment w:val="baseline"/>
    </w:pPr>
    <w:rPr>
      <w:rFonts w:ascii="Arial" w:hAnsi="Arial"/>
      <w:b/>
      <w:bCs/>
      <w:lang w:eastAsia="en-US"/>
    </w:rPr>
  </w:style>
  <w:style w:type="character" w:customStyle="1" w:styleId="CommentSubjectChar">
    <w:name w:val="Comment Subject Char"/>
    <w:basedOn w:val="CommentTextChar"/>
    <w:link w:val="CommentSubject"/>
    <w:rsid w:val="00984EAD"/>
    <w:rPr>
      <w:rFonts w:ascii="Arial" w:hAnsi="Arial"/>
      <w:b/>
      <w:bCs/>
      <w:lang w:eastAsia="en-US"/>
    </w:rPr>
  </w:style>
  <w:style w:type="character" w:customStyle="1" w:styleId="Heading2Char">
    <w:name w:val="Heading 2 Char"/>
    <w:aliases w:val="Numbered - 2 Char"/>
    <w:basedOn w:val="DefaultParagraphFont"/>
    <w:link w:val="Heading2"/>
    <w:uiPriority w:val="9"/>
    <w:rsid w:val="00C5630B"/>
    <w:rPr>
      <w:rFonts w:ascii="Arial" w:hAnsi="Arial"/>
      <w:b/>
      <w:kern w:val="28"/>
      <w:sz w:val="24"/>
      <w:lang w:eastAsia="en-US"/>
    </w:rPr>
  </w:style>
  <w:style w:type="character" w:customStyle="1" w:styleId="HeaderChar">
    <w:name w:val="Header Char"/>
    <w:basedOn w:val="DefaultParagraphFont"/>
    <w:link w:val="Header"/>
    <w:uiPriority w:val="99"/>
    <w:rsid w:val="00B62931"/>
    <w:rPr>
      <w:rFonts w:ascii="Arial" w:hAnsi="Arial"/>
      <w:sz w:val="24"/>
      <w:lang w:eastAsia="en-US"/>
    </w:rPr>
  </w:style>
  <w:style w:type="character" w:customStyle="1" w:styleId="FooterChar">
    <w:name w:val="Footer Char"/>
    <w:basedOn w:val="DefaultParagraphFont"/>
    <w:link w:val="Footer"/>
    <w:uiPriority w:val="99"/>
    <w:rsid w:val="00E376C4"/>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uiPriority w:val="99"/>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CommentReference">
    <w:name w:val="annotation reference"/>
    <w:basedOn w:val="DefaultParagraphFont"/>
    <w:rsid w:val="003F771B"/>
    <w:rPr>
      <w:sz w:val="16"/>
      <w:szCs w:val="16"/>
    </w:rPr>
  </w:style>
  <w:style w:type="paragraph" w:styleId="CommentText">
    <w:name w:val="annotation text"/>
    <w:basedOn w:val="Normal"/>
    <w:link w:val="CommentTextChar"/>
    <w:rsid w:val="003F771B"/>
    <w:pPr>
      <w:widowControl/>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3F771B"/>
  </w:style>
  <w:style w:type="paragraph" w:styleId="BalloonText">
    <w:name w:val="Balloon Text"/>
    <w:basedOn w:val="Normal"/>
    <w:link w:val="BalloonTextChar"/>
    <w:rsid w:val="003F771B"/>
    <w:rPr>
      <w:rFonts w:ascii="Tahoma" w:hAnsi="Tahoma" w:cs="Tahoma"/>
      <w:sz w:val="16"/>
      <w:szCs w:val="16"/>
    </w:rPr>
  </w:style>
  <w:style w:type="character" w:customStyle="1" w:styleId="BalloonTextChar">
    <w:name w:val="Balloon Text Char"/>
    <w:basedOn w:val="DefaultParagraphFont"/>
    <w:link w:val="BalloonText"/>
    <w:rsid w:val="003F771B"/>
    <w:rPr>
      <w:rFonts w:ascii="Tahoma" w:hAnsi="Tahoma" w:cs="Tahoma"/>
      <w:sz w:val="16"/>
      <w:szCs w:val="16"/>
      <w:lang w:eastAsia="en-US"/>
    </w:rPr>
  </w:style>
  <w:style w:type="table" w:styleId="TableGrid">
    <w:name w:val="Table Grid"/>
    <w:basedOn w:val="TableNormal"/>
    <w:rsid w:val="00D90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99"/>
    <w:rsid w:val="008E07A8"/>
    <w:pPr>
      <w:widowControl/>
      <w:overflowPunct/>
      <w:autoSpaceDE/>
      <w:autoSpaceDN/>
      <w:adjustRightInd/>
      <w:textAlignment w:val="auto"/>
    </w:pPr>
    <w:rPr>
      <w:b/>
      <w:color w:val="FFFFFF"/>
      <w:szCs w:val="24"/>
      <w:lang w:eastAsia="en-GB"/>
    </w:rPr>
  </w:style>
  <w:style w:type="paragraph" w:styleId="CommentSubject">
    <w:name w:val="annotation subject"/>
    <w:basedOn w:val="CommentText"/>
    <w:next w:val="CommentText"/>
    <w:link w:val="CommentSubjectChar"/>
    <w:rsid w:val="00984EAD"/>
    <w:pPr>
      <w:widowControl w:val="0"/>
      <w:overflowPunct w:val="0"/>
      <w:autoSpaceDE w:val="0"/>
      <w:autoSpaceDN w:val="0"/>
      <w:adjustRightInd w:val="0"/>
      <w:textAlignment w:val="baseline"/>
    </w:pPr>
    <w:rPr>
      <w:rFonts w:ascii="Arial" w:hAnsi="Arial"/>
      <w:b/>
      <w:bCs/>
      <w:lang w:eastAsia="en-US"/>
    </w:rPr>
  </w:style>
  <w:style w:type="character" w:customStyle="1" w:styleId="CommentSubjectChar">
    <w:name w:val="Comment Subject Char"/>
    <w:basedOn w:val="CommentTextChar"/>
    <w:link w:val="CommentSubject"/>
    <w:rsid w:val="00984EAD"/>
    <w:rPr>
      <w:rFonts w:ascii="Arial" w:hAnsi="Arial"/>
      <w:b/>
      <w:bCs/>
      <w:lang w:eastAsia="en-US"/>
    </w:rPr>
  </w:style>
  <w:style w:type="character" w:customStyle="1" w:styleId="Heading2Char">
    <w:name w:val="Heading 2 Char"/>
    <w:aliases w:val="Numbered - 2 Char"/>
    <w:basedOn w:val="DefaultParagraphFont"/>
    <w:link w:val="Heading2"/>
    <w:uiPriority w:val="9"/>
    <w:rsid w:val="00C5630B"/>
    <w:rPr>
      <w:rFonts w:ascii="Arial" w:hAnsi="Arial"/>
      <w:b/>
      <w:kern w:val="28"/>
      <w:sz w:val="24"/>
      <w:lang w:eastAsia="en-US"/>
    </w:rPr>
  </w:style>
  <w:style w:type="character" w:customStyle="1" w:styleId="HeaderChar">
    <w:name w:val="Header Char"/>
    <w:basedOn w:val="DefaultParagraphFont"/>
    <w:link w:val="Header"/>
    <w:uiPriority w:val="99"/>
    <w:rsid w:val="00B62931"/>
    <w:rPr>
      <w:rFonts w:ascii="Arial" w:hAnsi="Arial"/>
      <w:sz w:val="24"/>
      <w:lang w:eastAsia="en-US"/>
    </w:rPr>
  </w:style>
  <w:style w:type="character" w:customStyle="1" w:styleId="FooterChar">
    <w:name w:val="Footer Char"/>
    <w:basedOn w:val="DefaultParagraphFont"/>
    <w:link w:val="Footer"/>
    <w:uiPriority w:val="99"/>
    <w:rsid w:val="00E376C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841174">
      <w:bodyDiv w:val="1"/>
      <w:marLeft w:val="0"/>
      <w:marRight w:val="0"/>
      <w:marTop w:val="0"/>
      <w:marBottom w:val="0"/>
      <w:divBdr>
        <w:top w:val="none" w:sz="0" w:space="0" w:color="auto"/>
        <w:left w:val="none" w:sz="0" w:space="0" w:color="auto"/>
        <w:bottom w:val="none" w:sz="0" w:space="0" w:color="auto"/>
        <w:right w:val="none" w:sz="0" w:space="0" w:color="auto"/>
      </w:divBdr>
    </w:div>
    <w:div w:id="20227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5</Value>
      <Value>3</Value>
      <Value>2</Value>
    </TaxCatchAll>
    <IWPSubjectTaxHTField0 xmlns="01d2705b-266c-471f-bbad-ca9cc3733704">
      <Terms xmlns="http://schemas.microsoft.com/office/infopath/2007/PartnerControls"/>
    </IWPSubjectTaxHTField0>
    <IWPOrganisationalUnit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01d2705b-266c-471f-bbad-ca9cc373370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01d2705b-266c-471f-bbad-ca9cc3733704">
      <Terms xmlns="http://schemas.microsoft.com/office/infopath/2007/PartnerControls"/>
    </IWPSiteTypeTaxHTField0>
    <IWPContributor xmlns="01d2705b-266c-471f-bbad-ca9cc3733704">
      <UserInfo>
        <DisplayName/>
        <AccountId xsi:nil="true"/>
        <AccountType/>
      </UserInfo>
    </IWPContributor>
    <IWPFunctionTaxHTField0 xmlns="01d2705b-266c-471f-bbad-ca9cc3733704">
      <Terms xmlns="http://schemas.microsoft.com/office/infopath/2007/PartnerControls"/>
    </IWPFunctionTaxHTField0>
    <Comments xmlns="http://schemas.microsoft.com/sharepoint/v3" xsi:nil="true"/>
    <_dlc_DocId xmlns="b8cb3cbd-ce5c-4a72-9da4-9013f91c5903">HKPH4XM4QHZ4-9-13942</_dlc_DocId>
    <_dlc_DocIdUrl xmlns="b8cb3cbd-ce5c-4a72-9da4-9013f91c5903">
      <Url>http://workplaces/sites/ttg/d/_layouts/DocIdRedir.aspx?ID=HKPH4XM4QHZ4-9-13942</Url>
      <Description>HKPH4XM4QHZ4-9-13942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4812349" PreviousValue="false"/>
</file>

<file path=customXml/item5.xml><?xml version="1.0" encoding="utf-8"?>
<ct:contentTypeSchema xmlns:ct="http://schemas.microsoft.com/office/2006/metadata/contentType" xmlns:ma="http://schemas.microsoft.com/office/2006/metadata/properties/metaAttributes" ct:_="" ma:_="" ma:contentTypeName="Other briefing" ma:contentTypeID="0x0101007F645D6FBA204A029FECB8BFC6578C39005279853530254253B886E13194843F8A003AA4A7828D8545A79A9356801481234900C26145F0145976469915D8AC13511CF7" ma:contentTypeVersion="9" ma:contentTypeDescription="For any briefing which is not in relation to a department policy. Records retained for 10 years." ma:contentTypeScope="" ma:versionID="46cf5e9a6bdda7885d3ea30a06f096c1">
  <xsd:schema xmlns:xsd="http://www.w3.org/2001/XMLSchema" xmlns:xs="http://www.w3.org/2001/XMLSchema" xmlns:p="http://schemas.microsoft.com/office/2006/metadata/properties" xmlns:ns1="http://schemas.microsoft.com/sharepoint/v3" xmlns:ns2="b8cb3cbd-ce5c-4a72-9da4-9013f91c5903" xmlns:ns3="01d2705b-266c-471f-bbad-ca9cc3733704" targetNamespace="http://schemas.microsoft.com/office/2006/metadata/properties" ma:root="true" ma:fieldsID="84a9e59cad19928108f7ee55d43d7b21" ns1:_="" ns2:_="" ns3:_="">
    <xsd:import namespace="http://schemas.microsoft.com/sharepoint/v3"/>
    <xsd:import namespace="b8cb3cbd-ce5c-4a72-9da4-9013f91c5903"/>
    <xsd:import namespace="01d2705b-266c-471f-bbad-ca9cc373370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4e53523-cc22-4b71-94d9-f0f05bc78804}" ma:internalName="TaxCatchAll" ma:showField="CatchAllData" ma:web="01d2705b-266c-471f-bbad-ca9cc373370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4e53523-cc22-4b71-94d9-f0f05bc78804}" ma:internalName="TaxCatchAllLabel" ma:readOnly="true" ma:showField="CatchAllDataLabel" ma:web="01d2705b-266c-471f-bbad-ca9cc37337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9D045-B0F2-4F2E-B883-F8A801916E75}">
  <ds:schemaRefs>
    <ds:schemaRef ds:uri="http://schemas.microsoft.com/office/2006/documentManagement/types"/>
    <ds:schemaRef ds:uri="http://purl.org/dc/elements/1.1/"/>
    <ds:schemaRef ds:uri="http://schemas.microsoft.com/office/2006/metadata/properties"/>
    <ds:schemaRef ds:uri="01d2705b-266c-471f-bbad-ca9cc3733704"/>
    <ds:schemaRef ds:uri="http://schemas.microsoft.com/office/infopath/2007/PartnerControls"/>
    <ds:schemaRef ds:uri="http://schemas.microsoft.com/sharepoint/v3"/>
    <ds:schemaRef ds:uri="http://schemas.openxmlformats.org/package/2006/metadata/core-properties"/>
    <ds:schemaRef ds:uri="http://purl.org/dc/terms/"/>
    <ds:schemaRef ds:uri="b8cb3cbd-ce5c-4a72-9da4-9013f91c5903"/>
    <ds:schemaRef ds:uri="http://www.w3.org/XML/1998/namespace"/>
    <ds:schemaRef ds:uri="http://purl.org/dc/dcmitype/"/>
  </ds:schemaRefs>
</ds:datastoreItem>
</file>

<file path=customXml/itemProps2.xml><?xml version="1.0" encoding="utf-8"?>
<ds:datastoreItem xmlns:ds="http://schemas.openxmlformats.org/officeDocument/2006/customXml" ds:itemID="{323EFAE5-661B-4E04-A512-C73AC9E9CE24}">
  <ds:schemaRefs>
    <ds:schemaRef ds:uri="http://schemas.microsoft.com/sharepoint/v3/contenttype/forms"/>
  </ds:schemaRefs>
</ds:datastoreItem>
</file>

<file path=customXml/itemProps3.xml><?xml version="1.0" encoding="utf-8"?>
<ds:datastoreItem xmlns:ds="http://schemas.openxmlformats.org/officeDocument/2006/customXml" ds:itemID="{E7B320AD-6A30-474B-A38D-9DD98722032F}">
  <ds:schemaRefs>
    <ds:schemaRef ds:uri="http://schemas.microsoft.com/sharepoint/events"/>
  </ds:schemaRefs>
</ds:datastoreItem>
</file>

<file path=customXml/itemProps4.xml><?xml version="1.0" encoding="utf-8"?>
<ds:datastoreItem xmlns:ds="http://schemas.openxmlformats.org/officeDocument/2006/customXml" ds:itemID="{E9258687-9CB4-44C9-9ACD-FC79EB696553}">
  <ds:schemaRefs>
    <ds:schemaRef ds:uri="Microsoft.SharePoint.Taxonomy.ContentTypeSync"/>
  </ds:schemaRefs>
</ds:datastoreItem>
</file>

<file path=customXml/itemProps5.xml><?xml version="1.0" encoding="utf-8"?>
<ds:datastoreItem xmlns:ds="http://schemas.openxmlformats.org/officeDocument/2006/customXml" ds:itemID="{FC0D9850-2C08-4D99-8D09-C93EFF2DF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01d2705b-266c-471f-bbad-ca9cc3733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D3E5AF-E3A2-4C52-8B1F-4C567BE9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4484E32E</Template>
  <TotalTime>0</TotalTime>
  <Pages>9</Pages>
  <Words>2944</Words>
  <Characters>16786</Characters>
  <Application>Microsoft Office Word</Application>
  <DocSecurity>8</DocSecurity>
  <Lines>139</Lines>
  <Paragraphs>39</Paragraphs>
  <ScaleCrop>false</ScaleCrop>
  <HeadingPairs>
    <vt:vector size="2" baseType="variant">
      <vt:variant>
        <vt:lpstr>Title</vt:lpstr>
      </vt:variant>
      <vt:variant>
        <vt:i4>1</vt:i4>
      </vt:variant>
    </vt:vector>
  </HeadingPairs>
  <TitlesOfParts>
    <vt:vector size="1" baseType="lpstr">
      <vt:lpstr>Final finance, risk and audit paper for 3 June 15</vt:lpstr>
    </vt:vector>
  </TitlesOfParts>
  <Company>Employment Benefits</Company>
  <LinksUpToDate>false</LinksUpToDate>
  <CharactersWithSpaces>19691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finance, risk and audit paper for 3 June 15</dc:title>
  <dc:creator>WILLIAMS, Sue (CIOG)</dc:creator>
  <cp:lastModifiedBy>CAMMACK, Karen</cp:lastModifiedBy>
  <cp:revision>2</cp:revision>
  <dcterms:created xsi:type="dcterms:W3CDTF">2015-10-07T13:18:00Z</dcterms:created>
  <dcterms:modified xsi:type="dcterms:W3CDTF">2015-10-07T13:18:00Z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0x0101007F645D6FBA204A029FECB8BFC6578C39005279853530254253B886E13194843F8A003AA4A7828D8545A79A9356801481234900C26145F0145976469915D8AC13511CF7</vt:lpwstr>
  </property>
  <property fmtid="{D5CDD505-2E9C-101B-9397-08002B2CF9AE}" pid="3" name="IWPOrganisationalUnit">
    <vt:lpwstr>5;#DfE|cc08a6d4-dfde-4d0f-bd85-069ebcef80d5</vt:lpwstr>
  </property>
  <property fmtid="{D5CDD505-2E9C-101B-9397-08002B2CF9AE}" pid="4" name="IWPOwner">
    <vt:lpwstr>2;#DfE|a484111e-5b24-4ad9-9778-c536c8c88985</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3;#Official|0884c477-2e62-47ea-b19c-5af6e91124c5</vt:lpwstr>
  </property>
  <property fmtid="{D5CDD505-2E9C-101B-9397-08002B2CF9AE}" pid="9" name="_dlc_DocIdItemGuid">
    <vt:lpwstr>6ce1bff3-dbac-4459-9f53-50f73fb7e4b7</vt:lpwstr>
  </property>
</Properties>
</file>