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50AA6" w14:textId="77777777" w:rsidR="002E259E" w:rsidRDefault="00EE518F" w:rsidP="00EE518F">
      <w:pPr>
        <w:pStyle w:val="DeptBullets"/>
        <w:numPr>
          <w:ilvl w:val="0"/>
          <w:numId w:val="0"/>
        </w:numPr>
        <w:tabs>
          <w:tab w:val="left" w:pos="-142"/>
        </w:tabs>
        <w:spacing w:after="0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TPSPB - </w:t>
      </w:r>
      <w:r w:rsidR="00B1160D" w:rsidRPr="00117C14">
        <w:rPr>
          <w:b/>
          <w:sz w:val="22"/>
          <w:szCs w:val="22"/>
        </w:rPr>
        <w:t xml:space="preserve">PROGRESS </w:t>
      </w:r>
      <w:r w:rsidR="00B1160D">
        <w:rPr>
          <w:b/>
          <w:sz w:val="22"/>
          <w:szCs w:val="22"/>
        </w:rPr>
        <w:t>AGAINST LEGAL REQUIREMENTS</w:t>
      </w:r>
    </w:p>
    <w:p w14:paraId="47083F4F" w14:textId="6C39945A" w:rsidR="00B1160D" w:rsidRDefault="00EE518F" w:rsidP="00EE518F">
      <w:pPr>
        <w:pStyle w:val="DeptBullets"/>
        <w:numPr>
          <w:ilvl w:val="0"/>
          <w:numId w:val="0"/>
        </w:numPr>
        <w:tabs>
          <w:tab w:val="left" w:pos="-142"/>
        </w:tabs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(DETERMINED BY THE PENSIONS REGULATOR’S CODE OF PRACTICE)</w:t>
      </w:r>
      <w:r w:rsidR="00B1160D">
        <w:rPr>
          <w:b/>
          <w:sz w:val="22"/>
          <w:szCs w:val="22"/>
        </w:rPr>
        <w:t xml:space="preserve"> AT </w:t>
      </w:r>
      <w:r w:rsidR="00B1160D" w:rsidRPr="00117C14">
        <w:rPr>
          <w:b/>
          <w:sz w:val="22"/>
          <w:szCs w:val="22"/>
        </w:rPr>
        <w:t xml:space="preserve">: </w:t>
      </w:r>
      <w:r w:rsidR="0010564D">
        <w:rPr>
          <w:b/>
          <w:sz w:val="22"/>
          <w:szCs w:val="22"/>
        </w:rPr>
        <w:t>1 September</w:t>
      </w:r>
      <w:r w:rsidR="00B1160D">
        <w:rPr>
          <w:b/>
          <w:sz w:val="22"/>
          <w:szCs w:val="22"/>
        </w:rPr>
        <w:t xml:space="preserve"> 2015</w:t>
      </w:r>
    </w:p>
    <w:p w14:paraId="75CE9FD2" w14:textId="77777777" w:rsidR="00EE518F" w:rsidRDefault="00EE518F" w:rsidP="00EE518F">
      <w:pPr>
        <w:pStyle w:val="DeptBullets"/>
        <w:numPr>
          <w:ilvl w:val="0"/>
          <w:numId w:val="0"/>
        </w:numPr>
        <w:tabs>
          <w:tab w:val="left" w:pos="-142"/>
        </w:tabs>
        <w:spacing w:after="0"/>
        <w:jc w:val="center"/>
        <w:rPr>
          <w:b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402"/>
        <w:gridCol w:w="3402"/>
        <w:gridCol w:w="2693"/>
        <w:gridCol w:w="1843"/>
      </w:tblGrid>
      <w:tr w:rsidR="00B93B97" w14:paraId="7716DB37" w14:textId="697D822C" w:rsidTr="00DC481D">
        <w:tc>
          <w:tcPr>
            <w:tcW w:w="1384" w:type="dxa"/>
            <w:shd w:val="clear" w:color="auto" w:fill="DBE5F1" w:themeFill="accent1" w:themeFillTint="33"/>
          </w:tcPr>
          <w:p w14:paraId="22718E5F" w14:textId="464BA4EF" w:rsidR="00B93B97" w:rsidRDefault="00B93B97" w:rsidP="00EE518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Subject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796F8FBA" w14:textId="77777777" w:rsidR="00B93B97" w:rsidRDefault="00B93B97" w:rsidP="00B1160D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Requirement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47E9BBC5" w14:textId="3904F9A9" w:rsidR="00B93B97" w:rsidRDefault="00B93B97" w:rsidP="00B93B97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Documentation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4E503BE7" w14:textId="0C8864F0" w:rsidR="00B93B97" w:rsidRDefault="002E259E" w:rsidP="00B93B97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Additional </w:t>
            </w:r>
            <w:r w:rsidR="00B93B97">
              <w:rPr>
                <w:b/>
                <w:sz w:val="22"/>
                <w:szCs w:val="22"/>
              </w:rPr>
              <w:t>Activities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0EF7C6A7" w14:textId="77777777" w:rsidR="00B93B97" w:rsidRDefault="00B93B97" w:rsidP="00B1160D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93B97" w:rsidRPr="00B1160D" w14:paraId="215287F1" w14:textId="3EE19750" w:rsidTr="00DC481D">
        <w:tc>
          <w:tcPr>
            <w:tcW w:w="1384" w:type="dxa"/>
          </w:tcPr>
          <w:p w14:paraId="42E4C611" w14:textId="19EA2EB2" w:rsidR="00B93B97" w:rsidRPr="00B1160D" w:rsidRDefault="00B93B97" w:rsidP="00EE518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Constitute </w:t>
            </w:r>
            <w:r w:rsidRPr="00B1160D">
              <w:rPr>
                <w:sz w:val="22"/>
                <w:szCs w:val="22"/>
              </w:rPr>
              <w:t>Board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5D8F4208" w14:textId="77777777" w:rsidR="00B93B97" w:rsidRDefault="00B93B97" w:rsidP="00EE518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Determine Membership</w:t>
            </w:r>
          </w:p>
          <w:p w14:paraId="5BE50E29" w14:textId="77777777" w:rsidR="00B93B97" w:rsidRDefault="00B93B97" w:rsidP="00EE518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Determine terms of appointment</w:t>
            </w:r>
          </w:p>
          <w:p w14:paraId="7D5D3240" w14:textId="77777777" w:rsidR="00B93B97" w:rsidRDefault="00B93B97" w:rsidP="00EE518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Determine appointment process</w:t>
            </w:r>
          </w:p>
          <w:p w14:paraId="182DEA8A" w14:textId="45D7D212" w:rsidR="00B93B97" w:rsidRDefault="00B93B97" w:rsidP="00EE518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Appoint</w:t>
            </w:r>
          </w:p>
          <w:p w14:paraId="7B5DCF03" w14:textId="25691AB6" w:rsidR="00B93B97" w:rsidRPr="00B1160D" w:rsidRDefault="00B93B97" w:rsidP="00EE518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Determine process for renewal of appointment / Board refresh</w:t>
            </w:r>
          </w:p>
        </w:tc>
        <w:tc>
          <w:tcPr>
            <w:tcW w:w="3402" w:type="dxa"/>
          </w:tcPr>
          <w:p w14:paraId="58DB9967" w14:textId="32CBA75D" w:rsidR="00B93B97" w:rsidRDefault="00FE18B3" w:rsidP="00EE518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TPSPB</w:t>
            </w:r>
            <w:r w:rsidR="002E259E">
              <w:rPr>
                <w:sz w:val="22"/>
                <w:szCs w:val="22"/>
              </w:rPr>
              <w:t xml:space="preserve"> </w:t>
            </w:r>
            <w:r w:rsidR="00B93B97">
              <w:rPr>
                <w:sz w:val="22"/>
                <w:szCs w:val="22"/>
              </w:rPr>
              <w:t>Terms of Reference</w:t>
            </w:r>
          </w:p>
          <w:p w14:paraId="68038AE2" w14:textId="26A14377" w:rsidR="002E259E" w:rsidRDefault="00FE18B3" w:rsidP="00EE518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TPSPB</w:t>
            </w:r>
            <w:r w:rsidR="002E259E">
              <w:rPr>
                <w:sz w:val="22"/>
                <w:szCs w:val="22"/>
              </w:rPr>
              <w:t xml:space="preserve"> Terms &amp; Conditions</w:t>
            </w:r>
          </w:p>
          <w:p w14:paraId="7B98F33C" w14:textId="2492ACBB" w:rsidR="00B93B97" w:rsidRDefault="00FE18B3" w:rsidP="00EE518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TPSPB</w:t>
            </w:r>
            <w:r w:rsidR="002E259E">
              <w:rPr>
                <w:sz w:val="22"/>
                <w:szCs w:val="22"/>
              </w:rPr>
              <w:t xml:space="preserve"> </w:t>
            </w:r>
            <w:r w:rsidR="00B93B97">
              <w:rPr>
                <w:sz w:val="22"/>
                <w:szCs w:val="22"/>
              </w:rPr>
              <w:t>Roles &amp; Responsibilities</w:t>
            </w:r>
          </w:p>
          <w:p w14:paraId="35B83770" w14:textId="77777777" w:rsidR="00B93B97" w:rsidRDefault="00B93B97" w:rsidP="00EE518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Letters of contract</w:t>
            </w:r>
          </w:p>
          <w:p w14:paraId="77339A14" w14:textId="77777777" w:rsidR="00B93B97" w:rsidRPr="00B1160D" w:rsidRDefault="00B93B97" w:rsidP="00EE518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B7D98CC" w14:textId="6A70BC59" w:rsidR="00B93B97" w:rsidRDefault="00B93B97" w:rsidP="00EE518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Officials drafted paper for consideration by Chair / Board on re-appointment process.</w:t>
            </w:r>
          </w:p>
          <w:p w14:paraId="0FCF5DEA" w14:textId="5BBC6B17" w:rsidR="00B93B97" w:rsidRPr="00B1160D" w:rsidRDefault="00B93B97" w:rsidP="001F3001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Added to appointment information on website</w:t>
            </w:r>
          </w:p>
        </w:tc>
        <w:tc>
          <w:tcPr>
            <w:tcW w:w="1843" w:type="dxa"/>
          </w:tcPr>
          <w:p w14:paraId="13A65FA0" w14:textId="77777777" w:rsidR="00B93B97" w:rsidRDefault="00B93B97" w:rsidP="00EE518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b/>
                <w:sz w:val="22"/>
                <w:szCs w:val="22"/>
              </w:rPr>
            </w:pPr>
          </w:p>
          <w:p w14:paraId="70AF3864" w14:textId="77777777" w:rsidR="00B93B97" w:rsidRDefault="00B93B97" w:rsidP="00EE518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b/>
                <w:sz w:val="22"/>
                <w:szCs w:val="22"/>
              </w:rPr>
            </w:pPr>
          </w:p>
          <w:p w14:paraId="0D13482C" w14:textId="77777777" w:rsidR="00B93B97" w:rsidRDefault="00B93B97" w:rsidP="00EE518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b/>
                <w:sz w:val="22"/>
                <w:szCs w:val="22"/>
              </w:rPr>
            </w:pPr>
          </w:p>
          <w:p w14:paraId="37C46C6B" w14:textId="77777777" w:rsidR="00B93B97" w:rsidRDefault="00B93B97" w:rsidP="00EE518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b/>
                <w:sz w:val="22"/>
                <w:szCs w:val="22"/>
              </w:rPr>
            </w:pPr>
          </w:p>
          <w:p w14:paraId="6F76A90F" w14:textId="67BAFAFE" w:rsidR="00B93B97" w:rsidRDefault="00B93B97" w:rsidP="00EE518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sz w:val="22"/>
                <w:szCs w:val="22"/>
              </w:rPr>
            </w:pPr>
            <w:r w:rsidRPr="00EE518F">
              <w:rPr>
                <w:b/>
                <w:sz w:val="22"/>
                <w:szCs w:val="22"/>
              </w:rPr>
              <w:t>Complet</w:t>
            </w:r>
            <w:r>
              <w:rPr>
                <w:b/>
                <w:sz w:val="22"/>
                <w:szCs w:val="22"/>
              </w:rPr>
              <w:t>e</w:t>
            </w:r>
          </w:p>
        </w:tc>
      </w:tr>
      <w:tr w:rsidR="00B93B97" w:rsidRPr="00B1160D" w14:paraId="1AC76385" w14:textId="2EB33530" w:rsidTr="00DC481D">
        <w:tc>
          <w:tcPr>
            <w:tcW w:w="1384" w:type="dxa"/>
          </w:tcPr>
          <w:p w14:paraId="7635E949" w14:textId="7C5BA691" w:rsidR="00B93B97" w:rsidRPr="00B1160D" w:rsidRDefault="00B93B97" w:rsidP="00B1160D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Knowledge and training</w:t>
            </w:r>
          </w:p>
        </w:tc>
        <w:tc>
          <w:tcPr>
            <w:tcW w:w="3402" w:type="dxa"/>
          </w:tcPr>
          <w:p w14:paraId="2BA910FC" w14:textId="77777777" w:rsidR="00902F9F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Board members must be conversant with</w:t>
            </w:r>
          </w:p>
          <w:p w14:paraId="3509460F" w14:textId="77777777" w:rsidR="00902F9F" w:rsidRDefault="002E259E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the rules of the scheme, </w:t>
            </w:r>
          </w:p>
          <w:p w14:paraId="337A9847" w14:textId="77777777" w:rsidR="00902F9F" w:rsidRDefault="00902F9F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</w:t>
            </w:r>
            <w:r w:rsidR="00B93B97">
              <w:rPr>
                <w:sz w:val="22"/>
                <w:szCs w:val="22"/>
              </w:rPr>
              <w:t xml:space="preserve">documentation recording policy on the administration of the scheme </w:t>
            </w:r>
          </w:p>
          <w:p w14:paraId="0D439354" w14:textId="159786C3" w:rsidR="00B93B97" w:rsidRDefault="00902F9F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93B97">
              <w:rPr>
                <w:sz w:val="22"/>
                <w:szCs w:val="22"/>
              </w:rPr>
              <w:t>pensions law.</w:t>
            </w:r>
          </w:p>
          <w:p w14:paraId="7477B017" w14:textId="77777777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2EAB5380" w14:textId="77777777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7DAF139D" w14:textId="77777777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03092673" w14:textId="77777777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1B071F34" w14:textId="77777777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7B44D645" w14:textId="77777777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1ADD00BE" w14:textId="77777777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2B722D40" w14:textId="77777777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563EBAE1" w14:textId="77777777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08CD4084" w14:textId="77777777" w:rsidR="002E259E" w:rsidRDefault="002E259E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2427CE9E" w14:textId="77777777" w:rsidR="002E259E" w:rsidRDefault="002E259E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56130003" w14:textId="77777777" w:rsidR="002E259E" w:rsidRDefault="002E259E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31F451E0" w14:textId="77777777" w:rsidR="002E259E" w:rsidRDefault="002E259E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72A1E885" w14:textId="77777777" w:rsidR="00E423FC" w:rsidRDefault="00E423FC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28CAF9E2" w14:textId="77777777" w:rsidR="00E423FC" w:rsidRDefault="00E423FC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5982724E" w14:textId="77777777" w:rsidR="00E423FC" w:rsidRDefault="00E423FC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7C681331" w14:textId="77777777" w:rsidR="00E423FC" w:rsidRDefault="00E423FC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7D77E7A2" w14:textId="0DE11ABD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Board members should complete a personal training needs analysis and regularly review their skills.</w:t>
            </w:r>
          </w:p>
          <w:p w14:paraId="5E59FD60" w14:textId="77777777" w:rsidR="002E259E" w:rsidRDefault="002E259E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7BFE3546" w14:textId="77777777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personal training plan should be used to identify and address skills gaps.</w:t>
            </w:r>
          </w:p>
          <w:p w14:paraId="7CD60B7F" w14:textId="77777777" w:rsidR="002E259E" w:rsidRDefault="002E259E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364ED5F0" w14:textId="77777777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scheme should keep appropriate records of learning activities of both individual members and the as a whole </w:t>
            </w:r>
          </w:p>
          <w:p w14:paraId="624EAF32" w14:textId="09721662" w:rsidR="002E259E" w:rsidRDefault="002E259E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FA3F93C" w14:textId="0CF712D2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Induction day &amp; pre-reading </w:t>
            </w:r>
          </w:p>
          <w:p w14:paraId="509D7E76" w14:textId="60C36580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Presentations &amp;</w:t>
            </w:r>
            <w:r w:rsidR="002E259E">
              <w:rPr>
                <w:sz w:val="22"/>
                <w:szCs w:val="22"/>
              </w:rPr>
              <w:t xml:space="preserve">background </w:t>
            </w:r>
            <w:r>
              <w:rPr>
                <w:sz w:val="22"/>
                <w:szCs w:val="22"/>
              </w:rPr>
              <w:t xml:space="preserve"> reference documents </w:t>
            </w:r>
          </w:p>
          <w:p w14:paraId="5B97D50F" w14:textId="77777777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14702126" w14:textId="54ADC381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Signposting to TP and tPR websites for additional learning</w:t>
            </w:r>
            <w:r w:rsidR="00902F9F">
              <w:rPr>
                <w:sz w:val="22"/>
                <w:szCs w:val="22"/>
              </w:rPr>
              <w:t xml:space="preserve"> (including e-learning modules)</w:t>
            </w:r>
          </w:p>
          <w:p w14:paraId="5EFD6A88" w14:textId="77777777" w:rsidR="002E259E" w:rsidRDefault="002E259E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7D2B0DD5" w14:textId="77777777" w:rsidR="002E259E" w:rsidRDefault="002E259E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Inaugural Board provided further learning.</w:t>
            </w:r>
          </w:p>
          <w:p w14:paraId="1DD1F740" w14:textId="77777777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01CD4184" w14:textId="2CA32260" w:rsidR="00B93B97" w:rsidRDefault="002E259E" w:rsidP="002E259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Times New Roman"/>
                <w:lang w:val="en-GB"/>
              </w:rPr>
            </w:pPr>
            <w:r>
              <w:rPr>
                <w:rFonts w:ascii="Arial" w:eastAsia="Times New Roman" w:hAnsi="Arial" w:cs="Times New Roman"/>
                <w:lang w:val="en-GB"/>
              </w:rPr>
              <w:t>TPS Reform briefing</w:t>
            </w:r>
            <w:r w:rsidR="00B93B97" w:rsidRPr="001F3001">
              <w:rPr>
                <w:rFonts w:ascii="Arial" w:eastAsia="Times New Roman" w:hAnsi="Arial" w:cs="Times New Roman"/>
                <w:lang w:val="en-GB"/>
              </w:rPr>
              <w:t xml:space="preserve"> document shared 15/4/15</w:t>
            </w:r>
            <w:r w:rsidR="00B93B97">
              <w:rPr>
                <w:rFonts w:ascii="Arial" w:eastAsia="Times New Roman" w:hAnsi="Arial" w:cs="Times New Roman"/>
                <w:lang w:val="en-GB"/>
              </w:rPr>
              <w:t>.</w:t>
            </w:r>
          </w:p>
          <w:p w14:paraId="3A570938" w14:textId="77777777" w:rsidR="00B93B97" w:rsidRDefault="00B93B97" w:rsidP="002E259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Times New Roman"/>
                <w:lang w:val="en-GB"/>
              </w:rPr>
            </w:pPr>
            <w:r w:rsidRPr="001F3001">
              <w:rPr>
                <w:rFonts w:ascii="Arial" w:eastAsia="Times New Roman" w:hAnsi="Arial" w:cs="Times New Roman"/>
                <w:lang w:val="en-GB"/>
              </w:rPr>
              <w:t>Finance Report shared 12/5/15.</w:t>
            </w:r>
          </w:p>
          <w:p w14:paraId="4376065D" w14:textId="6068D47C" w:rsidR="00E423FC" w:rsidRDefault="00E423FC" w:rsidP="002E259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Times New Roman"/>
                <w:lang w:val="en-GB"/>
              </w:rPr>
            </w:pPr>
            <w:r>
              <w:rPr>
                <w:rFonts w:ascii="Arial" w:eastAsia="Times New Roman" w:hAnsi="Arial" w:cs="Times New Roman"/>
                <w:lang w:val="en-GB"/>
              </w:rPr>
              <w:t>Assurance note circulated 18/6/15</w:t>
            </w:r>
          </w:p>
          <w:p w14:paraId="096A9AEA" w14:textId="77777777" w:rsidR="002E259E" w:rsidRPr="001F3001" w:rsidRDefault="002E259E" w:rsidP="002E259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Times New Roman"/>
                <w:lang w:val="en-GB"/>
              </w:rPr>
            </w:pPr>
          </w:p>
          <w:p w14:paraId="38097FE4" w14:textId="35DA568A" w:rsidR="00B93B97" w:rsidRDefault="00B93B97" w:rsidP="002E259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Times New Roman"/>
                <w:lang w:val="en-GB"/>
              </w:rPr>
            </w:pPr>
            <w:r w:rsidRPr="001F3001">
              <w:rPr>
                <w:rFonts w:ascii="Arial" w:eastAsia="Times New Roman" w:hAnsi="Arial" w:cs="Times New Roman"/>
                <w:lang w:val="en-GB"/>
              </w:rPr>
              <w:t>Familiarisation visit</w:t>
            </w:r>
            <w:r w:rsidR="00E423FC">
              <w:rPr>
                <w:rFonts w:ascii="Arial" w:eastAsia="Times New Roman" w:hAnsi="Arial" w:cs="Times New Roman"/>
                <w:lang w:val="en-GB"/>
              </w:rPr>
              <w:t>s to Capita 20/5/15 and 5/8/15.</w:t>
            </w:r>
          </w:p>
          <w:p w14:paraId="0ECEFD5B" w14:textId="77777777" w:rsidR="00E423FC" w:rsidRDefault="00E423FC" w:rsidP="002E259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Times New Roman"/>
                <w:lang w:val="en-GB"/>
              </w:rPr>
            </w:pPr>
          </w:p>
          <w:p w14:paraId="679492D3" w14:textId="29321883" w:rsidR="00E423FC" w:rsidRPr="001F3001" w:rsidRDefault="00E423FC" w:rsidP="002E259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Times New Roman"/>
                <w:lang w:val="en-GB"/>
              </w:rPr>
            </w:pPr>
            <w:r>
              <w:rPr>
                <w:rFonts w:ascii="Arial" w:eastAsia="Times New Roman" w:hAnsi="Arial" w:cs="Times New Roman"/>
                <w:lang w:val="en-GB"/>
              </w:rPr>
              <w:t>Arrangement</w:t>
            </w:r>
            <w:r w:rsidR="00DC481D">
              <w:rPr>
                <w:rFonts w:ascii="Arial" w:eastAsia="Times New Roman" w:hAnsi="Arial" w:cs="Times New Roman"/>
                <w:lang w:val="en-GB"/>
              </w:rPr>
              <w:t>s made</w:t>
            </w:r>
            <w:r>
              <w:rPr>
                <w:rFonts w:ascii="Arial" w:eastAsia="Times New Roman" w:hAnsi="Arial" w:cs="Times New Roman"/>
                <w:lang w:val="en-GB"/>
              </w:rPr>
              <w:t xml:space="preserve"> for TPAF / TPARG </w:t>
            </w:r>
            <w:r w:rsidR="00DC481D">
              <w:rPr>
                <w:rFonts w:ascii="Arial" w:eastAsia="Times New Roman" w:hAnsi="Arial" w:cs="Times New Roman"/>
                <w:lang w:val="en-GB"/>
              </w:rPr>
              <w:t>update</w:t>
            </w:r>
            <w:r>
              <w:rPr>
                <w:rFonts w:ascii="Arial" w:eastAsia="Times New Roman" w:hAnsi="Arial" w:cs="Times New Roman"/>
                <w:lang w:val="en-GB"/>
              </w:rPr>
              <w:t xml:space="preserve"> and opt out data to be circulated as and when</w:t>
            </w:r>
            <w:r w:rsidR="00902F9F">
              <w:rPr>
                <w:rFonts w:ascii="Arial" w:eastAsia="Times New Roman" w:hAnsi="Arial" w:cs="Times New Roman"/>
                <w:lang w:val="en-GB"/>
              </w:rPr>
              <w:t xml:space="preserve"> (first circulation July/August 15)</w:t>
            </w:r>
            <w:r>
              <w:rPr>
                <w:rFonts w:ascii="Arial" w:eastAsia="Times New Roman" w:hAnsi="Arial" w:cs="Times New Roman"/>
                <w:lang w:val="en-GB"/>
              </w:rPr>
              <w:t xml:space="preserve">. </w:t>
            </w:r>
          </w:p>
          <w:p w14:paraId="2CB469A0" w14:textId="77777777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 w:rsidRPr="00E423FC">
              <w:rPr>
                <w:b/>
                <w:color w:val="0070C0"/>
                <w:sz w:val="22"/>
                <w:szCs w:val="22"/>
              </w:rPr>
              <w:lastRenderedPageBreak/>
              <w:t>Skills matrix</w:t>
            </w:r>
            <w:r w:rsidRPr="00E423FC">
              <w:rPr>
                <w:color w:val="0070C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developed to record key skills required.</w:t>
            </w:r>
          </w:p>
          <w:p w14:paraId="1B70E24B" w14:textId="77777777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4AF2D76F" w14:textId="77777777" w:rsidR="002E259E" w:rsidRDefault="002E259E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4D0B71DC" w14:textId="77777777" w:rsidR="002E259E" w:rsidRDefault="002E259E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1CDECCAE" w14:textId="77777777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Individual training records compiled.</w:t>
            </w:r>
          </w:p>
          <w:p w14:paraId="2A5F0348" w14:textId="77777777" w:rsidR="002E259E" w:rsidRDefault="002E259E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0F10C23F" w14:textId="77777777" w:rsidR="002E259E" w:rsidRDefault="002E259E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1517F76B" w14:textId="74902612" w:rsidR="002E259E" w:rsidRDefault="002E259E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Secretariat </w:t>
            </w:r>
            <w:r w:rsidR="00E423FC">
              <w:rPr>
                <w:sz w:val="22"/>
                <w:szCs w:val="22"/>
              </w:rPr>
              <w:t xml:space="preserve">has created and will manage </w:t>
            </w:r>
            <w:r w:rsidRPr="00E423FC">
              <w:rPr>
                <w:b/>
                <w:color w:val="0070C0"/>
                <w:sz w:val="22"/>
                <w:szCs w:val="22"/>
              </w:rPr>
              <w:t>learning records</w:t>
            </w:r>
            <w:r w:rsidR="00174399" w:rsidRPr="00E423FC">
              <w:rPr>
                <w:color w:val="0070C0"/>
                <w:sz w:val="22"/>
                <w:szCs w:val="22"/>
              </w:rPr>
              <w:t xml:space="preserve"> </w:t>
            </w:r>
            <w:r w:rsidR="00174399">
              <w:rPr>
                <w:sz w:val="22"/>
                <w:szCs w:val="22"/>
              </w:rPr>
              <w:t>in respect of both “the Board” and individuals.</w:t>
            </w:r>
          </w:p>
          <w:p w14:paraId="0EB168B2" w14:textId="10F8AEA0" w:rsidR="002E259E" w:rsidRDefault="002E259E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7780898" w14:textId="4C9A0605" w:rsidR="00B93B97" w:rsidRDefault="00902F9F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l</w:t>
            </w:r>
            <w:r w:rsidR="00B93B97">
              <w:rPr>
                <w:sz w:val="22"/>
                <w:szCs w:val="22"/>
              </w:rPr>
              <w:t>earning material uploaded to Board-only area of TP’s website.</w:t>
            </w:r>
          </w:p>
          <w:p w14:paraId="12EE8324" w14:textId="77777777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6329C056" w14:textId="77777777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01DE4E83" w14:textId="77777777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4876AFB6" w14:textId="77777777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54A61523" w14:textId="77777777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0285D1E9" w14:textId="77777777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62D2843A" w14:textId="77777777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412781D6" w14:textId="77777777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23ACB447" w14:textId="77777777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6529F686" w14:textId="77777777" w:rsidR="002E259E" w:rsidRDefault="002E259E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45C283DB" w14:textId="77777777" w:rsidR="002E259E" w:rsidRDefault="002E259E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5D79EC43" w14:textId="77777777" w:rsidR="002E259E" w:rsidRDefault="002E259E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2969B4DC" w14:textId="77777777" w:rsidR="002E259E" w:rsidRDefault="002E259E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574C32B0" w14:textId="77777777" w:rsidR="002E259E" w:rsidRDefault="002E259E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214170D1" w14:textId="77777777" w:rsidR="002E259E" w:rsidRDefault="002E259E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6691C476" w14:textId="77777777" w:rsidR="002E259E" w:rsidRDefault="002E259E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0FCB6AA7" w14:textId="77777777" w:rsidR="00E423FC" w:rsidRDefault="00E423FC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0BD6D653" w14:textId="77777777" w:rsidR="00E423FC" w:rsidRDefault="00E423FC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59E041EE" w14:textId="77777777" w:rsidR="00E423FC" w:rsidRDefault="00E423FC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0B4E3097" w14:textId="77777777" w:rsidR="00E423FC" w:rsidRDefault="00E423FC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51AABE43" w14:textId="77777777" w:rsidR="00E423FC" w:rsidRDefault="00E423FC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259580DA" w14:textId="4BE8F7BB" w:rsidR="00B93B97" w:rsidRDefault="002E259E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</w:t>
            </w:r>
            <w:r w:rsidR="00B93B97">
              <w:rPr>
                <w:sz w:val="22"/>
                <w:szCs w:val="22"/>
              </w:rPr>
              <w:t xml:space="preserve">ompleted skills matrix </w:t>
            </w:r>
            <w:r>
              <w:rPr>
                <w:sz w:val="22"/>
                <w:szCs w:val="22"/>
              </w:rPr>
              <w:t xml:space="preserve">submitted for </w:t>
            </w:r>
            <w:r w:rsidR="00B93B97">
              <w:rPr>
                <w:sz w:val="22"/>
                <w:szCs w:val="22"/>
              </w:rPr>
              <w:t>28/2/15.</w:t>
            </w:r>
          </w:p>
          <w:p w14:paraId="6D386991" w14:textId="77777777" w:rsidR="002E259E" w:rsidRDefault="002E259E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37BA0335" w14:textId="77777777" w:rsidR="007062D4" w:rsidRDefault="007062D4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74D091EA" w14:textId="77777777" w:rsidR="007062D4" w:rsidRDefault="007062D4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1ACACA06" w14:textId="77777777" w:rsidR="007062D4" w:rsidRDefault="007062D4" w:rsidP="007062D4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Initial Gap analysis. </w:t>
            </w:r>
          </w:p>
          <w:p w14:paraId="6EC4988C" w14:textId="77777777" w:rsidR="007062D4" w:rsidRDefault="007062D4" w:rsidP="007062D4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17A3BA16" w14:textId="6E727777" w:rsidR="00B93B97" w:rsidRDefault="00902F9F" w:rsidP="007062D4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423FC">
              <w:rPr>
                <w:sz w:val="22"/>
                <w:szCs w:val="22"/>
              </w:rPr>
              <w:t>iscussion at 9/9/15 Board meeting to determine further learning needs (subsequent to completion of skills matrix for 31/8/15)</w:t>
            </w:r>
          </w:p>
          <w:p w14:paraId="059829CD" w14:textId="77777777" w:rsidR="007062D4" w:rsidRDefault="007062D4" w:rsidP="007062D4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398857C5" w14:textId="077A0D6B" w:rsidR="007062D4" w:rsidRDefault="007062D4" w:rsidP="007062D4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TPSPB meeting in December in Darlington to include engagement workshop</w:t>
            </w:r>
            <w:r w:rsidR="00902F9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MPO walk</w:t>
            </w:r>
            <w:r w:rsidR="00902F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through and site visit of TP’s new premises.</w:t>
            </w:r>
          </w:p>
          <w:p w14:paraId="3E9BE02E" w14:textId="77777777" w:rsidR="007062D4" w:rsidRDefault="007062D4" w:rsidP="007062D4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7CF426B7" w14:textId="6E12D02E" w:rsidR="007062D4" w:rsidRDefault="007062D4" w:rsidP="007062D4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2016 Board to include presentation by GAD</w:t>
            </w:r>
          </w:p>
          <w:p w14:paraId="737CEE1A" w14:textId="7F26A28C" w:rsidR="007062D4" w:rsidRPr="00B1160D" w:rsidRDefault="007062D4" w:rsidP="007062D4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B8A2E5A" w14:textId="77777777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7F21293A" w14:textId="77777777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3637A3E9" w14:textId="77777777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0F97F5A4" w14:textId="77777777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53B75FCE" w14:textId="77777777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3CE349C3" w14:textId="77777777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76919534" w14:textId="77777777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4A15E426" w14:textId="77777777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44DE742D" w14:textId="77777777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251BAB2E" w14:textId="77777777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3182CC78" w14:textId="77777777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01EAD963" w14:textId="77777777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012AC819" w14:textId="77777777" w:rsidR="002E259E" w:rsidRDefault="002E259E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7154979E" w14:textId="77777777" w:rsidR="002E259E" w:rsidRDefault="002E259E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019CE707" w14:textId="77777777" w:rsidR="002E259E" w:rsidRDefault="002E259E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7B579835" w14:textId="77777777" w:rsidR="002E259E" w:rsidRDefault="002E259E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6A7730F3" w14:textId="77777777" w:rsidR="002E259E" w:rsidRDefault="002E259E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799DBDB4" w14:textId="77777777" w:rsidR="002E259E" w:rsidRDefault="002E259E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3383A405" w14:textId="77777777" w:rsidR="002E259E" w:rsidRDefault="002E259E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4374A902" w14:textId="77777777" w:rsidR="00E423FC" w:rsidRDefault="00E423FC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12A2D790" w14:textId="77777777" w:rsidR="00E423FC" w:rsidRDefault="00E423FC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1E51ED07" w14:textId="77777777" w:rsidR="00E423FC" w:rsidRDefault="00E423FC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47FEF378" w14:textId="77777777" w:rsidR="00E423FC" w:rsidRDefault="00E423FC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1ACF18D7" w14:textId="77777777" w:rsidR="00E423FC" w:rsidRDefault="00E423FC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385E0FE9" w14:textId="77777777" w:rsidR="00902F9F" w:rsidRDefault="00902F9F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0B9524E8" w14:textId="77777777" w:rsidR="00902F9F" w:rsidRDefault="00902F9F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73B581CA" w14:textId="77777777" w:rsidR="00902F9F" w:rsidRDefault="00902F9F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1541145A" w14:textId="77777777" w:rsidR="00902F9F" w:rsidRDefault="00902F9F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7CB67ECF" w14:textId="77777777" w:rsidR="00902F9F" w:rsidRDefault="00902F9F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002BBB4C" w14:textId="77777777" w:rsidR="00902F9F" w:rsidRDefault="00902F9F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28BCFBE6" w14:textId="77777777" w:rsidR="00902F9F" w:rsidRDefault="00902F9F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29A24A83" w14:textId="6D849707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Second iteration to be completed </w:t>
            </w:r>
            <w:r w:rsidR="002E259E">
              <w:rPr>
                <w:sz w:val="22"/>
                <w:szCs w:val="22"/>
              </w:rPr>
              <w:t xml:space="preserve">for </w:t>
            </w:r>
            <w:r w:rsidR="00E423FC">
              <w:rPr>
                <w:sz w:val="22"/>
                <w:szCs w:val="22"/>
              </w:rPr>
              <w:t>31/8</w:t>
            </w:r>
            <w:r>
              <w:rPr>
                <w:sz w:val="22"/>
                <w:szCs w:val="22"/>
              </w:rPr>
              <w:t>/15</w:t>
            </w:r>
            <w:r w:rsidR="002E259E">
              <w:rPr>
                <w:sz w:val="22"/>
                <w:szCs w:val="22"/>
              </w:rPr>
              <w:t>.</w:t>
            </w:r>
          </w:p>
          <w:p w14:paraId="1C5ED5B3" w14:textId="77777777" w:rsidR="00902F9F" w:rsidRDefault="00902F9F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071D2CEC" w14:textId="0A547EF3" w:rsidR="007062D4" w:rsidRDefault="00902F9F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Further gap analysis autumn 2015.</w:t>
            </w:r>
          </w:p>
          <w:p w14:paraId="7FA363DB" w14:textId="77777777" w:rsidR="007062D4" w:rsidRDefault="007062D4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7A298A1F" w14:textId="77777777" w:rsidR="007062D4" w:rsidRDefault="007062D4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6BD4144E" w14:textId="77777777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3978968C" w14:textId="51E9B444" w:rsidR="007062D4" w:rsidRDefault="007062D4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0A008B39" w14:textId="77777777" w:rsidR="007062D4" w:rsidRDefault="007062D4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1BE18E29" w14:textId="77777777" w:rsidR="007062D4" w:rsidRDefault="007062D4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45AC900D" w14:textId="77777777" w:rsidR="007062D4" w:rsidRDefault="007062D4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72437814" w14:textId="77777777" w:rsidR="007062D4" w:rsidRDefault="007062D4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7C8AD36F" w14:textId="77777777" w:rsidR="007062D4" w:rsidRDefault="007062D4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2C0C37BF" w14:textId="6261FD2A" w:rsidR="00B93B97" w:rsidRPr="00E423FC" w:rsidRDefault="00E423FC" w:rsidP="00E423FC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b/>
                <w:sz w:val="22"/>
                <w:szCs w:val="22"/>
              </w:rPr>
            </w:pPr>
            <w:r w:rsidRPr="00E423FC">
              <w:rPr>
                <w:b/>
                <w:sz w:val="22"/>
                <w:szCs w:val="22"/>
              </w:rPr>
              <w:t>ON</w:t>
            </w:r>
            <w:r>
              <w:rPr>
                <w:b/>
                <w:sz w:val="22"/>
                <w:szCs w:val="22"/>
              </w:rPr>
              <w:t>-</w:t>
            </w:r>
            <w:r w:rsidRPr="00E423FC">
              <w:rPr>
                <w:b/>
                <w:sz w:val="22"/>
                <w:szCs w:val="22"/>
              </w:rPr>
              <w:t>GOING</w:t>
            </w:r>
          </w:p>
        </w:tc>
      </w:tr>
      <w:tr w:rsidR="00B93B97" w:rsidRPr="00B1160D" w14:paraId="2E4B24FB" w14:textId="78D95980" w:rsidTr="00DC481D">
        <w:tc>
          <w:tcPr>
            <w:tcW w:w="1384" w:type="dxa"/>
          </w:tcPr>
          <w:p w14:paraId="6E419365" w14:textId="70B51A73" w:rsidR="00B93B97" w:rsidRPr="00B1160D" w:rsidRDefault="00B93B97" w:rsidP="00B1160D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Record Keeping</w:t>
            </w:r>
          </w:p>
        </w:tc>
        <w:tc>
          <w:tcPr>
            <w:tcW w:w="3402" w:type="dxa"/>
          </w:tcPr>
          <w:p w14:paraId="64C07EBA" w14:textId="77777777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Record date, time, place of meetings</w:t>
            </w:r>
          </w:p>
          <w:p w14:paraId="3C3DC7A7" w14:textId="77777777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47CA9B22" w14:textId="77777777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Record who is invited</w:t>
            </w:r>
          </w:p>
          <w:p w14:paraId="29213600" w14:textId="77777777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42AE40F7" w14:textId="77777777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Record attendees (and the capacity in which they attended) and apologies </w:t>
            </w:r>
          </w:p>
          <w:p w14:paraId="7A2159CA" w14:textId="77777777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31FF26DD" w14:textId="67969504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Record all decisions made at </w:t>
            </w:r>
            <w:r>
              <w:rPr>
                <w:sz w:val="22"/>
                <w:szCs w:val="22"/>
              </w:rPr>
              <w:lastRenderedPageBreak/>
              <w:t>the meeting</w:t>
            </w:r>
          </w:p>
          <w:p w14:paraId="6C7E98A2" w14:textId="77777777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5CD6284D" w14:textId="77777777" w:rsidR="007062D4" w:rsidRDefault="007062D4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34546F49" w14:textId="77777777" w:rsidR="007062D4" w:rsidRDefault="007062D4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2482ABAD" w14:textId="263E1891" w:rsidR="00B93B97" w:rsidRPr="00B1160D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Record any decisions made outside the meeting (inc date, venue, those involved)</w:t>
            </w:r>
          </w:p>
        </w:tc>
        <w:tc>
          <w:tcPr>
            <w:tcW w:w="3402" w:type="dxa"/>
          </w:tcPr>
          <w:p w14:paraId="4400D8F3" w14:textId="01094CDB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Board confirm</w:t>
            </w:r>
            <w:r w:rsidR="00D018AA">
              <w:rPr>
                <w:sz w:val="22"/>
                <w:szCs w:val="22"/>
              </w:rPr>
              <w:t xml:space="preserve"> “open reporting”</w:t>
            </w:r>
            <w:r>
              <w:rPr>
                <w:sz w:val="22"/>
                <w:szCs w:val="22"/>
              </w:rPr>
              <w:t xml:space="preserve"> </w:t>
            </w:r>
            <w:r w:rsidR="00D018AA">
              <w:rPr>
                <w:sz w:val="22"/>
                <w:szCs w:val="22"/>
              </w:rPr>
              <w:t xml:space="preserve">to be adopted. </w:t>
            </w:r>
            <w:r>
              <w:rPr>
                <w:sz w:val="22"/>
                <w:szCs w:val="22"/>
              </w:rPr>
              <w:t xml:space="preserve"> Minutes</w:t>
            </w:r>
            <w:r w:rsidR="007062D4">
              <w:rPr>
                <w:sz w:val="22"/>
                <w:szCs w:val="22"/>
              </w:rPr>
              <w:t xml:space="preserve"> and  reports</w:t>
            </w:r>
            <w:r>
              <w:rPr>
                <w:sz w:val="22"/>
                <w:szCs w:val="22"/>
              </w:rPr>
              <w:t xml:space="preserve"> to be posted on TP’s website</w:t>
            </w:r>
            <w:r w:rsidR="00FE18B3">
              <w:rPr>
                <w:sz w:val="22"/>
                <w:szCs w:val="22"/>
              </w:rPr>
              <w:t xml:space="preserve"> – details will include time, date, venue, attendees, apologies</w:t>
            </w:r>
          </w:p>
          <w:p w14:paraId="62C4C7A9" w14:textId="77777777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5F510B76" w14:textId="77777777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Hard copy minutes to be signed by Chair &amp; stored securely</w:t>
            </w:r>
          </w:p>
          <w:p w14:paraId="322C7E61" w14:textId="77777777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6F8FB898" w14:textId="2B0157C4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Secretariat to hold and publish </w:t>
            </w:r>
            <w:r w:rsidR="00FE18B3">
              <w:rPr>
                <w:sz w:val="22"/>
                <w:szCs w:val="22"/>
              </w:rPr>
              <w:t xml:space="preserve">separate </w:t>
            </w:r>
            <w:r>
              <w:rPr>
                <w:sz w:val="22"/>
                <w:szCs w:val="22"/>
              </w:rPr>
              <w:t xml:space="preserve">list of attendees </w:t>
            </w:r>
            <w:r w:rsidR="00FE18B3">
              <w:rPr>
                <w:sz w:val="22"/>
                <w:szCs w:val="22"/>
              </w:rPr>
              <w:t>for each meeting</w:t>
            </w:r>
          </w:p>
          <w:p w14:paraId="1B4CD24E" w14:textId="77777777" w:rsidR="00FE18B3" w:rsidRDefault="00FE18B3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42D52B05" w14:textId="6AF962F9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Secretariat to hold and publish information relating to decisions made inside and outside Board meetings</w:t>
            </w:r>
          </w:p>
          <w:p w14:paraId="42127242" w14:textId="77777777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643A14FD" w14:textId="77777777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b/>
                <w:color w:val="0070C0"/>
                <w:sz w:val="22"/>
                <w:szCs w:val="22"/>
              </w:rPr>
            </w:pPr>
            <w:r w:rsidRPr="002B5736">
              <w:rPr>
                <w:b/>
                <w:color w:val="0070C0"/>
                <w:sz w:val="22"/>
                <w:szCs w:val="22"/>
              </w:rPr>
              <w:t>Record Keeping</w:t>
            </w:r>
            <w:r>
              <w:rPr>
                <w:b/>
                <w:color w:val="0070C0"/>
                <w:sz w:val="22"/>
                <w:szCs w:val="22"/>
              </w:rPr>
              <w:t xml:space="preserve"> and Public Information </w:t>
            </w:r>
            <w:r w:rsidRPr="002B5736">
              <w:rPr>
                <w:b/>
                <w:color w:val="0070C0"/>
                <w:sz w:val="22"/>
                <w:szCs w:val="22"/>
              </w:rPr>
              <w:t>Policy</w:t>
            </w:r>
          </w:p>
          <w:p w14:paraId="28AD7E9A" w14:textId="7548212D" w:rsidR="00E423FC" w:rsidRPr="002B5736" w:rsidRDefault="00D018AA" w:rsidP="00D018AA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TP’s Website with dedicated TPSPB area</w:t>
            </w:r>
          </w:p>
        </w:tc>
        <w:tc>
          <w:tcPr>
            <w:tcW w:w="2693" w:type="dxa"/>
          </w:tcPr>
          <w:p w14:paraId="3FEE38C2" w14:textId="3F8A48B3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Records to be retained for at least 6 years from the end of the scheme year to which they relate</w:t>
            </w:r>
          </w:p>
          <w:p w14:paraId="6D90CAF9" w14:textId="340276EC" w:rsidR="00FE18B3" w:rsidRDefault="00FE18B3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59ABEF26" w14:textId="77777777" w:rsidR="00FE18B3" w:rsidRDefault="00FE18B3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0D0889F6" w14:textId="77777777" w:rsidR="00FE18B3" w:rsidRDefault="00FE18B3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277E4D47" w14:textId="77777777" w:rsidR="00FE18B3" w:rsidRDefault="00FE18B3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409A18E6" w14:textId="77777777" w:rsidR="00FE18B3" w:rsidRDefault="00FE18B3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48B09D9A" w14:textId="77777777" w:rsidR="00FE18B3" w:rsidRDefault="00FE18B3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5030E51D" w14:textId="77777777" w:rsidR="00FE18B3" w:rsidRDefault="00FE18B3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6ECA8A73" w14:textId="77777777" w:rsidR="00F4242F" w:rsidRDefault="00F4242F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658FC485" w14:textId="77777777" w:rsidR="00D018AA" w:rsidRDefault="00D018AA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37412C5F" w14:textId="77777777" w:rsidR="007062D4" w:rsidRDefault="007062D4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310435EE" w14:textId="6B2E48B3" w:rsidR="00B93B97" w:rsidRDefault="00FE18B3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Secretariat to determine own processes for record keeping and audit </w:t>
            </w:r>
            <w:r w:rsidR="00F4242F">
              <w:rPr>
                <w:sz w:val="22"/>
                <w:szCs w:val="22"/>
              </w:rPr>
              <w:t>purposes</w:t>
            </w:r>
          </w:p>
          <w:p w14:paraId="0995C1EF" w14:textId="77777777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513D9277" w14:textId="77777777" w:rsidR="00B93B97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4228B240" w14:textId="366D08A3" w:rsidR="00B93B97" w:rsidRPr="00B1160D" w:rsidRDefault="00B93B97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1864F8D" w14:textId="77777777" w:rsidR="00E423FC" w:rsidRDefault="00E423FC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b/>
                <w:sz w:val="22"/>
                <w:szCs w:val="22"/>
              </w:rPr>
            </w:pPr>
          </w:p>
          <w:p w14:paraId="4D0B6127" w14:textId="77777777" w:rsidR="00E423FC" w:rsidRDefault="00E423FC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b/>
                <w:sz w:val="22"/>
                <w:szCs w:val="22"/>
              </w:rPr>
            </w:pPr>
          </w:p>
          <w:p w14:paraId="489AF201" w14:textId="77777777" w:rsidR="00E423FC" w:rsidRDefault="00E423FC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b/>
                <w:sz w:val="22"/>
                <w:szCs w:val="22"/>
              </w:rPr>
            </w:pPr>
          </w:p>
          <w:p w14:paraId="7B42EC39" w14:textId="77777777" w:rsidR="00E423FC" w:rsidRDefault="00E423FC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b/>
                <w:sz w:val="22"/>
                <w:szCs w:val="22"/>
              </w:rPr>
            </w:pPr>
          </w:p>
          <w:p w14:paraId="516D3B12" w14:textId="77777777" w:rsidR="00E423FC" w:rsidRDefault="00E423FC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b/>
                <w:sz w:val="22"/>
                <w:szCs w:val="22"/>
              </w:rPr>
            </w:pPr>
          </w:p>
          <w:p w14:paraId="667FFED3" w14:textId="77777777" w:rsidR="00E423FC" w:rsidRDefault="00E423FC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b/>
                <w:sz w:val="22"/>
                <w:szCs w:val="22"/>
              </w:rPr>
            </w:pPr>
          </w:p>
          <w:p w14:paraId="575FC3F6" w14:textId="77777777" w:rsidR="00E423FC" w:rsidRDefault="00E423FC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b/>
                <w:sz w:val="22"/>
                <w:szCs w:val="22"/>
              </w:rPr>
            </w:pPr>
          </w:p>
          <w:p w14:paraId="0FED9002" w14:textId="77777777" w:rsidR="00E423FC" w:rsidRDefault="00E423FC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b/>
                <w:sz w:val="22"/>
                <w:szCs w:val="22"/>
              </w:rPr>
            </w:pPr>
          </w:p>
          <w:p w14:paraId="27BA55D3" w14:textId="77777777" w:rsidR="00E423FC" w:rsidRDefault="00E423FC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b/>
                <w:sz w:val="22"/>
                <w:szCs w:val="22"/>
              </w:rPr>
            </w:pPr>
          </w:p>
          <w:p w14:paraId="327B42DD" w14:textId="77777777" w:rsidR="00E423FC" w:rsidRDefault="00E423FC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b/>
                <w:sz w:val="22"/>
                <w:szCs w:val="22"/>
              </w:rPr>
            </w:pPr>
          </w:p>
          <w:p w14:paraId="3DC0EF81" w14:textId="77777777" w:rsidR="00E423FC" w:rsidRDefault="00E423FC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b/>
                <w:sz w:val="22"/>
                <w:szCs w:val="22"/>
              </w:rPr>
            </w:pPr>
          </w:p>
          <w:p w14:paraId="2DB0EBD3" w14:textId="77777777" w:rsidR="00E423FC" w:rsidRDefault="00E423FC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b/>
                <w:sz w:val="22"/>
                <w:szCs w:val="22"/>
              </w:rPr>
            </w:pPr>
          </w:p>
          <w:p w14:paraId="7753CDD3" w14:textId="77777777" w:rsidR="00E423FC" w:rsidRDefault="00E423FC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b/>
                <w:sz w:val="22"/>
                <w:szCs w:val="22"/>
              </w:rPr>
            </w:pPr>
          </w:p>
          <w:p w14:paraId="650BFF20" w14:textId="77777777" w:rsidR="00E423FC" w:rsidRDefault="00E423FC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b/>
                <w:sz w:val="22"/>
                <w:szCs w:val="22"/>
              </w:rPr>
            </w:pPr>
          </w:p>
          <w:p w14:paraId="184768FC" w14:textId="77777777" w:rsidR="00E423FC" w:rsidRDefault="00E423FC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b/>
                <w:sz w:val="22"/>
                <w:szCs w:val="22"/>
              </w:rPr>
            </w:pPr>
          </w:p>
          <w:p w14:paraId="069356C7" w14:textId="77777777" w:rsidR="00E423FC" w:rsidRDefault="00E423FC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b/>
                <w:sz w:val="22"/>
                <w:szCs w:val="22"/>
              </w:rPr>
            </w:pPr>
          </w:p>
          <w:p w14:paraId="5D74D1DB" w14:textId="77777777" w:rsidR="00E423FC" w:rsidRDefault="00E423FC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b/>
                <w:sz w:val="22"/>
                <w:szCs w:val="22"/>
              </w:rPr>
            </w:pPr>
          </w:p>
          <w:p w14:paraId="2951866B" w14:textId="77777777" w:rsidR="00D018AA" w:rsidRDefault="00D018AA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b/>
                <w:sz w:val="22"/>
                <w:szCs w:val="22"/>
              </w:rPr>
            </w:pPr>
          </w:p>
          <w:p w14:paraId="379E8612" w14:textId="77777777" w:rsidR="00D018AA" w:rsidRDefault="00D018AA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b/>
                <w:sz w:val="22"/>
                <w:szCs w:val="22"/>
              </w:rPr>
            </w:pPr>
          </w:p>
          <w:p w14:paraId="454B826E" w14:textId="45DB05B8" w:rsidR="00B93B97" w:rsidRPr="00F4242F" w:rsidRDefault="00F4242F" w:rsidP="002E259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b/>
                <w:sz w:val="22"/>
                <w:szCs w:val="22"/>
              </w:rPr>
            </w:pPr>
            <w:r w:rsidRPr="00F4242F">
              <w:rPr>
                <w:b/>
                <w:sz w:val="22"/>
                <w:szCs w:val="22"/>
              </w:rPr>
              <w:t>COMPLETE</w:t>
            </w:r>
          </w:p>
        </w:tc>
      </w:tr>
      <w:tr w:rsidR="00B93B97" w:rsidRPr="00B1160D" w14:paraId="64967148" w14:textId="74D61AAA" w:rsidTr="00DC481D">
        <w:tc>
          <w:tcPr>
            <w:tcW w:w="1384" w:type="dxa"/>
          </w:tcPr>
          <w:p w14:paraId="13D681F6" w14:textId="7B8D2E1E" w:rsidR="00B93B97" w:rsidRPr="00B1160D" w:rsidRDefault="00B93B97" w:rsidP="00BA01BB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Disclosure &amp;  Comms</w:t>
            </w:r>
          </w:p>
        </w:tc>
        <w:tc>
          <w:tcPr>
            <w:tcW w:w="3402" w:type="dxa"/>
          </w:tcPr>
          <w:p w14:paraId="27446680" w14:textId="421642B5" w:rsidR="00B93B97" w:rsidRDefault="00B93B97" w:rsidP="00BA01BB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Record who </w:t>
            </w:r>
            <w:r w:rsidR="00FE18B3">
              <w:rPr>
                <w:sz w:val="22"/>
                <w:szCs w:val="22"/>
              </w:rPr>
              <w:t>Board</w:t>
            </w:r>
            <w:r>
              <w:rPr>
                <w:sz w:val="22"/>
                <w:szCs w:val="22"/>
              </w:rPr>
              <w:t xml:space="preserve"> members are</w:t>
            </w:r>
          </w:p>
          <w:p w14:paraId="061D15D2" w14:textId="3422E9AD" w:rsidR="00B93B97" w:rsidRDefault="00B93B97" w:rsidP="00BA01BB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Record who </w:t>
            </w:r>
            <w:r w:rsidR="00FE18B3">
              <w:rPr>
                <w:sz w:val="22"/>
                <w:szCs w:val="22"/>
              </w:rPr>
              <w:t xml:space="preserve">Board </w:t>
            </w:r>
            <w:r>
              <w:rPr>
                <w:sz w:val="22"/>
                <w:szCs w:val="22"/>
              </w:rPr>
              <w:t>members represent</w:t>
            </w:r>
          </w:p>
          <w:p w14:paraId="7B992FC0" w14:textId="77777777" w:rsidR="00B93B97" w:rsidRDefault="00B93B97" w:rsidP="00FE18B3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Record th</w:t>
            </w:r>
            <w:r w:rsidR="00FE18B3">
              <w:rPr>
                <w:sz w:val="22"/>
                <w:szCs w:val="22"/>
              </w:rPr>
              <w:t>ose</w:t>
            </w:r>
            <w:r>
              <w:rPr>
                <w:sz w:val="22"/>
                <w:szCs w:val="22"/>
              </w:rPr>
              <w:t xml:space="preserve"> matters falling with TPSPB responsibility</w:t>
            </w:r>
          </w:p>
          <w:p w14:paraId="24DABA2F" w14:textId="3EC9C95E" w:rsidR="00FE18B3" w:rsidRPr="00B1160D" w:rsidRDefault="00FE18B3" w:rsidP="00FE18B3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6256CF2" w14:textId="77777777" w:rsidR="00B93B97" w:rsidRDefault="00B93B97" w:rsidP="00BA01BB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Biographies/photos on website</w:t>
            </w:r>
          </w:p>
          <w:p w14:paraId="3C1D9ADB" w14:textId="77777777" w:rsidR="00FE18B3" w:rsidRDefault="00FE18B3" w:rsidP="00BA01BB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73290E62" w14:textId="77777777" w:rsidR="00FE18B3" w:rsidRDefault="00FE18B3" w:rsidP="00BA01BB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14D171E2" w14:textId="4D5EC5C2" w:rsidR="00B93B97" w:rsidRDefault="00FE18B3" w:rsidP="00BA01BB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TPSPB </w:t>
            </w:r>
            <w:r w:rsidR="00B93B97">
              <w:rPr>
                <w:sz w:val="22"/>
                <w:szCs w:val="22"/>
              </w:rPr>
              <w:t xml:space="preserve">Roles </w:t>
            </w:r>
            <w:r>
              <w:rPr>
                <w:sz w:val="22"/>
                <w:szCs w:val="22"/>
              </w:rPr>
              <w:t>&amp;</w:t>
            </w:r>
            <w:r w:rsidR="00B93B97">
              <w:rPr>
                <w:sz w:val="22"/>
                <w:szCs w:val="22"/>
              </w:rPr>
              <w:t xml:space="preserve"> Responsibilities</w:t>
            </w:r>
          </w:p>
          <w:p w14:paraId="19B005A0" w14:textId="58F8A983" w:rsidR="00B93B97" w:rsidRDefault="00FE18B3" w:rsidP="00BA01BB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TPSPB </w:t>
            </w:r>
            <w:r w:rsidR="00B93B97">
              <w:rPr>
                <w:sz w:val="22"/>
                <w:szCs w:val="22"/>
              </w:rPr>
              <w:t>Terms of Reference</w:t>
            </w:r>
          </w:p>
          <w:p w14:paraId="7E7745B2" w14:textId="169A1522" w:rsidR="00F4242F" w:rsidRDefault="00FE18B3" w:rsidP="00BA01BB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TPSPB Terms &amp; Conditions</w:t>
            </w:r>
          </w:p>
          <w:p w14:paraId="420AA938" w14:textId="77777777" w:rsidR="00B93B97" w:rsidRPr="00B1160D" w:rsidRDefault="00B93B97" w:rsidP="00D018AA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6B90F8D" w14:textId="50BA6B7B" w:rsidR="00B93B97" w:rsidRPr="00B1160D" w:rsidRDefault="00FE18B3" w:rsidP="007062D4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Published in </w:t>
            </w:r>
            <w:r w:rsidR="007062D4">
              <w:rPr>
                <w:sz w:val="22"/>
                <w:szCs w:val="22"/>
              </w:rPr>
              <w:t xml:space="preserve">TPSPB </w:t>
            </w:r>
            <w:r>
              <w:rPr>
                <w:sz w:val="22"/>
                <w:szCs w:val="22"/>
              </w:rPr>
              <w:t>specific area</w:t>
            </w:r>
            <w:r w:rsidR="007062D4">
              <w:rPr>
                <w:sz w:val="22"/>
                <w:szCs w:val="22"/>
              </w:rPr>
              <w:t xml:space="preserve"> (within Governance)</w:t>
            </w:r>
            <w:r>
              <w:rPr>
                <w:sz w:val="22"/>
                <w:szCs w:val="22"/>
              </w:rPr>
              <w:t xml:space="preserve"> of </w:t>
            </w:r>
            <w:r w:rsidR="00B93B97">
              <w:rPr>
                <w:sz w:val="22"/>
                <w:szCs w:val="22"/>
              </w:rPr>
              <w:t>TP’s website –go-live 1/4/15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1866273D" w14:textId="77777777" w:rsidR="00D018AA" w:rsidRDefault="00D018AA" w:rsidP="00BA01BB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b/>
                <w:sz w:val="22"/>
                <w:szCs w:val="22"/>
              </w:rPr>
            </w:pPr>
          </w:p>
          <w:p w14:paraId="54DB579A" w14:textId="77777777" w:rsidR="00D018AA" w:rsidRDefault="00D018AA" w:rsidP="00BA01BB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b/>
                <w:sz w:val="22"/>
                <w:szCs w:val="22"/>
              </w:rPr>
            </w:pPr>
          </w:p>
          <w:p w14:paraId="7DBC9D89" w14:textId="77777777" w:rsidR="00D018AA" w:rsidRDefault="00D018AA" w:rsidP="00BA01BB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b/>
                <w:sz w:val="22"/>
                <w:szCs w:val="22"/>
              </w:rPr>
            </w:pPr>
          </w:p>
          <w:p w14:paraId="47F494DE" w14:textId="77777777" w:rsidR="00D018AA" w:rsidRDefault="00D018AA" w:rsidP="00BA01BB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b/>
                <w:sz w:val="22"/>
                <w:szCs w:val="22"/>
              </w:rPr>
            </w:pPr>
          </w:p>
          <w:p w14:paraId="0CFFEB7B" w14:textId="77777777" w:rsidR="00D018AA" w:rsidRDefault="00D018AA" w:rsidP="00BA01BB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b/>
                <w:sz w:val="22"/>
                <w:szCs w:val="22"/>
              </w:rPr>
            </w:pPr>
          </w:p>
          <w:p w14:paraId="54C9F374" w14:textId="76222D3F" w:rsidR="00B93B97" w:rsidRPr="00271E47" w:rsidRDefault="00271E47" w:rsidP="00BA01BB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b/>
                <w:sz w:val="22"/>
                <w:szCs w:val="22"/>
              </w:rPr>
            </w:pPr>
            <w:r w:rsidRPr="00271E47">
              <w:rPr>
                <w:b/>
                <w:sz w:val="22"/>
                <w:szCs w:val="22"/>
              </w:rPr>
              <w:t>COMPLETE</w:t>
            </w:r>
          </w:p>
        </w:tc>
      </w:tr>
      <w:tr w:rsidR="00B93B97" w:rsidRPr="00B1160D" w14:paraId="7986EAEE" w14:textId="7A4EC592" w:rsidTr="00DC481D">
        <w:tc>
          <w:tcPr>
            <w:tcW w:w="1384" w:type="dxa"/>
          </w:tcPr>
          <w:p w14:paraId="7A84C7EC" w14:textId="77777777" w:rsidR="00B93B97" w:rsidRPr="00B1160D" w:rsidRDefault="00B93B97" w:rsidP="00B1160D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52F690BC" w14:textId="77777777" w:rsidR="00B93B97" w:rsidRPr="00B1160D" w:rsidRDefault="00B93B97" w:rsidP="00B1160D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Minutes, Board Papers etc</w:t>
            </w:r>
          </w:p>
        </w:tc>
        <w:tc>
          <w:tcPr>
            <w:tcW w:w="3402" w:type="dxa"/>
          </w:tcPr>
          <w:p w14:paraId="581B5AA1" w14:textId="77777777" w:rsidR="00B93B97" w:rsidRDefault="00B93B97" w:rsidP="00EE0385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is not a requirement to publish minutes but TPSPB will do so as good practice</w:t>
            </w:r>
          </w:p>
          <w:p w14:paraId="0B72C279" w14:textId="4C9B62C4" w:rsidR="00B93B97" w:rsidRDefault="00B93B97" w:rsidP="00EE0385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Redaction may be required for confidential , commercially sensitive info or to meet DPA</w:t>
            </w:r>
          </w:p>
          <w:p w14:paraId="7D80D6CA" w14:textId="5F9FB075" w:rsidR="00B93B97" w:rsidRPr="00B1160D" w:rsidRDefault="00B93B97" w:rsidP="00B93B97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 xml:space="preserve">Record Keeping and </w:t>
            </w:r>
            <w:r w:rsidRPr="002B5736">
              <w:rPr>
                <w:b/>
                <w:color w:val="0070C0"/>
                <w:sz w:val="22"/>
                <w:szCs w:val="22"/>
              </w:rPr>
              <w:t>Public Information Policy</w:t>
            </w:r>
            <w:r w:rsidRPr="002B5736">
              <w:rPr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39E0306A" w14:textId="77777777" w:rsidR="00B93B97" w:rsidRDefault="00B93B97" w:rsidP="001A4AD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Upload to website after each TPSPB meeting</w:t>
            </w:r>
          </w:p>
          <w:p w14:paraId="42B897DB" w14:textId="77777777" w:rsidR="00B93B97" w:rsidRDefault="00B93B97" w:rsidP="009E17B8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sz w:val="22"/>
                <w:szCs w:val="22"/>
              </w:rPr>
            </w:pPr>
          </w:p>
          <w:p w14:paraId="68AE15CB" w14:textId="259CD189" w:rsidR="00B93B97" w:rsidRPr="00B1160D" w:rsidRDefault="00B93B97" w:rsidP="00B93B97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Policy articulates what information is to be published and where</w:t>
            </w:r>
          </w:p>
        </w:tc>
        <w:tc>
          <w:tcPr>
            <w:tcW w:w="1843" w:type="dxa"/>
          </w:tcPr>
          <w:p w14:paraId="54AB6382" w14:textId="77777777" w:rsidR="00D018AA" w:rsidRDefault="00D018AA" w:rsidP="001A4AD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b/>
                <w:sz w:val="22"/>
                <w:szCs w:val="22"/>
              </w:rPr>
            </w:pPr>
          </w:p>
          <w:p w14:paraId="4E29E00C" w14:textId="77777777" w:rsidR="00D018AA" w:rsidRDefault="00D018AA" w:rsidP="001A4AD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b/>
                <w:sz w:val="22"/>
                <w:szCs w:val="22"/>
              </w:rPr>
            </w:pPr>
          </w:p>
          <w:p w14:paraId="3784FBDC" w14:textId="77777777" w:rsidR="00D018AA" w:rsidRDefault="00D018AA" w:rsidP="001A4AD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b/>
                <w:sz w:val="22"/>
                <w:szCs w:val="22"/>
              </w:rPr>
            </w:pPr>
          </w:p>
          <w:p w14:paraId="03BEF60D" w14:textId="77777777" w:rsidR="00D018AA" w:rsidRDefault="00D018AA" w:rsidP="001A4AD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b/>
                <w:sz w:val="22"/>
                <w:szCs w:val="22"/>
              </w:rPr>
            </w:pPr>
          </w:p>
          <w:p w14:paraId="4FF1FD01" w14:textId="77777777" w:rsidR="00D018AA" w:rsidRDefault="00D018AA" w:rsidP="001A4AD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b/>
                <w:sz w:val="22"/>
                <w:szCs w:val="22"/>
              </w:rPr>
            </w:pPr>
          </w:p>
          <w:p w14:paraId="3AFE5DA3" w14:textId="2502D2EB" w:rsidR="00B93B97" w:rsidRPr="00F4242F" w:rsidRDefault="00F4242F" w:rsidP="001A4ADE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b/>
                <w:sz w:val="22"/>
                <w:szCs w:val="22"/>
              </w:rPr>
            </w:pPr>
            <w:r w:rsidRPr="00F4242F">
              <w:rPr>
                <w:b/>
                <w:sz w:val="22"/>
                <w:szCs w:val="22"/>
              </w:rPr>
              <w:t>COMPLETE</w:t>
            </w:r>
          </w:p>
        </w:tc>
      </w:tr>
      <w:tr w:rsidR="00B93B97" w:rsidRPr="00B1160D" w14:paraId="10DCB93F" w14:textId="4C85BF0D" w:rsidTr="00DC481D">
        <w:tc>
          <w:tcPr>
            <w:tcW w:w="1384" w:type="dxa"/>
          </w:tcPr>
          <w:p w14:paraId="47EF92AA" w14:textId="77777777" w:rsidR="00B93B97" w:rsidRPr="00B1160D" w:rsidRDefault="00B93B9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Conflict of Interest</w:t>
            </w:r>
          </w:p>
        </w:tc>
        <w:tc>
          <w:tcPr>
            <w:tcW w:w="3402" w:type="dxa"/>
          </w:tcPr>
          <w:p w14:paraId="4CDA544E" w14:textId="77777777" w:rsidR="00B93B97" w:rsidRDefault="00B93B9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Scheme manager must be satisfied that Board appointees do not have a conflict of interest and declare dual interests.</w:t>
            </w:r>
          </w:p>
          <w:p w14:paraId="6EE1184A" w14:textId="77777777" w:rsidR="00B93B97" w:rsidRDefault="00B93B9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4C6DB48F" w14:textId="286140BF" w:rsidR="00B93B97" w:rsidRDefault="00B93B9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Terms of engagement to include a clause requiring disclosure of </w:t>
            </w:r>
            <w:r>
              <w:rPr>
                <w:sz w:val="22"/>
                <w:szCs w:val="22"/>
              </w:rPr>
              <w:lastRenderedPageBreak/>
              <w:t>dual interests or responsibilities that could become conflicts</w:t>
            </w:r>
          </w:p>
          <w:p w14:paraId="27B4BE86" w14:textId="77777777" w:rsidR="00B93B97" w:rsidRDefault="00B93B9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BFDD5B9" w14:textId="3C0EB234" w:rsidR="00B93B97" w:rsidRDefault="00B93B9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Scheme Manager must be satisfied from time to time that TPSPB members do not have a conflict of interest</w:t>
            </w:r>
            <w:r w:rsidR="00F4242F">
              <w:rPr>
                <w:sz w:val="22"/>
                <w:szCs w:val="22"/>
              </w:rPr>
              <w:t>.</w:t>
            </w:r>
          </w:p>
          <w:p w14:paraId="33FCF924" w14:textId="77777777" w:rsidR="00B93B97" w:rsidRDefault="00B93B9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0AEEB93E" w14:textId="77777777" w:rsidR="00B93B97" w:rsidRDefault="00B93B9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Register of interests must be maintained also recording dual interests</w:t>
            </w:r>
          </w:p>
          <w:p w14:paraId="034526DD" w14:textId="77777777" w:rsidR="00B93B97" w:rsidRDefault="00B93B9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0EF0ADA0" w14:textId="77777777" w:rsidR="00B93B97" w:rsidRDefault="00B93B9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Establish a process to manage potential conflicts of interest</w:t>
            </w:r>
          </w:p>
          <w:p w14:paraId="42419597" w14:textId="77777777" w:rsidR="00B93B97" w:rsidRDefault="00B93B9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691490C1" w14:textId="77777777" w:rsidR="00B93B97" w:rsidRDefault="00B93B9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Capture and record decisions arising from identification of potential conflict of interest</w:t>
            </w:r>
          </w:p>
          <w:p w14:paraId="55022037" w14:textId="77777777" w:rsidR="00B93B97" w:rsidRDefault="00B93B9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4D9AD198" w14:textId="1088B223" w:rsidR="00F4242F" w:rsidRPr="009E17B8" w:rsidRDefault="00B93B9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 w:rsidRPr="009E17B8">
              <w:rPr>
                <w:rFonts w:eastAsia="MS Mincho"/>
                <w:sz w:val="22"/>
                <w:szCs w:val="22"/>
              </w:rPr>
              <w:t>identification, evaluation and management of dual interests and responsibilities with the potential to become conflicts of interest should be part of the scheme risk assessment process</w:t>
            </w:r>
          </w:p>
        </w:tc>
        <w:tc>
          <w:tcPr>
            <w:tcW w:w="3402" w:type="dxa"/>
          </w:tcPr>
          <w:p w14:paraId="47679879" w14:textId="77777777" w:rsidR="00B93B97" w:rsidRDefault="00B93B9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 w:rsidRPr="001A4ADE">
              <w:rPr>
                <w:sz w:val="22"/>
                <w:szCs w:val="22"/>
              </w:rPr>
              <w:lastRenderedPageBreak/>
              <w:t>Declaration required as part of recruitment process</w:t>
            </w:r>
          </w:p>
          <w:p w14:paraId="6C513524" w14:textId="77777777" w:rsidR="00B93B97" w:rsidRDefault="00B93B9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0270A875" w14:textId="77777777" w:rsidR="00B93B97" w:rsidRDefault="00B93B9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5E07F9A7" w14:textId="77777777" w:rsidR="00F4242F" w:rsidRDefault="00F4242F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36FB4614" w14:textId="77777777" w:rsidR="00B93B97" w:rsidRDefault="00B93B9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Appointment letters and process developed to meet this </w:t>
            </w:r>
          </w:p>
          <w:p w14:paraId="60BC423C" w14:textId="77777777" w:rsidR="00B93B97" w:rsidRDefault="00B93B9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3145E7E4" w14:textId="77777777" w:rsidR="00B93B97" w:rsidRDefault="00B93B9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7A7319D3" w14:textId="77777777" w:rsidR="00F4242F" w:rsidRDefault="00F4242F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b/>
                <w:color w:val="0070C0"/>
                <w:sz w:val="22"/>
                <w:szCs w:val="22"/>
              </w:rPr>
            </w:pPr>
          </w:p>
          <w:p w14:paraId="61DDE57A" w14:textId="3D301226" w:rsidR="00B93B97" w:rsidRDefault="00B93B9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 xml:space="preserve">Register of Interests </w:t>
            </w:r>
          </w:p>
          <w:p w14:paraId="18B95662" w14:textId="60AD1A9B" w:rsidR="00B93B97" w:rsidRDefault="00B93B9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 w:rsidRPr="009B4529">
              <w:rPr>
                <w:sz w:val="22"/>
                <w:szCs w:val="22"/>
              </w:rPr>
              <w:t xml:space="preserve">will be </w:t>
            </w:r>
            <w:r w:rsidR="00F4242F">
              <w:rPr>
                <w:sz w:val="22"/>
                <w:szCs w:val="22"/>
              </w:rPr>
              <w:t xml:space="preserve">updated and </w:t>
            </w:r>
            <w:r w:rsidRPr="009B4529">
              <w:rPr>
                <w:sz w:val="22"/>
                <w:szCs w:val="22"/>
              </w:rPr>
              <w:t>shared regularly</w:t>
            </w:r>
            <w:r>
              <w:rPr>
                <w:sz w:val="22"/>
                <w:szCs w:val="22"/>
              </w:rPr>
              <w:t xml:space="preserve"> &amp; circulated in advance of each TPSPB meeting</w:t>
            </w:r>
          </w:p>
          <w:p w14:paraId="1933B802" w14:textId="77777777" w:rsidR="00B93B97" w:rsidRDefault="00B93B9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b/>
                <w:color w:val="0070C0"/>
                <w:sz w:val="22"/>
                <w:szCs w:val="22"/>
              </w:rPr>
            </w:pPr>
          </w:p>
          <w:p w14:paraId="1F605C1F" w14:textId="77777777" w:rsidR="00B93B97" w:rsidRDefault="00B93B9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b/>
                <w:color w:val="0070C0"/>
                <w:sz w:val="22"/>
                <w:szCs w:val="22"/>
              </w:rPr>
            </w:pPr>
            <w:r w:rsidRPr="002B5736">
              <w:rPr>
                <w:b/>
                <w:color w:val="0070C0"/>
                <w:sz w:val="22"/>
                <w:szCs w:val="22"/>
              </w:rPr>
              <w:t>Conflict of Interest Policy</w:t>
            </w:r>
          </w:p>
          <w:p w14:paraId="4EBADF1D" w14:textId="77777777" w:rsidR="00B93B97" w:rsidRDefault="00B93B9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 w:rsidRPr="001A4ADE">
              <w:rPr>
                <w:sz w:val="22"/>
                <w:szCs w:val="22"/>
              </w:rPr>
              <w:t>Sets out detail on managing</w:t>
            </w:r>
            <w:r>
              <w:rPr>
                <w:sz w:val="22"/>
                <w:szCs w:val="22"/>
              </w:rPr>
              <w:t xml:space="preserve"> and recording </w:t>
            </w:r>
            <w:r w:rsidRPr="001A4ADE">
              <w:rPr>
                <w:sz w:val="22"/>
                <w:szCs w:val="22"/>
              </w:rPr>
              <w:t>potential conflicts</w:t>
            </w:r>
            <w:r>
              <w:rPr>
                <w:sz w:val="22"/>
                <w:szCs w:val="22"/>
              </w:rPr>
              <w:t xml:space="preserve"> / dual interests</w:t>
            </w:r>
          </w:p>
          <w:p w14:paraId="720E2ACE" w14:textId="77777777" w:rsidR="00B93B97" w:rsidRDefault="00B93B9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248D27C9" w14:textId="77777777" w:rsidR="00B93B97" w:rsidRDefault="00B93B9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563C02BD" w14:textId="77777777" w:rsidR="00B93B97" w:rsidRPr="001A4ADE" w:rsidRDefault="00B93B9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5741F9C1" w14:textId="77777777" w:rsidR="00B93B97" w:rsidRDefault="00B93B9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19174CF0" w14:textId="77777777" w:rsidR="00B93B97" w:rsidRDefault="00B93B9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2DEF5547" w14:textId="77777777" w:rsidR="00B93B97" w:rsidRPr="002B5736" w:rsidRDefault="00B93B9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7E5AEFFA" w14:textId="77777777" w:rsidR="00B93B97" w:rsidRDefault="00B93B9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CoI will be a standing agenda item and revisited as necessary depending upon agenda</w:t>
            </w:r>
          </w:p>
          <w:p w14:paraId="6486480F" w14:textId="77777777" w:rsidR="00B93B97" w:rsidRDefault="00B93B9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60B87EBE" w14:textId="77777777" w:rsidR="00B93B97" w:rsidRDefault="00B93B9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20E33A95" w14:textId="77777777" w:rsidR="00B93B97" w:rsidRDefault="00B93B9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484B2DC3" w14:textId="77777777" w:rsidR="00B93B97" w:rsidRDefault="00B93B9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6BE28CAA" w14:textId="77777777" w:rsidR="00F4242F" w:rsidRDefault="00F4242F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1601EB46" w14:textId="77777777" w:rsidR="00F4242F" w:rsidRDefault="00F4242F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0C555B2A" w14:textId="1497C1AA" w:rsidR="00B93B97" w:rsidRDefault="00B93B9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Policy and Register </w:t>
            </w:r>
            <w:r w:rsidR="00F4242F">
              <w:rPr>
                <w:sz w:val="22"/>
                <w:szCs w:val="22"/>
              </w:rPr>
              <w:t xml:space="preserve">considered at Inaugural Board. </w:t>
            </w:r>
          </w:p>
          <w:p w14:paraId="578A3A27" w14:textId="366878C8" w:rsidR="00D018AA" w:rsidRDefault="00D018AA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298A36E3" w14:textId="77777777" w:rsidR="00D018AA" w:rsidRDefault="00D018AA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5EDDA208" w14:textId="77777777" w:rsidR="00D018AA" w:rsidRDefault="00D018AA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2370CC6B" w14:textId="77777777" w:rsidR="00D018AA" w:rsidRDefault="00D018AA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2E644632" w14:textId="77777777" w:rsidR="00D018AA" w:rsidRDefault="00D018AA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12AC734B" w14:textId="77777777" w:rsidR="00D018AA" w:rsidRDefault="00D018AA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6202A002" w14:textId="77670F3B" w:rsidR="00D018AA" w:rsidRDefault="00D018AA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On-going discussion re wording of Declaration of Interests form.  Data </w:t>
            </w:r>
            <w:r w:rsidR="0010564D">
              <w:rPr>
                <w:sz w:val="22"/>
                <w:szCs w:val="22"/>
              </w:rPr>
              <w:t>obtained</w:t>
            </w:r>
            <w:r>
              <w:rPr>
                <w:sz w:val="22"/>
                <w:szCs w:val="22"/>
              </w:rPr>
              <w:t xml:space="preserve"> from tPR &amp; other schemes for final decision</w:t>
            </w:r>
            <w:r w:rsidR="007062D4">
              <w:rPr>
                <w:sz w:val="22"/>
                <w:szCs w:val="22"/>
              </w:rPr>
              <w:t xml:space="preserve"> at 9/9/15 Board meeting.</w:t>
            </w:r>
          </w:p>
          <w:p w14:paraId="41971A2C" w14:textId="77777777" w:rsidR="00B93B97" w:rsidRDefault="00B93B9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5CD3E180" w14:textId="77777777" w:rsidR="00B93B97" w:rsidRDefault="00B93B9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477ECB55" w14:textId="77777777" w:rsidR="00B93B97" w:rsidRDefault="00B93B9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664B61EE" w14:textId="77777777" w:rsidR="00B93B97" w:rsidRDefault="00B93B9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74F8D06F" w14:textId="77777777" w:rsidR="00B93B97" w:rsidRDefault="00B93B9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08611E86" w14:textId="78350575" w:rsidR="00B93B97" w:rsidRPr="00B1160D" w:rsidRDefault="00B93B9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2ABABED" w14:textId="77777777" w:rsidR="00F4242F" w:rsidRDefault="00F4242F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78BD8523" w14:textId="77777777" w:rsidR="00F4242F" w:rsidRDefault="00F4242F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19A9770B" w14:textId="77777777" w:rsidR="00F4242F" w:rsidRDefault="00F4242F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1548A70F" w14:textId="77777777" w:rsidR="00F4242F" w:rsidRDefault="00F4242F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1F3D978F" w14:textId="77777777" w:rsidR="00F4242F" w:rsidRDefault="00F4242F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18EC09C4" w14:textId="77777777" w:rsidR="00F4242F" w:rsidRDefault="00F4242F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323F5C40" w14:textId="77777777" w:rsidR="00F4242F" w:rsidRDefault="00F4242F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43C2D7FE" w14:textId="77777777" w:rsidR="00F4242F" w:rsidRDefault="00F4242F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24E515D3" w14:textId="77777777" w:rsidR="00F4242F" w:rsidRDefault="00F4242F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0382FE5F" w14:textId="77777777" w:rsidR="00F4242F" w:rsidRDefault="00F4242F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144082E7" w14:textId="77777777" w:rsidR="00B93B97" w:rsidRDefault="00F4242F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process after 3/6/15 Board. Update Policy if required</w:t>
            </w:r>
          </w:p>
          <w:p w14:paraId="15219A45" w14:textId="77777777" w:rsidR="00271E47" w:rsidRDefault="00271E4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0FC72FC3" w14:textId="77777777" w:rsidR="00271E47" w:rsidRPr="007062D4" w:rsidRDefault="00271E4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b/>
                <w:sz w:val="22"/>
                <w:szCs w:val="22"/>
              </w:rPr>
            </w:pPr>
            <w:r w:rsidRPr="007062D4">
              <w:rPr>
                <w:b/>
                <w:sz w:val="22"/>
                <w:szCs w:val="22"/>
              </w:rPr>
              <w:t>Policy requires sign off.</w:t>
            </w:r>
          </w:p>
          <w:p w14:paraId="677FF7F8" w14:textId="77777777" w:rsidR="00D018AA" w:rsidRDefault="00D018AA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1143322A" w14:textId="77777777" w:rsidR="00D018AA" w:rsidRDefault="00D018AA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3CB9EB96" w14:textId="77777777" w:rsidR="00D018AA" w:rsidRDefault="00D018AA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438FB62E" w14:textId="77777777" w:rsidR="00D018AA" w:rsidRDefault="00D018AA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7B4CD0A2" w14:textId="77777777" w:rsidR="00D018AA" w:rsidRDefault="00D018AA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4CECD375" w14:textId="77777777" w:rsidR="00D018AA" w:rsidRDefault="00D018AA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34790C0B" w14:textId="77777777" w:rsidR="00D018AA" w:rsidRDefault="00D018AA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22CFC1FD" w14:textId="77777777" w:rsidR="00D018AA" w:rsidRDefault="00D018AA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1751BF09" w14:textId="77777777" w:rsidR="00D018AA" w:rsidRDefault="00D018AA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361A719F" w14:textId="77777777" w:rsidR="00D018AA" w:rsidRDefault="00D018AA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2F85A0D4" w14:textId="77777777" w:rsidR="00D018AA" w:rsidRDefault="00D018AA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6CDF7766" w14:textId="77777777" w:rsidR="00D018AA" w:rsidRDefault="00D018AA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68DF92FC" w14:textId="7D6F1E3F" w:rsidR="00DC481D" w:rsidRDefault="00DC481D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16380045" w14:textId="77777777" w:rsidR="00DC481D" w:rsidRDefault="00DC481D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41FF2AEB" w14:textId="3674E5C3" w:rsidR="00D018AA" w:rsidRPr="00D018AA" w:rsidRDefault="00D018AA" w:rsidP="00D018AA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b/>
                <w:sz w:val="22"/>
                <w:szCs w:val="22"/>
              </w:rPr>
            </w:pPr>
            <w:r w:rsidRPr="00D018AA">
              <w:rPr>
                <w:b/>
                <w:sz w:val="22"/>
                <w:szCs w:val="22"/>
              </w:rPr>
              <w:t>ON-GOING</w:t>
            </w:r>
          </w:p>
        </w:tc>
      </w:tr>
      <w:tr w:rsidR="00B93B97" w:rsidRPr="00B1160D" w14:paraId="21356A75" w14:textId="24863CEB" w:rsidTr="00DC481D">
        <w:tc>
          <w:tcPr>
            <w:tcW w:w="1384" w:type="dxa"/>
          </w:tcPr>
          <w:p w14:paraId="5168CAD0" w14:textId="77777777" w:rsidR="00F4242F" w:rsidRDefault="00F4242F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783A0A18" w14:textId="77777777" w:rsidR="00B93B97" w:rsidRPr="00B1160D" w:rsidRDefault="00B93B9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Reporting Breaches of the Law</w:t>
            </w:r>
          </w:p>
        </w:tc>
        <w:tc>
          <w:tcPr>
            <w:tcW w:w="3402" w:type="dxa"/>
          </w:tcPr>
          <w:p w14:paraId="65A24077" w14:textId="45A696E4" w:rsidR="00B93B97" w:rsidRPr="009E17B8" w:rsidRDefault="00B93B97" w:rsidP="00F4242F">
            <w:pPr>
              <w:spacing w:before="240"/>
              <w:rPr>
                <w:rFonts w:ascii="Arial" w:hAnsi="Arial" w:cs="Arial"/>
              </w:rPr>
            </w:pPr>
            <w:r w:rsidRPr="009E17B8">
              <w:rPr>
                <w:rFonts w:ascii="Arial" w:hAnsi="Arial" w:cs="Arial"/>
              </w:rPr>
              <w:t>TPSPB members are required to report breaches of the law to the regulator where they have reasonable cause to</w:t>
            </w:r>
            <w:r w:rsidR="00F4242F">
              <w:rPr>
                <w:rFonts w:ascii="Arial" w:hAnsi="Arial" w:cs="Arial"/>
              </w:rPr>
              <w:t xml:space="preserve"> believe that:</w:t>
            </w:r>
          </w:p>
          <w:p w14:paraId="1C8FF7EA" w14:textId="77777777" w:rsidR="00B93B97" w:rsidRPr="009E17B8" w:rsidRDefault="00B93B97" w:rsidP="00F4242F">
            <w:pPr>
              <w:spacing w:before="240"/>
              <w:rPr>
                <w:rFonts w:ascii="Arial" w:eastAsia="MS Mincho" w:hAnsi="Arial" w:cs="Arial"/>
              </w:rPr>
            </w:pPr>
            <w:r w:rsidRPr="009E17B8">
              <w:rPr>
                <w:rFonts w:ascii="Arial" w:eastAsia="MS Mincho" w:hAnsi="Arial" w:cs="Arial"/>
              </w:rPr>
              <w:t xml:space="preserve">a legal duty which is relevant to the administration of the scheme has not been, or is not being, </w:t>
            </w:r>
            <w:r w:rsidRPr="009E17B8">
              <w:rPr>
                <w:rFonts w:ascii="Arial" w:eastAsia="MS Mincho" w:hAnsi="Arial" w:cs="Arial"/>
              </w:rPr>
              <w:lastRenderedPageBreak/>
              <w:t>complied with; and</w:t>
            </w:r>
          </w:p>
          <w:p w14:paraId="5A2687F3" w14:textId="77777777" w:rsidR="00B93B97" w:rsidRPr="009E17B8" w:rsidRDefault="00B93B97" w:rsidP="00F4242F">
            <w:pPr>
              <w:spacing w:before="240"/>
              <w:rPr>
                <w:rFonts w:ascii="Arial" w:eastAsia="MS Mincho" w:hAnsi="Arial" w:cs="Arial"/>
              </w:rPr>
            </w:pPr>
            <w:r w:rsidRPr="009E17B8">
              <w:rPr>
                <w:rFonts w:ascii="Arial" w:eastAsia="MS Mincho" w:hAnsi="Arial" w:cs="Arial"/>
              </w:rPr>
              <w:t>that failure to comply is likely to be of material significance to tPR in the exercise of its functions.</w:t>
            </w:r>
          </w:p>
          <w:p w14:paraId="133A5B1C" w14:textId="77777777" w:rsidR="00B93B97" w:rsidRPr="00B1160D" w:rsidRDefault="00B93B9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0C5EEE1" w14:textId="77777777" w:rsidR="00B93B97" w:rsidRDefault="00B93B9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52EF5E9F" w14:textId="554E56F4" w:rsidR="00B93B97" w:rsidRDefault="00B93B9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 w:rsidRPr="009E17B8">
              <w:rPr>
                <w:b/>
                <w:color w:val="0070C0"/>
                <w:sz w:val="22"/>
                <w:szCs w:val="22"/>
              </w:rPr>
              <w:t>Reporting Breaches Policy</w:t>
            </w:r>
            <w:r w:rsidRPr="009E17B8">
              <w:rPr>
                <w:color w:val="0070C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sets out the legal requirement</w:t>
            </w:r>
            <w:r w:rsidR="00586B2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tPR guidance </w:t>
            </w:r>
            <w:r w:rsidR="00586B29">
              <w:rPr>
                <w:sz w:val="22"/>
                <w:szCs w:val="22"/>
              </w:rPr>
              <w:t>and TPSPB process.</w:t>
            </w:r>
          </w:p>
          <w:p w14:paraId="440DD6BF" w14:textId="77777777" w:rsidR="00586B29" w:rsidRDefault="00586B29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0469FFF0" w14:textId="77777777" w:rsidR="00586B29" w:rsidRPr="00B1160D" w:rsidRDefault="00586B29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0BF0CE3" w14:textId="77777777" w:rsidR="00B93B97" w:rsidRDefault="00B93B9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5DCF12E8" w14:textId="77777777" w:rsidR="00586B29" w:rsidRDefault="00B93B97" w:rsidP="00586B29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Policy reviewed at I</w:t>
            </w:r>
            <w:r w:rsidR="00586B29">
              <w:rPr>
                <w:sz w:val="22"/>
                <w:szCs w:val="22"/>
              </w:rPr>
              <w:t>naugural Board.</w:t>
            </w:r>
          </w:p>
          <w:p w14:paraId="04EFE513" w14:textId="77777777" w:rsidR="00586B29" w:rsidRDefault="00586B29" w:rsidP="00586B29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5C5E1AC2" w14:textId="47DB4856" w:rsidR="00B93B97" w:rsidRPr="00B1160D" w:rsidRDefault="00586B29" w:rsidP="00271E47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Amendments required to include Board-specific scenarios. </w:t>
            </w:r>
            <w:r w:rsidR="00D018AA">
              <w:rPr>
                <w:sz w:val="22"/>
                <w:szCs w:val="22"/>
              </w:rPr>
              <w:t xml:space="preserve"> Completed. Revisions signed-off at 3/6/15 Board meeting.</w:t>
            </w:r>
          </w:p>
        </w:tc>
        <w:tc>
          <w:tcPr>
            <w:tcW w:w="1843" w:type="dxa"/>
          </w:tcPr>
          <w:p w14:paraId="75808C7D" w14:textId="77777777" w:rsidR="00271E47" w:rsidRDefault="00271E4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477B0202" w14:textId="77777777" w:rsidR="00271E47" w:rsidRDefault="00271E4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5508E00A" w14:textId="77777777" w:rsidR="00271E47" w:rsidRDefault="00271E4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5087CD41" w14:textId="77777777" w:rsidR="00271E47" w:rsidRDefault="00271E4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65D7E858" w14:textId="77777777" w:rsidR="00B93B97" w:rsidRDefault="00B93B97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288AE948" w14:textId="77777777" w:rsidR="00D018AA" w:rsidRDefault="00D018AA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742448FE" w14:textId="77777777" w:rsidR="00D018AA" w:rsidRDefault="00D018AA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2F11304F" w14:textId="77777777" w:rsidR="00D018AA" w:rsidRDefault="00D018AA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41772017" w14:textId="77777777" w:rsidR="00D018AA" w:rsidRDefault="00D018AA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1216E095" w14:textId="77777777" w:rsidR="00D018AA" w:rsidRDefault="00D018AA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12B27FE2" w14:textId="77777777" w:rsidR="00D018AA" w:rsidRDefault="00D018AA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64E0CD14" w14:textId="77777777" w:rsidR="00D018AA" w:rsidRDefault="00D018AA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1F285926" w14:textId="77777777" w:rsidR="00D018AA" w:rsidRDefault="00D018AA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69F0DB52" w14:textId="77777777" w:rsidR="00D018AA" w:rsidRDefault="00D018AA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581AD4CB" w14:textId="77777777" w:rsidR="00D018AA" w:rsidRDefault="00D018AA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4CDBCA41" w14:textId="18626131" w:rsidR="00D018AA" w:rsidRPr="00D018AA" w:rsidRDefault="00D018AA" w:rsidP="00F4242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b/>
                <w:sz w:val="22"/>
                <w:szCs w:val="22"/>
              </w:rPr>
            </w:pPr>
            <w:r w:rsidRPr="00D018AA">
              <w:rPr>
                <w:b/>
                <w:sz w:val="22"/>
                <w:szCs w:val="22"/>
              </w:rPr>
              <w:t>COMPLETE</w:t>
            </w:r>
          </w:p>
        </w:tc>
      </w:tr>
      <w:tr w:rsidR="00B93B97" w:rsidRPr="00B1160D" w14:paraId="2CD75698" w14:textId="5E37C2A4" w:rsidTr="00DC481D">
        <w:tc>
          <w:tcPr>
            <w:tcW w:w="1384" w:type="dxa"/>
          </w:tcPr>
          <w:p w14:paraId="1941C626" w14:textId="6C15371B" w:rsidR="00B93B97" w:rsidRDefault="00B93B97" w:rsidP="0017387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Internal Controls &amp; </w:t>
            </w:r>
            <w:r w:rsidRPr="00586B29">
              <w:rPr>
                <w:sz w:val="20"/>
              </w:rPr>
              <w:t>Risk Management</w:t>
            </w:r>
          </w:p>
        </w:tc>
        <w:tc>
          <w:tcPr>
            <w:tcW w:w="3402" w:type="dxa"/>
          </w:tcPr>
          <w:p w14:paraId="0FF9DE9A" w14:textId="77777777" w:rsidR="00586B29" w:rsidRDefault="00B93B97" w:rsidP="00586B29">
            <w:pPr>
              <w:rPr>
                <w:rFonts w:ascii="Arial" w:eastAsia="MS Mincho" w:hAnsi="Arial" w:cs="Arial"/>
              </w:rPr>
            </w:pPr>
            <w:r w:rsidRPr="00D353A7">
              <w:rPr>
                <w:rFonts w:ascii="Arial" w:eastAsia="MS Mincho" w:hAnsi="Arial" w:cs="Arial"/>
              </w:rPr>
              <w:t xml:space="preserve">It is the responsibility of the scheme manager to establish and operate adequate internal controls for the purpose of ensuring that the scheme is being run in accordance with </w:t>
            </w:r>
            <w:r w:rsidR="00586B29">
              <w:rPr>
                <w:rFonts w:ascii="Arial" w:eastAsia="MS Mincho" w:hAnsi="Arial" w:cs="Arial"/>
              </w:rPr>
              <w:t xml:space="preserve">both </w:t>
            </w:r>
            <w:r w:rsidRPr="00D353A7">
              <w:rPr>
                <w:rFonts w:ascii="Arial" w:eastAsia="MS Mincho" w:hAnsi="Arial" w:cs="Arial"/>
              </w:rPr>
              <w:t>scheme rules and the law</w:t>
            </w:r>
            <w:r w:rsidR="00586B29">
              <w:rPr>
                <w:rFonts w:ascii="Arial" w:eastAsia="MS Mincho" w:hAnsi="Arial" w:cs="Arial"/>
              </w:rPr>
              <w:t>.</w:t>
            </w:r>
            <w:r w:rsidRPr="00D353A7">
              <w:rPr>
                <w:rFonts w:ascii="Arial" w:eastAsia="MS Mincho" w:hAnsi="Arial" w:cs="Arial"/>
              </w:rPr>
              <w:t xml:space="preserve"> </w:t>
            </w:r>
            <w:r w:rsidR="00586B29">
              <w:rPr>
                <w:rFonts w:ascii="Arial" w:eastAsia="MS Mincho" w:hAnsi="Arial" w:cs="Arial"/>
              </w:rPr>
              <w:t>A</w:t>
            </w:r>
            <w:r w:rsidRPr="00D353A7">
              <w:rPr>
                <w:rFonts w:ascii="Arial" w:eastAsia="MS Mincho" w:hAnsi="Arial" w:cs="Arial"/>
              </w:rPr>
              <w:t xml:space="preserve"> risk-based approach</w:t>
            </w:r>
            <w:r w:rsidR="00586B29">
              <w:rPr>
                <w:rFonts w:ascii="Arial" w:eastAsia="MS Mincho" w:hAnsi="Arial" w:cs="Arial"/>
              </w:rPr>
              <w:t xml:space="preserve"> should be employed</w:t>
            </w:r>
            <w:r w:rsidRPr="00D353A7">
              <w:rPr>
                <w:rFonts w:ascii="Arial" w:eastAsia="MS Mincho" w:hAnsi="Arial" w:cs="Arial"/>
              </w:rPr>
              <w:t xml:space="preserve"> to address significant risks that are likely to have a material impact on the scheme</w:t>
            </w:r>
            <w:r w:rsidR="00586B29">
              <w:rPr>
                <w:rFonts w:ascii="Arial" w:eastAsia="MS Mincho" w:hAnsi="Arial" w:cs="Arial"/>
              </w:rPr>
              <w:t>.</w:t>
            </w:r>
          </w:p>
          <w:p w14:paraId="0B5B69C3" w14:textId="2913A8A2" w:rsidR="00B93B97" w:rsidRPr="00D353A7" w:rsidRDefault="00B93B97" w:rsidP="00586B29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CF51C08" w14:textId="77777777" w:rsidR="00B93B97" w:rsidRDefault="00B93B97" w:rsidP="00B1160D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b/>
                <w:color w:val="0070C0"/>
                <w:sz w:val="22"/>
                <w:szCs w:val="22"/>
              </w:rPr>
            </w:pPr>
            <w:r w:rsidRPr="00D353A7">
              <w:rPr>
                <w:b/>
                <w:color w:val="0070C0"/>
                <w:sz w:val="22"/>
                <w:szCs w:val="22"/>
              </w:rPr>
              <w:t>Risk Policy</w:t>
            </w:r>
          </w:p>
          <w:p w14:paraId="72412F9A" w14:textId="77777777" w:rsidR="00B93B97" w:rsidRPr="00D353A7" w:rsidRDefault="00B93B97" w:rsidP="00B1160D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sz w:val="22"/>
                <w:szCs w:val="22"/>
              </w:rPr>
            </w:pPr>
            <w:r w:rsidRPr="00D353A7">
              <w:rPr>
                <w:sz w:val="22"/>
                <w:szCs w:val="22"/>
              </w:rPr>
              <w:t>Sets out how risk is</w:t>
            </w:r>
            <w:r>
              <w:rPr>
                <w:sz w:val="22"/>
                <w:szCs w:val="22"/>
              </w:rPr>
              <w:t xml:space="preserve"> identified, managed and mitigat</w:t>
            </w:r>
            <w:r w:rsidRPr="00D353A7">
              <w:rPr>
                <w:sz w:val="22"/>
                <w:szCs w:val="22"/>
              </w:rPr>
              <w:t>ed within the TPS</w:t>
            </w:r>
          </w:p>
        </w:tc>
        <w:tc>
          <w:tcPr>
            <w:tcW w:w="2693" w:type="dxa"/>
          </w:tcPr>
          <w:p w14:paraId="1DC26104" w14:textId="77777777" w:rsidR="00586B29" w:rsidRDefault="00B93B97" w:rsidP="00B1160D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Policy not owned by TPSPB, provided for information</w:t>
            </w:r>
            <w:r w:rsidR="00586B29">
              <w:rPr>
                <w:sz w:val="22"/>
                <w:szCs w:val="22"/>
              </w:rPr>
              <w:t>.</w:t>
            </w:r>
          </w:p>
          <w:p w14:paraId="7508CC2B" w14:textId="77777777" w:rsidR="00B93B97" w:rsidRDefault="00586B29" w:rsidP="00586B29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Assurance will be provided through quarterly Board Reports and end of year Assurance statement.</w:t>
            </w:r>
          </w:p>
          <w:p w14:paraId="35E1A72E" w14:textId="161C0FCD" w:rsidR="00D018AA" w:rsidRDefault="00D018AA" w:rsidP="00586B29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Assurance learning aide compiled for Board 18/6/15.</w:t>
            </w:r>
          </w:p>
        </w:tc>
        <w:tc>
          <w:tcPr>
            <w:tcW w:w="1843" w:type="dxa"/>
          </w:tcPr>
          <w:p w14:paraId="571E8B66" w14:textId="77777777" w:rsidR="00D018AA" w:rsidRDefault="00D018AA" w:rsidP="00B1160D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b/>
                <w:sz w:val="22"/>
                <w:szCs w:val="22"/>
              </w:rPr>
            </w:pPr>
          </w:p>
          <w:p w14:paraId="1EAC888D" w14:textId="77777777" w:rsidR="00D018AA" w:rsidRDefault="00D018AA" w:rsidP="00B1160D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b/>
                <w:sz w:val="22"/>
                <w:szCs w:val="22"/>
              </w:rPr>
            </w:pPr>
          </w:p>
          <w:p w14:paraId="5BFF477D" w14:textId="77777777" w:rsidR="00D018AA" w:rsidRDefault="00D018AA" w:rsidP="00B1160D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b/>
                <w:sz w:val="22"/>
                <w:szCs w:val="22"/>
              </w:rPr>
            </w:pPr>
          </w:p>
          <w:p w14:paraId="6B665E13" w14:textId="77777777" w:rsidR="00D018AA" w:rsidRDefault="00D018AA" w:rsidP="00B1160D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b/>
                <w:sz w:val="22"/>
                <w:szCs w:val="22"/>
              </w:rPr>
            </w:pPr>
          </w:p>
          <w:p w14:paraId="5133ECAC" w14:textId="77777777" w:rsidR="00D018AA" w:rsidRDefault="00D018AA" w:rsidP="00B1160D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b/>
                <w:sz w:val="22"/>
                <w:szCs w:val="22"/>
              </w:rPr>
            </w:pPr>
          </w:p>
          <w:p w14:paraId="500B605E" w14:textId="77777777" w:rsidR="00D018AA" w:rsidRDefault="00D018AA" w:rsidP="00B1160D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b/>
                <w:sz w:val="22"/>
                <w:szCs w:val="22"/>
              </w:rPr>
            </w:pPr>
          </w:p>
          <w:p w14:paraId="5F7CE6D7" w14:textId="77777777" w:rsidR="00D018AA" w:rsidRDefault="00D018AA" w:rsidP="00B1160D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b/>
                <w:sz w:val="22"/>
                <w:szCs w:val="22"/>
              </w:rPr>
            </w:pPr>
          </w:p>
          <w:p w14:paraId="55B0A723" w14:textId="77777777" w:rsidR="00D018AA" w:rsidRDefault="00D018AA" w:rsidP="00B1160D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b/>
                <w:sz w:val="22"/>
                <w:szCs w:val="22"/>
              </w:rPr>
            </w:pPr>
          </w:p>
          <w:p w14:paraId="1C32F1AF" w14:textId="77F8B386" w:rsidR="00B93B97" w:rsidRPr="00271E47" w:rsidRDefault="00271E47" w:rsidP="00B1160D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b/>
                <w:sz w:val="22"/>
                <w:szCs w:val="22"/>
              </w:rPr>
            </w:pPr>
            <w:r w:rsidRPr="00271E47">
              <w:rPr>
                <w:b/>
                <w:sz w:val="22"/>
                <w:szCs w:val="22"/>
              </w:rPr>
              <w:t>COMPLETE</w:t>
            </w:r>
          </w:p>
        </w:tc>
      </w:tr>
      <w:tr w:rsidR="00B93B97" w:rsidRPr="00B1160D" w14:paraId="4BEB1E76" w14:textId="2CFF4478" w:rsidTr="00DC481D">
        <w:tc>
          <w:tcPr>
            <w:tcW w:w="1384" w:type="dxa"/>
          </w:tcPr>
          <w:p w14:paraId="5C21D89D" w14:textId="7FDD64BA" w:rsidR="00B93B97" w:rsidRDefault="00B93B97" w:rsidP="0017387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Policies</w:t>
            </w:r>
          </w:p>
        </w:tc>
        <w:tc>
          <w:tcPr>
            <w:tcW w:w="3402" w:type="dxa"/>
          </w:tcPr>
          <w:p w14:paraId="197FDF3F" w14:textId="77777777" w:rsidR="00B93B97" w:rsidRDefault="00B93B97" w:rsidP="009930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TPSPB Performance Management</w:t>
            </w:r>
          </w:p>
          <w:p w14:paraId="10121937" w14:textId="77777777" w:rsidR="00B93B97" w:rsidRPr="009E17B8" w:rsidRDefault="00B93B97" w:rsidP="00586B29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15DFFF1" w14:textId="4D96FA72" w:rsidR="00B93B97" w:rsidRDefault="00D018AA" w:rsidP="00767F6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Sets out the process for annual appraisal for Board members.</w:t>
            </w:r>
          </w:p>
          <w:p w14:paraId="18FD68C4" w14:textId="77777777" w:rsidR="00D018AA" w:rsidRDefault="00D018AA" w:rsidP="00767F6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  <w:p w14:paraId="13C90341" w14:textId="7052DB6F" w:rsidR="00B93B97" w:rsidRDefault="00B93B97" w:rsidP="00D018AA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8435A51" w14:textId="77777777" w:rsidR="00B93B97" w:rsidRDefault="00B93B97" w:rsidP="00586B29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Policies reviewed </w:t>
            </w:r>
            <w:r w:rsidR="00586B29">
              <w:rPr>
                <w:sz w:val="22"/>
                <w:szCs w:val="22"/>
              </w:rPr>
              <w:t>and signed off at Inaugural Board</w:t>
            </w:r>
          </w:p>
          <w:p w14:paraId="0AECB078" w14:textId="5ACAC1F9" w:rsidR="00D018AA" w:rsidRDefault="00D018AA" w:rsidP="00D018AA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Board refresh note, setting out </w:t>
            </w:r>
            <w:r w:rsidR="001A67FF">
              <w:rPr>
                <w:sz w:val="22"/>
                <w:szCs w:val="22"/>
              </w:rPr>
              <w:t xml:space="preserve">options </w:t>
            </w:r>
            <w:r>
              <w:rPr>
                <w:sz w:val="22"/>
                <w:szCs w:val="22"/>
              </w:rPr>
              <w:t>for re-appointment or recruitment prepared for Chair/Board</w:t>
            </w:r>
          </w:p>
          <w:p w14:paraId="7327761D" w14:textId="08FE3F75" w:rsidR="00D018AA" w:rsidRDefault="00D018AA" w:rsidP="00586B29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BA5D7B5" w14:textId="77777777" w:rsidR="00D018AA" w:rsidRDefault="00D018AA" w:rsidP="00B1160D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b/>
                <w:sz w:val="22"/>
                <w:szCs w:val="22"/>
              </w:rPr>
            </w:pPr>
          </w:p>
          <w:p w14:paraId="7B748C20" w14:textId="77777777" w:rsidR="00D018AA" w:rsidRDefault="00D018AA" w:rsidP="00B1160D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b/>
                <w:sz w:val="22"/>
                <w:szCs w:val="22"/>
              </w:rPr>
            </w:pPr>
          </w:p>
          <w:p w14:paraId="41309193" w14:textId="77777777" w:rsidR="00D018AA" w:rsidRDefault="00D018AA" w:rsidP="00B1160D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b/>
                <w:sz w:val="22"/>
                <w:szCs w:val="22"/>
              </w:rPr>
            </w:pPr>
          </w:p>
          <w:p w14:paraId="7F4D8818" w14:textId="77777777" w:rsidR="00D018AA" w:rsidRDefault="00D018AA" w:rsidP="00B1160D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b/>
                <w:sz w:val="22"/>
                <w:szCs w:val="22"/>
              </w:rPr>
            </w:pPr>
          </w:p>
          <w:p w14:paraId="5C6AFCCC" w14:textId="77777777" w:rsidR="00D018AA" w:rsidRDefault="00D018AA" w:rsidP="00B1160D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b/>
                <w:sz w:val="22"/>
                <w:szCs w:val="22"/>
              </w:rPr>
            </w:pPr>
          </w:p>
          <w:p w14:paraId="57F28B9B" w14:textId="37CD75DC" w:rsidR="00B93B97" w:rsidRPr="00586B29" w:rsidRDefault="00586B29" w:rsidP="00B1160D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b/>
                <w:sz w:val="22"/>
                <w:szCs w:val="22"/>
              </w:rPr>
            </w:pPr>
            <w:r w:rsidRPr="00586B29">
              <w:rPr>
                <w:b/>
                <w:sz w:val="22"/>
                <w:szCs w:val="22"/>
              </w:rPr>
              <w:t>COMPLETE</w:t>
            </w:r>
          </w:p>
        </w:tc>
      </w:tr>
      <w:tr w:rsidR="00586B29" w:rsidRPr="00B1160D" w14:paraId="62A98A7A" w14:textId="77777777" w:rsidTr="00DC481D">
        <w:tc>
          <w:tcPr>
            <w:tcW w:w="1384" w:type="dxa"/>
          </w:tcPr>
          <w:p w14:paraId="4667CDEE" w14:textId="4CA8D881" w:rsidR="00586B29" w:rsidRPr="00586B29" w:rsidRDefault="00586B29" w:rsidP="0017387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0"/>
              </w:rPr>
            </w:pPr>
            <w:r w:rsidRPr="00586B29">
              <w:rPr>
                <w:sz w:val="20"/>
              </w:rPr>
              <w:t xml:space="preserve">Outstanding Policies </w:t>
            </w:r>
          </w:p>
        </w:tc>
        <w:tc>
          <w:tcPr>
            <w:tcW w:w="3402" w:type="dxa"/>
          </w:tcPr>
          <w:p w14:paraId="74EB18D6" w14:textId="77777777" w:rsidR="00586B29" w:rsidRDefault="00586B29" w:rsidP="00586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Freedom of Information Policy</w:t>
            </w:r>
          </w:p>
          <w:p w14:paraId="1753EB9F" w14:textId="77777777" w:rsidR="00586B29" w:rsidRDefault="00586B29" w:rsidP="0099301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982E32B" w14:textId="56AE1904" w:rsidR="00586B29" w:rsidRDefault="00586B29" w:rsidP="00767F6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Awaiting HMT direction</w:t>
            </w:r>
          </w:p>
        </w:tc>
        <w:tc>
          <w:tcPr>
            <w:tcW w:w="2693" w:type="dxa"/>
          </w:tcPr>
          <w:p w14:paraId="7D51A922" w14:textId="77777777" w:rsidR="00586B29" w:rsidRDefault="00586B29" w:rsidP="00586B29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0D26640" w14:textId="77777777" w:rsidR="00586B29" w:rsidRDefault="00586B29" w:rsidP="00B1160D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sz w:val="22"/>
                <w:szCs w:val="22"/>
              </w:rPr>
            </w:pPr>
          </w:p>
        </w:tc>
      </w:tr>
      <w:tr w:rsidR="00B93B97" w:rsidRPr="00B1160D" w14:paraId="364F61E1" w14:textId="636AB8A6" w:rsidTr="00DC481D">
        <w:tc>
          <w:tcPr>
            <w:tcW w:w="1384" w:type="dxa"/>
          </w:tcPr>
          <w:p w14:paraId="15FC6C50" w14:textId="57C4DE1B" w:rsidR="00B93B97" w:rsidRDefault="00B93B97" w:rsidP="00586B29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</w:t>
            </w:r>
            <w:r w:rsidR="00586B29">
              <w:rPr>
                <w:sz w:val="22"/>
                <w:szCs w:val="22"/>
              </w:rPr>
              <w:t xml:space="preserve">Supporting </w:t>
            </w:r>
            <w:r w:rsidR="00586B29" w:rsidRPr="001A67FF">
              <w:rPr>
                <w:sz w:val="16"/>
                <w:szCs w:val="16"/>
              </w:rPr>
              <w:t>documentation</w:t>
            </w:r>
          </w:p>
        </w:tc>
        <w:tc>
          <w:tcPr>
            <w:tcW w:w="3402" w:type="dxa"/>
          </w:tcPr>
          <w:p w14:paraId="0FD3EB91" w14:textId="77777777" w:rsidR="00B93B97" w:rsidRDefault="00B93B97" w:rsidP="009930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Legal Requirements</w:t>
            </w:r>
          </w:p>
          <w:p w14:paraId="5000DD7C" w14:textId="77777777" w:rsidR="00B93B97" w:rsidRDefault="00B93B97" w:rsidP="009930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TPSPB Terms of Reference</w:t>
            </w:r>
          </w:p>
          <w:p w14:paraId="4C3DC6A5" w14:textId="77777777" w:rsidR="00B93B97" w:rsidRDefault="00B93B97" w:rsidP="009930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TPSPB Expenses Policy</w:t>
            </w:r>
          </w:p>
          <w:p w14:paraId="78FA97A8" w14:textId="77777777" w:rsidR="00B93B97" w:rsidRDefault="00B93B97" w:rsidP="009930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TPS Internal Dispute Resolution </w:t>
            </w:r>
            <w:r>
              <w:rPr>
                <w:rFonts w:ascii="Arial" w:hAnsi="Arial" w:cs="Arial"/>
              </w:rPr>
              <w:lastRenderedPageBreak/>
              <w:t>Policy</w:t>
            </w:r>
          </w:p>
          <w:p w14:paraId="40990191" w14:textId="77777777" w:rsidR="00B93B97" w:rsidRDefault="00B93B97" w:rsidP="009930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TPS Discretions Process</w:t>
            </w:r>
          </w:p>
          <w:p w14:paraId="48DDE2FA" w14:textId="77777777" w:rsidR="00B93B97" w:rsidRDefault="00B93B97" w:rsidP="0099301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9AA0708" w14:textId="77777777" w:rsidR="00B93B97" w:rsidRDefault="00B93B97" w:rsidP="00B1160D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Completed.  Do not require TPSPB sign off</w:t>
            </w:r>
          </w:p>
          <w:p w14:paraId="0C0DBF23" w14:textId="4764988B" w:rsidR="007062D4" w:rsidRDefault="007062D4" w:rsidP="00586B29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586B29">
              <w:rPr>
                <w:sz w:val="22"/>
                <w:szCs w:val="22"/>
              </w:rPr>
              <w:t>egular revie</w:t>
            </w:r>
            <w:r>
              <w:rPr>
                <w:sz w:val="22"/>
                <w:szCs w:val="22"/>
              </w:rPr>
              <w:t xml:space="preserve">w and monitoring by Secretariat as part of internal </w:t>
            </w:r>
            <w:r>
              <w:rPr>
                <w:sz w:val="22"/>
                <w:szCs w:val="22"/>
              </w:rPr>
              <w:lastRenderedPageBreak/>
              <w:t>audit process.</w:t>
            </w:r>
          </w:p>
          <w:p w14:paraId="03597FB8" w14:textId="6D852EB7" w:rsidR="00586B29" w:rsidRDefault="007D5DC6" w:rsidP="007062D4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Policies updated and cascaded to Board as required.</w:t>
            </w:r>
          </w:p>
        </w:tc>
        <w:tc>
          <w:tcPr>
            <w:tcW w:w="2693" w:type="dxa"/>
          </w:tcPr>
          <w:p w14:paraId="7ADC82B0" w14:textId="77777777" w:rsidR="00B93B97" w:rsidRDefault="00B93B97" w:rsidP="00B1160D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Board members need to be aware /conversant</w:t>
            </w:r>
          </w:p>
          <w:p w14:paraId="4FC52C34" w14:textId="4578230D" w:rsidR="007D5DC6" w:rsidRDefault="007D5DC6" w:rsidP="00B1160D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sz w:val="22"/>
                <w:szCs w:val="22"/>
              </w:rPr>
            </w:pPr>
          </w:p>
          <w:p w14:paraId="67294BD7" w14:textId="2D8DF064" w:rsidR="00586B29" w:rsidRDefault="007D5DC6" w:rsidP="007062D4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Expenses Policies updated April 2014 to reflect HMT additional requirements.</w:t>
            </w:r>
          </w:p>
        </w:tc>
        <w:tc>
          <w:tcPr>
            <w:tcW w:w="1843" w:type="dxa"/>
          </w:tcPr>
          <w:p w14:paraId="2F80602C" w14:textId="77777777" w:rsidR="001A67FF" w:rsidRDefault="001A67FF" w:rsidP="00B1160D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b/>
                <w:sz w:val="22"/>
                <w:szCs w:val="22"/>
              </w:rPr>
            </w:pPr>
          </w:p>
          <w:p w14:paraId="15FE037B" w14:textId="77777777" w:rsidR="001A67FF" w:rsidRDefault="001A67FF" w:rsidP="00B1160D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b/>
                <w:sz w:val="22"/>
                <w:szCs w:val="22"/>
              </w:rPr>
            </w:pPr>
          </w:p>
          <w:p w14:paraId="4CD8461F" w14:textId="77777777" w:rsidR="001A67FF" w:rsidRDefault="001A67FF" w:rsidP="00B1160D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b/>
                <w:sz w:val="22"/>
                <w:szCs w:val="22"/>
              </w:rPr>
            </w:pPr>
          </w:p>
          <w:p w14:paraId="2006F532" w14:textId="77777777" w:rsidR="001A67FF" w:rsidRDefault="001A67FF" w:rsidP="00B1160D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b/>
                <w:sz w:val="22"/>
                <w:szCs w:val="22"/>
              </w:rPr>
            </w:pPr>
          </w:p>
          <w:p w14:paraId="45F94226" w14:textId="77777777" w:rsidR="001A67FF" w:rsidRDefault="001A67FF" w:rsidP="00B1160D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b/>
                <w:sz w:val="22"/>
                <w:szCs w:val="22"/>
              </w:rPr>
            </w:pPr>
          </w:p>
          <w:p w14:paraId="103A9106" w14:textId="2752AC55" w:rsidR="00B93B97" w:rsidRPr="00586B29" w:rsidRDefault="00586B29" w:rsidP="00B1160D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b/>
                <w:sz w:val="22"/>
                <w:szCs w:val="22"/>
              </w:rPr>
            </w:pPr>
            <w:r w:rsidRPr="00586B29">
              <w:rPr>
                <w:b/>
                <w:sz w:val="22"/>
                <w:szCs w:val="22"/>
              </w:rPr>
              <w:t>COMPLETE</w:t>
            </w:r>
          </w:p>
        </w:tc>
      </w:tr>
      <w:tr w:rsidR="00B93B97" w:rsidRPr="00B1160D" w14:paraId="790BC3F1" w14:textId="68854B47" w:rsidTr="00DC481D">
        <w:tc>
          <w:tcPr>
            <w:tcW w:w="1384" w:type="dxa"/>
          </w:tcPr>
          <w:p w14:paraId="1E6AC85C" w14:textId="066A6514" w:rsidR="00B93B97" w:rsidRDefault="00B93B97" w:rsidP="007D5DC6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TP</w:t>
            </w:r>
            <w:r w:rsidR="007D5DC6">
              <w:rPr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</w:t>
            </w:r>
            <w:r w:rsidR="007D5DC6">
              <w:rPr>
                <w:sz w:val="22"/>
                <w:szCs w:val="22"/>
              </w:rPr>
              <w:t xml:space="preserve">Supporting Board </w:t>
            </w:r>
            <w:r w:rsidR="007D5DC6" w:rsidRPr="001A67FF">
              <w:rPr>
                <w:sz w:val="16"/>
                <w:szCs w:val="16"/>
              </w:rPr>
              <w:t>Documentation</w:t>
            </w:r>
            <w:r w:rsidR="007D5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0195402D" w14:textId="062384FD" w:rsidR="00B93B97" w:rsidRDefault="007D5DC6" w:rsidP="001446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TP’s Vision document </w:t>
            </w:r>
          </w:p>
          <w:p w14:paraId="55CBAE27" w14:textId="77777777" w:rsidR="00B93B97" w:rsidRDefault="00B93B97" w:rsidP="001446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TP’s Engagement Strategy</w:t>
            </w:r>
          </w:p>
          <w:p w14:paraId="01E4E3AB" w14:textId="77777777" w:rsidR="00B93B97" w:rsidRDefault="00B93B97" w:rsidP="001446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TP’s Reform Communications Plan</w:t>
            </w:r>
          </w:p>
          <w:p w14:paraId="7B19FEFF" w14:textId="3AD1AA44" w:rsidR="00B93B97" w:rsidRDefault="007D5DC6" w:rsidP="001446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TP Finance Report</w:t>
            </w:r>
          </w:p>
          <w:p w14:paraId="2F588828" w14:textId="77777777" w:rsidR="00B93B97" w:rsidRDefault="00B93B97" w:rsidP="0014465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1EAAD2E" w14:textId="77777777" w:rsidR="00B93B97" w:rsidRDefault="00B93B97" w:rsidP="00B1160D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Provided by TP for information purposes</w:t>
            </w:r>
          </w:p>
          <w:p w14:paraId="23027F20" w14:textId="77777777" w:rsidR="00B93B97" w:rsidRDefault="00B93B97" w:rsidP="00B1160D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sz w:val="22"/>
                <w:szCs w:val="22"/>
              </w:rPr>
            </w:pPr>
          </w:p>
          <w:p w14:paraId="726C223F" w14:textId="77777777" w:rsidR="00B93B97" w:rsidRDefault="00B93B97" w:rsidP="00B1160D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4EB6CA0" w14:textId="4FD909C8" w:rsidR="00B93B97" w:rsidRDefault="00B93B97" w:rsidP="00B1160D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Learning aids</w:t>
            </w:r>
          </w:p>
          <w:p w14:paraId="73758EF3" w14:textId="77777777" w:rsidR="00B93B97" w:rsidRDefault="00B93B97" w:rsidP="00B1160D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sz w:val="22"/>
                <w:szCs w:val="22"/>
              </w:rPr>
            </w:pPr>
          </w:p>
          <w:p w14:paraId="4FA7F26B" w14:textId="187DBB50" w:rsidR="00B93B97" w:rsidRDefault="00B93B97" w:rsidP="00B1160D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66B947C" w14:textId="77777777" w:rsidR="001A67FF" w:rsidRDefault="001A67FF" w:rsidP="00B1160D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b/>
                <w:sz w:val="22"/>
                <w:szCs w:val="22"/>
              </w:rPr>
            </w:pPr>
          </w:p>
          <w:p w14:paraId="66B4C7F8" w14:textId="77777777" w:rsidR="001A67FF" w:rsidRDefault="001A67FF" w:rsidP="00B1160D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b/>
                <w:sz w:val="22"/>
                <w:szCs w:val="22"/>
              </w:rPr>
            </w:pPr>
          </w:p>
          <w:p w14:paraId="40686077" w14:textId="77777777" w:rsidR="001A67FF" w:rsidRDefault="001A67FF" w:rsidP="00B1160D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b/>
                <w:sz w:val="22"/>
                <w:szCs w:val="22"/>
              </w:rPr>
            </w:pPr>
          </w:p>
          <w:p w14:paraId="5CA5E35E" w14:textId="39DF4E4C" w:rsidR="00B93B97" w:rsidRPr="007D5DC6" w:rsidRDefault="007D5DC6" w:rsidP="00B1160D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b/>
                <w:sz w:val="22"/>
                <w:szCs w:val="22"/>
              </w:rPr>
            </w:pPr>
            <w:r w:rsidRPr="007D5DC6">
              <w:rPr>
                <w:b/>
                <w:sz w:val="22"/>
                <w:szCs w:val="22"/>
              </w:rPr>
              <w:t>COMPLETE</w:t>
            </w:r>
          </w:p>
        </w:tc>
      </w:tr>
      <w:tr w:rsidR="00B93B97" w:rsidRPr="00B1160D" w14:paraId="3D00EB51" w14:textId="5B6C7398" w:rsidTr="00DC481D">
        <w:tc>
          <w:tcPr>
            <w:tcW w:w="1384" w:type="dxa"/>
          </w:tcPr>
          <w:p w14:paraId="5368E2EB" w14:textId="21F0305E" w:rsidR="00B93B97" w:rsidRPr="00B1160D" w:rsidRDefault="00B93B97" w:rsidP="007D5DC6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Misc</w:t>
            </w:r>
          </w:p>
        </w:tc>
        <w:tc>
          <w:tcPr>
            <w:tcW w:w="3402" w:type="dxa"/>
          </w:tcPr>
          <w:p w14:paraId="79D640A3" w14:textId="77777777" w:rsidR="00B93B97" w:rsidRPr="00B1160D" w:rsidRDefault="00B93B97" w:rsidP="00B1160D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Gifts &amp; Hospitality Register, required to record and G&amp;H received by Board members in relation to that role</w:t>
            </w:r>
          </w:p>
        </w:tc>
        <w:tc>
          <w:tcPr>
            <w:tcW w:w="3402" w:type="dxa"/>
          </w:tcPr>
          <w:p w14:paraId="2B7AA34E" w14:textId="77777777" w:rsidR="00B93B97" w:rsidRPr="00B1160D" w:rsidRDefault="00B93B97" w:rsidP="00B1160D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Template drafted</w:t>
            </w:r>
          </w:p>
        </w:tc>
        <w:tc>
          <w:tcPr>
            <w:tcW w:w="2693" w:type="dxa"/>
          </w:tcPr>
          <w:p w14:paraId="5DE1DDA5" w14:textId="41025F8B" w:rsidR="00B93B97" w:rsidRPr="00B1160D" w:rsidRDefault="00B93B97" w:rsidP="007062D4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be shared with Board members for </w:t>
            </w:r>
            <w:r w:rsidR="007062D4">
              <w:rPr>
                <w:sz w:val="22"/>
                <w:szCs w:val="22"/>
              </w:rPr>
              <w:t xml:space="preserve">twice yearly </w:t>
            </w:r>
            <w:r>
              <w:rPr>
                <w:sz w:val="22"/>
                <w:szCs w:val="22"/>
              </w:rPr>
              <w:t>completion</w:t>
            </w:r>
            <w:r w:rsidR="007062D4">
              <w:rPr>
                <w:sz w:val="22"/>
                <w:szCs w:val="22"/>
              </w:rPr>
              <w:t xml:space="preserve"> in July and January.</w:t>
            </w:r>
          </w:p>
        </w:tc>
        <w:tc>
          <w:tcPr>
            <w:tcW w:w="1843" w:type="dxa"/>
          </w:tcPr>
          <w:p w14:paraId="7F499A3B" w14:textId="77777777" w:rsidR="001A67FF" w:rsidRDefault="001A67FF" w:rsidP="00B1160D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b/>
                <w:sz w:val="22"/>
                <w:szCs w:val="22"/>
              </w:rPr>
            </w:pPr>
          </w:p>
          <w:p w14:paraId="1DFC79D8" w14:textId="77777777" w:rsidR="007062D4" w:rsidRDefault="007062D4" w:rsidP="00B1160D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b/>
                <w:sz w:val="22"/>
                <w:szCs w:val="22"/>
              </w:rPr>
            </w:pPr>
          </w:p>
          <w:p w14:paraId="6A9B6EB9" w14:textId="7B69A13D" w:rsidR="00B93B97" w:rsidRPr="007D5DC6" w:rsidRDefault="007D5DC6" w:rsidP="00B1160D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b/>
                <w:sz w:val="22"/>
                <w:szCs w:val="22"/>
              </w:rPr>
            </w:pPr>
            <w:r w:rsidRPr="007D5DC6">
              <w:rPr>
                <w:b/>
                <w:sz w:val="22"/>
                <w:szCs w:val="22"/>
              </w:rPr>
              <w:t>COMPLETE</w:t>
            </w:r>
          </w:p>
        </w:tc>
      </w:tr>
      <w:tr w:rsidR="00B93B97" w:rsidRPr="007D5DC6" w14:paraId="41C9D6A3" w14:textId="7266DDF0" w:rsidTr="00DC481D">
        <w:tc>
          <w:tcPr>
            <w:tcW w:w="1384" w:type="dxa"/>
          </w:tcPr>
          <w:p w14:paraId="67505D3D" w14:textId="4BBB10CB" w:rsidR="00B93B97" w:rsidRDefault="007D5DC6" w:rsidP="007D5DC6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Board Documents</w:t>
            </w:r>
          </w:p>
        </w:tc>
        <w:tc>
          <w:tcPr>
            <w:tcW w:w="3402" w:type="dxa"/>
          </w:tcPr>
          <w:p w14:paraId="1115CCB2" w14:textId="77777777" w:rsidR="00B93B97" w:rsidRDefault="00B93B97" w:rsidP="00B1160D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 a legal requirement but useful to capture detail</w:t>
            </w:r>
          </w:p>
        </w:tc>
        <w:tc>
          <w:tcPr>
            <w:tcW w:w="3402" w:type="dxa"/>
          </w:tcPr>
          <w:p w14:paraId="0C5A92D9" w14:textId="77777777" w:rsidR="00B93B97" w:rsidRDefault="00B93B97" w:rsidP="00767F6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Example agendas</w:t>
            </w:r>
          </w:p>
          <w:p w14:paraId="09C03B91" w14:textId="77777777" w:rsidR="00B93B97" w:rsidRDefault="00B93B97" w:rsidP="00767F6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Timetable of events</w:t>
            </w:r>
          </w:p>
          <w:p w14:paraId="2DECB5BE" w14:textId="2BE23491" w:rsidR="00B93B97" w:rsidRDefault="001A67FF" w:rsidP="00220179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Standard </w:t>
            </w:r>
            <w:r w:rsidR="00B93B97">
              <w:rPr>
                <w:sz w:val="22"/>
                <w:szCs w:val="22"/>
              </w:rPr>
              <w:t>Board Reports (</w:t>
            </w:r>
            <w:r w:rsidR="007D5DC6">
              <w:rPr>
                <w:sz w:val="22"/>
                <w:szCs w:val="22"/>
              </w:rPr>
              <w:t xml:space="preserve">Dashboard, </w:t>
            </w:r>
            <w:r w:rsidR="007062D4">
              <w:rPr>
                <w:sz w:val="22"/>
                <w:szCs w:val="22"/>
              </w:rPr>
              <w:t>Administration</w:t>
            </w:r>
            <w:r w:rsidR="00B93B97">
              <w:rPr>
                <w:sz w:val="22"/>
                <w:szCs w:val="22"/>
              </w:rPr>
              <w:t>, Finance</w:t>
            </w:r>
            <w:r w:rsidR="007062D4">
              <w:rPr>
                <w:sz w:val="22"/>
                <w:szCs w:val="22"/>
              </w:rPr>
              <w:t>,</w:t>
            </w:r>
            <w:r w:rsidR="00B93B97">
              <w:rPr>
                <w:sz w:val="22"/>
                <w:szCs w:val="22"/>
              </w:rPr>
              <w:t>Risk</w:t>
            </w:r>
            <w:r w:rsidR="007062D4">
              <w:rPr>
                <w:sz w:val="22"/>
                <w:szCs w:val="22"/>
              </w:rPr>
              <w:t xml:space="preserve"> &amp; Audit</w:t>
            </w:r>
            <w:r w:rsidR="00B93B97">
              <w:rPr>
                <w:sz w:val="22"/>
                <w:szCs w:val="22"/>
              </w:rPr>
              <w:t xml:space="preserve"> and Engagement) </w:t>
            </w:r>
            <w:r w:rsidR="007D5DC6">
              <w:rPr>
                <w:sz w:val="22"/>
                <w:szCs w:val="22"/>
              </w:rPr>
              <w:t>developed</w:t>
            </w:r>
            <w:r>
              <w:rPr>
                <w:sz w:val="22"/>
                <w:szCs w:val="22"/>
              </w:rPr>
              <w:t xml:space="preserve"> (will be prepared and submitted for each Board meeting)</w:t>
            </w:r>
          </w:p>
        </w:tc>
        <w:tc>
          <w:tcPr>
            <w:tcW w:w="2693" w:type="dxa"/>
          </w:tcPr>
          <w:p w14:paraId="79D33538" w14:textId="77777777" w:rsidR="007D5DC6" w:rsidRDefault="007D5DC6" w:rsidP="00B1160D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Reviewed at Inaugural Board.</w:t>
            </w:r>
          </w:p>
          <w:p w14:paraId="307AC6D8" w14:textId="77777777" w:rsidR="007D5DC6" w:rsidRDefault="007D5DC6" w:rsidP="00B1160D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Further development prior to 3/6/15 Board</w:t>
            </w:r>
          </w:p>
          <w:p w14:paraId="75CC82FB" w14:textId="1407EACC" w:rsidR="00B93B97" w:rsidRDefault="007D5DC6" w:rsidP="00B1160D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On-going improvement as best practice.</w:t>
            </w:r>
          </w:p>
        </w:tc>
        <w:tc>
          <w:tcPr>
            <w:tcW w:w="1843" w:type="dxa"/>
          </w:tcPr>
          <w:p w14:paraId="09161E45" w14:textId="77777777" w:rsidR="001A67FF" w:rsidRDefault="001A67FF" w:rsidP="001A67F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b/>
                <w:sz w:val="22"/>
                <w:szCs w:val="22"/>
              </w:rPr>
            </w:pPr>
          </w:p>
          <w:p w14:paraId="4FEBCA39" w14:textId="77777777" w:rsidR="001A67FF" w:rsidRDefault="001A67FF" w:rsidP="001A67F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b/>
                <w:sz w:val="22"/>
                <w:szCs w:val="22"/>
              </w:rPr>
            </w:pPr>
          </w:p>
          <w:p w14:paraId="23B9BEFB" w14:textId="77777777" w:rsidR="001A67FF" w:rsidRDefault="001A67FF" w:rsidP="001A67F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b/>
                <w:sz w:val="22"/>
                <w:szCs w:val="22"/>
              </w:rPr>
            </w:pPr>
          </w:p>
          <w:p w14:paraId="27E06798" w14:textId="77777777" w:rsidR="001A67FF" w:rsidRDefault="001A67FF" w:rsidP="001A67F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b/>
                <w:sz w:val="22"/>
                <w:szCs w:val="22"/>
              </w:rPr>
            </w:pPr>
          </w:p>
          <w:p w14:paraId="59871E21" w14:textId="77777777" w:rsidR="001A67FF" w:rsidRDefault="001A67FF" w:rsidP="001A67F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b/>
                <w:sz w:val="22"/>
                <w:szCs w:val="22"/>
              </w:rPr>
            </w:pPr>
          </w:p>
          <w:p w14:paraId="2F9BC862" w14:textId="77777777" w:rsidR="001A67FF" w:rsidRDefault="001A67FF" w:rsidP="001A67F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b/>
                <w:sz w:val="22"/>
                <w:szCs w:val="22"/>
              </w:rPr>
            </w:pPr>
          </w:p>
          <w:p w14:paraId="6F5D2BC8" w14:textId="0E60BE8C" w:rsidR="00B93B97" w:rsidRPr="007D5DC6" w:rsidRDefault="007D5DC6" w:rsidP="001A67FF">
            <w:pPr>
              <w:pStyle w:val="DeptBullets"/>
              <w:numPr>
                <w:ilvl w:val="0"/>
                <w:numId w:val="0"/>
              </w:numPr>
              <w:tabs>
                <w:tab w:val="left" w:pos="851"/>
              </w:tabs>
              <w:spacing w:after="0"/>
              <w:rPr>
                <w:b/>
                <w:sz w:val="22"/>
                <w:szCs w:val="22"/>
              </w:rPr>
            </w:pPr>
            <w:r w:rsidRPr="007D5DC6">
              <w:rPr>
                <w:b/>
                <w:sz w:val="22"/>
                <w:szCs w:val="22"/>
              </w:rPr>
              <w:t>COMPLETE</w:t>
            </w:r>
          </w:p>
        </w:tc>
      </w:tr>
    </w:tbl>
    <w:p w14:paraId="773C0400" w14:textId="36ADAF36" w:rsidR="00B1160D" w:rsidRPr="00117C14" w:rsidRDefault="00B1160D" w:rsidP="00B1160D">
      <w:pPr>
        <w:pStyle w:val="DeptBullets"/>
        <w:numPr>
          <w:ilvl w:val="0"/>
          <w:numId w:val="0"/>
        </w:numPr>
        <w:tabs>
          <w:tab w:val="left" w:pos="851"/>
        </w:tabs>
        <w:jc w:val="center"/>
        <w:rPr>
          <w:b/>
          <w:sz w:val="22"/>
          <w:szCs w:val="22"/>
        </w:rPr>
      </w:pPr>
    </w:p>
    <w:p w14:paraId="54727D91" w14:textId="77777777" w:rsidR="00A24E0B" w:rsidRDefault="00C74B29"/>
    <w:sectPr w:rsidR="00A24E0B" w:rsidSect="00EE518F">
      <w:headerReference w:type="default" r:id="rId14"/>
      <w:footerReference w:type="default" r:id="rId15"/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9D2B6" w14:textId="77777777" w:rsidR="00DC481D" w:rsidRDefault="00DC481D" w:rsidP="00DC481D">
      <w:pPr>
        <w:spacing w:after="0" w:line="240" w:lineRule="auto"/>
      </w:pPr>
      <w:r>
        <w:separator/>
      </w:r>
    </w:p>
  </w:endnote>
  <w:endnote w:type="continuationSeparator" w:id="0">
    <w:p w14:paraId="6BBE4591" w14:textId="77777777" w:rsidR="00DC481D" w:rsidRDefault="00DC481D" w:rsidP="00DC4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76449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DB70DD" w14:textId="4AC4938A" w:rsidR="00DC481D" w:rsidRDefault="00DC48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4B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D3BF13" w14:textId="77777777" w:rsidR="00DC481D" w:rsidRDefault="00DC48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4044E" w14:textId="77777777" w:rsidR="00DC481D" w:rsidRDefault="00DC481D" w:rsidP="00DC481D">
      <w:pPr>
        <w:spacing w:after="0" w:line="240" w:lineRule="auto"/>
      </w:pPr>
      <w:r>
        <w:separator/>
      </w:r>
    </w:p>
  </w:footnote>
  <w:footnote w:type="continuationSeparator" w:id="0">
    <w:p w14:paraId="0CE2690B" w14:textId="77777777" w:rsidR="00DC481D" w:rsidRDefault="00DC481D" w:rsidP="00DC4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94D42" w14:textId="102C8CF7" w:rsidR="00BA1CA6" w:rsidRPr="00BA1CA6" w:rsidRDefault="00BA1CA6" w:rsidP="00BA1CA6">
    <w:pPr>
      <w:pStyle w:val="Header"/>
      <w:jc w:val="right"/>
      <w:rPr>
        <w:rFonts w:ascii="Arial" w:hAnsi="Arial" w:cs="Arial"/>
        <w:b/>
      </w:rPr>
    </w:pPr>
    <w:r w:rsidRPr="00BA1CA6">
      <w:rPr>
        <w:rFonts w:ascii="Arial" w:hAnsi="Arial" w:cs="Arial"/>
        <w:b/>
      </w:rPr>
      <w:t xml:space="preserve">TPSPB Meeting 9 September 2015 : Agenda item </w:t>
    </w:r>
    <w:r>
      <w:rPr>
        <w:rFonts w:ascii="Arial" w:hAnsi="Arial" w:cs="Arial"/>
        <w:b/>
      </w:rPr>
      <w:t>3</w:t>
    </w:r>
  </w:p>
  <w:p w14:paraId="12FD8888" w14:textId="77777777" w:rsidR="00BA1CA6" w:rsidRDefault="00BA1C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055862DE"/>
    <w:lvl w:ilvl="0">
      <w:start w:val="1"/>
      <w:numFmt w:val="bullet"/>
      <w:pStyle w:val="ListParagraph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8EE55CA"/>
    <w:multiLevelType w:val="multilevel"/>
    <w:tmpl w:val="2702E03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C585BDB"/>
    <w:multiLevelType w:val="hybridMultilevel"/>
    <w:tmpl w:val="5C860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5">
    <w:nsid w:val="6ABB5C90"/>
    <w:multiLevelType w:val="hybridMultilevel"/>
    <w:tmpl w:val="A0AED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60D"/>
    <w:rsid w:val="0010564D"/>
    <w:rsid w:val="00120FA7"/>
    <w:rsid w:val="00144650"/>
    <w:rsid w:val="0017387F"/>
    <w:rsid w:val="00174399"/>
    <w:rsid w:val="001A4ADE"/>
    <w:rsid w:val="001A67FF"/>
    <w:rsid w:val="001C0E66"/>
    <w:rsid w:val="001F3001"/>
    <w:rsid w:val="00220179"/>
    <w:rsid w:val="00271E47"/>
    <w:rsid w:val="002B5736"/>
    <w:rsid w:val="002E259E"/>
    <w:rsid w:val="003564B4"/>
    <w:rsid w:val="004E44B0"/>
    <w:rsid w:val="004F015F"/>
    <w:rsid w:val="00586B04"/>
    <w:rsid w:val="00586B29"/>
    <w:rsid w:val="00626921"/>
    <w:rsid w:val="007062D4"/>
    <w:rsid w:val="0075754A"/>
    <w:rsid w:val="00763E9A"/>
    <w:rsid w:val="00767F6F"/>
    <w:rsid w:val="007D5DC6"/>
    <w:rsid w:val="007E4126"/>
    <w:rsid w:val="00902F9F"/>
    <w:rsid w:val="00993010"/>
    <w:rsid w:val="009B4529"/>
    <w:rsid w:val="009E17B8"/>
    <w:rsid w:val="00A23ED0"/>
    <w:rsid w:val="00A31D8A"/>
    <w:rsid w:val="00AC38E9"/>
    <w:rsid w:val="00B1160D"/>
    <w:rsid w:val="00B732A6"/>
    <w:rsid w:val="00B75C4E"/>
    <w:rsid w:val="00B93B97"/>
    <w:rsid w:val="00BA01BB"/>
    <w:rsid w:val="00BA1CA6"/>
    <w:rsid w:val="00C74B29"/>
    <w:rsid w:val="00D018AA"/>
    <w:rsid w:val="00D33A48"/>
    <w:rsid w:val="00D353A7"/>
    <w:rsid w:val="00DC481D"/>
    <w:rsid w:val="00E423FC"/>
    <w:rsid w:val="00EE518F"/>
    <w:rsid w:val="00F4242F"/>
    <w:rsid w:val="00F707DB"/>
    <w:rsid w:val="00FA60F8"/>
    <w:rsid w:val="00FE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9E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ptBullets">
    <w:name w:val="DeptBullets"/>
    <w:basedOn w:val="Normal"/>
    <w:link w:val="DeptBulletsChar"/>
    <w:rsid w:val="00B1160D"/>
    <w:pPr>
      <w:widowControl w:val="0"/>
      <w:numPr>
        <w:numId w:val="1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B11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E17B8"/>
    <w:pPr>
      <w:numPr>
        <w:numId w:val="2"/>
      </w:numPr>
      <w:spacing w:after="120" w:line="288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E17B8"/>
    <w:rPr>
      <w:rFonts w:ascii="Arial" w:eastAsia="Times New Roman" w:hAnsi="Arial" w:cs="Arial"/>
      <w:sz w:val="24"/>
      <w:szCs w:val="24"/>
      <w:lang w:val="en-GB"/>
    </w:rPr>
  </w:style>
  <w:style w:type="paragraph" w:customStyle="1" w:styleId="DfESOutNumbered">
    <w:name w:val="DfESOutNumbered"/>
    <w:basedOn w:val="Normal"/>
    <w:link w:val="DfESOutNumberedChar"/>
    <w:rsid w:val="004E44B0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  <w:lang w:val="en-GB"/>
    </w:rPr>
  </w:style>
  <w:style w:type="character" w:customStyle="1" w:styleId="DeptBulletsChar">
    <w:name w:val="DeptBullets Char"/>
    <w:basedOn w:val="DefaultParagraphFont"/>
    <w:link w:val="DeptBullets"/>
    <w:rsid w:val="004E44B0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DfESOutNumberedChar">
    <w:name w:val="DfESOutNumbered Char"/>
    <w:basedOn w:val="DeptBulletsChar"/>
    <w:link w:val="DfESOutNumbered"/>
    <w:rsid w:val="004E44B0"/>
    <w:rPr>
      <w:rFonts w:ascii="Arial" w:eastAsia="Times New Roman" w:hAnsi="Arial" w:cs="Arial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4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4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81D"/>
  </w:style>
  <w:style w:type="paragraph" w:styleId="Footer">
    <w:name w:val="footer"/>
    <w:basedOn w:val="Normal"/>
    <w:link w:val="FooterChar"/>
    <w:uiPriority w:val="99"/>
    <w:unhideWhenUsed/>
    <w:rsid w:val="00DC4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8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ptBullets">
    <w:name w:val="DeptBullets"/>
    <w:basedOn w:val="Normal"/>
    <w:link w:val="DeptBulletsChar"/>
    <w:rsid w:val="00B1160D"/>
    <w:pPr>
      <w:widowControl w:val="0"/>
      <w:numPr>
        <w:numId w:val="1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B11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E17B8"/>
    <w:pPr>
      <w:numPr>
        <w:numId w:val="2"/>
      </w:numPr>
      <w:spacing w:after="120" w:line="288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E17B8"/>
    <w:rPr>
      <w:rFonts w:ascii="Arial" w:eastAsia="Times New Roman" w:hAnsi="Arial" w:cs="Arial"/>
      <w:sz w:val="24"/>
      <w:szCs w:val="24"/>
      <w:lang w:val="en-GB"/>
    </w:rPr>
  </w:style>
  <w:style w:type="paragraph" w:customStyle="1" w:styleId="DfESOutNumbered">
    <w:name w:val="DfESOutNumbered"/>
    <w:basedOn w:val="Normal"/>
    <w:link w:val="DfESOutNumberedChar"/>
    <w:rsid w:val="004E44B0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  <w:lang w:val="en-GB"/>
    </w:rPr>
  </w:style>
  <w:style w:type="character" w:customStyle="1" w:styleId="DeptBulletsChar">
    <w:name w:val="DeptBullets Char"/>
    <w:basedOn w:val="DefaultParagraphFont"/>
    <w:link w:val="DeptBullets"/>
    <w:rsid w:val="004E44B0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DfESOutNumberedChar">
    <w:name w:val="DfESOutNumbered Char"/>
    <w:basedOn w:val="DeptBulletsChar"/>
    <w:link w:val="DfESOutNumbered"/>
    <w:rsid w:val="004E44B0"/>
    <w:rPr>
      <w:rFonts w:ascii="Arial" w:eastAsia="Times New Roman" w:hAnsi="Arial" w:cs="Arial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4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4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81D"/>
  </w:style>
  <w:style w:type="paragraph" w:styleId="Footer">
    <w:name w:val="footer"/>
    <w:basedOn w:val="Normal"/>
    <w:link w:val="FooterChar"/>
    <w:uiPriority w:val="99"/>
    <w:unhideWhenUsed/>
    <w:rsid w:val="00DC4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B4"/>
    <w:rsid w:val="0077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F61A61C7EF403C9025807FC625445E">
    <w:name w:val="90F61A61C7EF403C9025807FC625445E"/>
    <w:rsid w:val="00770AB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F61A61C7EF403C9025807FC625445E">
    <w:name w:val="90F61A61C7EF403C9025807FC625445E"/>
    <w:rsid w:val="00770A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ther briefing" ma:contentTypeID="0x0101007F645D6FBA204A029FECB8BFC6578C39005279853530254253B886E13194843F8A003AA4A7828D8545A79A9356801481234900C26145F0145976469915D8AC13511CF7" ma:contentTypeVersion="9" ma:contentTypeDescription="For any briefing which is not in relation to a department policy. Records retained for 10 years." ma:contentTypeScope="" ma:versionID="46cf5e9a6bdda7885d3ea30a06f096c1">
  <xsd:schema xmlns:xsd="http://www.w3.org/2001/XMLSchema" xmlns:xs="http://www.w3.org/2001/XMLSchema" xmlns:p="http://schemas.microsoft.com/office/2006/metadata/properties" xmlns:ns1="http://schemas.microsoft.com/sharepoint/v3" xmlns:ns2="b8cb3cbd-ce5c-4a72-9da4-9013f91c5903" xmlns:ns3="01d2705b-266c-471f-bbad-ca9cc3733704" targetNamespace="http://schemas.microsoft.com/office/2006/metadata/properties" ma:root="true" ma:fieldsID="84a9e59cad19928108f7ee55d43d7b21" ns1:_="" ns2:_="" ns3:_="">
    <xsd:import namespace="http://schemas.microsoft.com/sharepoint/v3"/>
    <xsd:import namespace="b8cb3cbd-ce5c-4a72-9da4-9013f91c5903"/>
    <xsd:import namespace="01d2705b-266c-471f-bbad-ca9cc37337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3:IWPFunctionTaxHTField0" minOccurs="0"/>
                <xsd:element ref="ns3:IWPOwnerTaxHTField0" minOccurs="0"/>
                <xsd:element ref="ns3:IWPRightsProtectiveMarkingTaxHTField0" minOccurs="0"/>
                <xsd:element ref="ns3:IWPSubjectTaxHTField0" minOccurs="0"/>
                <xsd:element ref="ns3:IWPSiteTypeTaxHTField0" minOccurs="0"/>
                <xsd:element ref="ns2:TaxCatchAll" minOccurs="0"/>
                <xsd:element ref="ns2:TaxCatchAllLabel" minOccurs="0"/>
                <xsd:element ref="ns3:IWPOrganisationalUnitTaxHTField0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3cbd-ce5c-4a72-9da4-9013f91c59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description="" ma:hidden="true" ma:list="{04e53523-cc22-4b71-94d9-f0f05bc78804}" ma:internalName="TaxCatchAll" ma:showField="CatchAllData" ma:web="01d2705b-266c-471f-bbad-ca9cc37337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04e53523-cc22-4b71-94d9-f0f05bc78804}" ma:internalName="TaxCatchAllLabel" ma:readOnly="true" ma:showField="CatchAllDataLabel" ma:web="01d2705b-266c-471f-bbad-ca9cc37337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2705b-266c-471f-bbad-ca9cc3733704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WPFunctionTaxHTField0" ma:index="13" nillable="true" ma:taxonomy="true" ma:internalName="IWPFunctionTaxHTField0" ma:taxonomyFieldName="IWPFunction" ma:displayName="Function" ma:readOnly="false" ma:fieldId="{15181134-8839-47a9-9a38-d116ffff0106}" ma:taxonomyMulti="true" ma:sspId="fcff89b5-5d6d-4e65-a829-6f4a98dd03af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wnerTaxHTField0" ma:index="15" ma:taxonomy="true" ma:internalName="IWPOwnerTaxHTField0" ma:taxonomyFieldName="IWPOwner" ma:displayName="Owner" ma:default="2;#DfE|a484111e-5b24-4ad9-9778-c536c8c88985" ma:fieldId="{15181134-8839-47a9-9a38-d116ffff0102}" ma:sspId="fcff89b5-5d6d-4e65-a829-6f4a98dd03af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RightsProtectiveMarkingTaxHTField0" ma:index="17" ma:taxonomy="true" ma:internalName="IWPRightsProtectiveMarkingTaxHTField0" ma:taxonomyFieldName="IWPRightsProtectiveMarking" ma:displayName="Rights: Protective Marking" ma:default="3;#Unclassified|0884c477-2e62-47ea-b19c-5af6e91124c5" ma:fieldId="{15181134-8839-47a9-9a38-d116ffff0005}" ma:sspId="fcff89b5-5d6d-4e65-a829-6f4a98dd03af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ubjectTaxHTField0" ma:index="19" nillable="true" ma:taxonomy="true" ma:internalName="IWPSubjectTaxHTField0" ma:taxonomyFieldName="IWPSubject" ma:displayName="Subject" ma:fieldId="{15181134-8839-47a9-9a38-d116ffff0006}" ma:sspId="fcff89b5-5d6d-4e65-a829-6f4a98dd03af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iteTypeTaxHTField0" ma:index="21" nillable="true" ma:taxonomy="true" ma:internalName="IWPSiteTypeTaxHTField0" ma:taxonomyFieldName="IWPSiteType" ma:displayName="Site Type" ma:fieldId="{15181134-8839-47a9-9a38-d116ffff0103}" ma:sspId="fcff89b5-5d6d-4e65-a829-6f4a98dd03af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rganisationalUnitTaxHTField0" ma:index="25" ma:taxonomy="true" ma:internalName="IWPOrganisationalUnitTaxHTField0" ma:taxonomyFieldName="IWPOrganisationalUnit" ma:displayName="Organisational Unit" ma:default="5;#DfE|cc08a6d4-dfde-4d0f-bd85-069ebcef80d5" ma:fieldId="{15181134-8839-47a9-9a38-d116ffff0201}" ma:sspId="fcff89b5-5d6d-4e65-a829-6f4a98dd03af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14812349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b3cbd-ce5c-4a72-9da4-9013f91c5903">
      <Value>5</Value>
      <Value>3</Value>
      <Value>2</Value>
    </TaxCatchAll>
    <IWPSubjectTaxHTField0 xmlns="01d2705b-266c-471f-bbad-ca9cc3733704">
      <Terms xmlns="http://schemas.microsoft.com/office/infopath/2007/PartnerControls"/>
    </IWPSubjectTaxHTField0>
    <IWPOrganisationalUnitTaxHTField0 xmlns="01d2705b-266c-471f-bbad-ca9cc37337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IWPOrganisationalUnitTaxHTField0>
    <IWPOwnerTaxHTField0 xmlns="01d2705b-266c-471f-bbad-ca9cc37337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IWPOwnerTaxHTField0>
    <IWPRightsProtectiveMarkingTaxHTField0 xmlns="01d2705b-266c-471f-bbad-ca9cc37337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IWPRightsProtectiveMarkingTaxHTField0>
    <IWPSiteTypeTaxHTField0 xmlns="01d2705b-266c-471f-bbad-ca9cc3733704">
      <Terms xmlns="http://schemas.microsoft.com/office/infopath/2007/PartnerControls"/>
    </IWPSiteTypeTaxHTField0>
    <IWPContributor xmlns="01d2705b-266c-471f-bbad-ca9cc3733704">
      <UserInfo>
        <DisplayName/>
        <AccountId xsi:nil="true"/>
        <AccountType/>
      </UserInfo>
    </IWPContributor>
    <IWPFunctionTaxHTField0 xmlns="01d2705b-266c-471f-bbad-ca9cc3733704">
      <Terms xmlns="http://schemas.microsoft.com/office/infopath/2007/PartnerControls"/>
    </IWPFunctionTaxHTField0>
    <Comments xmlns="http://schemas.microsoft.com/sharepoint/v3" xsi:nil="true"/>
    <_dlc_DocId xmlns="b8cb3cbd-ce5c-4a72-9da4-9013f91c5903">HKPH4XM4QHZ4-9-13114</_dlc_DocId>
    <_dlc_DocIdUrl xmlns="b8cb3cbd-ce5c-4a72-9da4-9013f91c5903">
      <Url>http://workplaces/sites/ttg/d/_layouts/DocIdRedir.aspx?ID=HKPH4XM4QHZ4-9-13114</Url>
      <Description>HKPH4XM4QHZ4-9-13114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5DE51-495F-4541-860A-DDFDABA4A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cb3cbd-ce5c-4a72-9da4-9013f91c5903"/>
    <ds:schemaRef ds:uri="01d2705b-266c-471f-bbad-ca9cc3733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9A36AC-E20B-490C-BD68-640FAA8EC0C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739F2A1-28CD-4DD4-A740-70FFB19DBBD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63E2B5B-3424-4C37-9923-820377727B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3934CF8-D6B3-440C-938B-A068ACB554F7}">
  <ds:schemaRefs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b8cb3cbd-ce5c-4a72-9da4-9013f91c5903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01d2705b-266c-471f-bbad-ca9cc3733704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5F63B880-C96B-4737-8DB9-568794E9D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35982F79</Template>
  <TotalTime>0</TotalTime>
  <Pages>6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process against legal requirements for Inaugural Board 150215</vt:lpstr>
    </vt:vector>
  </TitlesOfParts>
  <Company/>
  <LinksUpToDate>false</LinksUpToDate>
  <CharactersWithSpaces>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process against legal requirements for Inaugural Board 150215</dc:title>
  <dc:creator>Windows User</dc:creator>
  <cp:lastModifiedBy>CAMMACK, Karen</cp:lastModifiedBy>
  <cp:revision>2</cp:revision>
  <cp:lastPrinted>2015-02-04T11:59:00Z</cp:lastPrinted>
  <dcterms:created xsi:type="dcterms:W3CDTF">2015-09-07T10:36:00Z</dcterms:created>
  <dcterms:modified xsi:type="dcterms:W3CDTF">2015-09-07T10:36:00Z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0x0101007F645D6FBA204A029FECB8BFC6578C39005279853530254253B886E13194843F8A003AA4A7828D8545A79A9356801481234900C26145F0145976469915D8AC13511CF7</vt:lpwstr>
  </property>
  <property fmtid="{D5CDD505-2E9C-101B-9397-08002B2CF9AE}" pid="3" name="IWPOrganisationalUnit">
    <vt:lpwstr>5;#DfE|cc08a6d4-dfde-4d0f-bd85-069ebcef80d5</vt:lpwstr>
  </property>
  <property fmtid="{D5CDD505-2E9C-101B-9397-08002B2CF9AE}" pid="4" name="IWPOwner">
    <vt:lpwstr>2;#DfE|a484111e-5b24-4ad9-9778-c536c8c88985</vt:lpwstr>
  </property>
  <property fmtid="{D5CDD505-2E9C-101B-9397-08002B2CF9AE}" pid="5" name="IWPSubject">
    <vt:lpwstr/>
  </property>
  <property fmtid="{D5CDD505-2E9C-101B-9397-08002B2CF9AE}" pid="6" name="IWPFunction">
    <vt:lpwstr/>
  </property>
  <property fmtid="{D5CDD505-2E9C-101B-9397-08002B2CF9AE}" pid="7" name="IWPSiteType">
    <vt:lpwstr/>
  </property>
  <property fmtid="{D5CDD505-2E9C-101B-9397-08002B2CF9AE}" pid="8" name="IWPRightsProtectiveMarking">
    <vt:lpwstr>3;#Official|0884c477-2e62-47ea-b19c-5af6e91124c5</vt:lpwstr>
  </property>
  <property fmtid="{D5CDD505-2E9C-101B-9397-08002B2CF9AE}" pid="9" name="_dlc_DocIdItemGuid">
    <vt:lpwstr>a03ded8b-774d-44ff-bb49-59304921d83a</vt:lpwstr>
  </property>
</Properties>
</file>