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E26B0" w14:textId="77777777" w:rsidR="00102E53" w:rsidRPr="00102E53" w:rsidRDefault="00102E53" w:rsidP="320FE1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320FE19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Teachers’ Pension Scheme Pension Board (TPSPB)</w:t>
      </w:r>
    </w:p>
    <w:p w14:paraId="7B1F1749" w14:textId="77777777" w:rsidR="00102E53" w:rsidRPr="00102E53" w:rsidRDefault="00102E53" w:rsidP="320FE1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320FE19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Managing Risk &amp; Internal Controls Sub-Committee</w:t>
      </w:r>
    </w:p>
    <w:p w14:paraId="72CD3431" w14:textId="77777777" w:rsidR="00102E53" w:rsidRPr="00102E53" w:rsidRDefault="00102E53" w:rsidP="320FE1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63989467" w14:textId="55E015A0" w:rsidR="00102E53" w:rsidRDefault="00834FCD" w:rsidP="320FE1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320FE19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19</w:t>
      </w:r>
      <w:r w:rsidRPr="320FE19E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320FE19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March 2025 – In Person at Darlington Bishopsgate </w:t>
      </w:r>
    </w:p>
    <w:p w14:paraId="6DFE6561" w14:textId="77777777" w:rsidR="00834FCD" w:rsidRPr="00102E53" w:rsidRDefault="00834FCD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</w:p>
    <w:tbl>
      <w:tblPr>
        <w:tblStyle w:val="TableGrid"/>
        <w:tblW w:w="9666" w:type="dxa"/>
        <w:tblInd w:w="-315" w:type="dxa"/>
        <w:tblLayout w:type="fixed"/>
        <w:tblLook w:val="04A0" w:firstRow="1" w:lastRow="0" w:firstColumn="1" w:lastColumn="0" w:noHBand="0" w:noVBand="1"/>
      </w:tblPr>
      <w:tblGrid>
        <w:gridCol w:w="3287"/>
        <w:gridCol w:w="6379"/>
      </w:tblGrid>
      <w:tr w:rsidR="00267177" w:rsidRPr="00AE0919" w14:paraId="4A190708" w14:textId="77777777" w:rsidTr="009A6A38">
        <w:tc>
          <w:tcPr>
            <w:tcW w:w="3287" w:type="dxa"/>
            <w:shd w:val="clear" w:color="auto" w:fill="D9D9D9"/>
          </w:tcPr>
          <w:p w14:paraId="6F82284E" w14:textId="77777777" w:rsidR="00267177" w:rsidRPr="00AE091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sz w:val="22"/>
                <w:szCs w:val="22"/>
              </w:rPr>
              <w:t>Present: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/>
          </w:tcPr>
          <w:p w14:paraId="6F511FF6" w14:textId="77777777" w:rsidR="00267177" w:rsidRPr="00AE091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177" w:rsidRPr="00AE0919" w14:paraId="7CD49555" w14:textId="77777777" w:rsidTr="009A6A38">
        <w:tc>
          <w:tcPr>
            <w:tcW w:w="3287" w:type="dxa"/>
          </w:tcPr>
          <w:p w14:paraId="3D2FAD8D" w14:textId="36E96D4B" w:rsidR="00267177" w:rsidRPr="00AE0919" w:rsidRDefault="00B26690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Jo Maguire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C66C" w14:textId="77777777" w:rsidR="00267177" w:rsidRPr="00AE091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Independent Pension Specialist - Chair</w:t>
            </w:r>
          </w:p>
        </w:tc>
      </w:tr>
      <w:tr w:rsidR="00267177" w:rsidRPr="00AE0919" w14:paraId="348A0C7B" w14:textId="77777777" w:rsidTr="009A6A38">
        <w:tc>
          <w:tcPr>
            <w:tcW w:w="3287" w:type="dxa"/>
          </w:tcPr>
          <w:p w14:paraId="0271DB03" w14:textId="77777777" w:rsidR="00267177" w:rsidRPr="00AE091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Susan Fielden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2C0" w14:textId="77777777" w:rsidR="00267177" w:rsidRPr="00AE091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Employer Representative</w:t>
            </w:r>
          </w:p>
        </w:tc>
      </w:tr>
      <w:tr w:rsidR="00267177" w:rsidRPr="00AE0919" w14:paraId="7BD8F4DE" w14:textId="77777777" w:rsidTr="009A6A38">
        <w:tc>
          <w:tcPr>
            <w:tcW w:w="3287" w:type="dxa"/>
          </w:tcPr>
          <w:p w14:paraId="2F0DAB6B" w14:textId="77777777" w:rsidR="00267177" w:rsidRPr="00AE091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Maria Chondrogianni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EE74" w14:textId="079D45C0" w:rsidR="00267177" w:rsidRPr="00AE091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Member Representative </w:t>
            </w:r>
          </w:p>
        </w:tc>
      </w:tr>
      <w:tr w:rsidR="00267177" w:rsidRPr="00AE0919" w14:paraId="0CBC9538" w14:textId="77777777" w:rsidTr="009A6A38">
        <w:tc>
          <w:tcPr>
            <w:tcW w:w="3287" w:type="dxa"/>
          </w:tcPr>
          <w:p w14:paraId="4D36F00B" w14:textId="77777777" w:rsidR="00267177" w:rsidRPr="00AE091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Lisa Sproats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887" w14:textId="77777777" w:rsidR="00267177" w:rsidRPr="00AE091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Employer Representative</w:t>
            </w:r>
          </w:p>
        </w:tc>
      </w:tr>
      <w:tr w:rsidR="00267177" w:rsidRPr="00AE0919" w14:paraId="19422637" w14:textId="77777777" w:rsidTr="009A6A38">
        <w:tc>
          <w:tcPr>
            <w:tcW w:w="3287" w:type="dxa"/>
          </w:tcPr>
          <w:p w14:paraId="39B5324D" w14:textId="77777777" w:rsidR="00267177" w:rsidRPr="00AE091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John McGill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D36" w14:textId="77777777" w:rsidR="00267177" w:rsidRPr="00AE091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Member Representative</w:t>
            </w:r>
          </w:p>
        </w:tc>
      </w:tr>
      <w:tr w:rsidR="00267177" w:rsidRPr="00AE0919" w14:paraId="25ABA9EA" w14:textId="77777777" w:rsidTr="009A6A38">
        <w:tc>
          <w:tcPr>
            <w:tcW w:w="3287" w:type="dxa"/>
            <w:shd w:val="clear" w:color="auto" w:fill="auto"/>
          </w:tcPr>
          <w:p w14:paraId="2D3C012B" w14:textId="1F636B52" w:rsidR="00267177" w:rsidRPr="00AE091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Michael Collier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9679" w14:textId="0C5E537B" w:rsidR="00267177" w:rsidRPr="00AE091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Member Representative</w:t>
            </w:r>
          </w:p>
        </w:tc>
      </w:tr>
      <w:tr w:rsidR="00267177" w:rsidRPr="00AE0919" w14:paraId="5579C27B" w14:textId="77777777" w:rsidTr="009A6A38">
        <w:tc>
          <w:tcPr>
            <w:tcW w:w="3287" w:type="dxa"/>
          </w:tcPr>
          <w:p w14:paraId="2F3228F9" w14:textId="09C7402C" w:rsidR="00267177" w:rsidRPr="00AE091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Andrew Carter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F9A" w14:textId="3BF5888A" w:rsidR="00267177" w:rsidRPr="00AE091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TP Governance Manager</w:t>
            </w:r>
          </w:p>
        </w:tc>
      </w:tr>
      <w:tr w:rsidR="00267177" w:rsidRPr="00AE0919" w14:paraId="1B90DF44" w14:textId="77777777" w:rsidTr="009A6A38">
        <w:tc>
          <w:tcPr>
            <w:tcW w:w="3287" w:type="dxa"/>
          </w:tcPr>
          <w:p w14:paraId="19C0BEDC" w14:textId="77777777" w:rsidR="00267177" w:rsidRPr="00AE091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Anna-Marie Alderson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E37" w14:textId="77777777" w:rsidR="00267177" w:rsidRPr="00AE091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DfE TPS Senior Contract Manager</w:t>
            </w:r>
          </w:p>
        </w:tc>
      </w:tr>
      <w:tr w:rsidR="00267177" w:rsidRPr="00AE0919" w14:paraId="10D7959F" w14:textId="77777777" w:rsidTr="009A6A38">
        <w:tc>
          <w:tcPr>
            <w:tcW w:w="3287" w:type="dxa"/>
          </w:tcPr>
          <w:p w14:paraId="1FD1F545" w14:textId="77777777" w:rsidR="00267177" w:rsidRPr="00AE091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Richard Lees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912" w14:textId="5948DC4C" w:rsidR="00267177" w:rsidRPr="00AE091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DfE TPS </w:t>
            </w:r>
            <w:r w:rsidR="00C37A49" w:rsidRPr="00AE0919">
              <w:rPr>
                <w:rFonts w:ascii="Arial" w:hAnsi="Arial" w:cs="Arial"/>
                <w:sz w:val="22"/>
                <w:szCs w:val="22"/>
              </w:rPr>
              <w:t xml:space="preserve">Senior </w:t>
            </w:r>
            <w:r w:rsidRPr="00AE0919">
              <w:rPr>
                <w:rFonts w:ascii="Arial" w:hAnsi="Arial" w:cs="Arial"/>
                <w:sz w:val="22"/>
                <w:szCs w:val="22"/>
              </w:rPr>
              <w:t>Contract Manager</w:t>
            </w:r>
          </w:p>
        </w:tc>
      </w:tr>
      <w:tr w:rsidR="00267177" w:rsidRPr="00AE0919" w14:paraId="510253CC" w14:textId="77777777" w:rsidTr="009A6A38">
        <w:tc>
          <w:tcPr>
            <w:tcW w:w="3287" w:type="dxa"/>
          </w:tcPr>
          <w:p w14:paraId="3993B6A0" w14:textId="77777777" w:rsidR="00267177" w:rsidRPr="00AE091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Matthew McNaughton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500" w14:textId="77777777" w:rsidR="00267177" w:rsidRPr="00AE091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DfE Head of Programme Management</w:t>
            </w:r>
          </w:p>
        </w:tc>
      </w:tr>
      <w:tr w:rsidR="00267177" w:rsidRPr="00AE0919" w14:paraId="1D598A91" w14:textId="77777777" w:rsidTr="009A6A38">
        <w:tc>
          <w:tcPr>
            <w:tcW w:w="3287" w:type="dxa"/>
          </w:tcPr>
          <w:p w14:paraId="2FE42F70" w14:textId="3505D6FB" w:rsidR="00267177" w:rsidRPr="00AE0919" w:rsidRDefault="00EF0338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Charlotte Wilson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3EB" w14:textId="77777777" w:rsidR="00267177" w:rsidRPr="00AE091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DfE Secretariat Team Leader</w:t>
            </w:r>
          </w:p>
        </w:tc>
      </w:tr>
      <w:tr w:rsidR="00267177" w:rsidRPr="00AE0919" w14:paraId="4CADAE89" w14:textId="77777777" w:rsidTr="009A6A38">
        <w:tc>
          <w:tcPr>
            <w:tcW w:w="3287" w:type="dxa"/>
          </w:tcPr>
          <w:p w14:paraId="0F259FBD" w14:textId="7CE16791" w:rsidR="00267177" w:rsidRPr="00AE0919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Abbie Myles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EF1" w14:textId="2D666CBC" w:rsidR="00267177" w:rsidRPr="00AE0919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DfE Secretariat</w:t>
            </w:r>
          </w:p>
        </w:tc>
      </w:tr>
      <w:tr w:rsidR="00EF0338" w:rsidRPr="00AE0919" w14:paraId="12AD7C00" w14:textId="77777777" w:rsidTr="009A6A38">
        <w:tc>
          <w:tcPr>
            <w:tcW w:w="3287" w:type="dxa"/>
          </w:tcPr>
          <w:p w14:paraId="469F40B0" w14:textId="20F3EDBD" w:rsidR="00EF0338" w:rsidRPr="00AE091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Loraine Dodds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A8F" w14:textId="48F4237B" w:rsidR="00EF0338" w:rsidRPr="00AE091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DfE Secretariat </w:t>
            </w:r>
          </w:p>
        </w:tc>
      </w:tr>
      <w:tr w:rsidR="00EF0338" w:rsidRPr="00AE0919" w14:paraId="480399DF" w14:textId="77777777" w:rsidTr="009A6A38">
        <w:tc>
          <w:tcPr>
            <w:tcW w:w="3287" w:type="dxa"/>
            <w:shd w:val="clear" w:color="auto" w:fill="D9D9D9"/>
          </w:tcPr>
          <w:p w14:paraId="48550AE6" w14:textId="77777777" w:rsidR="00EF0338" w:rsidRPr="00AE091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Observers: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9002AF" w14:textId="77777777" w:rsidR="00EF0338" w:rsidRPr="00AE091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338" w:rsidRPr="00AE0919" w14:paraId="4FC4DECC" w14:textId="77777777" w:rsidTr="009A6A38">
        <w:tc>
          <w:tcPr>
            <w:tcW w:w="3287" w:type="dxa"/>
            <w:shd w:val="clear" w:color="auto" w:fill="auto"/>
          </w:tcPr>
          <w:p w14:paraId="4D32D970" w14:textId="30DEC339" w:rsidR="00EF0338" w:rsidRPr="00AE091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Alan Taylor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28B" w14:textId="20EED90A" w:rsidR="00EF0338" w:rsidRPr="00AE091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TPSPB Chair</w:t>
            </w:r>
          </w:p>
        </w:tc>
      </w:tr>
      <w:tr w:rsidR="0031146B" w:rsidRPr="00AE0919" w14:paraId="4599C60D" w14:textId="77777777" w:rsidTr="0007167A">
        <w:tc>
          <w:tcPr>
            <w:tcW w:w="3287" w:type="dxa"/>
          </w:tcPr>
          <w:p w14:paraId="69C61B2B" w14:textId="06DBF035" w:rsidR="0031146B" w:rsidRPr="00AE0919" w:rsidRDefault="0031146B" w:rsidP="003114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Heather McKenzie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343C" w14:textId="3E9AD7A7" w:rsidR="0031146B" w:rsidRPr="00AE0919" w:rsidRDefault="0031146B" w:rsidP="003114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IMC Chair and Member Representative </w:t>
            </w:r>
          </w:p>
        </w:tc>
      </w:tr>
      <w:tr w:rsidR="0031146B" w:rsidRPr="00AE0919" w14:paraId="1FEAC0D8" w14:textId="77777777" w:rsidTr="009A6A38">
        <w:tc>
          <w:tcPr>
            <w:tcW w:w="3287" w:type="dxa"/>
            <w:shd w:val="clear" w:color="auto" w:fill="auto"/>
          </w:tcPr>
          <w:p w14:paraId="7818E4DE" w14:textId="16A3D96B" w:rsidR="0031146B" w:rsidRPr="00AE0919" w:rsidRDefault="0031146B" w:rsidP="003114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Peter Bryan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11F4" w14:textId="1AA21AA4" w:rsidR="0031146B" w:rsidRPr="00AE0919" w:rsidRDefault="0031146B" w:rsidP="003114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New Employer Representative</w:t>
            </w:r>
          </w:p>
        </w:tc>
      </w:tr>
      <w:tr w:rsidR="0031146B" w:rsidRPr="00AE0919" w14:paraId="1CF5BB23" w14:textId="77777777" w:rsidTr="009A6A38">
        <w:tc>
          <w:tcPr>
            <w:tcW w:w="3287" w:type="dxa"/>
          </w:tcPr>
          <w:p w14:paraId="4EA4170B" w14:textId="6AEE1503" w:rsidR="0031146B" w:rsidRPr="00AE0919" w:rsidRDefault="0031146B" w:rsidP="003114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Zaheer Patel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029" w14:textId="76C6B093" w:rsidR="0031146B" w:rsidRPr="00AE0919" w:rsidRDefault="0031146B" w:rsidP="003114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DfE Contract Management Team</w:t>
            </w:r>
          </w:p>
        </w:tc>
      </w:tr>
      <w:tr w:rsidR="0031146B" w:rsidRPr="00AE0919" w14:paraId="3032FAC7" w14:textId="77777777" w:rsidTr="009A6A38">
        <w:tc>
          <w:tcPr>
            <w:tcW w:w="3287" w:type="dxa"/>
          </w:tcPr>
          <w:p w14:paraId="79876504" w14:textId="0E554C80" w:rsidR="0031146B" w:rsidRPr="00AE0919" w:rsidRDefault="0031146B" w:rsidP="003114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Jackie Garside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E2D" w14:textId="76DB2EC5" w:rsidR="0031146B" w:rsidRPr="00AE0919" w:rsidRDefault="0031146B" w:rsidP="003114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DfE Senior Finance Manager</w:t>
            </w:r>
          </w:p>
        </w:tc>
      </w:tr>
      <w:tr w:rsidR="0031146B" w:rsidRPr="00AE0919" w14:paraId="68AC4682" w14:textId="77777777" w:rsidTr="009A6A38">
        <w:tc>
          <w:tcPr>
            <w:tcW w:w="3287" w:type="dxa"/>
          </w:tcPr>
          <w:p w14:paraId="32D165FF" w14:textId="394C7D78" w:rsidR="0031146B" w:rsidRPr="00AE0919" w:rsidRDefault="0031146B" w:rsidP="003114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Frances McCarthy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B87C" w14:textId="5956A148" w:rsidR="0031146B" w:rsidRPr="00AE0919" w:rsidRDefault="0031146B" w:rsidP="003114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DfE Finance Manager</w:t>
            </w:r>
          </w:p>
        </w:tc>
      </w:tr>
      <w:tr w:rsidR="0031146B" w:rsidRPr="00AE0919" w14:paraId="6F5DC304" w14:textId="77777777" w:rsidTr="009A6A38">
        <w:tc>
          <w:tcPr>
            <w:tcW w:w="3287" w:type="dxa"/>
          </w:tcPr>
          <w:p w14:paraId="3295790B" w14:textId="22B4A40C" w:rsidR="0031146B" w:rsidRPr="00AE0919" w:rsidRDefault="0031146B" w:rsidP="003114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Mark Dutson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762" w14:textId="766E4BCD" w:rsidR="0031146B" w:rsidRPr="00AE0919" w:rsidRDefault="0031146B" w:rsidP="003114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DfE PMO Manager</w:t>
            </w:r>
          </w:p>
        </w:tc>
      </w:tr>
    </w:tbl>
    <w:p w14:paraId="7587207F" w14:textId="77777777" w:rsidR="00102E53" w:rsidRPr="00AE0919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</w:p>
    <w:p w14:paraId="5BF6B0A8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7088"/>
        <w:gridCol w:w="1559"/>
      </w:tblGrid>
      <w:tr w:rsidR="00102E53" w:rsidRPr="00AE0919" w14:paraId="3724C117" w14:textId="77777777" w:rsidTr="0E6467FF">
        <w:tc>
          <w:tcPr>
            <w:tcW w:w="1135" w:type="dxa"/>
            <w:shd w:val="clear" w:color="auto" w:fill="F2F2F2" w:themeFill="background1" w:themeFillShade="F2"/>
          </w:tcPr>
          <w:p w14:paraId="21E3F513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</w:tcPr>
          <w:p w14:paraId="413D9DCA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3DB1796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102E53" w:rsidRPr="00AE0919" w14:paraId="751E4A27" w14:textId="77777777" w:rsidTr="0E6467FF">
        <w:trPr>
          <w:trHeight w:val="786"/>
        </w:trPr>
        <w:tc>
          <w:tcPr>
            <w:tcW w:w="1135" w:type="dxa"/>
          </w:tcPr>
          <w:p w14:paraId="181062E7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Agenda Item 1</w:t>
            </w:r>
          </w:p>
        </w:tc>
        <w:tc>
          <w:tcPr>
            <w:tcW w:w="7088" w:type="dxa"/>
          </w:tcPr>
          <w:p w14:paraId="47AEFFB3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sz w:val="22"/>
                <w:szCs w:val="22"/>
              </w:rPr>
              <w:t>Welcome and apologies:</w:t>
            </w:r>
          </w:p>
          <w:p w14:paraId="023B3395" w14:textId="6A41F348" w:rsidR="00BC5188" w:rsidRPr="00AE0919" w:rsidRDefault="00BC5188" w:rsidP="00F84B7F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The Chair opened the meeting, welcoming all attendees, including several observers</w:t>
            </w:r>
            <w:r w:rsidR="00F84B7F" w:rsidRPr="00AE091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83D580" w14:textId="50735E1E" w:rsidR="00102E53" w:rsidRPr="00AE0919" w:rsidRDefault="00881388" w:rsidP="00A5131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The</w:t>
            </w:r>
            <w:r w:rsidR="00DF6750" w:rsidRPr="00AE0919">
              <w:rPr>
                <w:rFonts w:ascii="Arial" w:hAnsi="Arial" w:cs="Arial"/>
                <w:sz w:val="22"/>
                <w:szCs w:val="22"/>
              </w:rPr>
              <w:t xml:space="preserve"> minutes from the December meeting were reviewed and approved with no </w:t>
            </w:r>
            <w:r w:rsidRPr="00AE0919">
              <w:rPr>
                <w:rFonts w:ascii="Arial" w:hAnsi="Arial" w:cs="Arial"/>
                <w:sz w:val="22"/>
                <w:szCs w:val="22"/>
              </w:rPr>
              <w:t>objections.</w:t>
            </w:r>
          </w:p>
          <w:p w14:paraId="2286A386" w14:textId="219B5B98" w:rsidR="00881388" w:rsidRPr="00AE0919" w:rsidRDefault="00881388" w:rsidP="0088138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3C1C28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710E127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D9A7EF7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B05B5DB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53" w:rsidRPr="00AE0919" w14:paraId="4F2DE408" w14:textId="77777777" w:rsidTr="0E6467FF">
        <w:trPr>
          <w:trHeight w:val="786"/>
        </w:trPr>
        <w:tc>
          <w:tcPr>
            <w:tcW w:w="1135" w:type="dxa"/>
          </w:tcPr>
          <w:p w14:paraId="260FB1D5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Agenda Item 2</w:t>
            </w:r>
          </w:p>
        </w:tc>
        <w:tc>
          <w:tcPr>
            <w:tcW w:w="7088" w:type="dxa"/>
          </w:tcPr>
          <w:p w14:paraId="4325EF00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sz w:val="22"/>
                <w:szCs w:val="22"/>
              </w:rPr>
              <w:t xml:space="preserve">Actions from the previous meeting: </w:t>
            </w:r>
          </w:p>
          <w:p w14:paraId="4E813A09" w14:textId="3B01F135" w:rsidR="00A67BF9" w:rsidRPr="00AE0919" w:rsidRDefault="00646A86" w:rsidP="00A67BF9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DfE confirmed t</w:t>
            </w:r>
            <w:r w:rsidR="00A67BF9" w:rsidRPr="00AE0919">
              <w:rPr>
                <w:rFonts w:ascii="Arial" w:hAnsi="Arial" w:cs="Arial"/>
                <w:bCs/>
                <w:sz w:val="22"/>
                <w:szCs w:val="22"/>
              </w:rPr>
              <w:t>he action</w:t>
            </w:r>
            <w:r w:rsidR="0093374F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(MR2/180924) to</w:t>
            </w:r>
            <w:r w:rsidR="00A67BF9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provide a detailed update on the 2023-24 financial position has been partially addressed in the current reporting. However, a more substantial update will be delivered at the next meeting, incorporating further analysis.</w:t>
            </w:r>
          </w:p>
          <w:p w14:paraId="4E9C5332" w14:textId="20E94C5B" w:rsidR="00A67BF9" w:rsidRPr="00AE0919" w:rsidRDefault="00A67BF9" w:rsidP="00A67BF9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It was noted that while some data had been gathered, the required level of detailed analysis and assurance was still in progress</w:t>
            </w:r>
            <w:r w:rsidR="0080438B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at the time of reporting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FCA9098" w14:textId="77777777" w:rsidR="00881388" w:rsidRPr="00AE0919" w:rsidRDefault="00A67BF9" w:rsidP="00A67BF9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A specific historical financial review exercise is also being conducted, examining past years’ data. The findings from this exercise will be presented at the next meeting</w:t>
            </w:r>
          </w:p>
          <w:p w14:paraId="2B4D1CE6" w14:textId="5E307C87" w:rsidR="00D12BBE" w:rsidRPr="00AE0919" w:rsidRDefault="00D12BBE" w:rsidP="00D12BB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3980B9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5E11E8" w14:textId="77777777" w:rsidR="005372B8" w:rsidRPr="00AE091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7BE4479" w14:textId="77777777" w:rsidR="005372B8" w:rsidRPr="00AE091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A11B695" w14:textId="77777777" w:rsidR="005372B8" w:rsidRPr="00AE091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08F0D14" w14:textId="77777777" w:rsidR="005372B8" w:rsidRPr="00AE091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2E89893" w14:textId="77777777" w:rsidR="005372B8" w:rsidRPr="00AE091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52FFB26" w14:textId="77777777" w:rsidR="005372B8" w:rsidRPr="00AE091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85A66FD" w14:textId="71EF7E37" w:rsidR="005372B8" w:rsidRPr="00AE091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53" w:rsidRPr="00AE0919" w14:paraId="4E130E6A" w14:textId="77777777" w:rsidTr="0E6467FF">
        <w:trPr>
          <w:trHeight w:val="1147"/>
        </w:trPr>
        <w:tc>
          <w:tcPr>
            <w:tcW w:w="1135" w:type="dxa"/>
          </w:tcPr>
          <w:p w14:paraId="2E91E4DE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Agenda Item 3</w:t>
            </w:r>
          </w:p>
          <w:p w14:paraId="2E05E9F2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33ECC5D4" w14:textId="77777777" w:rsidR="00102E53" w:rsidRPr="00AE0919" w:rsidRDefault="00102E53" w:rsidP="00D457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sz w:val="22"/>
                <w:szCs w:val="22"/>
              </w:rPr>
              <w:t>Finance Update:</w:t>
            </w:r>
          </w:p>
          <w:p w14:paraId="6C917BB7" w14:textId="77777777" w:rsidR="00312CFC" w:rsidRPr="00AE0919" w:rsidRDefault="00312CFC" w:rsidP="00312CF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6E1F5C" w14:textId="6222CFF9" w:rsidR="00312CFC" w:rsidRPr="00AE0919" w:rsidRDefault="00312CFC" w:rsidP="00312CF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Audit Process Update</w:t>
            </w:r>
          </w:p>
          <w:p w14:paraId="73B5E44F" w14:textId="4463BB5F" w:rsidR="00312CFC" w:rsidRPr="00AE0919" w:rsidRDefault="00312CFC" w:rsidP="00F423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DfE provided a detailed update on the ongoing audit process, outlining its three key phases:</w:t>
            </w:r>
          </w:p>
          <w:p w14:paraId="627C0D52" w14:textId="16DD80E4" w:rsidR="00312CFC" w:rsidRPr="00AE0919" w:rsidRDefault="00312CFC" w:rsidP="00F423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Planning Phase: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This phase focuses on setting the requirements for the </w:t>
            </w:r>
            <w:r w:rsidRPr="00AE0919">
              <w:rPr>
                <w:rFonts w:ascii="Arial" w:hAnsi="Arial" w:cs="Arial"/>
                <w:sz w:val="22"/>
                <w:szCs w:val="22"/>
              </w:rPr>
              <w:t>main scheme audit for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the following financial year</w:t>
            </w:r>
            <w:r w:rsidR="001A180A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and had been completed on schedule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C028977" w14:textId="60C82ADA" w:rsidR="00312CFC" w:rsidRPr="00AE0919" w:rsidRDefault="00312CFC" w:rsidP="00F423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Interim Audit</w:t>
            </w:r>
            <w:r w:rsidR="001A67F2" w:rsidRPr="00AE0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486070C6" w14:textId="20E87777" w:rsidR="00312CFC" w:rsidRPr="00AE0919" w:rsidRDefault="00312CFC" w:rsidP="00F423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Conducted from </w:t>
            </w:r>
            <w:r w:rsidRPr="00AE0919">
              <w:rPr>
                <w:rFonts w:ascii="Arial" w:hAnsi="Arial" w:cs="Arial"/>
                <w:sz w:val="22"/>
                <w:szCs w:val="22"/>
              </w:rPr>
              <w:t>late February to early March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over a three-week period.</w:t>
            </w:r>
          </w:p>
          <w:p w14:paraId="36D32DE7" w14:textId="77777777" w:rsidR="00312CFC" w:rsidRPr="00AE0919" w:rsidRDefault="00312CFC" w:rsidP="00F423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Includes sample testing with employers and reconciliation work on contributions.</w:t>
            </w:r>
          </w:p>
          <w:p w14:paraId="5E94C5D1" w14:textId="3D97329C" w:rsidR="00312CFC" w:rsidRPr="00AE0919" w:rsidRDefault="00155002" w:rsidP="00F423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Although completed outside of the reporting period it was confirmed that </w:t>
            </w:r>
            <w:r w:rsidR="0048424D" w:rsidRPr="00AE0919">
              <w:rPr>
                <w:rFonts w:ascii="Arial" w:hAnsi="Arial" w:cs="Arial"/>
                <w:bCs/>
                <w:sz w:val="22"/>
                <w:szCs w:val="22"/>
              </w:rPr>
              <w:t>this work had been completed as scheduled and n</w:t>
            </w:r>
            <w:r w:rsidR="00312CFC" w:rsidRPr="00AE0919">
              <w:rPr>
                <w:rFonts w:ascii="Arial" w:hAnsi="Arial" w:cs="Arial"/>
                <w:bCs/>
                <w:sz w:val="22"/>
                <w:szCs w:val="22"/>
              </w:rPr>
              <w:t>o emerging issues were identified</w:t>
            </w:r>
            <w:r w:rsidR="00312CFC" w:rsidRPr="00AE0919">
              <w:rPr>
                <w:rFonts w:ascii="Arial" w:hAnsi="Arial" w:cs="Arial"/>
                <w:sz w:val="22"/>
                <w:szCs w:val="22"/>
              </w:rPr>
              <w:t>.</w:t>
            </w:r>
            <w:r w:rsidR="006E323B" w:rsidRPr="00AE0919">
              <w:rPr>
                <w:rFonts w:ascii="Arial" w:hAnsi="Arial" w:cs="Arial"/>
                <w:sz w:val="22"/>
                <w:szCs w:val="22"/>
              </w:rPr>
              <w:t xml:space="preserve">  Initial engagement with employers in preparation for contribution testing at Final had </w:t>
            </w:r>
            <w:r w:rsidR="00CB1A06" w:rsidRPr="00AE0919">
              <w:rPr>
                <w:rFonts w:ascii="Arial" w:hAnsi="Arial" w:cs="Arial"/>
                <w:sz w:val="22"/>
                <w:szCs w:val="22"/>
              </w:rPr>
              <w:t xml:space="preserve">been productive, putting the plan for Final on a positive footing.  </w:t>
            </w:r>
          </w:p>
          <w:p w14:paraId="1D614B29" w14:textId="0ED24684" w:rsidR="00312CFC" w:rsidRPr="00AE0919" w:rsidRDefault="00312CFC" w:rsidP="00F423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Final Audit </w:t>
            </w:r>
            <w:r w:rsidRPr="00AE0919">
              <w:rPr>
                <w:rFonts w:ascii="Arial" w:hAnsi="Arial" w:cs="Arial"/>
                <w:sz w:val="22"/>
                <w:szCs w:val="22"/>
              </w:rPr>
              <w:t xml:space="preserve">(Scheduled for </w:t>
            </w:r>
            <w:r w:rsidR="001A67F2" w:rsidRPr="00AE0919">
              <w:rPr>
                <w:rFonts w:ascii="Arial" w:hAnsi="Arial" w:cs="Arial"/>
                <w:sz w:val="22"/>
                <w:szCs w:val="22"/>
              </w:rPr>
              <w:t>l</w:t>
            </w:r>
            <w:r w:rsidRPr="00AE0919">
              <w:rPr>
                <w:rFonts w:ascii="Arial" w:hAnsi="Arial" w:cs="Arial"/>
                <w:sz w:val="22"/>
                <w:szCs w:val="22"/>
              </w:rPr>
              <w:t>ate April</w:t>
            </w:r>
            <w:r w:rsidR="001A67F2" w:rsidRPr="00AE0919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E0919">
              <w:rPr>
                <w:rFonts w:ascii="Arial" w:hAnsi="Arial" w:cs="Arial"/>
                <w:sz w:val="22"/>
                <w:szCs w:val="22"/>
              </w:rPr>
              <w:t>June 2025)</w:t>
            </w:r>
            <w:r w:rsidR="001A67F2" w:rsidRPr="00AE091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E0919">
              <w:rPr>
                <w:rFonts w:ascii="Arial" w:hAnsi="Arial" w:cs="Arial"/>
                <w:sz w:val="22"/>
                <w:szCs w:val="22"/>
              </w:rPr>
              <w:t>The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final audit will commence in late April, with the goal of finali</w:t>
            </w:r>
            <w:r w:rsidR="001A67F2" w:rsidRPr="00AE091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ing accounts by late June</w:t>
            </w:r>
            <w:r w:rsidR="006B78F7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and subsequently laying the Annual Report and Accounts </w:t>
            </w:r>
            <w:r w:rsidR="00274D29" w:rsidRPr="00AE0919">
              <w:rPr>
                <w:rFonts w:ascii="Arial" w:hAnsi="Arial" w:cs="Arial"/>
                <w:bCs/>
                <w:sz w:val="22"/>
                <w:szCs w:val="22"/>
              </w:rPr>
              <w:t xml:space="preserve">in Parliament </w:t>
            </w:r>
            <w:r w:rsidR="006B78F7" w:rsidRPr="00AE0919">
              <w:rPr>
                <w:rFonts w:ascii="Arial" w:hAnsi="Arial" w:cs="Arial"/>
                <w:bCs/>
                <w:sz w:val="22"/>
                <w:szCs w:val="22"/>
              </w:rPr>
              <w:t>prior to summer recess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955F736" w14:textId="7C6D3D4F" w:rsidR="00312CFC" w:rsidRPr="00AE0919" w:rsidRDefault="00312CFC" w:rsidP="00F423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A structured governance process is in place</w:t>
            </w:r>
            <w:r w:rsidR="00274D29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to provide assurance to the SRO</w:t>
            </w:r>
            <w:r w:rsidR="006948BA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to monitor and address any findings from the audit.</w:t>
            </w:r>
          </w:p>
          <w:p w14:paraId="78A83ECB" w14:textId="77777777" w:rsidR="001A67F2" w:rsidRPr="00AE0919" w:rsidRDefault="001A67F2" w:rsidP="001A67F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F98845" w14:textId="1EC653E4" w:rsidR="00312CFC" w:rsidRPr="00AE0919" w:rsidRDefault="00312CFC" w:rsidP="001A67F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Office for Budget Responsibility (OBR)</w:t>
            </w:r>
          </w:p>
          <w:p w14:paraId="2CED74A4" w14:textId="0657AC54" w:rsidR="00312CFC" w:rsidRPr="00AE0919" w:rsidRDefault="00312CFC" w:rsidP="00F423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The OBR forecasting exercise, which </w:t>
            </w:r>
            <w:r w:rsidR="00427B22" w:rsidRPr="00AE0919">
              <w:rPr>
                <w:rFonts w:ascii="Arial" w:hAnsi="Arial" w:cs="Arial"/>
                <w:bCs/>
                <w:sz w:val="22"/>
                <w:szCs w:val="22"/>
              </w:rPr>
              <w:t>has historically been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conducted </w:t>
            </w:r>
            <w:r w:rsidRPr="00AE0919">
              <w:rPr>
                <w:rFonts w:ascii="Arial" w:hAnsi="Arial" w:cs="Arial"/>
                <w:sz w:val="22"/>
                <w:szCs w:val="22"/>
              </w:rPr>
              <w:t>twice a year,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informs the </w:t>
            </w:r>
            <w:r w:rsidR="006E0201" w:rsidRPr="00AE0919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overnment's fiscal planning and expenditure forecasts.</w:t>
            </w:r>
          </w:p>
          <w:p w14:paraId="2853FD90" w14:textId="77777777" w:rsidR="00F846C7" w:rsidRPr="00AE0919" w:rsidRDefault="00312CFC" w:rsidP="00F423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The usual timeline for the </w:t>
            </w:r>
            <w:r w:rsidRPr="00AE0919">
              <w:rPr>
                <w:rFonts w:ascii="Arial" w:hAnsi="Arial" w:cs="Arial"/>
                <w:sz w:val="22"/>
                <w:szCs w:val="22"/>
              </w:rPr>
              <w:t>autumn exercise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is </w:t>
            </w:r>
            <w:r w:rsidRPr="00AE0919">
              <w:rPr>
                <w:rFonts w:ascii="Arial" w:hAnsi="Arial" w:cs="Arial"/>
                <w:sz w:val="22"/>
                <w:szCs w:val="22"/>
              </w:rPr>
              <w:t>June–September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, but OBR has moved the schedule to </w:t>
            </w:r>
            <w:r w:rsidRPr="00AE0919">
              <w:rPr>
                <w:rFonts w:ascii="Arial" w:hAnsi="Arial" w:cs="Arial"/>
                <w:sz w:val="22"/>
                <w:szCs w:val="22"/>
              </w:rPr>
              <w:t xml:space="preserve">April–July,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creating </w:t>
            </w:r>
            <w:r w:rsidRPr="00AE0919">
              <w:rPr>
                <w:rFonts w:ascii="Arial" w:hAnsi="Arial" w:cs="Arial"/>
                <w:sz w:val="22"/>
                <w:szCs w:val="22"/>
              </w:rPr>
              <w:t>two key risks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99475CD" w14:textId="56E94CA9" w:rsidR="00F846C7" w:rsidRPr="00AE0919" w:rsidRDefault="00312CFC" w:rsidP="00F423C1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Resource </w:t>
            </w:r>
            <w:r w:rsidR="004F361C" w:rsidRPr="00AE0919">
              <w:rPr>
                <w:rFonts w:ascii="Arial" w:hAnsi="Arial" w:cs="Arial"/>
                <w:sz w:val="22"/>
                <w:szCs w:val="22"/>
              </w:rPr>
              <w:t>p</w:t>
            </w:r>
            <w:r w:rsidRPr="00AE0919">
              <w:rPr>
                <w:rFonts w:ascii="Arial" w:hAnsi="Arial" w:cs="Arial"/>
                <w:sz w:val="22"/>
                <w:szCs w:val="22"/>
              </w:rPr>
              <w:t>ressure – The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revised timeline </w:t>
            </w:r>
            <w:r w:rsidRPr="00AE0919">
              <w:rPr>
                <w:rFonts w:ascii="Arial" w:hAnsi="Arial" w:cs="Arial"/>
                <w:sz w:val="22"/>
                <w:szCs w:val="22"/>
              </w:rPr>
              <w:t>overlaps with the final audit,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requiring the same staff to manage both processes simultaneously.</w:t>
            </w:r>
          </w:p>
          <w:p w14:paraId="0136D5FF" w14:textId="5CD69AA2" w:rsidR="00312CFC" w:rsidRPr="00AE0919" w:rsidRDefault="00312CFC" w:rsidP="00F423C1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Impact on </w:t>
            </w:r>
            <w:r w:rsidR="004F361C" w:rsidRPr="00AE0919">
              <w:rPr>
                <w:rFonts w:ascii="Arial" w:hAnsi="Arial" w:cs="Arial"/>
                <w:sz w:val="22"/>
                <w:szCs w:val="22"/>
              </w:rPr>
              <w:t>f</w:t>
            </w:r>
            <w:r w:rsidRPr="00AE0919">
              <w:rPr>
                <w:rFonts w:ascii="Arial" w:hAnsi="Arial" w:cs="Arial"/>
                <w:sz w:val="22"/>
                <w:szCs w:val="22"/>
              </w:rPr>
              <w:t xml:space="preserve">orecast </w:t>
            </w:r>
            <w:r w:rsidR="004F361C" w:rsidRPr="00AE0919">
              <w:rPr>
                <w:rFonts w:ascii="Arial" w:hAnsi="Arial" w:cs="Arial"/>
                <w:sz w:val="22"/>
                <w:szCs w:val="22"/>
              </w:rPr>
              <w:t>a</w:t>
            </w:r>
            <w:r w:rsidRPr="00AE0919">
              <w:rPr>
                <w:rFonts w:ascii="Arial" w:hAnsi="Arial" w:cs="Arial"/>
                <w:sz w:val="22"/>
                <w:szCs w:val="22"/>
              </w:rPr>
              <w:t>ccuracy –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The forecasting exercise typically relies on </w:t>
            </w:r>
            <w:r w:rsidRPr="00AE0919">
              <w:rPr>
                <w:rFonts w:ascii="Arial" w:hAnsi="Arial" w:cs="Arial"/>
                <w:sz w:val="22"/>
                <w:szCs w:val="22"/>
              </w:rPr>
              <w:t>September retirements data</w:t>
            </w:r>
            <w:r w:rsidR="00896EAF" w:rsidRPr="00AE09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1B20" w:rsidRPr="00AE0919">
              <w:rPr>
                <w:rFonts w:ascii="Arial" w:hAnsi="Arial" w:cs="Arial"/>
                <w:sz w:val="22"/>
                <w:szCs w:val="22"/>
              </w:rPr>
              <w:t>–</w:t>
            </w:r>
            <w:r w:rsidR="00896EAF" w:rsidRPr="00AE09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1B20" w:rsidRPr="00AE0919">
              <w:rPr>
                <w:rFonts w:ascii="Arial" w:hAnsi="Arial" w:cs="Arial"/>
                <w:sz w:val="22"/>
                <w:szCs w:val="22"/>
              </w:rPr>
              <w:t xml:space="preserve">which constitute circa 27% of all TPS annual retirements -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which will </w:t>
            </w:r>
            <w:r w:rsidRPr="00AE0919">
              <w:rPr>
                <w:rFonts w:ascii="Arial" w:hAnsi="Arial" w:cs="Arial"/>
                <w:sz w:val="22"/>
                <w:szCs w:val="22"/>
              </w:rPr>
              <w:t>not be available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under the new timeline. This could lead to </w:t>
            </w:r>
            <w:r w:rsidRPr="00AE0919">
              <w:rPr>
                <w:rFonts w:ascii="Arial" w:hAnsi="Arial" w:cs="Arial"/>
                <w:sz w:val="22"/>
                <w:szCs w:val="22"/>
              </w:rPr>
              <w:t xml:space="preserve">less accurate projections,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impacting pension funding forecasts.</w:t>
            </w:r>
          </w:p>
          <w:p w14:paraId="2FBC4D83" w14:textId="2FC84425" w:rsidR="00312CFC" w:rsidRPr="00AE0919" w:rsidRDefault="00D33571" w:rsidP="00F423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DfE </w:t>
            </w:r>
            <w:r w:rsidR="00312CFC" w:rsidRPr="00AE0919">
              <w:rPr>
                <w:rFonts w:ascii="Arial" w:hAnsi="Arial" w:cs="Arial"/>
                <w:bCs/>
                <w:sz w:val="22"/>
                <w:szCs w:val="22"/>
              </w:rPr>
              <w:t>noted that Treasury has recogni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312CFC" w:rsidRPr="00AE0919">
              <w:rPr>
                <w:rFonts w:ascii="Arial" w:hAnsi="Arial" w:cs="Arial"/>
                <w:bCs/>
                <w:sz w:val="22"/>
                <w:szCs w:val="22"/>
              </w:rPr>
              <w:t xml:space="preserve">ed the </w:t>
            </w:r>
            <w:r w:rsidR="00312CFC" w:rsidRPr="00AE0919">
              <w:rPr>
                <w:rFonts w:ascii="Arial" w:hAnsi="Arial" w:cs="Arial"/>
                <w:sz w:val="22"/>
                <w:szCs w:val="22"/>
              </w:rPr>
              <w:t xml:space="preserve">challenges and risks </w:t>
            </w:r>
            <w:r w:rsidR="00312CFC" w:rsidRPr="00AE0919">
              <w:rPr>
                <w:rFonts w:ascii="Arial" w:hAnsi="Arial" w:cs="Arial"/>
                <w:bCs/>
                <w:sz w:val="22"/>
                <w:szCs w:val="22"/>
              </w:rPr>
              <w:t>posed by the schedule change.</w:t>
            </w:r>
          </w:p>
          <w:p w14:paraId="65F66511" w14:textId="77777777" w:rsidR="00312CFC" w:rsidRPr="00AE0919" w:rsidRDefault="00312CFC" w:rsidP="00F423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Discussions are ongoing with OBR to </w:t>
            </w:r>
            <w:r w:rsidRPr="00AE0919">
              <w:rPr>
                <w:rFonts w:ascii="Arial" w:hAnsi="Arial" w:cs="Arial"/>
                <w:sz w:val="22"/>
                <w:szCs w:val="22"/>
              </w:rPr>
              <w:t>consider deferring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certain elements of the exercise until September to allow for </w:t>
            </w:r>
            <w:r w:rsidRPr="00AE0919">
              <w:rPr>
                <w:rFonts w:ascii="Arial" w:hAnsi="Arial" w:cs="Arial"/>
                <w:sz w:val="22"/>
                <w:szCs w:val="22"/>
              </w:rPr>
              <w:t xml:space="preserve">more accurate retirement data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to be included.</w:t>
            </w:r>
          </w:p>
          <w:p w14:paraId="389037A6" w14:textId="1044E08D" w:rsidR="00312CFC" w:rsidRPr="00AE0919" w:rsidRDefault="00312CFC" w:rsidP="00F423C1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71024C" w:rsidRPr="00AE0919">
              <w:rPr>
                <w:rFonts w:ascii="Arial" w:hAnsi="Arial" w:cs="Arial"/>
                <w:bCs/>
                <w:sz w:val="22"/>
                <w:szCs w:val="22"/>
              </w:rPr>
              <w:t>sub-committee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was informed that an </w:t>
            </w:r>
            <w:r w:rsidRPr="00AE0919">
              <w:rPr>
                <w:rFonts w:ascii="Arial" w:hAnsi="Arial" w:cs="Arial"/>
                <w:sz w:val="22"/>
                <w:szCs w:val="22"/>
              </w:rPr>
              <w:t xml:space="preserve">update on the resolution of this issue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will be provided at the next meeting.</w:t>
            </w:r>
          </w:p>
          <w:p w14:paraId="3D4CAEC7" w14:textId="0FDA0AEA" w:rsidR="0057513A" w:rsidRPr="00AE0919" w:rsidRDefault="0057513A" w:rsidP="003A6A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D9CB0E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B4FC2DB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11CE755" w14:textId="77777777" w:rsidR="00613671" w:rsidRPr="00AE0919" w:rsidRDefault="0061367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AC05D15" w14:textId="266471B2" w:rsidR="00DC3502" w:rsidRPr="00AE0919" w:rsidRDefault="00DC3502" w:rsidP="0070030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10D80CE" w14:textId="6250EA7D" w:rsidR="00DC3502" w:rsidRPr="00AE0919" w:rsidRDefault="00DC3502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53" w:rsidRPr="00AE0919" w14:paraId="5E4FEC3C" w14:textId="77777777" w:rsidTr="0E6467FF">
        <w:trPr>
          <w:trHeight w:val="1005"/>
        </w:trPr>
        <w:tc>
          <w:tcPr>
            <w:tcW w:w="1135" w:type="dxa"/>
          </w:tcPr>
          <w:p w14:paraId="4C1CDF75" w14:textId="3857A6A9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Agenda Item 4</w:t>
            </w:r>
          </w:p>
        </w:tc>
        <w:tc>
          <w:tcPr>
            <w:tcW w:w="7088" w:type="dxa"/>
          </w:tcPr>
          <w:p w14:paraId="013B9E37" w14:textId="767D05E9" w:rsidR="004D548D" w:rsidRPr="00AE0919" w:rsidRDefault="00D4576A" w:rsidP="00D457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sz w:val="22"/>
                <w:szCs w:val="22"/>
              </w:rPr>
              <w:t>Group Internal Audit (GIA)</w:t>
            </w:r>
            <w:r w:rsidR="00CF4805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230DE" w:rsidRPr="00AE0919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</w:p>
          <w:p w14:paraId="1DAC886D" w14:textId="77A88400" w:rsidR="004A6DB5" w:rsidRPr="00AE0919" w:rsidRDefault="004A6DB5" w:rsidP="00F423C1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A3345F" w:rsidRPr="00AE0919">
              <w:rPr>
                <w:rFonts w:ascii="Arial" w:hAnsi="Arial" w:cs="Arial"/>
                <w:bCs/>
                <w:sz w:val="22"/>
                <w:szCs w:val="22"/>
              </w:rPr>
              <w:t>Data Sec</w:t>
            </w:r>
            <w:r w:rsidR="001319E5" w:rsidRPr="00AE0919">
              <w:rPr>
                <w:rFonts w:ascii="Arial" w:hAnsi="Arial" w:cs="Arial"/>
                <w:bCs/>
                <w:sz w:val="22"/>
                <w:szCs w:val="22"/>
              </w:rPr>
              <w:t xml:space="preserve">urity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audit has been conducted</w:t>
            </w:r>
            <w:r w:rsidR="003A049D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within the reporting period</w:t>
            </w:r>
            <w:r w:rsidR="001319E5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h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owever, the final report </w:t>
            </w:r>
            <w:r w:rsidR="003A049D" w:rsidRPr="00AE0919">
              <w:rPr>
                <w:rFonts w:ascii="Arial" w:hAnsi="Arial" w:cs="Arial"/>
                <w:bCs/>
                <w:sz w:val="22"/>
                <w:szCs w:val="22"/>
              </w:rPr>
              <w:t xml:space="preserve">was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not available</w:t>
            </w:r>
            <w:r w:rsidR="003A049D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in time for circulation in advance of the meeting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73484F4" w14:textId="0F1BE877" w:rsidR="004A6DB5" w:rsidRPr="00AE0919" w:rsidRDefault="001B6D94" w:rsidP="00D6045F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Response</w:t>
            </w:r>
            <w:r w:rsidR="00EE5199" w:rsidRPr="00AE091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to t</w:t>
            </w:r>
            <w:r w:rsidR="004A6DB5" w:rsidRPr="00AE0919">
              <w:rPr>
                <w:rFonts w:ascii="Arial" w:hAnsi="Arial" w:cs="Arial"/>
                <w:bCs/>
                <w:sz w:val="22"/>
                <w:szCs w:val="22"/>
              </w:rPr>
              <w:t xml:space="preserve">he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audit </w:t>
            </w:r>
            <w:r w:rsidR="004A6DB5" w:rsidRPr="00AE0919">
              <w:rPr>
                <w:rFonts w:ascii="Arial" w:hAnsi="Arial" w:cs="Arial"/>
                <w:bCs/>
                <w:sz w:val="22"/>
                <w:szCs w:val="22"/>
              </w:rPr>
              <w:t xml:space="preserve">findings are being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implemented</w:t>
            </w:r>
            <w:r w:rsidR="00D6045F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and t</w:t>
            </w:r>
            <w:r w:rsidR="004A6DB5" w:rsidRPr="00AE0919">
              <w:rPr>
                <w:rFonts w:ascii="Arial" w:hAnsi="Arial" w:cs="Arial"/>
                <w:bCs/>
                <w:sz w:val="22"/>
                <w:szCs w:val="22"/>
              </w:rPr>
              <w:t>he final report will be shared with Board members via correspondence as soon as it is available.</w:t>
            </w:r>
          </w:p>
          <w:p w14:paraId="14DD5D22" w14:textId="77777777" w:rsidR="004A6DB5" w:rsidRPr="00AE0919" w:rsidRDefault="004A6DB5" w:rsidP="00F423C1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If necessary, further discussions will take place at the June meeting.</w:t>
            </w:r>
          </w:p>
          <w:p w14:paraId="4A36186A" w14:textId="5E9FAB2A" w:rsidR="004A6DB5" w:rsidRPr="00AE0919" w:rsidRDefault="004A6DB5" w:rsidP="001725E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lastRenderedPageBreak/>
              <w:t>Audit Plan for 2025 Update</w:t>
            </w:r>
          </w:p>
          <w:p w14:paraId="1853885B" w14:textId="7A483597" w:rsidR="004A6DB5" w:rsidRPr="00AE0919" w:rsidRDefault="004A6DB5" w:rsidP="00F423C1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A copy of the 2025 audit plan was shared with Board members at the December meeting.</w:t>
            </w:r>
          </w:p>
          <w:p w14:paraId="57A2C979" w14:textId="523D2F30" w:rsidR="004A6DB5" w:rsidRPr="00AE0919" w:rsidRDefault="004A6DB5" w:rsidP="00F423C1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Th</w:t>
            </w:r>
            <w:r w:rsidR="00307B4E" w:rsidRPr="00AE0919">
              <w:rPr>
                <w:rFonts w:ascii="Arial" w:hAnsi="Arial" w:cs="Arial"/>
                <w:bCs/>
                <w:sz w:val="22"/>
                <w:szCs w:val="22"/>
              </w:rPr>
              <w:t>is plan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was </w:t>
            </w:r>
            <w:r w:rsidR="00307B4E" w:rsidRPr="00AE0919">
              <w:rPr>
                <w:rFonts w:ascii="Arial" w:hAnsi="Arial" w:cs="Arial"/>
                <w:bCs/>
                <w:sz w:val="22"/>
                <w:szCs w:val="22"/>
              </w:rPr>
              <w:t xml:space="preserve">based on the </w:t>
            </w:r>
            <w:r w:rsidR="002E3220" w:rsidRPr="00AE0919">
              <w:rPr>
                <w:rFonts w:ascii="Arial" w:hAnsi="Arial" w:cs="Arial"/>
                <w:bCs/>
                <w:sz w:val="22"/>
                <w:szCs w:val="22"/>
              </w:rPr>
              <w:t xml:space="preserve">planned transition to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the new </w:t>
            </w:r>
            <w:r w:rsidR="002E3220" w:rsidRPr="00AE0919">
              <w:rPr>
                <w:rFonts w:ascii="Arial" w:hAnsi="Arial" w:cs="Arial"/>
                <w:bCs/>
                <w:sz w:val="22"/>
                <w:szCs w:val="22"/>
              </w:rPr>
              <w:t xml:space="preserve">TPS administrator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in October 2025; however, this has now been deferred.</w:t>
            </w:r>
          </w:p>
          <w:p w14:paraId="1B180C90" w14:textId="77777777" w:rsidR="004A6DB5" w:rsidRPr="00AE0919" w:rsidRDefault="004A6DB5" w:rsidP="00F423C1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This deferral has created opportunities to adjust the audit schedule, allowing flexibility for additional audit work.</w:t>
            </w:r>
          </w:p>
          <w:p w14:paraId="09A6B9E2" w14:textId="134AA709" w:rsidR="004A6DB5" w:rsidRPr="00AE0919" w:rsidRDefault="004A6DB5" w:rsidP="00F423C1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For example: </w:t>
            </w:r>
            <w:r w:rsidR="00E57946" w:rsidRPr="00AE0919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he contract transition audit, initially scheduled for 2025, has been deferred to 2026 to align with the revised timeline.</w:t>
            </w:r>
          </w:p>
          <w:p w14:paraId="17631E2E" w14:textId="77777777" w:rsidR="004A6DB5" w:rsidRPr="00AE0919" w:rsidRDefault="004A6DB5" w:rsidP="00F423C1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The revised audit plan will be presented at an upcoming meeting.</w:t>
            </w:r>
          </w:p>
          <w:p w14:paraId="2398B2D3" w14:textId="07824211" w:rsidR="009F22CF" w:rsidRPr="00AE0919" w:rsidRDefault="009F22CF" w:rsidP="00694E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111202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5358EAA" w14:textId="77777777" w:rsidR="0000738F" w:rsidRPr="00AE0919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FD358A6" w14:textId="77777777" w:rsidR="00214E02" w:rsidRPr="00AE0919" w:rsidRDefault="00214E02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12DC5E1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E6413FC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C639042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D4C028B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MR1/190325</w:t>
            </w:r>
          </w:p>
          <w:p w14:paraId="7F26E161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4B61C2C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1B26B0C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DE6754C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38F877F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A753C6B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4BE36FA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D8D96C2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921CD24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746B6CC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3AFDCA" w14:textId="77777777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76A6C3B" w14:textId="77777777" w:rsidR="00C563EC" w:rsidRPr="00AE0919" w:rsidRDefault="00C563EC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3B91463" w14:textId="3119D76E" w:rsidR="00E114A9" w:rsidRPr="00AE0919" w:rsidRDefault="00E114A9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MR2/190325</w:t>
            </w:r>
          </w:p>
        </w:tc>
      </w:tr>
      <w:tr w:rsidR="00102E53" w:rsidRPr="00AE0919" w14:paraId="64B2D0B2" w14:textId="77777777" w:rsidTr="0E6467FF">
        <w:trPr>
          <w:trHeight w:val="786"/>
        </w:trPr>
        <w:tc>
          <w:tcPr>
            <w:tcW w:w="1135" w:type="dxa"/>
          </w:tcPr>
          <w:p w14:paraId="3B26A492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lastRenderedPageBreak/>
              <w:t>Agenda Item 5</w:t>
            </w:r>
          </w:p>
        </w:tc>
        <w:tc>
          <w:tcPr>
            <w:tcW w:w="7088" w:type="dxa"/>
          </w:tcPr>
          <w:p w14:paraId="21C11C44" w14:textId="77777777" w:rsidR="00B33062" w:rsidRPr="00AE0919" w:rsidRDefault="003E4093" w:rsidP="003E409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sz w:val="22"/>
                <w:szCs w:val="22"/>
              </w:rPr>
              <w:t>Transitional Protection</w:t>
            </w:r>
          </w:p>
          <w:p w14:paraId="77ADAA1D" w14:textId="34E35F33" w:rsidR="005C6B8F" w:rsidRPr="00AE0919" w:rsidRDefault="005C6B8F" w:rsidP="00F423C1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71024C" w:rsidRPr="00AE0919">
              <w:rPr>
                <w:rFonts w:ascii="Arial" w:hAnsi="Arial" w:cs="Arial"/>
                <w:bCs/>
                <w:sz w:val="22"/>
                <w:szCs w:val="22"/>
              </w:rPr>
              <w:t>sub-committee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acknowledged the significant workload associated with transitional protection, particularly in terms of capacity management.</w:t>
            </w:r>
          </w:p>
          <w:p w14:paraId="5C6402AF" w14:textId="77777777" w:rsidR="005C6B8F" w:rsidRPr="00AE0919" w:rsidRDefault="005C6B8F" w:rsidP="00F423C1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It was noted that residual work related to transitional protection will need to be completed under new contractual arrangements with the incoming supplier.</w:t>
            </w:r>
          </w:p>
          <w:p w14:paraId="03C7E000" w14:textId="77777777" w:rsidR="005C6B8F" w:rsidRPr="00AE0919" w:rsidRDefault="005C6B8F" w:rsidP="00F423C1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The team continues to manage risks associated with this transition, ensuring smooth processing and minimal disruption to members.</w:t>
            </w:r>
          </w:p>
          <w:p w14:paraId="25E90D1C" w14:textId="77777777" w:rsidR="005C6B8F" w:rsidRPr="00AE0919" w:rsidRDefault="005C6B8F" w:rsidP="00F423C1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At present, there are no further updates beyond what is included in the report. The topic will be revisited in the portfolio update.</w:t>
            </w:r>
          </w:p>
          <w:p w14:paraId="79DAC0F4" w14:textId="5C6959E4" w:rsidR="005C6B8F" w:rsidRPr="00AE0919" w:rsidRDefault="005C6B8F" w:rsidP="00F423C1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Member Decisions</w:t>
            </w:r>
            <w:r w:rsidR="00E72733" w:rsidRPr="00AE091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Members receiving their RSS calculations are provided with both final salary and career average pension figures.</w:t>
            </w:r>
          </w:p>
          <w:p w14:paraId="58294BBF" w14:textId="77777777" w:rsidR="005C6B8F" w:rsidRPr="00AE0919" w:rsidRDefault="005C6B8F" w:rsidP="00F423C1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Supporting documentation guides members on their choices, including the option to seek independent financial advice.</w:t>
            </w:r>
          </w:p>
          <w:p w14:paraId="434BC903" w14:textId="33DCB42C" w:rsidR="005C6B8F" w:rsidRPr="00AE0919" w:rsidRDefault="00026AF1" w:rsidP="00F423C1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Many</w:t>
            </w:r>
            <w:r w:rsidR="005C6B8F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members have chosen to remain in their existing final salary benefits, with no financial impact.</w:t>
            </w:r>
          </w:p>
          <w:p w14:paraId="4D6B3DC6" w14:textId="77777777" w:rsidR="005C6B8F" w:rsidRPr="00AE0919" w:rsidRDefault="005C6B8F" w:rsidP="00F423C1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For members opting into the career average scheme, necessary recalculations and amendments are in progress.</w:t>
            </w:r>
          </w:p>
          <w:p w14:paraId="41295227" w14:textId="7A89B3DA" w:rsidR="005C6B8F" w:rsidRPr="00AE0919" w:rsidRDefault="005C6B8F" w:rsidP="00F423C1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Members have a 12-month window to respond to the RSS notification.</w:t>
            </w:r>
          </w:p>
          <w:p w14:paraId="69417EB4" w14:textId="4627C459" w:rsidR="005C6B8F" w:rsidRPr="00AE0919" w:rsidRDefault="005C6B8F" w:rsidP="00F423C1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Currently, only a single letter is sent to members regarding their choice. The </w:t>
            </w:r>
            <w:r w:rsidR="0071024C" w:rsidRPr="00AE0919">
              <w:rPr>
                <w:rFonts w:ascii="Arial" w:hAnsi="Arial" w:cs="Arial"/>
                <w:bCs/>
                <w:sz w:val="22"/>
                <w:szCs w:val="22"/>
              </w:rPr>
              <w:t>sub-committee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discussed the potential benefits of sending additional reminders.</w:t>
            </w:r>
          </w:p>
          <w:p w14:paraId="10A6A5BF" w14:textId="77777777" w:rsidR="005C6B8F" w:rsidRPr="00AE0919" w:rsidRDefault="005C6B8F" w:rsidP="00F423C1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It was suggested that many teachers may not be aware of how to access their online accounts. A reminder process could improve engagement and decision-making.</w:t>
            </w:r>
          </w:p>
          <w:p w14:paraId="0B4A51C1" w14:textId="2543ADD8" w:rsidR="003669E1" w:rsidRPr="00AE0919" w:rsidRDefault="005C6B8F" w:rsidP="00F423C1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The current communication method includes a physical letter, an email, and an update on the member’s online account</w:t>
            </w:r>
            <w:r w:rsidR="003669E1" w:rsidRPr="00AE09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78DA39E" w14:textId="5F7BEBC5" w:rsidR="005C6B8F" w:rsidRPr="00AE0919" w:rsidRDefault="003669E1" w:rsidP="00F423C1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Capita agreed</w:t>
            </w:r>
            <w:r w:rsidR="005C6B8F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to explore the feasibility of sending additional reminders to members who have not responded within the 12-month window.</w:t>
            </w:r>
          </w:p>
          <w:p w14:paraId="7267E970" w14:textId="4A102D23" w:rsidR="003E4093" w:rsidRPr="00AE0919" w:rsidRDefault="003E4093" w:rsidP="0026723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FBC49FD" w14:textId="104D267A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6F521E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AE0F42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756B44" w14:textId="77777777" w:rsidR="00504D9C" w:rsidRPr="00AE0919" w:rsidRDefault="00504D9C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6A5FA60" w14:textId="77777777" w:rsidR="00112955" w:rsidRPr="00AE0919" w:rsidRDefault="00112955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431F2AC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EB68D52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69B4A80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64771A4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09C15BA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337D92B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1D65FA7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A322AF5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81E9833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CA8CCDD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C71B292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19B42F9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CEC8346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C3E3833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050275F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871913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F14B90B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EE38168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625FB05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D28FF15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2F21B33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D97B438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1953005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AF690F" w14:textId="77777777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0DA3B80" w14:textId="77777777" w:rsidR="00C563EC" w:rsidRPr="00AE0919" w:rsidRDefault="00C563EC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5698F8D" w14:textId="77777777" w:rsidR="00C563EC" w:rsidRPr="00AE0919" w:rsidRDefault="00C563EC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28C1FF5" w14:textId="2F297B3D" w:rsidR="007C1F60" w:rsidRPr="00AE0919" w:rsidRDefault="007C1F60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MR</w:t>
            </w:r>
            <w:r w:rsidR="00E114A9" w:rsidRPr="00AE0919">
              <w:rPr>
                <w:rFonts w:ascii="Arial" w:hAnsi="Arial" w:cs="Arial"/>
                <w:sz w:val="22"/>
                <w:szCs w:val="22"/>
              </w:rPr>
              <w:t>3</w:t>
            </w:r>
            <w:r w:rsidR="00AF52B4" w:rsidRPr="00AE0919">
              <w:rPr>
                <w:rFonts w:ascii="Arial" w:hAnsi="Arial" w:cs="Arial"/>
                <w:sz w:val="22"/>
                <w:szCs w:val="22"/>
              </w:rPr>
              <w:t>/</w:t>
            </w:r>
            <w:r w:rsidR="00E36B1B" w:rsidRPr="00AE0919">
              <w:rPr>
                <w:rFonts w:ascii="Arial" w:hAnsi="Arial" w:cs="Arial"/>
                <w:sz w:val="22"/>
                <w:szCs w:val="22"/>
              </w:rPr>
              <w:t>1</w:t>
            </w:r>
            <w:r w:rsidR="00AF52B4" w:rsidRPr="00AE0919">
              <w:rPr>
                <w:rFonts w:ascii="Arial" w:hAnsi="Arial" w:cs="Arial"/>
                <w:sz w:val="22"/>
                <w:szCs w:val="22"/>
              </w:rPr>
              <w:t>90325</w:t>
            </w:r>
          </w:p>
        </w:tc>
      </w:tr>
      <w:tr w:rsidR="00951E43" w:rsidRPr="00AE0919" w14:paraId="4ECBE3D5" w14:textId="77777777" w:rsidTr="0E6467FF">
        <w:trPr>
          <w:trHeight w:val="786"/>
        </w:trPr>
        <w:tc>
          <w:tcPr>
            <w:tcW w:w="1135" w:type="dxa"/>
          </w:tcPr>
          <w:p w14:paraId="54DFCC94" w14:textId="77777777" w:rsidR="00951E43" w:rsidRPr="00AE0919" w:rsidRDefault="00951E4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Agenda </w:t>
            </w:r>
          </w:p>
          <w:p w14:paraId="1BB87408" w14:textId="16E38611" w:rsidR="00951E43" w:rsidRPr="00AE0919" w:rsidRDefault="00951E4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71024C" w:rsidRPr="00AE091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8" w:type="dxa"/>
          </w:tcPr>
          <w:p w14:paraId="58E9A540" w14:textId="77777777" w:rsidR="00802363" w:rsidRPr="00AE0919" w:rsidRDefault="00F8072F" w:rsidP="0080236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sz w:val="22"/>
                <w:szCs w:val="22"/>
              </w:rPr>
              <w:t>Review of Quarterly Report and Supporting Papers</w:t>
            </w:r>
          </w:p>
          <w:p w14:paraId="0029EA92" w14:textId="19ED1E73" w:rsidR="00802363" w:rsidRPr="00AE0919" w:rsidRDefault="00802363" w:rsidP="0080236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January Partners Forecast </w:t>
            </w:r>
          </w:p>
          <w:p w14:paraId="6318A0C7" w14:textId="1B34C91C" w:rsidR="00802363" w:rsidRPr="00AE0919" w:rsidRDefault="00802363" w:rsidP="00F423C1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71024C" w:rsidRPr="00AE0919">
              <w:rPr>
                <w:rFonts w:ascii="Arial" w:hAnsi="Arial" w:cs="Arial"/>
                <w:bCs/>
                <w:sz w:val="22"/>
                <w:szCs w:val="22"/>
              </w:rPr>
              <w:t>sub-committee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reviewed the financial forecast presented in Paper 5, focusing on the cash position and income variance.</w:t>
            </w:r>
          </w:p>
          <w:p w14:paraId="42DCE5E9" w14:textId="77777777" w:rsidR="00802363" w:rsidRPr="00AE0919" w:rsidRDefault="00802363" w:rsidP="00F423C1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It was noted that the income variance has moved outside the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lastRenderedPageBreak/>
              <w:t>expected tolerance levels. While this is not uncommon in quarterly reports, members sought clarification on its implications.</w:t>
            </w:r>
          </w:p>
          <w:p w14:paraId="437509BF" w14:textId="77777777" w:rsidR="00127502" w:rsidRPr="00AE0919" w:rsidRDefault="00127502" w:rsidP="00F423C1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It was confirmed</w:t>
            </w:r>
            <w:r w:rsidR="00802363" w:rsidRPr="00AE0919">
              <w:rPr>
                <w:rFonts w:ascii="Arial" w:hAnsi="Arial" w:cs="Arial"/>
                <w:bCs/>
                <w:sz w:val="22"/>
                <w:szCs w:val="22"/>
              </w:rPr>
              <w:t>, although the variance is outside tolerance, the impact remains manageable due to flexibility built into the drawdown process.</w:t>
            </w:r>
          </w:p>
          <w:p w14:paraId="27B54B00" w14:textId="65822A5E" w:rsidR="007D5392" w:rsidRPr="00AE0919" w:rsidRDefault="00802363" w:rsidP="00F423C1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71024C" w:rsidRPr="00AE0919">
              <w:rPr>
                <w:rFonts w:ascii="Arial" w:hAnsi="Arial" w:cs="Arial"/>
                <w:bCs/>
                <w:sz w:val="22"/>
                <w:szCs w:val="22"/>
              </w:rPr>
              <w:t>sub-committee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was reassured that weekly calls with the cash team are in place to monitor fluctuations, with these calls increasing in frequency as the financial year-end approaches.</w:t>
            </w:r>
          </w:p>
          <w:p w14:paraId="1F58F907" w14:textId="4A8CD949" w:rsidR="00802363" w:rsidRPr="00AE0919" w:rsidRDefault="00802363" w:rsidP="00F423C1">
            <w:pPr>
              <w:pStyle w:val="ListParagraph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At this stage, there are no significant concerns, and the </w:t>
            </w:r>
            <w:r w:rsidR="007D5392" w:rsidRPr="00AE0919">
              <w:rPr>
                <w:rFonts w:ascii="Arial" w:hAnsi="Arial" w:cs="Arial"/>
                <w:bCs/>
                <w:sz w:val="22"/>
                <w:szCs w:val="22"/>
              </w:rPr>
              <w:t>DfE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is confident that </w:t>
            </w:r>
            <w:r w:rsidR="00932A16" w:rsidRPr="00AE0919">
              <w:rPr>
                <w:rFonts w:ascii="Arial" w:hAnsi="Arial" w:cs="Arial"/>
                <w:bCs/>
                <w:sz w:val="22"/>
                <w:szCs w:val="22"/>
              </w:rPr>
              <w:t>the Parliamentary Vote will not be exceeded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63F7E26" w14:textId="77777777" w:rsidR="007D5392" w:rsidRPr="00AE0919" w:rsidRDefault="007D5392" w:rsidP="0080236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563253" w14:textId="115BF220" w:rsidR="00802363" w:rsidRPr="00AE0919" w:rsidRDefault="00802363" w:rsidP="0080236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Suspense Accounts </w:t>
            </w:r>
          </w:p>
          <w:p w14:paraId="0CD564C9" w14:textId="4AA603F9" w:rsidR="00802363" w:rsidRPr="00AE0919" w:rsidRDefault="00802363" w:rsidP="00F423C1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0571CC" w:rsidRPr="00AE0919">
              <w:rPr>
                <w:rFonts w:ascii="Arial" w:hAnsi="Arial" w:cs="Arial"/>
                <w:bCs/>
                <w:sz w:val="22"/>
                <w:szCs w:val="22"/>
              </w:rPr>
              <w:t>sub-committee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reviewed the suspense account balances as detailed in Paper 5, noting the continued downward trend.</w:t>
            </w:r>
          </w:p>
          <w:p w14:paraId="71882332" w14:textId="4FA9BE31" w:rsidR="00802363" w:rsidRPr="00AE0919" w:rsidRDefault="00802363" w:rsidP="00F423C1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A query was raised about the expected baseline for suspense balances. Historically, the aim has been to keep suspense within 1% of scheme income (approximately £80 million), though this was never a strict requirement but rather a</w:t>
            </w:r>
            <w:r w:rsidR="00E32CF8" w:rsidRPr="00AE0919">
              <w:rPr>
                <w:rFonts w:ascii="Arial" w:hAnsi="Arial" w:cs="Arial"/>
                <w:bCs/>
                <w:sz w:val="22"/>
                <w:szCs w:val="22"/>
              </w:rPr>
              <w:t xml:space="preserve">n </w:t>
            </w:r>
            <w:r w:rsidR="00387368" w:rsidRPr="00AE0919">
              <w:rPr>
                <w:rFonts w:ascii="Arial" w:hAnsi="Arial" w:cs="Arial"/>
                <w:bCs/>
                <w:sz w:val="22"/>
                <w:szCs w:val="22"/>
              </w:rPr>
              <w:t>expectation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EBB2D81" w14:textId="77777777" w:rsidR="00802363" w:rsidRPr="00AE0919" w:rsidRDefault="00802363" w:rsidP="00F423C1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The introduction of Monthly Contributions Reconciliation (MCR) initially caused a significant increase in suspense due to data processing challenges.</w:t>
            </w:r>
          </w:p>
          <w:p w14:paraId="3DCD568D" w14:textId="77777777" w:rsidR="00802363" w:rsidRPr="00AE0919" w:rsidRDefault="00802363" w:rsidP="00F423C1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Progress has been made in reducing suspense balances over the last two years, with further work required to clear aged transactions (some dating back two to three years).</w:t>
            </w:r>
          </w:p>
          <w:p w14:paraId="72280E8B" w14:textId="3280BE84" w:rsidR="00315CC2" w:rsidRPr="00AE0919" w:rsidRDefault="00802363" w:rsidP="00F423C1">
            <w:pPr>
              <w:pStyle w:val="ListParagraph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While the overall balance is decreasing, the rate of reduction has slowed. The </w:t>
            </w:r>
            <w:r w:rsidR="000571CC" w:rsidRPr="00AE0919">
              <w:rPr>
                <w:rFonts w:ascii="Arial" w:hAnsi="Arial" w:cs="Arial"/>
                <w:bCs/>
                <w:sz w:val="22"/>
                <w:szCs w:val="22"/>
              </w:rPr>
              <w:t>sub-committee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noted that continued engagement with </w:t>
            </w:r>
            <w:r w:rsidR="00387368" w:rsidRPr="00AE0919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CS </w:t>
            </w:r>
            <w:r w:rsidR="00A13933" w:rsidRPr="00AE0919">
              <w:rPr>
                <w:rFonts w:ascii="Arial" w:hAnsi="Arial" w:cs="Arial"/>
                <w:bCs/>
                <w:sz w:val="22"/>
                <w:szCs w:val="22"/>
              </w:rPr>
              <w:t xml:space="preserve">as part of the contract transition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and the implementation of further controls are key to maintaining this progress.</w:t>
            </w:r>
          </w:p>
          <w:p w14:paraId="2A80D3A4" w14:textId="77777777" w:rsidR="00315CC2" w:rsidRPr="00AE0919" w:rsidRDefault="00315CC2" w:rsidP="00315CC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03FD19" w14:textId="30D909DB" w:rsidR="00802363" w:rsidRPr="00AE0919" w:rsidRDefault="00802363" w:rsidP="00315CC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Risk Management Update</w:t>
            </w:r>
          </w:p>
          <w:p w14:paraId="7B11A296" w14:textId="7DD2985E" w:rsidR="00802363" w:rsidRPr="00AE0919" w:rsidRDefault="00802363" w:rsidP="00F423C1">
            <w:pPr>
              <w:pStyle w:val="ListParagraph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0571CC" w:rsidRPr="00AE0919">
              <w:rPr>
                <w:rFonts w:ascii="Arial" w:hAnsi="Arial" w:cs="Arial"/>
                <w:bCs/>
                <w:sz w:val="22"/>
                <w:szCs w:val="22"/>
              </w:rPr>
              <w:t>sub-committee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was directed to the key risks outlined in Paper </w:t>
            </w:r>
            <w:r w:rsidR="000571CC" w:rsidRPr="00AE0919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, particularly those detailed on pages 28-29. These represent the top strategic and operational risks currently being managed.</w:t>
            </w:r>
          </w:p>
          <w:p w14:paraId="6E975418" w14:textId="28AE5E71" w:rsidR="00802363" w:rsidRPr="00AE0919" w:rsidRDefault="00802363" w:rsidP="00F423C1">
            <w:pPr>
              <w:pStyle w:val="ListParagraph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Risks are monitored through the Risk Committee, which meets bi-monthly and includes representatives from both </w:t>
            </w:r>
            <w:r w:rsidR="00256F2B" w:rsidRPr="00AE0919">
              <w:rPr>
                <w:rFonts w:ascii="Arial" w:hAnsi="Arial" w:cs="Arial"/>
                <w:bCs/>
                <w:sz w:val="22"/>
                <w:szCs w:val="22"/>
              </w:rPr>
              <w:t xml:space="preserve">Capita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and the Department for Education</w:t>
            </w:r>
            <w:r w:rsidR="00101E6C" w:rsidRPr="00AE09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518395F" w14:textId="77777777" w:rsidR="00101E6C" w:rsidRPr="00AE0919" w:rsidRDefault="00802363" w:rsidP="00F423C1">
            <w:pPr>
              <w:pStyle w:val="ListParagraph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Two risks were escalated to the Strategy Board for further discussion:</w:t>
            </w:r>
          </w:p>
          <w:p w14:paraId="4398B328" w14:textId="77777777" w:rsidR="00101E6C" w:rsidRPr="00AE0919" w:rsidRDefault="00802363" w:rsidP="00F423C1">
            <w:pPr>
              <w:pStyle w:val="ListParagraph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Significant Volume Increases: Service delivery plans were discussed in a separate session earlier in the day, and measures are in place to manage the anticipated workload.</w:t>
            </w:r>
          </w:p>
          <w:p w14:paraId="33E9BB38" w14:textId="5269E590" w:rsidR="00802363" w:rsidRPr="00AE0919" w:rsidRDefault="00802363" w:rsidP="00F423C1">
            <w:pPr>
              <w:pStyle w:val="ListParagraph"/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Transitional Protection: This remains a high-priority risk, with ongoing work to ensure smooth implementation.</w:t>
            </w:r>
          </w:p>
          <w:p w14:paraId="11807A6F" w14:textId="7D49312A" w:rsidR="0021363C" w:rsidRPr="00AE0919" w:rsidRDefault="00802363" w:rsidP="00F423C1">
            <w:pPr>
              <w:pStyle w:val="ListParagraph"/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0571CC" w:rsidRPr="00AE0919">
              <w:rPr>
                <w:rFonts w:ascii="Arial" w:hAnsi="Arial" w:cs="Arial"/>
                <w:bCs/>
                <w:sz w:val="22"/>
                <w:szCs w:val="22"/>
              </w:rPr>
              <w:t>sub-committee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was also directed to the risk management update on page 42</w:t>
            </w:r>
            <w:r w:rsidR="000571CC" w:rsidRPr="00AE0919">
              <w:rPr>
                <w:rFonts w:ascii="Arial" w:hAnsi="Arial" w:cs="Arial"/>
                <w:bCs/>
                <w:sz w:val="22"/>
                <w:szCs w:val="22"/>
              </w:rPr>
              <w:t xml:space="preserve"> of Paper 4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>. While this section covers additional risks, no further deep dive was deemed necessary at this time.</w:t>
            </w:r>
          </w:p>
          <w:p w14:paraId="6FFD5592" w14:textId="55B62291" w:rsidR="0021363C" w:rsidRPr="00AE0919" w:rsidRDefault="00802363" w:rsidP="00F423C1">
            <w:pPr>
              <w:pStyle w:val="ListParagraph"/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A specific discussion took place regarding the reclassification of the “Cost of Living Crisis”. The </w:t>
            </w:r>
            <w:r w:rsidR="000571CC" w:rsidRPr="00AE0919">
              <w:rPr>
                <w:rFonts w:ascii="Arial" w:hAnsi="Arial" w:cs="Arial"/>
                <w:bCs/>
                <w:sz w:val="22"/>
                <w:szCs w:val="22"/>
              </w:rPr>
              <w:t>sub-committee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agreed that this risk should instead focus on changing Member behaviours, 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lastRenderedPageBreak/>
              <w:t>such as:</w:t>
            </w:r>
          </w:p>
          <w:p w14:paraId="6503D06B" w14:textId="77777777" w:rsidR="0021363C" w:rsidRPr="00AE0919" w:rsidRDefault="00802363" w:rsidP="00267235">
            <w:pPr>
              <w:pStyle w:val="ListParagraph"/>
              <w:widowControl w:val="0"/>
              <w:numPr>
                <w:ilvl w:val="1"/>
                <w:numId w:val="2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Members submitting retirement applications closer to their retirement date rather than in advance.</w:t>
            </w:r>
          </w:p>
          <w:p w14:paraId="5ACB7CAB" w14:textId="77777777" w:rsidR="0021363C" w:rsidRPr="00AE0919" w:rsidRDefault="00802363" w:rsidP="00267235">
            <w:pPr>
              <w:pStyle w:val="ListParagraph"/>
              <w:widowControl w:val="0"/>
              <w:numPr>
                <w:ilvl w:val="1"/>
                <w:numId w:val="2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The potential impact on service delivery and administrative processing times.</w:t>
            </w:r>
          </w:p>
          <w:p w14:paraId="0E482728" w14:textId="4C226DD3" w:rsidR="00F8072F" w:rsidRPr="00AE0919" w:rsidRDefault="00802363" w:rsidP="00F423C1">
            <w:pPr>
              <w:pStyle w:val="ListParagraph"/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0571CC" w:rsidRPr="00AE0919">
              <w:rPr>
                <w:rFonts w:ascii="Arial" w:hAnsi="Arial" w:cs="Arial"/>
                <w:bCs/>
                <w:sz w:val="22"/>
                <w:szCs w:val="22"/>
              </w:rPr>
              <w:t>sub-committee</w:t>
            </w:r>
            <w:r w:rsidRPr="00AE0919">
              <w:rPr>
                <w:rFonts w:ascii="Arial" w:hAnsi="Arial" w:cs="Arial"/>
                <w:bCs/>
                <w:sz w:val="22"/>
                <w:szCs w:val="22"/>
              </w:rPr>
              <w:t xml:space="preserve"> acknowledged that tracking these behavioural trends is essential for effective resource planning.</w:t>
            </w:r>
          </w:p>
        </w:tc>
        <w:tc>
          <w:tcPr>
            <w:tcW w:w="1559" w:type="dxa"/>
            <w:shd w:val="clear" w:color="auto" w:fill="auto"/>
          </w:tcPr>
          <w:p w14:paraId="2ED9DB08" w14:textId="77777777" w:rsidR="00B81707" w:rsidRPr="00AE091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E78A26" w14:textId="77777777" w:rsidR="00B81707" w:rsidRPr="00AE091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12F19E" w14:textId="7572EEDB" w:rsidR="00B81707" w:rsidRPr="00AE091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2E53" w:rsidRPr="00AE0919" w14:paraId="532A60E6" w14:textId="77777777" w:rsidTr="0E6467FF">
        <w:trPr>
          <w:trHeight w:val="786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14:paraId="48222171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69BAA6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TP colleagues left the meeting</w:t>
            </w:r>
          </w:p>
        </w:tc>
      </w:tr>
      <w:tr w:rsidR="00102E53" w:rsidRPr="00AE0919" w14:paraId="499CABC5" w14:textId="77777777" w:rsidTr="0E6467FF">
        <w:trPr>
          <w:trHeight w:val="338"/>
        </w:trPr>
        <w:tc>
          <w:tcPr>
            <w:tcW w:w="1135" w:type="dxa"/>
            <w:shd w:val="clear" w:color="auto" w:fill="BFBFBF" w:themeFill="background1" w:themeFillShade="BF"/>
          </w:tcPr>
          <w:p w14:paraId="1BD4354B" w14:textId="4DE823CD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bookmarkStart w:id="0" w:name="_Hlk163117180"/>
            <w:r w:rsidRPr="00AE0919">
              <w:rPr>
                <w:rFonts w:ascii="Arial" w:hAnsi="Arial" w:cs="Arial"/>
                <w:sz w:val="22"/>
                <w:szCs w:val="22"/>
              </w:rPr>
              <w:t xml:space="preserve">Agenda Item </w:t>
            </w:r>
            <w:r w:rsidR="000571CC" w:rsidRPr="00AE09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449F92EB" w14:textId="77777777" w:rsidR="009C13FD" w:rsidRPr="00AE0919" w:rsidRDefault="00623883" w:rsidP="00D1744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MCR/MDC Dual Running</w:t>
            </w:r>
          </w:p>
          <w:p w14:paraId="3A4A6DA1" w14:textId="77777777" w:rsidR="00D17440" w:rsidRPr="00AE0919" w:rsidRDefault="00D17440" w:rsidP="00D1744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8A0A04" w14:textId="19FC3F6C" w:rsidR="00D17440" w:rsidRPr="00AE0919" w:rsidRDefault="00D17440" w:rsidP="00D1744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The remainder of this section has been removed to ensure commercial sensitivities are maintained. A full set of minutes (and actions) will be produced from the sub-committee meeting, which took place on 19 March 2025 and will be shared with the Board Members.</w:t>
            </w:r>
          </w:p>
          <w:p w14:paraId="774B87C8" w14:textId="3D5E1AFC" w:rsidR="00D17440" w:rsidRPr="00AE0919" w:rsidRDefault="00D17440" w:rsidP="00D1744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244D4DA" w14:textId="77777777" w:rsidR="000D55CB" w:rsidRPr="00AE0919" w:rsidRDefault="000D55C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EB6E5D9" w14:textId="2134CCBF" w:rsidR="007515AE" w:rsidRPr="00AE0919" w:rsidRDefault="007515AE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63C" w:rsidRPr="00AE0919" w14:paraId="27C44913" w14:textId="77777777" w:rsidTr="0E6467FF">
        <w:trPr>
          <w:trHeight w:val="338"/>
        </w:trPr>
        <w:tc>
          <w:tcPr>
            <w:tcW w:w="1135" w:type="dxa"/>
            <w:shd w:val="clear" w:color="auto" w:fill="BFBFBF" w:themeFill="background1" w:themeFillShade="BF"/>
          </w:tcPr>
          <w:p w14:paraId="01825346" w14:textId="77777777" w:rsidR="0021363C" w:rsidRPr="00AE0919" w:rsidRDefault="0021363C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Agenda </w:t>
            </w:r>
          </w:p>
          <w:p w14:paraId="5AF636FD" w14:textId="4C0171DF" w:rsidR="0021363C" w:rsidRPr="00AE0919" w:rsidRDefault="0021363C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Item 8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7379B756" w14:textId="2BDB39BF" w:rsidR="0021363C" w:rsidRPr="00AE0919" w:rsidRDefault="00623883" w:rsidP="00E0128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Portfolio Management Executive Overview with risk update – Paper </w:t>
            </w:r>
            <w:r w:rsidR="00DC1EC7"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  <w:p w14:paraId="6F74FCD0" w14:textId="77777777" w:rsidR="00CC2F9E" w:rsidRPr="00AE0919" w:rsidRDefault="00CC2F9E" w:rsidP="00D1744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65F2B72" w14:textId="7D19D97D" w:rsidR="00D17440" w:rsidRPr="00AE0919" w:rsidRDefault="00D17440" w:rsidP="00D1744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The remainder of this section has been removed to ensure commercial sensitivities are maintained. A full set of minutes (and actions) will be produced from the sub-committee meeting, which took place on 19 March 2025 and will be shared with the Board Members.</w:t>
            </w:r>
          </w:p>
          <w:p w14:paraId="32A874A2" w14:textId="20B9A2B0" w:rsidR="00D17440" w:rsidRPr="00AE0919" w:rsidRDefault="00D17440" w:rsidP="00D1744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38F33D6" w14:textId="77777777" w:rsidR="0021363C" w:rsidRPr="00AE0919" w:rsidRDefault="0021363C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883" w:rsidRPr="00AE0919" w14:paraId="4402A3A2" w14:textId="77777777" w:rsidTr="0E6467FF">
        <w:trPr>
          <w:trHeight w:val="338"/>
        </w:trPr>
        <w:tc>
          <w:tcPr>
            <w:tcW w:w="1135" w:type="dxa"/>
            <w:shd w:val="clear" w:color="auto" w:fill="BFBFBF" w:themeFill="background1" w:themeFillShade="BF"/>
          </w:tcPr>
          <w:p w14:paraId="7CC68B2E" w14:textId="77777777" w:rsidR="00623883" w:rsidRPr="00AE0919" w:rsidRDefault="0062388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Agenda </w:t>
            </w:r>
          </w:p>
          <w:p w14:paraId="68B3CAC7" w14:textId="252E301A" w:rsidR="00623883" w:rsidRPr="00AE0919" w:rsidRDefault="0062388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Item 9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652D4968" w14:textId="77777777" w:rsidR="00623883" w:rsidRPr="00AE0919" w:rsidRDefault="000166AA" w:rsidP="00E0128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Health Management</w:t>
            </w:r>
          </w:p>
          <w:p w14:paraId="564BA185" w14:textId="77777777" w:rsidR="00D17440" w:rsidRPr="00AE0919" w:rsidRDefault="00D17440" w:rsidP="00E0128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1F8DC6" w14:textId="63B986A5" w:rsidR="007F5828" w:rsidRPr="00AE0919" w:rsidRDefault="00D17440" w:rsidP="00D1744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The remainder of this section has been removed to ensure commercial sensitivities are maintained. A full set of minutes (and actions) will be produced from the sub-committee meeting, which took place on 19 March 2025 and will be shared with the Board Members.</w:t>
            </w:r>
          </w:p>
          <w:p w14:paraId="547710D4" w14:textId="7B018EC6" w:rsidR="00D17440" w:rsidRPr="00AE0919" w:rsidRDefault="00D17440" w:rsidP="00D1744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6CD7B5D" w14:textId="77777777" w:rsidR="00623883" w:rsidRPr="00AE0919" w:rsidRDefault="0062388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102E53" w:rsidRPr="00AE0919" w14:paraId="7E938D23" w14:textId="77777777" w:rsidTr="0E6467FF">
        <w:trPr>
          <w:trHeight w:val="995"/>
        </w:trPr>
        <w:tc>
          <w:tcPr>
            <w:tcW w:w="1135" w:type="dxa"/>
            <w:shd w:val="clear" w:color="auto" w:fill="BFBFBF" w:themeFill="background1" w:themeFillShade="BF"/>
          </w:tcPr>
          <w:p w14:paraId="1A767AD0" w14:textId="57B8D501" w:rsidR="00102E53" w:rsidRPr="00AE0919" w:rsidRDefault="004B20F0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>Agenda I</w:t>
            </w:r>
            <w:r w:rsidR="00102E53" w:rsidRPr="00AE0919">
              <w:rPr>
                <w:rFonts w:ascii="Arial" w:hAnsi="Arial" w:cs="Arial"/>
                <w:sz w:val="22"/>
                <w:szCs w:val="22"/>
              </w:rPr>
              <w:t xml:space="preserve">tem </w:t>
            </w:r>
            <w:r w:rsidR="00623883" w:rsidRPr="00AE09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3E867914" w14:textId="1000D9F2" w:rsidR="00ED4B27" w:rsidRPr="00AE0919" w:rsidRDefault="00ED4B27" w:rsidP="00ED4B2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Transition sub-committee update from </w:t>
            </w:r>
            <w:r w:rsidR="006F4AA3"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12 March 2025</w:t>
            </w:r>
          </w:p>
          <w:p w14:paraId="687561E6" w14:textId="77777777" w:rsidR="00D17440" w:rsidRPr="00AE0919" w:rsidRDefault="00D17440" w:rsidP="00D1744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C7F334" w14:textId="7515DF7A" w:rsidR="00D17440" w:rsidRPr="00AE0919" w:rsidRDefault="00D17440" w:rsidP="00D1744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The remainder of this section has been removed to ensure commercial sensitivities are maintained. A full set of minutes (and actions) will be produced from the sub-committee meeting, which took place on 1</w:t>
            </w:r>
            <w:r w:rsidR="00FA1B8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March 2025 and will be shared with the Board Members. </w:t>
            </w:r>
          </w:p>
          <w:p w14:paraId="70D8EB72" w14:textId="04DC6D95" w:rsidR="00CB5995" w:rsidRPr="00AE0919" w:rsidRDefault="00D17440" w:rsidP="00CB599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6E2256E" w14:textId="3C100C28" w:rsidR="00FE72AF" w:rsidRPr="00AE0919" w:rsidRDefault="00FE72AF" w:rsidP="008761F2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CC2C11B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E7DA32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18983DC" w14:textId="77777777" w:rsidR="00430A65" w:rsidRPr="00AE0919" w:rsidRDefault="00430A65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67701F9" w14:textId="75A66823" w:rsidR="00430A65" w:rsidRPr="00AE0919" w:rsidRDefault="00430A65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53" w:rsidRPr="00AE0919" w14:paraId="50E3FFD6" w14:textId="77777777" w:rsidTr="0E6467FF">
        <w:trPr>
          <w:trHeight w:val="580"/>
        </w:trPr>
        <w:tc>
          <w:tcPr>
            <w:tcW w:w="1135" w:type="dxa"/>
          </w:tcPr>
          <w:p w14:paraId="7D9A7631" w14:textId="7C05F202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Items </w:t>
            </w:r>
            <w:r w:rsidR="0047699D" w:rsidRPr="00AE0919">
              <w:rPr>
                <w:rFonts w:ascii="Arial" w:hAnsi="Arial" w:cs="Arial"/>
                <w:sz w:val="22"/>
                <w:szCs w:val="22"/>
              </w:rPr>
              <w:t>1</w:t>
            </w:r>
            <w:r w:rsidR="000166AA" w:rsidRPr="00AE0919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AE091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C63E47" w:rsidRPr="00AE0919">
              <w:rPr>
                <w:rFonts w:ascii="Arial" w:hAnsi="Arial" w:cs="Arial"/>
                <w:sz w:val="22"/>
                <w:szCs w:val="22"/>
              </w:rPr>
              <w:t>1</w:t>
            </w:r>
            <w:r w:rsidR="000166AA" w:rsidRPr="00AE09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14:paraId="29B52705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sz w:val="22"/>
                <w:szCs w:val="22"/>
              </w:rPr>
              <w:t xml:space="preserve">Highlights to report to the Board: </w:t>
            </w:r>
          </w:p>
          <w:p w14:paraId="2CADED50" w14:textId="77777777" w:rsidR="00D17440" w:rsidRPr="00AE0919" w:rsidRDefault="00D17440" w:rsidP="00102E53">
            <w:pPr>
              <w:widowControl w:val="0"/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324202" w14:textId="549503A4" w:rsidR="00AB6C80" w:rsidRPr="00AE0919" w:rsidRDefault="00D17440" w:rsidP="00D1744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The remainder of this section has been removed to ensure commercial sensitivities are maintained. A full set of minutes (and actions) will be produced from the sub-committee meeting, which took place on 19 March 2025 and will be shared with the Board Members.</w:t>
            </w:r>
          </w:p>
        </w:tc>
        <w:tc>
          <w:tcPr>
            <w:tcW w:w="1559" w:type="dxa"/>
          </w:tcPr>
          <w:p w14:paraId="751B425B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1CD922C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66D783A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0AA2589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6EB1CA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3A774FD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A3FE940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53" w:rsidRPr="00AE0919" w14:paraId="735876EE" w14:textId="77777777" w:rsidTr="0E6467FF">
        <w:trPr>
          <w:trHeight w:val="580"/>
        </w:trPr>
        <w:tc>
          <w:tcPr>
            <w:tcW w:w="1135" w:type="dxa"/>
          </w:tcPr>
          <w:p w14:paraId="55DA8870" w14:textId="37C51B1D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E0919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47699D" w:rsidRPr="00AE0919">
              <w:rPr>
                <w:rFonts w:ascii="Arial" w:hAnsi="Arial" w:cs="Arial"/>
                <w:sz w:val="22"/>
                <w:szCs w:val="22"/>
              </w:rPr>
              <w:t>1</w:t>
            </w:r>
            <w:r w:rsidR="000166AA" w:rsidRPr="00AE09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14:paraId="06BA137E" w14:textId="77777777" w:rsidR="00AD04DD" w:rsidRPr="00AE0919" w:rsidRDefault="00102E53" w:rsidP="00AD04DD">
            <w:pPr>
              <w:widowControl w:val="0"/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sz w:val="22"/>
                <w:szCs w:val="22"/>
              </w:rPr>
              <w:t>AOB</w:t>
            </w:r>
          </w:p>
          <w:p w14:paraId="6BF81D86" w14:textId="77777777" w:rsidR="00F423C1" w:rsidRPr="00AE0919" w:rsidRDefault="00F423C1" w:rsidP="00F423C1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No additional business was raised.</w:t>
            </w:r>
          </w:p>
          <w:p w14:paraId="28E8433B" w14:textId="77777777" w:rsidR="00102E53" w:rsidRPr="00AE0919" w:rsidRDefault="00F423C1" w:rsidP="00F423C1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Cs/>
                <w:sz w:val="22"/>
                <w:szCs w:val="22"/>
              </w:rPr>
              <w:t>The Chair concluded the meeting and thanked attendees for their contributions.</w:t>
            </w:r>
          </w:p>
          <w:p w14:paraId="66EBF29E" w14:textId="7197248F" w:rsidR="00F423C1" w:rsidRPr="00AE0919" w:rsidRDefault="00F423C1" w:rsidP="00F423C1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682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C77823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53" w:rsidRPr="00AE0919" w14:paraId="28A50BC3" w14:textId="77777777" w:rsidTr="0E6467FF">
        <w:tc>
          <w:tcPr>
            <w:tcW w:w="1135" w:type="dxa"/>
          </w:tcPr>
          <w:p w14:paraId="23D78CB6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Next meeting</w:t>
            </w:r>
          </w:p>
        </w:tc>
        <w:tc>
          <w:tcPr>
            <w:tcW w:w="7088" w:type="dxa"/>
          </w:tcPr>
          <w:p w14:paraId="1F3DEC86" w14:textId="64A689AA" w:rsidR="00102E53" w:rsidRPr="00AE0919" w:rsidRDefault="00102E53" w:rsidP="00102E5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0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761F2" w:rsidRPr="00AE0919">
              <w:rPr>
                <w:rFonts w:ascii="Arial" w:hAnsi="Arial" w:cs="Arial"/>
                <w:b/>
                <w:bCs/>
                <w:sz w:val="22"/>
                <w:szCs w:val="22"/>
              </w:rPr>
              <w:t>Wednesday 18</w:t>
            </w:r>
            <w:r w:rsidR="008761F2" w:rsidRPr="00AE091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8761F2" w:rsidRPr="00AE0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June 2025 Via Teams</w:t>
            </w:r>
          </w:p>
        </w:tc>
        <w:tc>
          <w:tcPr>
            <w:tcW w:w="1559" w:type="dxa"/>
          </w:tcPr>
          <w:p w14:paraId="25A79252" w14:textId="77777777" w:rsidR="00102E53" w:rsidRPr="00AE091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C1059D" w14:textId="77777777" w:rsidR="00102E53" w:rsidRPr="00AE0919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77C8BCB9" w14:textId="495C1A9B" w:rsidR="00240642" w:rsidRPr="00AE0919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AE0919">
        <w:rPr>
          <w:rFonts w:ascii="Arial" w:eastAsia="Times New Roman" w:hAnsi="Arial" w:cs="Arial"/>
          <w:kern w:val="0"/>
          <w14:ligatures w14:val="none"/>
        </w:rPr>
        <w:t xml:space="preserve">Minutes agreed by Chair: </w:t>
      </w:r>
      <w:r w:rsidR="005F7F95" w:rsidRPr="00AE0919">
        <w:rPr>
          <w:rFonts w:ascii="Arial" w:eastAsia="Times New Roman" w:hAnsi="Arial" w:cs="Arial"/>
          <w:kern w:val="0"/>
          <w14:ligatures w14:val="none"/>
        </w:rPr>
        <w:t>Jo Maguire</w:t>
      </w:r>
      <w:r w:rsidR="009E5029" w:rsidRPr="00AE0919">
        <w:rPr>
          <w:rFonts w:ascii="Arial" w:eastAsia="Times New Roman" w:hAnsi="Arial" w:cs="Arial"/>
          <w:kern w:val="0"/>
          <w14:ligatures w14:val="none"/>
        </w:rPr>
        <w:t xml:space="preserve">            </w:t>
      </w:r>
      <w:r w:rsidR="00CA5EAD" w:rsidRPr="00AE0919">
        <w:rPr>
          <w:rFonts w:ascii="Arial" w:eastAsia="Times New Roman" w:hAnsi="Arial" w:cs="Arial"/>
          <w:kern w:val="0"/>
          <w14:ligatures w14:val="none"/>
        </w:rPr>
        <w:t xml:space="preserve">Date: </w:t>
      </w:r>
      <w:r w:rsidR="005F7F95" w:rsidRPr="00AE0919">
        <w:rPr>
          <w:rFonts w:ascii="Arial" w:eastAsia="Times New Roman" w:hAnsi="Arial" w:cs="Arial"/>
          <w:kern w:val="0"/>
          <w14:ligatures w14:val="none"/>
        </w:rPr>
        <w:t>03/04/2025</w:t>
      </w:r>
    </w:p>
    <w:p w14:paraId="02024C19" w14:textId="77777777" w:rsidR="00102E53" w:rsidRPr="00AE0919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AE0919">
        <w:rPr>
          <w:rFonts w:ascii="Arial" w:eastAsia="Times New Roman" w:hAnsi="Arial" w:cs="Arial"/>
          <w:kern w:val="0"/>
          <w14:ligatures w14:val="none"/>
        </w:rPr>
        <w:t xml:space="preserve">       </w:t>
      </w:r>
    </w:p>
    <w:p w14:paraId="2D2E135B" w14:textId="580E913A" w:rsidR="00102E53" w:rsidRPr="00AE0919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AE0919">
        <w:rPr>
          <w:rFonts w:ascii="Arial" w:eastAsia="Times New Roman" w:hAnsi="Arial" w:cs="Arial"/>
          <w:kern w:val="0"/>
          <w14:ligatures w14:val="none"/>
        </w:rPr>
        <w:t xml:space="preserve">Confirmed by circulation to </w:t>
      </w:r>
      <w:r w:rsidR="00811AB9" w:rsidRPr="00AE0919">
        <w:rPr>
          <w:rFonts w:ascii="Arial" w:eastAsia="Times New Roman" w:hAnsi="Arial" w:cs="Arial"/>
          <w:kern w:val="0"/>
          <w14:ligatures w14:val="none"/>
        </w:rPr>
        <w:t>MRIC</w:t>
      </w:r>
      <w:r w:rsidRPr="00AE0919">
        <w:rPr>
          <w:rFonts w:ascii="Arial" w:eastAsia="Times New Roman" w:hAnsi="Arial" w:cs="Arial"/>
          <w:kern w:val="0"/>
          <w14:ligatures w14:val="none"/>
        </w:rPr>
        <w:t xml:space="preserve"> members on</w:t>
      </w:r>
      <w:r w:rsidR="6D56EB24" w:rsidRPr="00AE0919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6A6ABE" w:rsidRPr="00AE0919">
        <w:rPr>
          <w:rFonts w:ascii="Arial" w:eastAsia="Times New Roman" w:hAnsi="Arial" w:cs="Arial"/>
          <w:kern w:val="0"/>
          <w14:ligatures w14:val="none"/>
        </w:rPr>
        <w:t>04/04/2025</w:t>
      </w:r>
    </w:p>
    <w:p w14:paraId="5BA94D58" w14:textId="77777777" w:rsidR="00102E53" w:rsidRPr="00AE0919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09091E29" w14:textId="0101BCBA" w:rsidR="00102E53" w:rsidRPr="00AE0919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AE0919">
        <w:rPr>
          <w:rFonts w:ascii="Arial" w:eastAsia="Times New Roman" w:hAnsi="Arial" w:cs="Arial"/>
          <w:kern w:val="0"/>
          <w14:ligatures w14:val="none"/>
        </w:rPr>
        <w:t xml:space="preserve">To be ratified at </w:t>
      </w:r>
      <w:r w:rsidR="00811AB9" w:rsidRPr="00AE0919">
        <w:rPr>
          <w:rFonts w:ascii="Arial" w:eastAsia="Times New Roman" w:hAnsi="Arial" w:cs="Arial"/>
          <w:kern w:val="0"/>
          <w14:ligatures w14:val="none"/>
        </w:rPr>
        <w:t>MRIC</w:t>
      </w:r>
      <w:r w:rsidRPr="00AE0919">
        <w:rPr>
          <w:rFonts w:ascii="Arial" w:eastAsia="Times New Roman" w:hAnsi="Arial" w:cs="Arial"/>
          <w:kern w:val="0"/>
          <w14:ligatures w14:val="none"/>
        </w:rPr>
        <w:t xml:space="preserve"> meeting on </w:t>
      </w:r>
      <w:r w:rsidR="008761F2" w:rsidRPr="00AE0919">
        <w:rPr>
          <w:rFonts w:ascii="Arial" w:eastAsia="Times New Roman" w:hAnsi="Arial" w:cs="Arial"/>
          <w:kern w:val="0"/>
          <w14:ligatures w14:val="none"/>
        </w:rPr>
        <w:t>18</w:t>
      </w:r>
      <w:r w:rsidR="008761F2" w:rsidRPr="00AE0919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="008761F2" w:rsidRPr="00AE0919">
        <w:rPr>
          <w:rFonts w:ascii="Arial" w:eastAsia="Times New Roman" w:hAnsi="Arial" w:cs="Arial"/>
          <w:kern w:val="0"/>
          <w14:ligatures w14:val="none"/>
        </w:rPr>
        <w:t xml:space="preserve"> June 2025.</w:t>
      </w:r>
    </w:p>
    <w:p w14:paraId="1596D5BE" w14:textId="77777777" w:rsidR="00D623B0" w:rsidRDefault="00D623B0"/>
    <w:sectPr w:rsidR="00D623B0" w:rsidSect="00102E53">
      <w:headerReference w:type="default" r:id="rId10"/>
      <w:footerReference w:type="default" r:id="rId11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3E5A6" w14:textId="77777777" w:rsidR="004205D4" w:rsidRDefault="004205D4" w:rsidP="00102E53">
      <w:pPr>
        <w:spacing w:after="0" w:line="240" w:lineRule="auto"/>
      </w:pPr>
      <w:r>
        <w:separator/>
      </w:r>
    </w:p>
  </w:endnote>
  <w:endnote w:type="continuationSeparator" w:id="0">
    <w:p w14:paraId="5EDA7385" w14:textId="77777777" w:rsidR="004205D4" w:rsidRDefault="004205D4" w:rsidP="0010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3F474" w14:textId="77777777" w:rsidR="00026FD1" w:rsidRDefault="00026F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45D75E" w14:textId="77777777" w:rsidR="00026FD1" w:rsidRDefault="00026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39B71" w14:textId="77777777" w:rsidR="004205D4" w:rsidRDefault="004205D4" w:rsidP="00102E53">
      <w:pPr>
        <w:spacing w:after="0" w:line="240" w:lineRule="auto"/>
      </w:pPr>
      <w:r>
        <w:separator/>
      </w:r>
    </w:p>
  </w:footnote>
  <w:footnote w:type="continuationSeparator" w:id="0">
    <w:p w14:paraId="77433DB5" w14:textId="77777777" w:rsidR="004205D4" w:rsidRDefault="004205D4" w:rsidP="0010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1EF48" w14:textId="19063A60" w:rsidR="00C30327" w:rsidRDefault="320FE19E" w:rsidP="320FE19E">
    <w:pPr>
      <w:pStyle w:val="Header"/>
      <w:rPr>
        <w:rFonts w:ascii="Arial" w:eastAsia="Arial" w:hAnsi="Arial" w:cs="Arial"/>
      </w:rPr>
    </w:pPr>
    <w:r w:rsidRPr="320FE19E">
      <w:rPr>
        <w:rFonts w:ascii="Arial" w:eastAsia="Arial" w:hAnsi="Arial" w:cs="Arial"/>
      </w:rPr>
      <w:t>Paper 2                                                               MRIC sub-committee 18</w:t>
    </w:r>
    <w:r w:rsidRPr="320FE19E">
      <w:rPr>
        <w:rFonts w:ascii="Arial" w:eastAsia="Arial" w:hAnsi="Arial" w:cs="Arial"/>
        <w:vertAlign w:val="superscript"/>
      </w:rPr>
      <w:t>th</w:t>
    </w:r>
    <w:r w:rsidRPr="320FE19E">
      <w:rPr>
        <w:rFonts w:ascii="Arial" w:eastAsia="Arial" w:hAnsi="Arial" w:cs="Arial"/>
      </w:rPr>
      <w:t xml:space="preserve"> June 2025</w:t>
    </w:r>
  </w:p>
  <w:p w14:paraId="5CAFACAF" w14:textId="77777777" w:rsidR="00C30327" w:rsidRDefault="00C30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2DE2"/>
    <w:multiLevelType w:val="hybridMultilevel"/>
    <w:tmpl w:val="00AC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2B9A"/>
    <w:multiLevelType w:val="hybridMultilevel"/>
    <w:tmpl w:val="C0562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31FD"/>
    <w:multiLevelType w:val="hybridMultilevel"/>
    <w:tmpl w:val="0B30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53CD"/>
    <w:multiLevelType w:val="hybridMultilevel"/>
    <w:tmpl w:val="67385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84152"/>
    <w:multiLevelType w:val="hybridMultilevel"/>
    <w:tmpl w:val="6710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C0347"/>
    <w:multiLevelType w:val="hybridMultilevel"/>
    <w:tmpl w:val="DA824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67DE8"/>
    <w:multiLevelType w:val="hybridMultilevel"/>
    <w:tmpl w:val="FA22B3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705E9D"/>
    <w:multiLevelType w:val="hybridMultilevel"/>
    <w:tmpl w:val="942AA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62B88"/>
    <w:multiLevelType w:val="hybridMultilevel"/>
    <w:tmpl w:val="28F6D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50186"/>
    <w:multiLevelType w:val="hybridMultilevel"/>
    <w:tmpl w:val="33A25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773C8"/>
    <w:multiLevelType w:val="hybridMultilevel"/>
    <w:tmpl w:val="6954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489F2FBD"/>
    <w:multiLevelType w:val="hybridMultilevel"/>
    <w:tmpl w:val="561E2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57726"/>
    <w:multiLevelType w:val="hybridMultilevel"/>
    <w:tmpl w:val="A0521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E253E"/>
    <w:multiLevelType w:val="hybridMultilevel"/>
    <w:tmpl w:val="A3C8A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63F01"/>
    <w:multiLevelType w:val="hybridMultilevel"/>
    <w:tmpl w:val="0E703DAE"/>
    <w:lvl w:ilvl="0" w:tplc="F33833F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804945"/>
    <w:multiLevelType w:val="hybridMultilevel"/>
    <w:tmpl w:val="1FAC5492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7" w15:restartNumberingAfterBreak="0">
    <w:nsid w:val="586323E1"/>
    <w:multiLevelType w:val="hybridMultilevel"/>
    <w:tmpl w:val="39D85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B0A50"/>
    <w:multiLevelType w:val="hybridMultilevel"/>
    <w:tmpl w:val="13BC7072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5F2148B0"/>
    <w:multiLevelType w:val="hybridMultilevel"/>
    <w:tmpl w:val="21D07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8237F"/>
    <w:multiLevelType w:val="hybridMultilevel"/>
    <w:tmpl w:val="E8EE9102"/>
    <w:lvl w:ilvl="0" w:tplc="08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E160C75"/>
    <w:multiLevelType w:val="hybridMultilevel"/>
    <w:tmpl w:val="0EF4F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66186"/>
    <w:multiLevelType w:val="hybridMultilevel"/>
    <w:tmpl w:val="9D38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33249"/>
    <w:multiLevelType w:val="hybridMultilevel"/>
    <w:tmpl w:val="C7CE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B0D9D"/>
    <w:multiLevelType w:val="hybridMultilevel"/>
    <w:tmpl w:val="DA4047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BA3CCB"/>
    <w:multiLevelType w:val="hybridMultilevel"/>
    <w:tmpl w:val="D65E7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63D0D"/>
    <w:multiLevelType w:val="hybridMultilevel"/>
    <w:tmpl w:val="B0A6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51BF1"/>
    <w:multiLevelType w:val="hybridMultilevel"/>
    <w:tmpl w:val="2806C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341053">
    <w:abstractNumId w:val="18"/>
  </w:num>
  <w:num w:numId="2" w16cid:durableId="833691027">
    <w:abstractNumId w:val="9"/>
  </w:num>
  <w:num w:numId="3" w16cid:durableId="1844931218">
    <w:abstractNumId w:val="11"/>
  </w:num>
  <w:num w:numId="4" w16cid:durableId="1996567867">
    <w:abstractNumId w:val="12"/>
  </w:num>
  <w:num w:numId="5" w16cid:durableId="836533078">
    <w:abstractNumId w:val="20"/>
  </w:num>
  <w:num w:numId="6" w16cid:durableId="270551104">
    <w:abstractNumId w:val="23"/>
  </w:num>
  <w:num w:numId="7" w16cid:durableId="2041933099">
    <w:abstractNumId w:val="16"/>
  </w:num>
  <w:num w:numId="8" w16cid:durableId="1138110427">
    <w:abstractNumId w:val="2"/>
  </w:num>
  <w:num w:numId="9" w16cid:durableId="1179202464">
    <w:abstractNumId w:val="6"/>
  </w:num>
  <w:num w:numId="10" w16cid:durableId="1189097406">
    <w:abstractNumId w:val="14"/>
  </w:num>
  <w:num w:numId="11" w16cid:durableId="1871256547">
    <w:abstractNumId w:val="0"/>
  </w:num>
  <w:num w:numId="12" w16cid:durableId="532349340">
    <w:abstractNumId w:val="25"/>
  </w:num>
  <w:num w:numId="13" w16cid:durableId="308871599">
    <w:abstractNumId w:val="13"/>
  </w:num>
  <w:num w:numId="14" w16cid:durableId="445345302">
    <w:abstractNumId w:val="1"/>
  </w:num>
  <w:num w:numId="15" w16cid:durableId="1306282318">
    <w:abstractNumId w:val="27"/>
  </w:num>
  <w:num w:numId="16" w16cid:durableId="726689773">
    <w:abstractNumId w:val="10"/>
  </w:num>
  <w:num w:numId="17" w16cid:durableId="397366333">
    <w:abstractNumId w:val="22"/>
  </w:num>
  <w:num w:numId="18" w16cid:durableId="780609052">
    <w:abstractNumId w:val="8"/>
  </w:num>
  <w:num w:numId="19" w16cid:durableId="1332834144">
    <w:abstractNumId w:val="5"/>
  </w:num>
  <w:num w:numId="20" w16cid:durableId="1680082616">
    <w:abstractNumId w:val="19"/>
  </w:num>
  <w:num w:numId="21" w16cid:durableId="518276214">
    <w:abstractNumId w:val="7"/>
  </w:num>
  <w:num w:numId="22" w16cid:durableId="1663580563">
    <w:abstractNumId w:val="24"/>
  </w:num>
  <w:num w:numId="23" w16cid:durableId="1108811630">
    <w:abstractNumId w:val="26"/>
  </w:num>
  <w:num w:numId="24" w16cid:durableId="961769959">
    <w:abstractNumId w:val="15"/>
  </w:num>
  <w:num w:numId="25" w16cid:durableId="1834638439">
    <w:abstractNumId w:val="3"/>
  </w:num>
  <w:num w:numId="26" w16cid:durableId="2075079616">
    <w:abstractNumId w:val="4"/>
  </w:num>
  <w:num w:numId="27" w16cid:durableId="778842261">
    <w:abstractNumId w:val="21"/>
  </w:num>
  <w:num w:numId="28" w16cid:durableId="46716714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53"/>
    <w:rsid w:val="00000A00"/>
    <w:rsid w:val="00003965"/>
    <w:rsid w:val="000042E8"/>
    <w:rsid w:val="00004C8F"/>
    <w:rsid w:val="000065A5"/>
    <w:rsid w:val="00006806"/>
    <w:rsid w:val="000069A0"/>
    <w:rsid w:val="0000738F"/>
    <w:rsid w:val="000127EC"/>
    <w:rsid w:val="00012B22"/>
    <w:rsid w:val="00013167"/>
    <w:rsid w:val="000166AA"/>
    <w:rsid w:val="00020006"/>
    <w:rsid w:val="00021500"/>
    <w:rsid w:val="00021567"/>
    <w:rsid w:val="0002329F"/>
    <w:rsid w:val="00025275"/>
    <w:rsid w:val="00025D57"/>
    <w:rsid w:val="000260E4"/>
    <w:rsid w:val="000263B9"/>
    <w:rsid w:val="00026AF1"/>
    <w:rsid w:val="00026E89"/>
    <w:rsid w:val="00026FD1"/>
    <w:rsid w:val="0002724E"/>
    <w:rsid w:val="000272D0"/>
    <w:rsid w:val="00027D78"/>
    <w:rsid w:val="0003330D"/>
    <w:rsid w:val="00033769"/>
    <w:rsid w:val="0003619E"/>
    <w:rsid w:val="00036B26"/>
    <w:rsid w:val="00037EB7"/>
    <w:rsid w:val="00041722"/>
    <w:rsid w:val="0004212E"/>
    <w:rsid w:val="00042B64"/>
    <w:rsid w:val="00045E80"/>
    <w:rsid w:val="00045FF0"/>
    <w:rsid w:val="00046517"/>
    <w:rsid w:val="00054188"/>
    <w:rsid w:val="000549D0"/>
    <w:rsid w:val="000571CC"/>
    <w:rsid w:val="00057FFC"/>
    <w:rsid w:val="00061313"/>
    <w:rsid w:val="00061FDD"/>
    <w:rsid w:val="00062230"/>
    <w:rsid w:val="000629CB"/>
    <w:rsid w:val="00062CD2"/>
    <w:rsid w:val="00073137"/>
    <w:rsid w:val="0007344D"/>
    <w:rsid w:val="00073A2E"/>
    <w:rsid w:val="00074C0C"/>
    <w:rsid w:val="0008352B"/>
    <w:rsid w:val="000836C4"/>
    <w:rsid w:val="000844DE"/>
    <w:rsid w:val="000853DE"/>
    <w:rsid w:val="0008784C"/>
    <w:rsid w:val="000926DB"/>
    <w:rsid w:val="000927E4"/>
    <w:rsid w:val="00092804"/>
    <w:rsid w:val="00093555"/>
    <w:rsid w:val="00096A17"/>
    <w:rsid w:val="000A0F73"/>
    <w:rsid w:val="000A2B48"/>
    <w:rsid w:val="000A49E3"/>
    <w:rsid w:val="000A52E4"/>
    <w:rsid w:val="000A682C"/>
    <w:rsid w:val="000A6849"/>
    <w:rsid w:val="000B20EA"/>
    <w:rsid w:val="000B2A3F"/>
    <w:rsid w:val="000B5F0D"/>
    <w:rsid w:val="000C0138"/>
    <w:rsid w:val="000C7237"/>
    <w:rsid w:val="000C7F61"/>
    <w:rsid w:val="000D55CB"/>
    <w:rsid w:val="000D6184"/>
    <w:rsid w:val="000D7B37"/>
    <w:rsid w:val="000E0ED4"/>
    <w:rsid w:val="000E28EC"/>
    <w:rsid w:val="000E6F26"/>
    <w:rsid w:val="000F1453"/>
    <w:rsid w:val="000F41B7"/>
    <w:rsid w:val="000F4916"/>
    <w:rsid w:val="000F5843"/>
    <w:rsid w:val="00100D4C"/>
    <w:rsid w:val="00101E6C"/>
    <w:rsid w:val="00102E53"/>
    <w:rsid w:val="00103982"/>
    <w:rsid w:val="001040F5"/>
    <w:rsid w:val="00105A0A"/>
    <w:rsid w:val="00110F99"/>
    <w:rsid w:val="00112955"/>
    <w:rsid w:val="0011497F"/>
    <w:rsid w:val="001157E8"/>
    <w:rsid w:val="0012074F"/>
    <w:rsid w:val="00120CF8"/>
    <w:rsid w:val="00120FF9"/>
    <w:rsid w:val="00123B5F"/>
    <w:rsid w:val="00124FD4"/>
    <w:rsid w:val="00127502"/>
    <w:rsid w:val="00130617"/>
    <w:rsid w:val="001319E5"/>
    <w:rsid w:val="00132D2B"/>
    <w:rsid w:val="00133DE9"/>
    <w:rsid w:val="00137E8F"/>
    <w:rsid w:val="00140C30"/>
    <w:rsid w:val="00143D82"/>
    <w:rsid w:val="00144D08"/>
    <w:rsid w:val="001461FC"/>
    <w:rsid w:val="001525F9"/>
    <w:rsid w:val="00152EA2"/>
    <w:rsid w:val="001535AE"/>
    <w:rsid w:val="00153855"/>
    <w:rsid w:val="00154860"/>
    <w:rsid w:val="00155002"/>
    <w:rsid w:val="001566DC"/>
    <w:rsid w:val="00171B20"/>
    <w:rsid w:val="001725E4"/>
    <w:rsid w:val="00173715"/>
    <w:rsid w:val="00176E6B"/>
    <w:rsid w:val="0017773E"/>
    <w:rsid w:val="00180C37"/>
    <w:rsid w:val="00181F61"/>
    <w:rsid w:val="001824FE"/>
    <w:rsid w:val="00182DFF"/>
    <w:rsid w:val="001843E8"/>
    <w:rsid w:val="001857BE"/>
    <w:rsid w:val="00186391"/>
    <w:rsid w:val="00187A6C"/>
    <w:rsid w:val="0019102C"/>
    <w:rsid w:val="00195492"/>
    <w:rsid w:val="001959C9"/>
    <w:rsid w:val="001977E4"/>
    <w:rsid w:val="001A180A"/>
    <w:rsid w:val="001A2AF3"/>
    <w:rsid w:val="001A392F"/>
    <w:rsid w:val="001A67F2"/>
    <w:rsid w:val="001B0CFC"/>
    <w:rsid w:val="001B1E80"/>
    <w:rsid w:val="001B2CD5"/>
    <w:rsid w:val="001B6C48"/>
    <w:rsid w:val="001B6D94"/>
    <w:rsid w:val="001B7AD1"/>
    <w:rsid w:val="001C0884"/>
    <w:rsid w:val="001C340B"/>
    <w:rsid w:val="001C4EF1"/>
    <w:rsid w:val="001C5573"/>
    <w:rsid w:val="001C5A87"/>
    <w:rsid w:val="001D1DEA"/>
    <w:rsid w:val="001D217B"/>
    <w:rsid w:val="001E4625"/>
    <w:rsid w:val="001E5072"/>
    <w:rsid w:val="001E5982"/>
    <w:rsid w:val="001E5B85"/>
    <w:rsid w:val="001E6860"/>
    <w:rsid w:val="001E7DE8"/>
    <w:rsid w:val="001F0FC2"/>
    <w:rsid w:val="001F2EA0"/>
    <w:rsid w:val="001F4D2B"/>
    <w:rsid w:val="001F71BF"/>
    <w:rsid w:val="00200B9E"/>
    <w:rsid w:val="0020258D"/>
    <w:rsid w:val="00204628"/>
    <w:rsid w:val="00204A86"/>
    <w:rsid w:val="00206D10"/>
    <w:rsid w:val="0020708E"/>
    <w:rsid w:val="00207CFB"/>
    <w:rsid w:val="00212988"/>
    <w:rsid w:val="0021363C"/>
    <w:rsid w:val="00213E01"/>
    <w:rsid w:val="0021469F"/>
    <w:rsid w:val="00214E02"/>
    <w:rsid w:val="002161BF"/>
    <w:rsid w:val="00222191"/>
    <w:rsid w:val="002221A4"/>
    <w:rsid w:val="00222B89"/>
    <w:rsid w:val="002267B8"/>
    <w:rsid w:val="00230124"/>
    <w:rsid w:val="00231D78"/>
    <w:rsid w:val="00232074"/>
    <w:rsid w:val="00233052"/>
    <w:rsid w:val="00233ED0"/>
    <w:rsid w:val="00235950"/>
    <w:rsid w:val="002360CB"/>
    <w:rsid w:val="00240642"/>
    <w:rsid w:val="00241693"/>
    <w:rsid w:val="002425FD"/>
    <w:rsid w:val="00243170"/>
    <w:rsid w:val="002441DB"/>
    <w:rsid w:val="00253101"/>
    <w:rsid w:val="0025592B"/>
    <w:rsid w:val="00256F2B"/>
    <w:rsid w:val="0025726C"/>
    <w:rsid w:val="00257A3E"/>
    <w:rsid w:val="00260903"/>
    <w:rsid w:val="00265049"/>
    <w:rsid w:val="00267177"/>
    <w:rsid w:val="00267235"/>
    <w:rsid w:val="0026736E"/>
    <w:rsid w:val="002707D8"/>
    <w:rsid w:val="00270E96"/>
    <w:rsid w:val="00272171"/>
    <w:rsid w:val="00274D29"/>
    <w:rsid w:val="00285604"/>
    <w:rsid w:val="0028675F"/>
    <w:rsid w:val="002867C3"/>
    <w:rsid w:val="00292C4C"/>
    <w:rsid w:val="00293F8C"/>
    <w:rsid w:val="002958CE"/>
    <w:rsid w:val="002958E4"/>
    <w:rsid w:val="00297B68"/>
    <w:rsid w:val="002A1F35"/>
    <w:rsid w:val="002A3B74"/>
    <w:rsid w:val="002A4A91"/>
    <w:rsid w:val="002A5BFA"/>
    <w:rsid w:val="002A6679"/>
    <w:rsid w:val="002A78E3"/>
    <w:rsid w:val="002B0D6F"/>
    <w:rsid w:val="002C0785"/>
    <w:rsid w:val="002C1434"/>
    <w:rsid w:val="002C218A"/>
    <w:rsid w:val="002C46BA"/>
    <w:rsid w:val="002C569B"/>
    <w:rsid w:val="002D0DA3"/>
    <w:rsid w:val="002D14BD"/>
    <w:rsid w:val="002D189A"/>
    <w:rsid w:val="002D5210"/>
    <w:rsid w:val="002E054D"/>
    <w:rsid w:val="002E17C7"/>
    <w:rsid w:val="002E224F"/>
    <w:rsid w:val="002E2652"/>
    <w:rsid w:val="002E2D05"/>
    <w:rsid w:val="002E2F48"/>
    <w:rsid w:val="002E3220"/>
    <w:rsid w:val="002F12CF"/>
    <w:rsid w:val="002F2385"/>
    <w:rsid w:val="002F5ADC"/>
    <w:rsid w:val="002F772C"/>
    <w:rsid w:val="0030014A"/>
    <w:rsid w:val="00301920"/>
    <w:rsid w:val="00302F87"/>
    <w:rsid w:val="0030387F"/>
    <w:rsid w:val="00303A0D"/>
    <w:rsid w:val="00304EB5"/>
    <w:rsid w:val="00305165"/>
    <w:rsid w:val="0030621F"/>
    <w:rsid w:val="00307B4E"/>
    <w:rsid w:val="00310FB7"/>
    <w:rsid w:val="0031146B"/>
    <w:rsid w:val="00312CE6"/>
    <w:rsid w:val="00312CFC"/>
    <w:rsid w:val="00313EF9"/>
    <w:rsid w:val="0031454C"/>
    <w:rsid w:val="00314970"/>
    <w:rsid w:val="0031499F"/>
    <w:rsid w:val="00315CC2"/>
    <w:rsid w:val="00321F67"/>
    <w:rsid w:val="003230D5"/>
    <w:rsid w:val="003230DE"/>
    <w:rsid w:val="00332128"/>
    <w:rsid w:val="00332183"/>
    <w:rsid w:val="003367F8"/>
    <w:rsid w:val="003433BA"/>
    <w:rsid w:val="00343AF1"/>
    <w:rsid w:val="00343CDE"/>
    <w:rsid w:val="00346FB8"/>
    <w:rsid w:val="00347743"/>
    <w:rsid w:val="003542CF"/>
    <w:rsid w:val="0036282F"/>
    <w:rsid w:val="00364200"/>
    <w:rsid w:val="003669E1"/>
    <w:rsid w:val="00367AB1"/>
    <w:rsid w:val="003720B7"/>
    <w:rsid w:val="003753DE"/>
    <w:rsid w:val="00375B18"/>
    <w:rsid w:val="00376F53"/>
    <w:rsid w:val="00380326"/>
    <w:rsid w:val="00387368"/>
    <w:rsid w:val="00387EAD"/>
    <w:rsid w:val="00390AF7"/>
    <w:rsid w:val="0039762E"/>
    <w:rsid w:val="003A049D"/>
    <w:rsid w:val="003A198C"/>
    <w:rsid w:val="003A1AC5"/>
    <w:rsid w:val="003A4553"/>
    <w:rsid w:val="003A55D4"/>
    <w:rsid w:val="003A5CCA"/>
    <w:rsid w:val="003A61D6"/>
    <w:rsid w:val="003A688B"/>
    <w:rsid w:val="003A6A8B"/>
    <w:rsid w:val="003A7D6C"/>
    <w:rsid w:val="003B04B3"/>
    <w:rsid w:val="003B1909"/>
    <w:rsid w:val="003B4AC4"/>
    <w:rsid w:val="003B58DA"/>
    <w:rsid w:val="003B6D90"/>
    <w:rsid w:val="003C1576"/>
    <w:rsid w:val="003C17D1"/>
    <w:rsid w:val="003C5AA8"/>
    <w:rsid w:val="003C768C"/>
    <w:rsid w:val="003D0CCC"/>
    <w:rsid w:val="003D20D5"/>
    <w:rsid w:val="003E0F56"/>
    <w:rsid w:val="003E4093"/>
    <w:rsid w:val="003E597B"/>
    <w:rsid w:val="003F040D"/>
    <w:rsid w:val="003F0723"/>
    <w:rsid w:val="003F135B"/>
    <w:rsid w:val="003F1F53"/>
    <w:rsid w:val="003F716D"/>
    <w:rsid w:val="003F76CD"/>
    <w:rsid w:val="0040348D"/>
    <w:rsid w:val="004035BB"/>
    <w:rsid w:val="00404BB0"/>
    <w:rsid w:val="00406AEE"/>
    <w:rsid w:val="00410E05"/>
    <w:rsid w:val="00414F99"/>
    <w:rsid w:val="0041656E"/>
    <w:rsid w:val="00416AA4"/>
    <w:rsid w:val="004205D4"/>
    <w:rsid w:val="00421417"/>
    <w:rsid w:val="004224B5"/>
    <w:rsid w:val="004237BE"/>
    <w:rsid w:val="00423A94"/>
    <w:rsid w:val="00425DC9"/>
    <w:rsid w:val="00427B22"/>
    <w:rsid w:val="00427F8C"/>
    <w:rsid w:val="00430594"/>
    <w:rsid w:val="00430A65"/>
    <w:rsid w:val="00430DF6"/>
    <w:rsid w:val="00434287"/>
    <w:rsid w:val="0043444B"/>
    <w:rsid w:val="0043617E"/>
    <w:rsid w:val="004427FC"/>
    <w:rsid w:val="00444B4E"/>
    <w:rsid w:val="00447555"/>
    <w:rsid w:val="00455E2A"/>
    <w:rsid w:val="0045624B"/>
    <w:rsid w:val="00457A1A"/>
    <w:rsid w:val="00461D3B"/>
    <w:rsid w:val="00462082"/>
    <w:rsid w:val="00462636"/>
    <w:rsid w:val="0046381D"/>
    <w:rsid w:val="00465F54"/>
    <w:rsid w:val="00467411"/>
    <w:rsid w:val="00467AC7"/>
    <w:rsid w:val="00467D8F"/>
    <w:rsid w:val="004756D5"/>
    <w:rsid w:val="0047699D"/>
    <w:rsid w:val="004815CF"/>
    <w:rsid w:val="00481F14"/>
    <w:rsid w:val="0048424D"/>
    <w:rsid w:val="00487DC5"/>
    <w:rsid w:val="0049557F"/>
    <w:rsid w:val="004961F7"/>
    <w:rsid w:val="004968E8"/>
    <w:rsid w:val="00497BD0"/>
    <w:rsid w:val="00497F7A"/>
    <w:rsid w:val="004A6746"/>
    <w:rsid w:val="004A6DB5"/>
    <w:rsid w:val="004B01E6"/>
    <w:rsid w:val="004B20ED"/>
    <w:rsid w:val="004B20F0"/>
    <w:rsid w:val="004B2F03"/>
    <w:rsid w:val="004B4730"/>
    <w:rsid w:val="004B47D7"/>
    <w:rsid w:val="004B7B82"/>
    <w:rsid w:val="004C16C3"/>
    <w:rsid w:val="004C5C6A"/>
    <w:rsid w:val="004C7142"/>
    <w:rsid w:val="004C7B66"/>
    <w:rsid w:val="004D192A"/>
    <w:rsid w:val="004D356F"/>
    <w:rsid w:val="004D548D"/>
    <w:rsid w:val="004D5741"/>
    <w:rsid w:val="004D6F2A"/>
    <w:rsid w:val="004E1CEE"/>
    <w:rsid w:val="004E60C3"/>
    <w:rsid w:val="004E6916"/>
    <w:rsid w:val="004E7291"/>
    <w:rsid w:val="004F361C"/>
    <w:rsid w:val="004F384F"/>
    <w:rsid w:val="004F763F"/>
    <w:rsid w:val="0050244C"/>
    <w:rsid w:val="00502787"/>
    <w:rsid w:val="00504A0D"/>
    <w:rsid w:val="00504B4C"/>
    <w:rsid w:val="00504D9C"/>
    <w:rsid w:val="0051024A"/>
    <w:rsid w:val="005111D3"/>
    <w:rsid w:val="005122A7"/>
    <w:rsid w:val="00514536"/>
    <w:rsid w:val="00523348"/>
    <w:rsid w:val="005262D7"/>
    <w:rsid w:val="005309F2"/>
    <w:rsid w:val="005312A2"/>
    <w:rsid w:val="00536CB9"/>
    <w:rsid w:val="005372B8"/>
    <w:rsid w:val="00537F15"/>
    <w:rsid w:val="00544AE5"/>
    <w:rsid w:val="005475CB"/>
    <w:rsid w:val="005553A3"/>
    <w:rsid w:val="00563EAE"/>
    <w:rsid w:val="00564E64"/>
    <w:rsid w:val="00565515"/>
    <w:rsid w:val="0057513A"/>
    <w:rsid w:val="005802A3"/>
    <w:rsid w:val="00581924"/>
    <w:rsid w:val="00584278"/>
    <w:rsid w:val="00595FEB"/>
    <w:rsid w:val="005A02C1"/>
    <w:rsid w:val="005A0E5E"/>
    <w:rsid w:val="005A1215"/>
    <w:rsid w:val="005A5D68"/>
    <w:rsid w:val="005A5F2B"/>
    <w:rsid w:val="005A7CA6"/>
    <w:rsid w:val="005B24A7"/>
    <w:rsid w:val="005B24F6"/>
    <w:rsid w:val="005B3551"/>
    <w:rsid w:val="005C194B"/>
    <w:rsid w:val="005C45B2"/>
    <w:rsid w:val="005C6B8F"/>
    <w:rsid w:val="005D04DB"/>
    <w:rsid w:val="005D0E10"/>
    <w:rsid w:val="005D1F1B"/>
    <w:rsid w:val="005D5DC7"/>
    <w:rsid w:val="005E04A6"/>
    <w:rsid w:val="005E3FB0"/>
    <w:rsid w:val="005E45B6"/>
    <w:rsid w:val="005F1341"/>
    <w:rsid w:val="005F1997"/>
    <w:rsid w:val="005F54CE"/>
    <w:rsid w:val="005F72DE"/>
    <w:rsid w:val="005F7C83"/>
    <w:rsid w:val="005F7F95"/>
    <w:rsid w:val="00601505"/>
    <w:rsid w:val="006018F4"/>
    <w:rsid w:val="0060372B"/>
    <w:rsid w:val="006057CC"/>
    <w:rsid w:val="00610C69"/>
    <w:rsid w:val="00613671"/>
    <w:rsid w:val="00614449"/>
    <w:rsid w:val="006144B3"/>
    <w:rsid w:val="00620BF9"/>
    <w:rsid w:val="006213A9"/>
    <w:rsid w:val="0062297B"/>
    <w:rsid w:val="00622BED"/>
    <w:rsid w:val="00623883"/>
    <w:rsid w:val="00623951"/>
    <w:rsid w:val="006239A5"/>
    <w:rsid w:val="006240EF"/>
    <w:rsid w:val="00625590"/>
    <w:rsid w:val="00625D63"/>
    <w:rsid w:val="006353BB"/>
    <w:rsid w:val="0063724E"/>
    <w:rsid w:val="00641127"/>
    <w:rsid w:val="00641417"/>
    <w:rsid w:val="006415B8"/>
    <w:rsid w:val="00641623"/>
    <w:rsid w:val="006427CB"/>
    <w:rsid w:val="00646A86"/>
    <w:rsid w:val="006472C3"/>
    <w:rsid w:val="00647BF7"/>
    <w:rsid w:val="006511A2"/>
    <w:rsid w:val="0065210D"/>
    <w:rsid w:val="00655382"/>
    <w:rsid w:val="006577C5"/>
    <w:rsid w:val="0066015E"/>
    <w:rsid w:val="006603B6"/>
    <w:rsid w:val="00662EC9"/>
    <w:rsid w:val="00666870"/>
    <w:rsid w:val="00667582"/>
    <w:rsid w:val="00670719"/>
    <w:rsid w:val="00674A0E"/>
    <w:rsid w:val="00675125"/>
    <w:rsid w:val="00676A7E"/>
    <w:rsid w:val="00677C2F"/>
    <w:rsid w:val="0068096F"/>
    <w:rsid w:val="00684892"/>
    <w:rsid w:val="00684FD7"/>
    <w:rsid w:val="00685D6D"/>
    <w:rsid w:val="006870AB"/>
    <w:rsid w:val="006948BA"/>
    <w:rsid w:val="00694E5D"/>
    <w:rsid w:val="0069790E"/>
    <w:rsid w:val="006A1D48"/>
    <w:rsid w:val="006A2C05"/>
    <w:rsid w:val="006A4BCA"/>
    <w:rsid w:val="006A6ABE"/>
    <w:rsid w:val="006A6C0A"/>
    <w:rsid w:val="006A762E"/>
    <w:rsid w:val="006B10C4"/>
    <w:rsid w:val="006B26BA"/>
    <w:rsid w:val="006B2CCD"/>
    <w:rsid w:val="006B75C1"/>
    <w:rsid w:val="006B78F7"/>
    <w:rsid w:val="006B790E"/>
    <w:rsid w:val="006C0A90"/>
    <w:rsid w:val="006C14A6"/>
    <w:rsid w:val="006C2B7D"/>
    <w:rsid w:val="006C3246"/>
    <w:rsid w:val="006D1375"/>
    <w:rsid w:val="006D6889"/>
    <w:rsid w:val="006D78A6"/>
    <w:rsid w:val="006E0201"/>
    <w:rsid w:val="006E323B"/>
    <w:rsid w:val="006E6473"/>
    <w:rsid w:val="006E6991"/>
    <w:rsid w:val="006F0B9F"/>
    <w:rsid w:val="006F0CCF"/>
    <w:rsid w:val="006F442C"/>
    <w:rsid w:val="006F4AA3"/>
    <w:rsid w:val="006F66C7"/>
    <w:rsid w:val="006F76C4"/>
    <w:rsid w:val="00700869"/>
    <w:rsid w:val="00700D0B"/>
    <w:rsid w:val="007044CF"/>
    <w:rsid w:val="007073F0"/>
    <w:rsid w:val="0071024C"/>
    <w:rsid w:val="007103C7"/>
    <w:rsid w:val="00711D68"/>
    <w:rsid w:val="00721115"/>
    <w:rsid w:val="0072186C"/>
    <w:rsid w:val="007241FA"/>
    <w:rsid w:val="00724D7D"/>
    <w:rsid w:val="0072504A"/>
    <w:rsid w:val="00733D93"/>
    <w:rsid w:val="007421A9"/>
    <w:rsid w:val="00743A85"/>
    <w:rsid w:val="0074761A"/>
    <w:rsid w:val="00747D94"/>
    <w:rsid w:val="007515AE"/>
    <w:rsid w:val="00754B9E"/>
    <w:rsid w:val="00754E53"/>
    <w:rsid w:val="00755339"/>
    <w:rsid w:val="007563E8"/>
    <w:rsid w:val="00756D02"/>
    <w:rsid w:val="00756D37"/>
    <w:rsid w:val="007570B2"/>
    <w:rsid w:val="007610DD"/>
    <w:rsid w:val="0076153B"/>
    <w:rsid w:val="00763F24"/>
    <w:rsid w:val="00764361"/>
    <w:rsid w:val="007645CE"/>
    <w:rsid w:val="00764D8F"/>
    <w:rsid w:val="00773A3B"/>
    <w:rsid w:val="0078429C"/>
    <w:rsid w:val="0078731F"/>
    <w:rsid w:val="007910C7"/>
    <w:rsid w:val="007911CF"/>
    <w:rsid w:val="007919D9"/>
    <w:rsid w:val="0079230D"/>
    <w:rsid w:val="007936AE"/>
    <w:rsid w:val="007946BF"/>
    <w:rsid w:val="007960A8"/>
    <w:rsid w:val="00797533"/>
    <w:rsid w:val="007A2472"/>
    <w:rsid w:val="007A31D4"/>
    <w:rsid w:val="007A35D9"/>
    <w:rsid w:val="007A52EC"/>
    <w:rsid w:val="007A654F"/>
    <w:rsid w:val="007B113C"/>
    <w:rsid w:val="007B1253"/>
    <w:rsid w:val="007B19B9"/>
    <w:rsid w:val="007B6916"/>
    <w:rsid w:val="007B6B7F"/>
    <w:rsid w:val="007C1F60"/>
    <w:rsid w:val="007C43DF"/>
    <w:rsid w:val="007C4E98"/>
    <w:rsid w:val="007C50DF"/>
    <w:rsid w:val="007C59C8"/>
    <w:rsid w:val="007C699D"/>
    <w:rsid w:val="007C7C13"/>
    <w:rsid w:val="007D1A84"/>
    <w:rsid w:val="007D4801"/>
    <w:rsid w:val="007D5392"/>
    <w:rsid w:val="007D56D4"/>
    <w:rsid w:val="007E09BE"/>
    <w:rsid w:val="007E103D"/>
    <w:rsid w:val="007E188B"/>
    <w:rsid w:val="007E34BA"/>
    <w:rsid w:val="007E41E4"/>
    <w:rsid w:val="007E4606"/>
    <w:rsid w:val="007E580C"/>
    <w:rsid w:val="007F1017"/>
    <w:rsid w:val="007F5139"/>
    <w:rsid w:val="007F5828"/>
    <w:rsid w:val="007F5B11"/>
    <w:rsid w:val="00800787"/>
    <w:rsid w:val="008007C4"/>
    <w:rsid w:val="008020B8"/>
    <w:rsid w:val="00802363"/>
    <w:rsid w:val="0080438B"/>
    <w:rsid w:val="008055E0"/>
    <w:rsid w:val="00810A99"/>
    <w:rsid w:val="00810F16"/>
    <w:rsid w:val="00811AB9"/>
    <w:rsid w:val="00814A24"/>
    <w:rsid w:val="008151C7"/>
    <w:rsid w:val="00816571"/>
    <w:rsid w:val="0082290A"/>
    <w:rsid w:val="0082680C"/>
    <w:rsid w:val="00832296"/>
    <w:rsid w:val="008332F2"/>
    <w:rsid w:val="008335CF"/>
    <w:rsid w:val="00834FCD"/>
    <w:rsid w:val="0083598D"/>
    <w:rsid w:val="00836560"/>
    <w:rsid w:val="0084246B"/>
    <w:rsid w:val="00844788"/>
    <w:rsid w:val="008520D8"/>
    <w:rsid w:val="0085530E"/>
    <w:rsid w:val="00856EFD"/>
    <w:rsid w:val="00857140"/>
    <w:rsid w:val="00862766"/>
    <w:rsid w:val="00864E4A"/>
    <w:rsid w:val="00866C86"/>
    <w:rsid w:val="00872C67"/>
    <w:rsid w:val="00875E3C"/>
    <w:rsid w:val="008761F2"/>
    <w:rsid w:val="008804FC"/>
    <w:rsid w:val="00880A58"/>
    <w:rsid w:val="00881388"/>
    <w:rsid w:val="008815D1"/>
    <w:rsid w:val="008823F0"/>
    <w:rsid w:val="008830F7"/>
    <w:rsid w:val="0089017C"/>
    <w:rsid w:val="00893667"/>
    <w:rsid w:val="008943E6"/>
    <w:rsid w:val="0089664B"/>
    <w:rsid w:val="00896740"/>
    <w:rsid w:val="00896AE2"/>
    <w:rsid w:val="00896EAF"/>
    <w:rsid w:val="008A2B8A"/>
    <w:rsid w:val="008A5EF8"/>
    <w:rsid w:val="008A6699"/>
    <w:rsid w:val="008B071E"/>
    <w:rsid w:val="008B7E5C"/>
    <w:rsid w:val="008C03E8"/>
    <w:rsid w:val="008C7A8E"/>
    <w:rsid w:val="008C7DD6"/>
    <w:rsid w:val="008C7FBA"/>
    <w:rsid w:val="008D177E"/>
    <w:rsid w:val="008D1E3E"/>
    <w:rsid w:val="008D4FFD"/>
    <w:rsid w:val="008D6D44"/>
    <w:rsid w:val="008E0541"/>
    <w:rsid w:val="008E4088"/>
    <w:rsid w:val="008E66BF"/>
    <w:rsid w:val="008F5792"/>
    <w:rsid w:val="00900724"/>
    <w:rsid w:val="009009A2"/>
    <w:rsid w:val="00900CD0"/>
    <w:rsid w:val="00910A21"/>
    <w:rsid w:val="0091311E"/>
    <w:rsid w:val="009159DC"/>
    <w:rsid w:val="009206EE"/>
    <w:rsid w:val="00920F0A"/>
    <w:rsid w:val="00921C90"/>
    <w:rsid w:val="00921D91"/>
    <w:rsid w:val="0092255C"/>
    <w:rsid w:val="00923D71"/>
    <w:rsid w:val="00930A63"/>
    <w:rsid w:val="00932A16"/>
    <w:rsid w:val="0093374F"/>
    <w:rsid w:val="0093401D"/>
    <w:rsid w:val="00934965"/>
    <w:rsid w:val="009367E3"/>
    <w:rsid w:val="009409D6"/>
    <w:rsid w:val="00940C36"/>
    <w:rsid w:val="00941D29"/>
    <w:rsid w:val="00942469"/>
    <w:rsid w:val="00945690"/>
    <w:rsid w:val="00951E43"/>
    <w:rsid w:val="0095267D"/>
    <w:rsid w:val="00952922"/>
    <w:rsid w:val="00955818"/>
    <w:rsid w:val="00970254"/>
    <w:rsid w:val="00972114"/>
    <w:rsid w:val="009737AA"/>
    <w:rsid w:val="00974D38"/>
    <w:rsid w:val="00976F85"/>
    <w:rsid w:val="00981559"/>
    <w:rsid w:val="00990210"/>
    <w:rsid w:val="00995925"/>
    <w:rsid w:val="009A13F1"/>
    <w:rsid w:val="009A2667"/>
    <w:rsid w:val="009A4C5F"/>
    <w:rsid w:val="009A523F"/>
    <w:rsid w:val="009A58AC"/>
    <w:rsid w:val="009A6A38"/>
    <w:rsid w:val="009B03C8"/>
    <w:rsid w:val="009B3ED7"/>
    <w:rsid w:val="009B43FE"/>
    <w:rsid w:val="009B59F2"/>
    <w:rsid w:val="009B77D2"/>
    <w:rsid w:val="009C1291"/>
    <w:rsid w:val="009C13FD"/>
    <w:rsid w:val="009C2211"/>
    <w:rsid w:val="009C2407"/>
    <w:rsid w:val="009C3A6E"/>
    <w:rsid w:val="009C5B7D"/>
    <w:rsid w:val="009C7FB6"/>
    <w:rsid w:val="009D1747"/>
    <w:rsid w:val="009D25ED"/>
    <w:rsid w:val="009D27FC"/>
    <w:rsid w:val="009D3647"/>
    <w:rsid w:val="009D6822"/>
    <w:rsid w:val="009D6F33"/>
    <w:rsid w:val="009E1FE6"/>
    <w:rsid w:val="009E3BAB"/>
    <w:rsid w:val="009E4BFD"/>
    <w:rsid w:val="009E5029"/>
    <w:rsid w:val="009E6C90"/>
    <w:rsid w:val="009E75CC"/>
    <w:rsid w:val="009F2002"/>
    <w:rsid w:val="009F22CF"/>
    <w:rsid w:val="009F60CC"/>
    <w:rsid w:val="009F6F68"/>
    <w:rsid w:val="009F757B"/>
    <w:rsid w:val="00A01C24"/>
    <w:rsid w:val="00A028BE"/>
    <w:rsid w:val="00A03358"/>
    <w:rsid w:val="00A0636E"/>
    <w:rsid w:val="00A065BF"/>
    <w:rsid w:val="00A06EE3"/>
    <w:rsid w:val="00A1385D"/>
    <w:rsid w:val="00A13933"/>
    <w:rsid w:val="00A171FC"/>
    <w:rsid w:val="00A2390D"/>
    <w:rsid w:val="00A23D05"/>
    <w:rsid w:val="00A3149A"/>
    <w:rsid w:val="00A3345F"/>
    <w:rsid w:val="00A33DFC"/>
    <w:rsid w:val="00A34313"/>
    <w:rsid w:val="00A35942"/>
    <w:rsid w:val="00A40B5B"/>
    <w:rsid w:val="00A4680C"/>
    <w:rsid w:val="00A478A9"/>
    <w:rsid w:val="00A51316"/>
    <w:rsid w:val="00A5637E"/>
    <w:rsid w:val="00A56499"/>
    <w:rsid w:val="00A56EB8"/>
    <w:rsid w:val="00A57C00"/>
    <w:rsid w:val="00A6036E"/>
    <w:rsid w:val="00A622A6"/>
    <w:rsid w:val="00A624E0"/>
    <w:rsid w:val="00A6455C"/>
    <w:rsid w:val="00A66FAA"/>
    <w:rsid w:val="00A67BF9"/>
    <w:rsid w:val="00A73638"/>
    <w:rsid w:val="00A73D5C"/>
    <w:rsid w:val="00A74591"/>
    <w:rsid w:val="00A75926"/>
    <w:rsid w:val="00A76F1F"/>
    <w:rsid w:val="00A8002B"/>
    <w:rsid w:val="00A802FE"/>
    <w:rsid w:val="00A815D1"/>
    <w:rsid w:val="00A8380A"/>
    <w:rsid w:val="00A84C0E"/>
    <w:rsid w:val="00A86ADA"/>
    <w:rsid w:val="00A921F4"/>
    <w:rsid w:val="00A924C8"/>
    <w:rsid w:val="00A96EE9"/>
    <w:rsid w:val="00AA07EE"/>
    <w:rsid w:val="00AA2A81"/>
    <w:rsid w:val="00AA3C0D"/>
    <w:rsid w:val="00AB0D71"/>
    <w:rsid w:val="00AB1795"/>
    <w:rsid w:val="00AB6C80"/>
    <w:rsid w:val="00AC38A3"/>
    <w:rsid w:val="00AC4D63"/>
    <w:rsid w:val="00AC6C4B"/>
    <w:rsid w:val="00AD04DD"/>
    <w:rsid w:val="00AD211E"/>
    <w:rsid w:val="00AD4209"/>
    <w:rsid w:val="00AD5F4A"/>
    <w:rsid w:val="00AD6445"/>
    <w:rsid w:val="00AE0919"/>
    <w:rsid w:val="00AE310A"/>
    <w:rsid w:val="00AF1820"/>
    <w:rsid w:val="00AF19C9"/>
    <w:rsid w:val="00AF25EE"/>
    <w:rsid w:val="00AF2E00"/>
    <w:rsid w:val="00AF3CB5"/>
    <w:rsid w:val="00AF52B4"/>
    <w:rsid w:val="00AF561E"/>
    <w:rsid w:val="00AF58D7"/>
    <w:rsid w:val="00AF7072"/>
    <w:rsid w:val="00B0006E"/>
    <w:rsid w:val="00B008DA"/>
    <w:rsid w:val="00B05F09"/>
    <w:rsid w:val="00B066AD"/>
    <w:rsid w:val="00B066D3"/>
    <w:rsid w:val="00B06E00"/>
    <w:rsid w:val="00B0766A"/>
    <w:rsid w:val="00B16ED9"/>
    <w:rsid w:val="00B22FB6"/>
    <w:rsid w:val="00B23229"/>
    <w:rsid w:val="00B24163"/>
    <w:rsid w:val="00B2620D"/>
    <w:rsid w:val="00B26690"/>
    <w:rsid w:val="00B2735C"/>
    <w:rsid w:val="00B3025D"/>
    <w:rsid w:val="00B302EC"/>
    <w:rsid w:val="00B31D0C"/>
    <w:rsid w:val="00B32AEA"/>
    <w:rsid w:val="00B33062"/>
    <w:rsid w:val="00B355DD"/>
    <w:rsid w:val="00B35E38"/>
    <w:rsid w:val="00B431B9"/>
    <w:rsid w:val="00B45D2F"/>
    <w:rsid w:val="00B468DE"/>
    <w:rsid w:val="00B46A44"/>
    <w:rsid w:val="00B4706E"/>
    <w:rsid w:val="00B500FF"/>
    <w:rsid w:val="00B624BA"/>
    <w:rsid w:val="00B62AC6"/>
    <w:rsid w:val="00B62D41"/>
    <w:rsid w:val="00B635BA"/>
    <w:rsid w:val="00B63FBF"/>
    <w:rsid w:val="00B64536"/>
    <w:rsid w:val="00B65498"/>
    <w:rsid w:val="00B666A5"/>
    <w:rsid w:val="00B705F9"/>
    <w:rsid w:val="00B73F2A"/>
    <w:rsid w:val="00B7464E"/>
    <w:rsid w:val="00B80B2D"/>
    <w:rsid w:val="00B81685"/>
    <w:rsid w:val="00B81707"/>
    <w:rsid w:val="00B81768"/>
    <w:rsid w:val="00B81D6B"/>
    <w:rsid w:val="00B832B7"/>
    <w:rsid w:val="00B8451F"/>
    <w:rsid w:val="00B84C07"/>
    <w:rsid w:val="00B84C1D"/>
    <w:rsid w:val="00B850CD"/>
    <w:rsid w:val="00B877ED"/>
    <w:rsid w:val="00B90A49"/>
    <w:rsid w:val="00B92FC1"/>
    <w:rsid w:val="00B938CC"/>
    <w:rsid w:val="00B94BBB"/>
    <w:rsid w:val="00B9693B"/>
    <w:rsid w:val="00BA1AF9"/>
    <w:rsid w:val="00BA2DB8"/>
    <w:rsid w:val="00BB3461"/>
    <w:rsid w:val="00BB4A84"/>
    <w:rsid w:val="00BB4C02"/>
    <w:rsid w:val="00BB6544"/>
    <w:rsid w:val="00BB6D7A"/>
    <w:rsid w:val="00BB6E5E"/>
    <w:rsid w:val="00BB7518"/>
    <w:rsid w:val="00BC0C83"/>
    <w:rsid w:val="00BC2503"/>
    <w:rsid w:val="00BC2C3D"/>
    <w:rsid w:val="00BC3112"/>
    <w:rsid w:val="00BC401C"/>
    <w:rsid w:val="00BC5188"/>
    <w:rsid w:val="00BC7D87"/>
    <w:rsid w:val="00BD01A3"/>
    <w:rsid w:val="00BD41BB"/>
    <w:rsid w:val="00BD4F07"/>
    <w:rsid w:val="00BD6202"/>
    <w:rsid w:val="00BE240B"/>
    <w:rsid w:val="00BE25EE"/>
    <w:rsid w:val="00BE53B2"/>
    <w:rsid w:val="00BE55D2"/>
    <w:rsid w:val="00BE7E1F"/>
    <w:rsid w:val="00BF0101"/>
    <w:rsid w:val="00BF2BD4"/>
    <w:rsid w:val="00BF57B6"/>
    <w:rsid w:val="00BF5B6B"/>
    <w:rsid w:val="00C01226"/>
    <w:rsid w:val="00C051DA"/>
    <w:rsid w:val="00C06431"/>
    <w:rsid w:val="00C06C95"/>
    <w:rsid w:val="00C11B07"/>
    <w:rsid w:val="00C161D8"/>
    <w:rsid w:val="00C1623E"/>
    <w:rsid w:val="00C16E86"/>
    <w:rsid w:val="00C22BB0"/>
    <w:rsid w:val="00C30327"/>
    <w:rsid w:val="00C3172E"/>
    <w:rsid w:val="00C31F6B"/>
    <w:rsid w:val="00C3208D"/>
    <w:rsid w:val="00C36D4B"/>
    <w:rsid w:val="00C3758D"/>
    <w:rsid w:val="00C377F5"/>
    <w:rsid w:val="00C37A49"/>
    <w:rsid w:val="00C42CEF"/>
    <w:rsid w:val="00C45A28"/>
    <w:rsid w:val="00C5066A"/>
    <w:rsid w:val="00C523AB"/>
    <w:rsid w:val="00C54216"/>
    <w:rsid w:val="00C544F5"/>
    <w:rsid w:val="00C563EC"/>
    <w:rsid w:val="00C627D3"/>
    <w:rsid w:val="00C63E47"/>
    <w:rsid w:val="00C7053B"/>
    <w:rsid w:val="00C70FBF"/>
    <w:rsid w:val="00C71338"/>
    <w:rsid w:val="00C7522D"/>
    <w:rsid w:val="00C75324"/>
    <w:rsid w:val="00C75F43"/>
    <w:rsid w:val="00C81997"/>
    <w:rsid w:val="00C8350A"/>
    <w:rsid w:val="00C83990"/>
    <w:rsid w:val="00C83B18"/>
    <w:rsid w:val="00C84C8E"/>
    <w:rsid w:val="00C908DB"/>
    <w:rsid w:val="00C930D4"/>
    <w:rsid w:val="00CA2033"/>
    <w:rsid w:val="00CA275D"/>
    <w:rsid w:val="00CA3B04"/>
    <w:rsid w:val="00CA5C59"/>
    <w:rsid w:val="00CA5EAD"/>
    <w:rsid w:val="00CB0EB7"/>
    <w:rsid w:val="00CB1A06"/>
    <w:rsid w:val="00CB1E18"/>
    <w:rsid w:val="00CB2389"/>
    <w:rsid w:val="00CB349B"/>
    <w:rsid w:val="00CB4DEE"/>
    <w:rsid w:val="00CB5853"/>
    <w:rsid w:val="00CB5995"/>
    <w:rsid w:val="00CB640F"/>
    <w:rsid w:val="00CB6510"/>
    <w:rsid w:val="00CC02BB"/>
    <w:rsid w:val="00CC204F"/>
    <w:rsid w:val="00CC2F9E"/>
    <w:rsid w:val="00CC31CB"/>
    <w:rsid w:val="00CC70F7"/>
    <w:rsid w:val="00CC7782"/>
    <w:rsid w:val="00CD30EA"/>
    <w:rsid w:val="00CD3C00"/>
    <w:rsid w:val="00CD3DFE"/>
    <w:rsid w:val="00CD4079"/>
    <w:rsid w:val="00CD6278"/>
    <w:rsid w:val="00CD7553"/>
    <w:rsid w:val="00CE1748"/>
    <w:rsid w:val="00CE54F4"/>
    <w:rsid w:val="00CE581E"/>
    <w:rsid w:val="00CE5975"/>
    <w:rsid w:val="00CE5AB0"/>
    <w:rsid w:val="00CE7BA6"/>
    <w:rsid w:val="00CE7C43"/>
    <w:rsid w:val="00CF28CE"/>
    <w:rsid w:val="00CF4805"/>
    <w:rsid w:val="00CF49CC"/>
    <w:rsid w:val="00CF5470"/>
    <w:rsid w:val="00CF5640"/>
    <w:rsid w:val="00CF63BF"/>
    <w:rsid w:val="00CF6E3A"/>
    <w:rsid w:val="00CF7069"/>
    <w:rsid w:val="00CF7574"/>
    <w:rsid w:val="00D00AF3"/>
    <w:rsid w:val="00D0285A"/>
    <w:rsid w:val="00D03737"/>
    <w:rsid w:val="00D10239"/>
    <w:rsid w:val="00D1264F"/>
    <w:rsid w:val="00D12BBE"/>
    <w:rsid w:val="00D17440"/>
    <w:rsid w:val="00D251C1"/>
    <w:rsid w:val="00D27774"/>
    <w:rsid w:val="00D315F5"/>
    <w:rsid w:val="00D331E6"/>
    <w:rsid w:val="00D33571"/>
    <w:rsid w:val="00D404BF"/>
    <w:rsid w:val="00D42348"/>
    <w:rsid w:val="00D434F0"/>
    <w:rsid w:val="00D43799"/>
    <w:rsid w:val="00D45087"/>
    <w:rsid w:val="00D4576A"/>
    <w:rsid w:val="00D47FD6"/>
    <w:rsid w:val="00D502F5"/>
    <w:rsid w:val="00D538B4"/>
    <w:rsid w:val="00D53934"/>
    <w:rsid w:val="00D542D7"/>
    <w:rsid w:val="00D547AF"/>
    <w:rsid w:val="00D54B1D"/>
    <w:rsid w:val="00D54B72"/>
    <w:rsid w:val="00D56697"/>
    <w:rsid w:val="00D6045F"/>
    <w:rsid w:val="00D60E18"/>
    <w:rsid w:val="00D623B0"/>
    <w:rsid w:val="00D64E58"/>
    <w:rsid w:val="00D660FA"/>
    <w:rsid w:val="00D67045"/>
    <w:rsid w:val="00D67C8F"/>
    <w:rsid w:val="00D70CEE"/>
    <w:rsid w:val="00D753EF"/>
    <w:rsid w:val="00D75ECA"/>
    <w:rsid w:val="00D80B3B"/>
    <w:rsid w:val="00D8244A"/>
    <w:rsid w:val="00D8294D"/>
    <w:rsid w:val="00D82B93"/>
    <w:rsid w:val="00D83201"/>
    <w:rsid w:val="00D8757E"/>
    <w:rsid w:val="00D90A9C"/>
    <w:rsid w:val="00D92BB8"/>
    <w:rsid w:val="00D93477"/>
    <w:rsid w:val="00DA2498"/>
    <w:rsid w:val="00DA5A37"/>
    <w:rsid w:val="00DA5FED"/>
    <w:rsid w:val="00DA759D"/>
    <w:rsid w:val="00DB03F6"/>
    <w:rsid w:val="00DB062D"/>
    <w:rsid w:val="00DB116F"/>
    <w:rsid w:val="00DB3B71"/>
    <w:rsid w:val="00DB442B"/>
    <w:rsid w:val="00DC0DDF"/>
    <w:rsid w:val="00DC1A48"/>
    <w:rsid w:val="00DC1EC7"/>
    <w:rsid w:val="00DC3366"/>
    <w:rsid w:val="00DC3502"/>
    <w:rsid w:val="00DC4B1C"/>
    <w:rsid w:val="00DC6C75"/>
    <w:rsid w:val="00DD0553"/>
    <w:rsid w:val="00DD055E"/>
    <w:rsid w:val="00DD30AE"/>
    <w:rsid w:val="00DD52F7"/>
    <w:rsid w:val="00DD5311"/>
    <w:rsid w:val="00DD79DE"/>
    <w:rsid w:val="00DE5C66"/>
    <w:rsid w:val="00DE5F4C"/>
    <w:rsid w:val="00DE5F90"/>
    <w:rsid w:val="00DE6114"/>
    <w:rsid w:val="00DF1704"/>
    <w:rsid w:val="00DF3066"/>
    <w:rsid w:val="00DF61CD"/>
    <w:rsid w:val="00DF6750"/>
    <w:rsid w:val="00E0000B"/>
    <w:rsid w:val="00E00BB6"/>
    <w:rsid w:val="00E0128C"/>
    <w:rsid w:val="00E025C3"/>
    <w:rsid w:val="00E03CE4"/>
    <w:rsid w:val="00E04F10"/>
    <w:rsid w:val="00E07E95"/>
    <w:rsid w:val="00E114A9"/>
    <w:rsid w:val="00E11D09"/>
    <w:rsid w:val="00E12659"/>
    <w:rsid w:val="00E128A9"/>
    <w:rsid w:val="00E14808"/>
    <w:rsid w:val="00E153B9"/>
    <w:rsid w:val="00E165EA"/>
    <w:rsid w:val="00E227A5"/>
    <w:rsid w:val="00E239CA"/>
    <w:rsid w:val="00E23B5B"/>
    <w:rsid w:val="00E23EB5"/>
    <w:rsid w:val="00E25768"/>
    <w:rsid w:val="00E300E3"/>
    <w:rsid w:val="00E32CF8"/>
    <w:rsid w:val="00E346D3"/>
    <w:rsid w:val="00E36B1B"/>
    <w:rsid w:val="00E427D6"/>
    <w:rsid w:val="00E4296F"/>
    <w:rsid w:val="00E42C46"/>
    <w:rsid w:val="00E44FE7"/>
    <w:rsid w:val="00E46A4F"/>
    <w:rsid w:val="00E46B16"/>
    <w:rsid w:val="00E47051"/>
    <w:rsid w:val="00E57946"/>
    <w:rsid w:val="00E62134"/>
    <w:rsid w:val="00E62ECA"/>
    <w:rsid w:val="00E636A2"/>
    <w:rsid w:val="00E63B0C"/>
    <w:rsid w:val="00E656E1"/>
    <w:rsid w:val="00E6652F"/>
    <w:rsid w:val="00E6694A"/>
    <w:rsid w:val="00E71F11"/>
    <w:rsid w:val="00E72733"/>
    <w:rsid w:val="00E74688"/>
    <w:rsid w:val="00E758ED"/>
    <w:rsid w:val="00E75BFB"/>
    <w:rsid w:val="00E777EF"/>
    <w:rsid w:val="00E826E3"/>
    <w:rsid w:val="00E82F8B"/>
    <w:rsid w:val="00E83FB7"/>
    <w:rsid w:val="00E85972"/>
    <w:rsid w:val="00E86E8B"/>
    <w:rsid w:val="00E9178C"/>
    <w:rsid w:val="00E934F6"/>
    <w:rsid w:val="00E93686"/>
    <w:rsid w:val="00E93C50"/>
    <w:rsid w:val="00E965B7"/>
    <w:rsid w:val="00E96880"/>
    <w:rsid w:val="00E96C62"/>
    <w:rsid w:val="00E96E5C"/>
    <w:rsid w:val="00EA0276"/>
    <w:rsid w:val="00EA26F4"/>
    <w:rsid w:val="00EA31B4"/>
    <w:rsid w:val="00EA349B"/>
    <w:rsid w:val="00EA496B"/>
    <w:rsid w:val="00EA60A1"/>
    <w:rsid w:val="00EA71AF"/>
    <w:rsid w:val="00EA73CA"/>
    <w:rsid w:val="00EA7ECC"/>
    <w:rsid w:val="00EB024A"/>
    <w:rsid w:val="00EB199F"/>
    <w:rsid w:val="00EB73A1"/>
    <w:rsid w:val="00EB7408"/>
    <w:rsid w:val="00EC08BC"/>
    <w:rsid w:val="00EC0CE5"/>
    <w:rsid w:val="00EC2620"/>
    <w:rsid w:val="00EC33AA"/>
    <w:rsid w:val="00EC4699"/>
    <w:rsid w:val="00EC77E9"/>
    <w:rsid w:val="00ED212A"/>
    <w:rsid w:val="00ED327D"/>
    <w:rsid w:val="00ED35E9"/>
    <w:rsid w:val="00ED4B27"/>
    <w:rsid w:val="00ED5517"/>
    <w:rsid w:val="00ED58D4"/>
    <w:rsid w:val="00ED5B6D"/>
    <w:rsid w:val="00ED79C3"/>
    <w:rsid w:val="00EE3861"/>
    <w:rsid w:val="00EE3D8A"/>
    <w:rsid w:val="00EE43E1"/>
    <w:rsid w:val="00EE5199"/>
    <w:rsid w:val="00EE5BE8"/>
    <w:rsid w:val="00EE6CF8"/>
    <w:rsid w:val="00EE6D62"/>
    <w:rsid w:val="00EE7437"/>
    <w:rsid w:val="00EF0338"/>
    <w:rsid w:val="00EF542D"/>
    <w:rsid w:val="00EF5CBA"/>
    <w:rsid w:val="00EF7531"/>
    <w:rsid w:val="00F02B80"/>
    <w:rsid w:val="00F04C9B"/>
    <w:rsid w:val="00F0640E"/>
    <w:rsid w:val="00F07BC0"/>
    <w:rsid w:val="00F1217B"/>
    <w:rsid w:val="00F13488"/>
    <w:rsid w:val="00F20027"/>
    <w:rsid w:val="00F22880"/>
    <w:rsid w:val="00F25829"/>
    <w:rsid w:val="00F266BA"/>
    <w:rsid w:val="00F267AE"/>
    <w:rsid w:val="00F27475"/>
    <w:rsid w:val="00F27845"/>
    <w:rsid w:val="00F3000D"/>
    <w:rsid w:val="00F30DAE"/>
    <w:rsid w:val="00F320B8"/>
    <w:rsid w:val="00F34373"/>
    <w:rsid w:val="00F40A98"/>
    <w:rsid w:val="00F423C1"/>
    <w:rsid w:val="00F44308"/>
    <w:rsid w:val="00F457BB"/>
    <w:rsid w:val="00F45BB9"/>
    <w:rsid w:val="00F47FCA"/>
    <w:rsid w:val="00F508C5"/>
    <w:rsid w:val="00F51CFF"/>
    <w:rsid w:val="00F53520"/>
    <w:rsid w:val="00F53F9B"/>
    <w:rsid w:val="00F54C7B"/>
    <w:rsid w:val="00F5639E"/>
    <w:rsid w:val="00F603E0"/>
    <w:rsid w:val="00F61132"/>
    <w:rsid w:val="00F61EAA"/>
    <w:rsid w:val="00F6215B"/>
    <w:rsid w:val="00F6461C"/>
    <w:rsid w:val="00F646B0"/>
    <w:rsid w:val="00F675D0"/>
    <w:rsid w:val="00F72CC9"/>
    <w:rsid w:val="00F72EF5"/>
    <w:rsid w:val="00F75EEF"/>
    <w:rsid w:val="00F8072F"/>
    <w:rsid w:val="00F831B7"/>
    <w:rsid w:val="00F84080"/>
    <w:rsid w:val="00F846C7"/>
    <w:rsid w:val="00F84B7F"/>
    <w:rsid w:val="00F84DB7"/>
    <w:rsid w:val="00F84F7C"/>
    <w:rsid w:val="00F857B7"/>
    <w:rsid w:val="00F920E8"/>
    <w:rsid w:val="00F936D8"/>
    <w:rsid w:val="00F94571"/>
    <w:rsid w:val="00F96400"/>
    <w:rsid w:val="00FA143E"/>
    <w:rsid w:val="00FA1806"/>
    <w:rsid w:val="00FA1B89"/>
    <w:rsid w:val="00FA3370"/>
    <w:rsid w:val="00FA48BB"/>
    <w:rsid w:val="00FA5586"/>
    <w:rsid w:val="00FA5A1F"/>
    <w:rsid w:val="00FA79BB"/>
    <w:rsid w:val="00FB0024"/>
    <w:rsid w:val="00FB2BDC"/>
    <w:rsid w:val="00FB4FDA"/>
    <w:rsid w:val="00FB6A9F"/>
    <w:rsid w:val="00FC0B68"/>
    <w:rsid w:val="00FC0EF8"/>
    <w:rsid w:val="00FC16B2"/>
    <w:rsid w:val="00FC25AA"/>
    <w:rsid w:val="00FC374B"/>
    <w:rsid w:val="00FC4A18"/>
    <w:rsid w:val="00FD7281"/>
    <w:rsid w:val="00FD7A0C"/>
    <w:rsid w:val="00FE43FB"/>
    <w:rsid w:val="00FE5614"/>
    <w:rsid w:val="00FE63B4"/>
    <w:rsid w:val="00FE657C"/>
    <w:rsid w:val="00FE72AF"/>
    <w:rsid w:val="00FE74C2"/>
    <w:rsid w:val="00FE7EAA"/>
    <w:rsid w:val="00FF16F5"/>
    <w:rsid w:val="00FF3B57"/>
    <w:rsid w:val="0B8BF13B"/>
    <w:rsid w:val="0E4195E6"/>
    <w:rsid w:val="0E6467FF"/>
    <w:rsid w:val="212C6B4D"/>
    <w:rsid w:val="320FE19E"/>
    <w:rsid w:val="424276F2"/>
    <w:rsid w:val="482DCD21"/>
    <w:rsid w:val="5903BFE1"/>
    <w:rsid w:val="6D56E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8371"/>
  <w15:chartTrackingRefBased/>
  <w15:docId w15:val="{D1B1DA76-5F8C-4FD8-B2CD-9E9C7309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502"/>
  </w:style>
  <w:style w:type="paragraph" w:styleId="Heading1">
    <w:name w:val="heading 1"/>
    <w:basedOn w:val="Normal"/>
    <w:next w:val="Normal"/>
    <w:link w:val="Heading1Char"/>
    <w:uiPriority w:val="9"/>
    <w:qFormat/>
    <w:rsid w:val="00102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E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E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E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E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E53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0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53"/>
  </w:style>
  <w:style w:type="paragraph" w:styleId="Header">
    <w:name w:val="header"/>
    <w:basedOn w:val="Normal"/>
    <w:link w:val="HeaderChar"/>
    <w:uiPriority w:val="99"/>
    <w:unhideWhenUsed/>
    <w:rsid w:val="0010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53"/>
  </w:style>
  <w:style w:type="table" w:styleId="TableGrid">
    <w:name w:val="Table Grid"/>
    <w:basedOn w:val="TableNormal"/>
    <w:rsid w:val="00102E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0B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5C3"/>
    <w:rPr>
      <w:b/>
      <w:bCs/>
      <w:sz w:val="20"/>
      <w:szCs w:val="20"/>
    </w:rPr>
  </w:style>
  <w:style w:type="paragraph" w:customStyle="1" w:styleId="DeptBullets">
    <w:name w:val="DeptBullets"/>
    <w:basedOn w:val="Normal"/>
    <w:link w:val="DeptBulletsChar"/>
    <w:rsid w:val="00A6036E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DeptBulletsChar">
    <w:name w:val="DeptBullets Char"/>
    <w:basedOn w:val="DefaultParagraphFont"/>
    <w:link w:val="DeptBullets"/>
    <w:rsid w:val="00A6036E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99B65-7AD2-4B3F-AA07-8D6EC869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E29AE-6554-406F-B7C6-A1D53DBC940B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edeaa573-51a5-4374-bb63-b6a82edec0af"/>
  </ds:schemaRefs>
</ds:datastoreItem>
</file>

<file path=customXml/itemProps3.xml><?xml version="1.0" encoding="utf-8"?>
<ds:datastoreItem xmlns:ds="http://schemas.openxmlformats.org/officeDocument/2006/customXml" ds:itemID="{38F242A5-A087-4CF8-9F4A-3A4D7C2F3E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a8c627-88ae-4044-bd73-e0933ca500e0}" enabled="0" method="" siteId="{cba8c627-88ae-4044-bd73-e0933ca500e0}" removed="1"/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1813</Words>
  <Characters>10336</Characters>
  <Application>Microsoft Office Word</Application>
  <DocSecurity>0</DocSecurity>
  <Lines>86</Lines>
  <Paragraphs>24</Paragraphs>
  <ScaleCrop>false</ScaleCrop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MYLES, Abbie</dc:creator>
  <cp:keywords/>
  <dc:description/>
  <cp:lastModifiedBy>DODDS, Loraine</cp:lastModifiedBy>
  <cp:revision>2</cp:revision>
  <dcterms:created xsi:type="dcterms:W3CDTF">2025-06-23T10:10:00Z</dcterms:created>
  <dcterms:modified xsi:type="dcterms:W3CDTF">2025-06-23T10:10:00Z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-GalaxkeyClassification">
    <vt:lpwstr>Official – External</vt:lpwstr>
  </property>
  <property fmtid="{D5CDD505-2E9C-101B-9397-08002B2CF9AE}" pid="3" name="ContentTypeId">
    <vt:lpwstr>0x0101009263BDA5C377B543A5FEE4227FBA7951</vt:lpwstr>
  </property>
  <property fmtid="{D5CDD505-2E9C-101B-9397-08002B2CF9AE}" pid="4" name="MediaServiceImageTags">
    <vt:lpwstr/>
  </property>
  <property fmtid="{D5CDD505-2E9C-101B-9397-08002B2CF9AE}" pid="5" name="XGalaxkeyClassification">
    <vt:lpwstr>Official – External</vt:lpwstr>
  </property>
</Properties>
</file>