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7F204" w14:textId="223B8CCB" w:rsidR="009B47CF" w:rsidRDefault="00AA51AB" w:rsidP="006F3B6B">
      <w:bookmarkStart w:id="0" w:name="_GoBack"/>
      <w:bookmarkEnd w:id="0"/>
      <w:r>
        <w:rPr>
          <w:noProof/>
        </w:rPr>
        <w:drawing>
          <wp:inline distT="0" distB="0" distL="0" distR="0" wp14:anchorId="3FB7F29C" wp14:editId="3FB7F29D">
            <wp:extent cx="1524000" cy="906780"/>
            <wp:effectExtent l="0" t="0" r="0" b="7620"/>
            <wp:docPr id="1" name="Picture 1"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Educatio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906780"/>
                    </a:xfrm>
                    <a:prstGeom prst="rect">
                      <a:avLst/>
                    </a:prstGeom>
                    <a:noFill/>
                    <a:ln>
                      <a:noFill/>
                    </a:ln>
                  </pic:spPr>
                </pic:pic>
              </a:graphicData>
            </a:graphic>
          </wp:inline>
        </w:drawing>
      </w:r>
      <w:r w:rsidR="00BE201C">
        <w:tab/>
      </w:r>
      <w:r w:rsidR="00BE201C">
        <w:tab/>
      </w:r>
      <w:r w:rsidR="00BE201C">
        <w:tab/>
      </w:r>
      <w:r w:rsidR="00BE201C">
        <w:tab/>
        <w:t xml:space="preserve"> </w:t>
      </w:r>
    </w:p>
    <w:p w14:paraId="2CBE3CA3" w14:textId="77777777" w:rsidR="0048303E" w:rsidRDefault="0062636F" w:rsidP="0048303E">
      <w:pPr>
        <w:pStyle w:val="TitleText"/>
        <w:spacing w:line="24" w:lineRule="atLeast"/>
        <w:jc w:val="center"/>
        <w:rPr>
          <w:sz w:val="72"/>
          <w:szCs w:val="72"/>
        </w:rPr>
      </w:pPr>
      <w:r w:rsidRPr="0048303E">
        <w:rPr>
          <w:sz w:val="72"/>
          <w:szCs w:val="72"/>
        </w:rPr>
        <w:t xml:space="preserve">Teachers’ </w:t>
      </w:r>
      <w:r w:rsidR="00864B01" w:rsidRPr="0048303E">
        <w:rPr>
          <w:sz w:val="72"/>
          <w:szCs w:val="72"/>
        </w:rPr>
        <w:t>Pension</w:t>
      </w:r>
      <w:r w:rsidR="00F9670D" w:rsidRPr="0048303E">
        <w:rPr>
          <w:sz w:val="72"/>
          <w:szCs w:val="72"/>
        </w:rPr>
        <w:t>s</w:t>
      </w:r>
      <w:r w:rsidR="00864B01" w:rsidRPr="0048303E">
        <w:rPr>
          <w:sz w:val="72"/>
          <w:szCs w:val="72"/>
        </w:rPr>
        <w:t xml:space="preserve"> </w:t>
      </w:r>
      <w:r w:rsidRPr="0048303E">
        <w:rPr>
          <w:sz w:val="72"/>
          <w:szCs w:val="72"/>
        </w:rPr>
        <w:t>Scheme Pension Board</w:t>
      </w:r>
    </w:p>
    <w:p w14:paraId="3FB7F206" w14:textId="1929092B" w:rsidR="00864B01" w:rsidRPr="0048303E" w:rsidRDefault="0062636F" w:rsidP="0048303E">
      <w:pPr>
        <w:pStyle w:val="TitleText"/>
        <w:spacing w:line="24" w:lineRule="atLeast"/>
        <w:jc w:val="center"/>
        <w:rPr>
          <w:sz w:val="72"/>
          <w:szCs w:val="72"/>
        </w:rPr>
      </w:pPr>
      <w:r w:rsidRPr="0048303E">
        <w:rPr>
          <w:sz w:val="72"/>
          <w:szCs w:val="72"/>
        </w:rPr>
        <w:t xml:space="preserve">Legal </w:t>
      </w:r>
      <w:r w:rsidR="00864B01" w:rsidRPr="0048303E">
        <w:rPr>
          <w:sz w:val="72"/>
          <w:szCs w:val="72"/>
        </w:rPr>
        <w:t>Re</w:t>
      </w:r>
      <w:r w:rsidRPr="0048303E">
        <w:rPr>
          <w:sz w:val="72"/>
          <w:szCs w:val="72"/>
        </w:rPr>
        <w:t>quirements</w:t>
      </w:r>
    </w:p>
    <w:p w14:paraId="140E301D" w14:textId="77777777" w:rsidR="0048303E" w:rsidRDefault="009B47CF" w:rsidP="0048303E">
      <w:pPr>
        <w:pStyle w:val="SubtitleText"/>
        <w:spacing w:after="2160"/>
      </w:pPr>
      <w:r w:rsidRPr="00985297">
        <w:t xml:space="preserve">Summary of </w:t>
      </w:r>
      <w:r w:rsidR="00D225CB">
        <w:t xml:space="preserve">the legal requirements and responsibilities of the </w:t>
      </w:r>
      <w:r w:rsidR="0062636F">
        <w:t>Pensi</w:t>
      </w:r>
      <w:r w:rsidR="00D225CB">
        <w:t>on Board</w:t>
      </w:r>
    </w:p>
    <w:p w14:paraId="3FB7F21B" w14:textId="77777777" w:rsidR="009B47CF" w:rsidRPr="0048303E" w:rsidRDefault="00D225CB" w:rsidP="008A1A9B">
      <w:pPr>
        <w:pStyle w:val="Heading1"/>
        <w:spacing w:before="240"/>
        <w:rPr>
          <w:b w:val="0"/>
          <w:color w:val="1F497D" w:themeColor="text2"/>
          <w:sz w:val="28"/>
          <w:szCs w:val="28"/>
        </w:rPr>
      </w:pPr>
      <w:bookmarkStart w:id="1" w:name="_Toc389664249"/>
      <w:bookmarkStart w:id="2" w:name="_Toc336504577"/>
      <w:bookmarkStart w:id="3" w:name="_Toc328122777"/>
      <w:r w:rsidRPr="0048303E">
        <w:rPr>
          <w:color w:val="1F497D" w:themeColor="text2"/>
          <w:sz w:val="28"/>
          <w:szCs w:val="28"/>
        </w:rPr>
        <w:lastRenderedPageBreak/>
        <w:t>Document Purpose</w:t>
      </w:r>
      <w:bookmarkEnd w:id="1"/>
    </w:p>
    <w:p w14:paraId="3FB7F21C" w14:textId="48E0B14D" w:rsidR="00D225CB" w:rsidRPr="0048303E" w:rsidRDefault="00D225CB" w:rsidP="0048303E">
      <w:pPr>
        <w:pStyle w:val="ListParagraph"/>
        <w:numPr>
          <w:ilvl w:val="0"/>
          <w:numId w:val="23"/>
        </w:numPr>
        <w:spacing w:before="120" w:line="240" w:lineRule="auto"/>
      </w:pPr>
      <w:bookmarkStart w:id="4" w:name="_Toc352774643"/>
      <w:bookmarkStart w:id="5" w:name="_Toc352831741"/>
      <w:bookmarkStart w:id="6" w:name="_Toc352774634"/>
      <w:bookmarkStart w:id="7" w:name="_Toc352831732"/>
      <w:r w:rsidRPr="0048303E">
        <w:t xml:space="preserve">This document </w:t>
      </w:r>
      <w:proofErr w:type="gramStart"/>
      <w:r w:rsidRPr="0048303E">
        <w:t>is intended to be used</w:t>
      </w:r>
      <w:proofErr w:type="gramEnd"/>
      <w:r w:rsidRPr="0048303E">
        <w:t xml:space="preserve"> as a reference to the legislation </w:t>
      </w:r>
      <w:r w:rsidR="004A1250" w:rsidRPr="0048303E">
        <w:t xml:space="preserve">relevant to </w:t>
      </w:r>
      <w:r w:rsidRPr="0048303E">
        <w:t>th</w:t>
      </w:r>
      <w:r w:rsidR="004A1250" w:rsidRPr="0048303E">
        <w:t>ose</w:t>
      </w:r>
      <w:r w:rsidRPr="0048303E">
        <w:t xml:space="preserve"> </w:t>
      </w:r>
      <w:r w:rsidR="004A1250" w:rsidRPr="0048303E">
        <w:t>P</w:t>
      </w:r>
      <w:r w:rsidRPr="0048303E">
        <w:t xml:space="preserve">ension </w:t>
      </w:r>
      <w:r w:rsidR="004A1250" w:rsidRPr="0048303E">
        <w:t>B</w:t>
      </w:r>
      <w:r w:rsidRPr="0048303E">
        <w:t>oard</w:t>
      </w:r>
      <w:r w:rsidR="004A1250" w:rsidRPr="0048303E">
        <w:t xml:space="preserve">s </w:t>
      </w:r>
      <w:r w:rsidRPr="0048303E">
        <w:t xml:space="preserve">introduced under scheme reform.  </w:t>
      </w:r>
      <w:proofErr w:type="gramStart"/>
      <w:r w:rsidRPr="0048303E">
        <w:t>The document</w:t>
      </w:r>
      <w:r w:rsidR="003375A9" w:rsidRPr="0048303E">
        <w:t>’</w:t>
      </w:r>
      <w:r w:rsidRPr="0048303E">
        <w:t>s purpose is to provide members of the Teachers’ Pension Scheme Pe</w:t>
      </w:r>
      <w:r w:rsidR="00946525" w:rsidRPr="0048303E">
        <w:t xml:space="preserve">nsion Board </w:t>
      </w:r>
      <w:r w:rsidR="003375A9" w:rsidRPr="0048303E">
        <w:t>(</w:t>
      </w:r>
      <w:r w:rsidR="00946525" w:rsidRPr="0048303E">
        <w:t xml:space="preserve">hereafter </w:t>
      </w:r>
      <w:r w:rsidR="003375A9" w:rsidRPr="0048303E">
        <w:t xml:space="preserve">the </w:t>
      </w:r>
      <w:r w:rsidR="00946525" w:rsidRPr="0048303E">
        <w:t>Pension B</w:t>
      </w:r>
      <w:r w:rsidRPr="0048303E">
        <w:t>oard</w:t>
      </w:r>
      <w:r w:rsidR="003375A9" w:rsidRPr="0048303E">
        <w:t>)</w:t>
      </w:r>
      <w:r w:rsidRPr="0048303E">
        <w:t xml:space="preserve"> </w:t>
      </w:r>
      <w:r w:rsidR="00337BFA" w:rsidRPr="0048303E">
        <w:t xml:space="preserve">and of the Scheme Advisory Board </w:t>
      </w:r>
      <w:r w:rsidRPr="0048303E">
        <w:t xml:space="preserve">with high level detail of the legal requirements of the scheme as a whole, the requirements that </w:t>
      </w:r>
      <w:r w:rsidR="00740CF4" w:rsidRPr="0048303E">
        <w:t>relate</w:t>
      </w:r>
      <w:r w:rsidRPr="0048303E">
        <w:t xml:space="preserve"> to the responsibilities of the </w:t>
      </w:r>
      <w:r w:rsidR="00E30640" w:rsidRPr="0048303E">
        <w:t>s</w:t>
      </w:r>
      <w:r w:rsidRPr="0048303E">
        <w:t xml:space="preserve">cheme </w:t>
      </w:r>
      <w:r w:rsidR="00E30640" w:rsidRPr="0048303E">
        <w:t>m</w:t>
      </w:r>
      <w:r w:rsidRPr="0048303E">
        <w:t xml:space="preserve">anager, and further detail on the requirements that apply to </w:t>
      </w:r>
      <w:r w:rsidR="00740CF4" w:rsidRPr="0048303E">
        <w:t xml:space="preserve">the operation of the </w:t>
      </w:r>
      <w:r w:rsidR="004A1250" w:rsidRPr="0048303E">
        <w:t>P</w:t>
      </w:r>
      <w:r w:rsidRPr="0048303E">
        <w:t xml:space="preserve">ension </w:t>
      </w:r>
      <w:r w:rsidR="004A1250" w:rsidRPr="0048303E">
        <w:t>B</w:t>
      </w:r>
      <w:r w:rsidRPr="0048303E">
        <w:t xml:space="preserve">oard </w:t>
      </w:r>
      <w:r w:rsidR="00740CF4" w:rsidRPr="0048303E">
        <w:t xml:space="preserve">and </w:t>
      </w:r>
      <w:r w:rsidR="004A1250" w:rsidRPr="0048303E">
        <w:t xml:space="preserve">its </w:t>
      </w:r>
      <w:r w:rsidRPr="0048303E">
        <w:t>members.</w:t>
      </w:r>
      <w:proofErr w:type="gramEnd"/>
    </w:p>
    <w:p w14:paraId="24131A11" w14:textId="3E8F8AAF" w:rsidR="00800B2E" w:rsidRDefault="00CD3C8D" w:rsidP="0048303E">
      <w:pPr>
        <w:pStyle w:val="ListParagraph"/>
        <w:numPr>
          <w:ilvl w:val="0"/>
          <w:numId w:val="23"/>
        </w:numPr>
        <w:spacing w:before="120" w:line="240" w:lineRule="auto"/>
      </w:pPr>
      <w:r w:rsidRPr="0048303E">
        <w:t xml:space="preserve">The document </w:t>
      </w:r>
      <w:proofErr w:type="gramStart"/>
      <w:r w:rsidRPr="0048303E">
        <w:t>is intended</w:t>
      </w:r>
      <w:proofErr w:type="gramEnd"/>
      <w:r w:rsidRPr="0048303E">
        <w:t xml:space="preserve"> as a guide only and does not constitute a definitive statement of the law.</w:t>
      </w:r>
      <w:r w:rsidR="00337BFA" w:rsidRPr="0048303E">
        <w:t xml:space="preserve"> </w:t>
      </w:r>
      <w:r w:rsidRPr="0048303E">
        <w:t xml:space="preserve"> </w:t>
      </w:r>
      <w:r w:rsidR="008133A6" w:rsidRPr="0048303E">
        <w:t>If th</w:t>
      </w:r>
      <w:r w:rsidR="004A1250" w:rsidRPr="0048303E">
        <w:t>ere is any</w:t>
      </w:r>
      <w:r w:rsidR="00433466" w:rsidRPr="0048303E">
        <w:t xml:space="preserve"> doubt as to their legal obligations</w:t>
      </w:r>
      <w:r w:rsidR="008133A6" w:rsidRPr="0048303E">
        <w:t>,</w:t>
      </w:r>
      <w:r w:rsidR="00433466" w:rsidRPr="0048303E">
        <w:t xml:space="preserve"> Pension Board and Scheme Advisory Board members should seek independent legal advice</w:t>
      </w:r>
      <w:bookmarkStart w:id="8" w:name="_Toc389664250"/>
      <w:bookmarkEnd w:id="4"/>
      <w:bookmarkEnd w:id="5"/>
      <w:bookmarkEnd w:id="6"/>
      <w:bookmarkEnd w:id="7"/>
      <w:bookmarkEnd w:id="2"/>
      <w:bookmarkEnd w:id="3"/>
      <w:r w:rsidR="00800B2E" w:rsidRPr="0048303E">
        <w:t>.</w:t>
      </w:r>
    </w:p>
    <w:p w14:paraId="3FB7F21E" w14:textId="0BDBD432" w:rsidR="009B47CF" w:rsidRPr="0048303E" w:rsidRDefault="00864FBF" w:rsidP="00800B2E">
      <w:pPr>
        <w:spacing w:before="120" w:line="240" w:lineRule="auto"/>
        <w:rPr>
          <w:b/>
          <w:color w:val="1F497D" w:themeColor="text2"/>
          <w:sz w:val="28"/>
          <w:szCs w:val="28"/>
        </w:rPr>
      </w:pPr>
      <w:r w:rsidRPr="0048303E">
        <w:rPr>
          <w:b/>
          <w:color w:val="1F497D" w:themeColor="text2"/>
          <w:sz w:val="28"/>
          <w:szCs w:val="28"/>
        </w:rPr>
        <w:t>Leg</w:t>
      </w:r>
      <w:r w:rsidR="00740CF4" w:rsidRPr="0048303E">
        <w:rPr>
          <w:b/>
          <w:color w:val="1F497D" w:themeColor="text2"/>
          <w:sz w:val="28"/>
          <w:szCs w:val="28"/>
        </w:rPr>
        <w:t>islation Relevant to the Teachers’ Pension Scheme and the Teachers’ Pension Scheme Pension Board</w:t>
      </w:r>
      <w:bookmarkEnd w:id="8"/>
    </w:p>
    <w:p w14:paraId="3FB7F21F" w14:textId="0A7A8E8D" w:rsidR="00273425" w:rsidRPr="0048303E" w:rsidRDefault="00FB26B4" w:rsidP="0048303E">
      <w:pPr>
        <w:pStyle w:val="ListParagraph"/>
        <w:numPr>
          <w:ilvl w:val="0"/>
          <w:numId w:val="23"/>
        </w:numPr>
        <w:spacing w:before="240" w:line="240" w:lineRule="auto"/>
      </w:pPr>
      <w:r w:rsidRPr="0048303E">
        <w:t xml:space="preserve">The </w:t>
      </w:r>
      <w:proofErr w:type="gramStart"/>
      <w:r w:rsidRPr="0048303E">
        <w:t xml:space="preserve">legislation </w:t>
      </w:r>
      <w:r w:rsidR="00AD0C4B" w:rsidRPr="0048303E">
        <w:t xml:space="preserve">which gives effect to </w:t>
      </w:r>
      <w:r w:rsidRPr="0048303E">
        <w:t>the reform</w:t>
      </w:r>
      <w:r w:rsidR="00C555ED">
        <w:t>ed</w:t>
      </w:r>
      <w:r w:rsidRPr="0048303E">
        <w:t xml:space="preserve"> Teachers’ Pension Scheme </w:t>
      </w:r>
      <w:r w:rsidR="003F398E" w:rsidRPr="0048303E">
        <w:t>(</w:t>
      </w:r>
      <w:r w:rsidR="00970784" w:rsidRPr="0048303E">
        <w:t xml:space="preserve">the </w:t>
      </w:r>
      <w:r w:rsidR="003F398E" w:rsidRPr="0048303E">
        <w:t>TPS)</w:t>
      </w:r>
      <w:proofErr w:type="gramEnd"/>
      <w:r w:rsidR="003F398E" w:rsidRPr="0048303E">
        <w:t xml:space="preserve"> </w:t>
      </w:r>
      <w:r w:rsidRPr="0048303E">
        <w:t>is the Public Service Pensions Act 2013</w:t>
      </w:r>
      <w:r w:rsidR="008133A6" w:rsidRPr="0048303E">
        <w:t xml:space="preserve"> (PSPA 2013)</w:t>
      </w:r>
      <w:r w:rsidR="00273425" w:rsidRPr="0048303E">
        <w:t>,</w:t>
      </w:r>
      <w:r w:rsidR="00415209" w:rsidRPr="0048303E">
        <w:t xml:space="preserve"> and </w:t>
      </w:r>
      <w:r w:rsidR="00E268E9" w:rsidRPr="0048303E">
        <w:t>T</w:t>
      </w:r>
      <w:r w:rsidR="00415209" w:rsidRPr="0048303E">
        <w:t xml:space="preserve">he </w:t>
      </w:r>
      <w:r w:rsidR="00273425" w:rsidRPr="0048303E">
        <w:t>Teachers’ Pension Scheme Regulations 2014</w:t>
      </w:r>
      <w:r w:rsidR="008133A6" w:rsidRPr="0048303E">
        <w:t xml:space="preserve"> (TPSR 2014)</w:t>
      </w:r>
      <w:r w:rsidRPr="0048303E">
        <w:t>.</w:t>
      </w:r>
    </w:p>
    <w:p w14:paraId="3FB7F220" w14:textId="77777777" w:rsidR="00CA40E5" w:rsidRDefault="00682C2F" w:rsidP="0048303E">
      <w:pPr>
        <w:pStyle w:val="ListParagraph"/>
        <w:numPr>
          <w:ilvl w:val="0"/>
          <w:numId w:val="23"/>
        </w:numPr>
        <w:spacing w:before="240" w:line="240" w:lineRule="auto"/>
      </w:pPr>
      <w:r w:rsidRPr="0048303E">
        <w:t xml:space="preserve">Other </w:t>
      </w:r>
      <w:r w:rsidR="00FB26B4" w:rsidRPr="0048303E">
        <w:t xml:space="preserve">Acts and regulations </w:t>
      </w:r>
      <w:r w:rsidR="00C5158E" w:rsidRPr="0048303E">
        <w:t xml:space="preserve">which </w:t>
      </w:r>
      <w:r w:rsidR="00FB26B4" w:rsidRPr="0048303E">
        <w:t xml:space="preserve">are relevant to </w:t>
      </w:r>
      <w:r w:rsidR="00C5158E" w:rsidRPr="0048303E">
        <w:t xml:space="preserve">the </w:t>
      </w:r>
      <w:r w:rsidR="00FB26B4" w:rsidRPr="0048303E">
        <w:t>legal requirements relating to the operation of the scheme and which members of the Pension Board must be aware of</w:t>
      </w:r>
      <w:r w:rsidR="00C5158E" w:rsidRPr="0048303E">
        <w:t xml:space="preserve"> are as follows</w:t>
      </w:r>
      <w:r w:rsidR="00FB26B4" w:rsidRPr="0048303E">
        <w:t>:</w:t>
      </w:r>
    </w:p>
    <w:p w14:paraId="1ABB7378" w14:textId="718B0BB3" w:rsidR="006067EF" w:rsidRPr="0048303E" w:rsidRDefault="006067EF" w:rsidP="0048303E">
      <w:pPr>
        <w:pStyle w:val="ListParagraph"/>
        <w:numPr>
          <w:ilvl w:val="0"/>
          <w:numId w:val="23"/>
        </w:numPr>
        <w:spacing w:before="240" w:line="240" w:lineRule="auto"/>
      </w:pPr>
      <w:r>
        <w:t>The Teachers’ Pension Regulations (2010) (for members with full and tapered protect</w:t>
      </w:r>
      <w:r w:rsidR="007140E0">
        <w:t>ion</w:t>
      </w:r>
      <w:r>
        <w:t xml:space="preserve">) </w:t>
      </w:r>
    </w:p>
    <w:p w14:paraId="3FB7F221" w14:textId="77777777" w:rsidR="00FB26B4" w:rsidRPr="0048303E" w:rsidRDefault="00FB26B4" w:rsidP="00FE483C">
      <w:pPr>
        <w:pStyle w:val="ListParagraph"/>
        <w:numPr>
          <w:ilvl w:val="0"/>
          <w:numId w:val="11"/>
        </w:numPr>
        <w:spacing w:before="240" w:line="240" w:lineRule="auto"/>
      </w:pPr>
      <w:r w:rsidRPr="0048303E">
        <w:t>Pensions Act 2004;</w:t>
      </w:r>
    </w:p>
    <w:p w14:paraId="3FB7F222" w14:textId="77777777" w:rsidR="00D25D49" w:rsidRPr="0048303E" w:rsidRDefault="00D25D49" w:rsidP="00FE483C">
      <w:pPr>
        <w:pStyle w:val="ListParagraph"/>
        <w:numPr>
          <w:ilvl w:val="0"/>
          <w:numId w:val="11"/>
        </w:numPr>
        <w:spacing w:before="240" w:line="240" w:lineRule="auto"/>
      </w:pPr>
      <w:r w:rsidRPr="0048303E">
        <w:t>Pensions Act 1995</w:t>
      </w:r>
      <w:r w:rsidR="00FB26B4" w:rsidRPr="0048303E">
        <w:t>;</w:t>
      </w:r>
    </w:p>
    <w:p w14:paraId="3FB7F223" w14:textId="77777777" w:rsidR="00FB26B4" w:rsidRPr="0048303E" w:rsidRDefault="00FB26B4" w:rsidP="00FE483C">
      <w:pPr>
        <w:pStyle w:val="ListParagraph"/>
        <w:numPr>
          <w:ilvl w:val="0"/>
          <w:numId w:val="11"/>
        </w:numPr>
        <w:spacing w:before="240" w:line="240" w:lineRule="auto"/>
      </w:pPr>
      <w:r w:rsidRPr="0048303E">
        <w:t>Pensions (Increase) Act 1971;</w:t>
      </w:r>
    </w:p>
    <w:p w14:paraId="3FB7F224" w14:textId="77777777" w:rsidR="00740CF4" w:rsidRPr="0048303E" w:rsidRDefault="008702F6" w:rsidP="00337BFA">
      <w:pPr>
        <w:pStyle w:val="ListParagraph"/>
        <w:numPr>
          <w:ilvl w:val="0"/>
          <w:numId w:val="11"/>
        </w:numPr>
        <w:spacing w:before="240" w:line="240" w:lineRule="auto"/>
      </w:pPr>
      <w:r w:rsidRPr="0048303E">
        <w:t>The Occupational and Personal Pension Schem</w:t>
      </w:r>
      <w:r w:rsidR="005F31D1" w:rsidRPr="0048303E">
        <w:t>es (Disclosure of information) R</w:t>
      </w:r>
      <w:r w:rsidRPr="0048303E">
        <w:t>egulations 2013</w:t>
      </w:r>
      <w:r w:rsidR="00D25D49" w:rsidRPr="0048303E">
        <w:t>;</w:t>
      </w:r>
    </w:p>
    <w:p w14:paraId="3FB7F225" w14:textId="77777777" w:rsidR="00D25D49" w:rsidRPr="0048303E" w:rsidRDefault="00D25D49" w:rsidP="00337BFA">
      <w:pPr>
        <w:pStyle w:val="ListParagraph"/>
        <w:numPr>
          <w:ilvl w:val="0"/>
          <w:numId w:val="11"/>
        </w:numPr>
        <w:spacing w:before="240" w:line="240" w:lineRule="auto"/>
      </w:pPr>
      <w:r w:rsidRPr="0048303E">
        <w:t>The Occupational and Personal Pension Schemes (Automatic Enrolment) Regulations 2010;</w:t>
      </w:r>
    </w:p>
    <w:p w14:paraId="3FB7F226" w14:textId="77777777" w:rsidR="00D25D49" w:rsidRPr="0048303E" w:rsidRDefault="00D25D49" w:rsidP="00337BFA">
      <w:pPr>
        <w:pStyle w:val="ListParagraph"/>
        <w:numPr>
          <w:ilvl w:val="0"/>
          <w:numId w:val="11"/>
        </w:numPr>
        <w:spacing w:before="240" w:line="240" w:lineRule="auto"/>
      </w:pPr>
      <w:r w:rsidRPr="0048303E">
        <w:t>The Occupational and Pension Schemes (Scheme Administration) Regulations 1996;</w:t>
      </w:r>
    </w:p>
    <w:p w14:paraId="3FB7F227" w14:textId="77777777" w:rsidR="00D25D49" w:rsidRPr="0048303E" w:rsidRDefault="00D25D49" w:rsidP="00337BFA">
      <w:pPr>
        <w:pStyle w:val="ListParagraph"/>
        <w:numPr>
          <w:ilvl w:val="0"/>
          <w:numId w:val="11"/>
        </w:numPr>
        <w:spacing w:before="240" w:line="240" w:lineRule="auto"/>
      </w:pPr>
      <w:r w:rsidRPr="0048303E">
        <w:t>The Occupational Pension Schemes (Contracting-out) Regulations 1996;</w:t>
      </w:r>
    </w:p>
    <w:p w14:paraId="3FB7F228" w14:textId="77777777" w:rsidR="00D25D49" w:rsidRPr="0048303E" w:rsidRDefault="00D25D49" w:rsidP="00337BFA">
      <w:pPr>
        <w:pStyle w:val="ListParagraph"/>
        <w:numPr>
          <w:ilvl w:val="0"/>
          <w:numId w:val="11"/>
        </w:numPr>
        <w:spacing w:before="240" w:line="240" w:lineRule="auto"/>
      </w:pPr>
      <w:r w:rsidRPr="0048303E">
        <w:t>The Occupational Pension Schemes (Transfer Values) Regulations 1996;</w:t>
      </w:r>
    </w:p>
    <w:p w14:paraId="3FB7F229" w14:textId="77777777" w:rsidR="00D25D49" w:rsidRPr="0048303E" w:rsidRDefault="00D25D49" w:rsidP="00337BFA">
      <w:pPr>
        <w:pStyle w:val="ListParagraph"/>
        <w:numPr>
          <w:ilvl w:val="0"/>
          <w:numId w:val="11"/>
        </w:numPr>
        <w:spacing w:before="240" w:line="240" w:lineRule="auto"/>
      </w:pPr>
      <w:r w:rsidRPr="0048303E">
        <w:t>The Occupational Pension Schemes (Winding up etc.) Regulations 2005;</w:t>
      </w:r>
    </w:p>
    <w:p w14:paraId="3FB7F22A" w14:textId="77777777" w:rsidR="00D25D49" w:rsidRPr="0048303E" w:rsidRDefault="00D25D49" w:rsidP="00337BFA">
      <w:pPr>
        <w:pStyle w:val="ListParagraph"/>
        <w:numPr>
          <w:ilvl w:val="0"/>
          <w:numId w:val="11"/>
        </w:numPr>
        <w:spacing w:before="240" w:line="240" w:lineRule="auto"/>
      </w:pPr>
      <w:r w:rsidRPr="0048303E">
        <w:t xml:space="preserve">The Occupational Pension Schemes (Internal Dispute Resolution Procedures </w:t>
      </w:r>
      <w:r w:rsidR="00CA40E5" w:rsidRPr="0048303E">
        <w:t>Consequential and Miscellaneous Amendments</w:t>
      </w:r>
      <w:r w:rsidRPr="0048303E">
        <w:t xml:space="preserve">) Regulations </w:t>
      </w:r>
      <w:r w:rsidR="00CA40E5" w:rsidRPr="0048303E">
        <w:t>2008</w:t>
      </w:r>
      <w:r w:rsidRPr="0048303E">
        <w:t>;</w:t>
      </w:r>
    </w:p>
    <w:p w14:paraId="3FB7F22B" w14:textId="39FF1463" w:rsidR="008702F6" w:rsidRPr="0048303E" w:rsidRDefault="008702F6" w:rsidP="00337BFA">
      <w:pPr>
        <w:pStyle w:val="ListParagraph"/>
        <w:numPr>
          <w:ilvl w:val="0"/>
          <w:numId w:val="11"/>
        </w:numPr>
        <w:spacing w:before="240" w:line="240" w:lineRule="auto"/>
      </w:pPr>
      <w:r w:rsidRPr="0048303E">
        <w:t>The Public Service Pensions (Information about Benef</w:t>
      </w:r>
      <w:r w:rsidR="000C2E5C">
        <w:t>its) Directions 2014.</w:t>
      </w:r>
    </w:p>
    <w:p w14:paraId="3FB7F22C" w14:textId="77777777" w:rsidR="00D25D49" w:rsidRPr="0048303E" w:rsidRDefault="00D25D49" w:rsidP="00337BFA">
      <w:pPr>
        <w:pStyle w:val="ListParagraph"/>
        <w:numPr>
          <w:ilvl w:val="0"/>
          <w:numId w:val="11"/>
        </w:numPr>
        <w:spacing w:before="240" w:line="240" w:lineRule="auto"/>
      </w:pPr>
      <w:r w:rsidRPr="0048303E">
        <w:t>The Pensions Act 2008 and the Employers’ Duties (Registration and Compliance) Regulations 2010;</w:t>
      </w:r>
    </w:p>
    <w:p w14:paraId="3FB7F22D" w14:textId="14220EDE" w:rsidR="00D25D49" w:rsidRPr="0048303E" w:rsidRDefault="00D25D49" w:rsidP="00337BFA">
      <w:pPr>
        <w:pStyle w:val="ListParagraph"/>
        <w:numPr>
          <w:ilvl w:val="0"/>
          <w:numId w:val="11"/>
        </w:numPr>
        <w:spacing w:before="240" w:line="240" w:lineRule="auto"/>
      </w:pPr>
      <w:r w:rsidRPr="0048303E">
        <w:t>The Occupational Pension Schemes (Scheme Administration) Regulations 1996;</w:t>
      </w:r>
      <w:r w:rsidR="00BE7C25" w:rsidRPr="0048303E">
        <w:t xml:space="preserve"> </w:t>
      </w:r>
    </w:p>
    <w:p w14:paraId="3FB7F22E" w14:textId="77777777" w:rsidR="00D25D49" w:rsidRPr="0048303E" w:rsidRDefault="00D25D49" w:rsidP="00337BFA">
      <w:pPr>
        <w:pStyle w:val="ListParagraph"/>
        <w:numPr>
          <w:ilvl w:val="0"/>
          <w:numId w:val="11"/>
        </w:numPr>
        <w:spacing w:before="240" w:line="240" w:lineRule="auto"/>
      </w:pPr>
      <w:r w:rsidRPr="0048303E">
        <w:t>The Registered Pension Schemes (Provision of Information) Regulations 2006</w:t>
      </w:r>
      <w:r w:rsidR="007B1938" w:rsidRPr="0048303E">
        <w:t>.</w:t>
      </w:r>
    </w:p>
    <w:p w14:paraId="63B6C83A" w14:textId="77777777" w:rsidR="004A1250" w:rsidRPr="0048303E" w:rsidRDefault="00BE7C25" w:rsidP="00FB26B4">
      <w:pPr>
        <w:pStyle w:val="ListParagraph"/>
        <w:numPr>
          <w:ilvl w:val="0"/>
          <w:numId w:val="11"/>
        </w:numPr>
        <w:spacing w:before="240" w:line="240" w:lineRule="auto"/>
      </w:pPr>
      <w:r w:rsidRPr="0048303E">
        <w:t>The Public Service Pensions (Record Keeping and Miscellaneous Amendments) Regulations 2014</w:t>
      </w:r>
      <w:r w:rsidR="002E73B3" w:rsidRPr="0048303E">
        <w:t xml:space="preserve">.  </w:t>
      </w:r>
    </w:p>
    <w:p w14:paraId="3FB7F231" w14:textId="0768DA0D" w:rsidR="00DE3522" w:rsidRPr="0048303E" w:rsidRDefault="00FB26B4" w:rsidP="0048303E">
      <w:pPr>
        <w:pStyle w:val="ListParagraph"/>
        <w:numPr>
          <w:ilvl w:val="0"/>
          <w:numId w:val="23"/>
        </w:numPr>
        <w:spacing w:before="240" w:line="240" w:lineRule="auto"/>
      </w:pPr>
      <w:r w:rsidRPr="0048303E">
        <w:t>The Pensions Regulator</w:t>
      </w:r>
      <w:r w:rsidR="00DC72CB" w:rsidRPr="0048303E">
        <w:t xml:space="preserve"> has</w:t>
      </w:r>
      <w:r w:rsidRPr="0048303E">
        <w:t xml:space="preserve"> </w:t>
      </w:r>
      <w:r w:rsidR="00474F13" w:rsidRPr="0048303E">
        <w:t>issued</w:t>
      </w:r>
      <w:r w:rsidRPr="0048303E">
        <w:t xml:space="preserve"> a </w:t>
      </w:r>
      <w:r w:rsidR="004A1250" w:rsidRPr="0048303E">
        <w:t>C</w:t>
      </w:r>
      <w:r w:rsidRPr="0048303E">
        <w:t xml:space="preserve">ode of </w:t>
      </w:r>
      <w:r w:rsidR="004A1250" w:rsidRPr="0048303E">
        <w:t>P</w:t>
      </w:r>
      <w:r w:rsidRPr="0048303E">
        <w:t>ractice</w:t>
      </w:r>
      <w:r w:rsidR="004A1250" w:rsidRPr="0048303E">
        <w:t xml:space="preserve"> (tPR Code of Practice no 14), </w:t>
      </w:r>
      <w:r w:rsidRPr="0048303E">
        <w:t xml:space="preserve">covering governance and administration of public </w:t>
      </w:r>
      <w:r w:rsidR="00DE3522" w:rsidRPr="0048303E">
        <w:t xml:space="preserve">service schemes that sets out practical guidance on the requirements of pension legislation and standards of conduct and practice </w:t>
      </w:r>
      <w:r w:rsidR="00474F13" w:rsidRPr="0048303E">
        <w:t xml:space="preserve">for </w:t>
      </w:r>
      <w:r w:rsidR="00DE3522" w:rsidRPr="0048303E">
        <w:t>those who must meet the requirements, which includes members of the Pension Board</w:t>
      </w:r>
      <w:r w:rsidR="005844DF" w:rsidRPr="0048303E">
        <w:t>.</w:t>
      </w:r>
      <w:r w:rsidR="004E1F49" w:rsidRPr="0048303E">
        <w:t xml:space="preserve">  </w:t>
      </w:r>
    </w:p>
    <w:p w14:paraId="65644B9C" w14:textId="7C9B29BF" w:rsidR="0048303E" w:rsidRPr="0048303E" w:rsidRDefault="00DE3522" w:rsidP="007F40B3">
      <w:pPr>
        <w:pStyle w:val="ListParagraph"/>
        <w:numPr>
          <w:ilvl w:val="0"/>
          <w:numId w:val="23"/>
        </w:numPr>
        <w:spacing w:before="240" w:line="240" w:lineRule="auto"/>
        <w:rPr>
          <w:color w:val="1F497D" w:themeColor="text2"/>
          <w:sz w:val="28"/>
          <w:szCs w:val="28"/>
        </w:rPr>
      </w:pPr>
      <w:r w:rsidRPr="0048303E">
        <w:t xml:space="preserve">Additionally, members of the Pension Board </w:t>
      </w:r>
      <w:proofErr w:type="gramStart"/>
      <w:r w:rsidRPr="0048303E">
        <w:t>will be expected</w:t>
      </w:r>
      <w:proofErr w:type="gramEnd"/>
      <w:r w:rsidRPr="0048303E">
        <w:t xml:space="preserve"> to adhere to the Seven Principles of Public Life (formerly known as the Nolan Principles)</w:t>
      </w:r>
      <w:bookmarkStart w:id="9" w:name="_Toc389664251"/>
      <w:r w:rsidR="00C27AC1">
        <w:t xml:space="preserve"> and the Cabinet Office’s Code of Conduct for Board Members of public bodies; both these documents are shared with TPSPB members as part of the appointment process.</w:t>
      </w:r>
    </w:p>
    <w:p w14:paraId="3FB7F233" w14:textId="53B593CF" w:rsidR="005F31D1" w:rsidRPr="0048303E" w:rsidRDefault="007F40B3" w:rsidP="0048303E">
      <w:pPr>
        <w:spacing w:before="240" w:line="240" w:lineRule="auto"/>
        <w:rPr>
          <w:b/>
          <w:color w:val="1F497D" w:themeColor="text2"/>
          <w:sz w:val="28"/>
          <w:szCs w:val="28"/>
        </w:rPr>
      </w:pPr>
      <w:r w:rsidRPr="0048303E">
        <w:rPr>
          <w:b/>
          <w:color w:val="1F497D" w:themeColor="text2"/>
          <w:sz w:val="28"/>
          <w:szCs w:val="28"/>
        </w:rPr>
        <w:t>Scheme Manager</w:t>
      </w:r>
      <w:r w:rsidR="0037765F" w:rsidRPr="0048303E">
        <w:rPr>
          <w:b/>
          <w:color w:val="1F497D" w:themeColor="text2"/>
          <w:sz w:val="28"/>
          <w:szCs w:val="28"/>
        </w:rPr>
        <w:t xml:space="preserve"> Responsibilities</w:t>
      </w:r>
      <w:bookmarkEnd w:id="9"/>
    </w:p>
    <w:p w14:paraId="3FB7F234" w14:textId="35D2D617" w:rsidR="0037765F" w:rsidRPr="0048303E" w:rsidRDefault="0037765F" w:rsidP="0048303E">
      <w:pPr>
        <w:pStyle w:val="ListParagraph"/>
        <w:numPr>
          <w:ilvl w:val="0"/>
          <w:numId w:val="23"/>
        </w:numPr>
        <w:spacing w:before="120" w:line="240" w:lineRule="auto"/>
      </w:pPr>
      <w:r w:rsidRPr="0048303E">
        <w:t xml:space="preserve">The scheme manager – </w:t>
      </w:r>
      <w:r w:rsidR="00970784" w:rsidRPr="0048303E">
        <w:t xml:space="preserve">in the case of the TPS and connected schemes, </w:t>
      </w:r>
      <w:r w:rsidRPr="0048303E">
        <w:t xml:space="preserve">the Secretary of State for Education – is responsible for managing the </w:t>
      </w:r>
      <w:r w:rsidR="003F398E" w:rsidRPr="0048303E">
        <w:t xml:space="preserve">TPS </w:t>
      </w:r>
      <w:r w:rsidRPr="0048303E">
        <w:t xml:space="preserve">and any connected scheme.  </w:t>
      </w:r>
      <w:r w:rsidR="0051753C" w:rsidRPr="0048303E">
        <w:t xml:space="preserve">In </w:t>
      </w:r>
      <w:proofErr w:type="gramStart"/>
      <w:r w:rsidR="0051753C" w:rsidRPr="0048303E">
        <w:t>general</w:t>
      </w:r>
      <w:proofErr w:type="gramEnd"/>
      <w:r w:rsidR="0051753C" w:rsidRPr="0048303E">
        <w:t xml:space="preserve"> terms t</w:t>
      </w:r>
      <w:r w:rsidRPr="0048303E">
        <w:t xml:space="preserve">his responsibility </w:t>
      </w:r>
      <w:r w:rsidR="0051753C" w:rsidRPr="0048303E">
        <w:t xml:space="preserve">involves </w:t>
      </w:r>
      <w:r w:rsidRPr="0048303E">
        <w:t xml:space="preserve">setting the scope and direction of the scheme, </w:t>
      </w:r>
      <w:r w:rsidR="00471E01" w:rsidRPr="0048303E">
        <w:t>the scheme</w:t>
      </w:r>
      <w:r w:rsidRPr="0048303E">
        <w:t xml:space="preserve"> regulations and </w:t>
      </w:r>
      <w:r w:rsidR="00471E01" w:rsidRPr="0048303E">
        <w:t xml:space="preserve">the overriding scheme </w:t>
      </w:r>
      <w:r w:rsidRPr="0048303E">
        <w:t>policy.</w:t>
      </w:r>
    </w:p>
    <w:p w14:paraId="3FB7F235" w14:textId="5B05C40D" w:rsidR="007F40B3" w:rsidRPr="0048303E" w:rsidRDefault="007F40B3" w:rsidP="0048303E">
      <w:pPr>
        <w:pStyle w:val="ListParagraph"/>
        <w:numPr>
          <w:ilvl w:val="0"/>
          <w:numId w:val="23"/>
        </w:numPr>
        <w:spacing w:before="240" w:line="240" w:lineRule="auto"/>
      </w:pPr>
      <w:r w:rsidRPr="0048303E">
        <w:t xml:space="preserve">Under PSPA 2013, the </w:t>
      </w:r>
      <w:r w:rsidR="00471E01" w:rsidRPr="0048303E">
        <w:t>Secretary of State</w:t>
      </w:r>
      <w:r w:rsidRPr="0048303E">
        <w:t xml:space="preserve"> </w:t>
      </w:r>
      <w:r w:rsidR="0037765F" w:rsidRPr="0048303E">
        <w:t xml:space="preserve">is responsible for ensuring that </w:t>
      </w:r>
      <w:r w:rsidR="0029475B" w:rsidRPr="0048303E">
        <w:t>the</w:t>
      </w:r>
      <w:r w:rsidRPr="0048303E">
        <w:t xml:space="preserve"> Pension Board </w:t>
      </w:r>
      <w:r w:rsidR="00946525" w:rsidRPr="0048303E">
        <w:t>is</w:t>
      </w:r>
      <w:r w:rsidR="0037765F" w:rsidRPr="0048303E">
        <w:t xml:space="preserve"> established</w:t>
      </w:r>
      <w:r w:rsidRPr="0048303E">
        <w:t>.</w:t>
      </w:r>
    </w:p>
    <w:p w14:paraId="3FB7F236" w14:textId="1C94823B" w:rsidR="0037765F" w:rsidRPr="0048303E" w:rsidRDefault="0037765F" w:rsidP="0048303E">
      <w:pPr>
        <w:pStyle w:val="ListParagraph"/>
        <w:numPr>
          <w:ilvl w:val="0"/>
          <w:numId w:val="23"/>
        </w:numPr>
        <w:spacing w:before="240" w:line="240" w:lineRule="auto"/>
      </w:pPr>
      <w:r w:rsidRPr="0048303E">
        <w:t xml:space="preserve">The scheme manager is </w:t>
      </w:r>
      <w:r w:rsidR="0029475B" w:rsidRPr="0048303E">
        <w:t xml:space="preserve">legally </w:t>
      </w:r>
      <w:r w:rsidRPr="0048303E">
        <w:t>responsible for:</w:t>
      </w:r>
    </w:p>
    <w:p w14:paraId="3FB7F237" w14:textId="77777777" w:rsidR="00946525" w:rsidRPr="0048303E" w:rsidRDefault="00946525" w:rsidP="00FE483C">
      <w:pPr>
        <w:pStyle w:val="ListParagraph"/>
        <w:numPr>
          <w:ilvl w:val="0"/>
          <w:numId w:val="10"/>
        </w:numPr>
        <w:spacing w:before="240" w:line="240" w:lineRule="auto"/>
      </w:pPr>
      <w:r w:rsidRPr="0048303E">
        <w:t>determining the membership of the Pension Board</w:t>
      </w:r>
      <w:r w:rsidR="0029475B" w:rsidRPr="0048303E">
        <w:rPr>
          <w:rStyle w:val="FootnoteReference"/>
        </w:rPr>
        <w:footnoteReference w:id="1"/>
      </w:r>
      <w:r w:rsidRPr="0048303E">
        <w:t>;</w:t>
      </w:r>
    </w:p>
    <w:p w14:paraId="3FB7F238" w14:textId="77777777" w:rsidR="00946525" w:rsidRPr="0048303E" w:rsidRDefault="00946525" w:rsidP="00FE483C">
      <w:pPr>
        <w:pStyle w:val="ListParagraph"/>
        <w:numPr>
          <w:ilvl w:val="0"/>
          <w:numId w:val="10"/>
        </w:numPr>
        <w:spacing w:before="240" w:line="240" w:lineRule="auto"/>
      </w:pPr>
      <w:r w:rsidRPr="0048303E">
        <w:t>determining the terms of appointment of the Pension Board</w:t>
      </w:r>
      <w:r w:rsidR="00563163" w:rsidRPr="0048303E">
        <w:t xml:space="preserve"> members</w:t>
      </w:r>
      <w:r w:rsidRPr="0048303E">
        <w:t>;</w:t>
      </w:r>
    </w:p>
    <w:p w14:paraId="3FB7F239" w14:textId="08DC349E" w:rsidR="00946525" w:rsidRPr="0048303E" w:rsidRDefault="00946525" w:rsidP="00FE483C">
      <w:pPr>
        <w:pStyle w:val="ListParagraph"/>
        <w:numPr>
          <w:ilvl w:val="0"/>
          <w:numId w:val="10"/>
        </w:numPr>
        <w:spacing w:before="240" w:line="240" w:lineRule="auto"/>
      </w:pPr>
      <w:r w:rsidRPr="0048303E">
        <w:t>determining the appointment process for Pension Board</w:t>
      </w:r>
      <w:r w:rsidR="00563163" w:rsidRPr="0048303E">
        <w:t xml:space="preserve"> members</w:t>
      </w:r>
      <w:r w:rsidRPr="0048303E">
        <w:t>;</w:t>
      </w:r>
      <w:r w:rsidR="00BB5241" w:rsidRPr="0048303E">
        <w:t xml:space="preserve"> </w:t>
      </w:r>
    </w:p>
    <w:p w14:paraId="72B45DC0" w14:textId="5D246607" w:rsidR="006031AD" w:rsidRPr="006031AD" w:rsidRDefault="00946525" w:rsidP="006031AD">
      <w:pPr>
        <w:pStyle w:val="ListParagraph"/>
        <w:numPr>
          <w:ilvl w:val="0"/>
          <w:numId w:val="10"/>
        </w:numPr>
        <w:spacing w:before="120" w:after="0" w:line="240" w:lineRule="auto"/>
        <w:rPr>
          <w:sz w:val="28"/>
          <w:szCs w:val="28"/>
        </w:rPr>
      </w:pPr>
      <w:r w:rsidRPr="0048303E">
        <w:t>determining the process for the removal or non-renewal of the appointme</w:t>
      </w:r>
      <w:r w:rsidR="00AE65E2" w:rsidRPr="0048303E">
        <w:t xml:space="preserve">nt of Pension Board members; </w:t>
      </w:r>
      <w:bookmarkStart w:id="10" w:name="_Toc389664252"/>
    </w:p>
    <w:p w14:paraId="3FB7F23E" w14:textId="77777777" w:rsidR="00AE65E2" w:rsidRPr="0048303E" w:rsidRDefault="00AE65E2" w:rsidP="006031AD">
      <w:pPr>
        <w:pStyle w:val="Heading2"/>
        <w:spacing w:before="120" w:after="0"/>
        <w:rPr>
          <w:sz w:val="28"/>
          <w:szCs w:val="28"/>
        </w:rPr>
      </w:pPr>
      <w:r w:rsidRPr="0048303E">
        <w:rPr>
          <w:sz w:val="28"/>
          <w:szCs w:val="28"/>
        </w:rPr>
        <w:t>Record Keeping</w:t>
      </w:r>
      <w:bookmarkEnd w:id="10"/>
    </w:p>
    <w:p w14:paraId="3FB7F23F" w14:textId="4B328F4B" w:rsidR="00AE65E2" w:rsidRPr="0048303E" w:rsidRDefault="00AE65E2" w:rsidP="0048303E">
      <w:pPr>
        <w:pStyle w:val="ListParagraph"/>
        <w:numPr>
          <w:ilvl w:val="0"/>
          <w:numId w:val="23"/>
        </w:numPr>
        <w:spacing w:before="240" w:line="240" w:lineRule="auto"/>
      </w:pPr>
      <w:proofErr w:type="gramStart"/>
      <w:r w:rsidRPr="0048303E">
        <w:t>It is the scheme manager who</w:t>
      </w:r>
      <w:proofErr w:type="gramEnd"/>
      <w:r w:rsidRPr="0048303E">
        <w:t xml:space="preserve"> is responsible for maintaining records of Pension Board meetings.  These records must contain:</w:t>
      </w:r>
    </w:p>
    <w:p w14:paraId="3FB7F240" w14:textId="77777777" w:rsidR="00946525" w:rsidRPr="0048303E" w:rsidRDefault="00AE65E2" w:rsidP="00FE483C">
      <w:pPr>
        <w:pStyle w:val="ListParagraph"/>
        <w:numPr>
          <w:ilvl w:val="0"/>
          <w:numId w:val="12"/>
        </w:numPr>
        <w:spacing w:before="240" w:line="240" w:lineRule="auto"/>
      </w:pPr>
      <w:r w:rsidRPr="0048303E">
        <w:t>the date, time and place of Pension Board meetings;</w:t>
      </w:r>
    </w:p>
    <w:p w14:paraId="3FB7F241" w14:textId="77777777" w:rsidR="00393F8C" w:rsidRPr="0048303E" w:rsidRDefault="00393F8C" w:rsidP="00FE483C">
      <w:pPr>
        <w:pStyle w:val="ListParagraph"/>
        <w:numPr>
          <w:ilvl w:val="0"/>
          <w:numId w:val="12"/>
        </w:numPr>
        <w:spacing w:before="240" w:line="240" w:lineRule="auto"/>
      </w:pPr>
      <w:r w:rsidRPr="0048303E">
        <w:t xml:space="preserve">the names of all Pension Board </w:t>
      </w:r>
      <w:r w:rsidR="008D3008" w:rsidRPr="0048303E">
        <w:t xml:space="preserve">members </w:t>
      </w:r>
      <w:r w:rsidRPr="0048303E">
        <w:t>invited to the meeting;</w:t>
      </w:r>
    </w:p>
    <w:p w14:paraId="3FB7F242" w14:textId="61EC6F69" w:rsidR="00AE65E2" w:rsidRPr="0048303E" w:rsidRDefault="00AE65E2" w:rsidP="00FE483C">
      <w:pPr>
        <w:pStyle w:val="ListParagraph"/>
        <w:numPr>
          <w:ilvl w:val="0"/>
          <w:numId w:val="12"/>
        </w:numPr>
        <w:spacing w:before="240" w:line="240" w:lineRule="auto"/>
      </w:pPr>
      <w:r w:rsidRPr="0048303E">
        <w:t xml:space="preserve">the names of all attendees </w:t>
      </w:r>
      <w:r w:rsidR="008D3008" w:rsidRPr="0048303E">
        <w:t>at</w:t>
      </w:r>
      <w:r w:rsidRPr="0048303E">
        <w:t xml:space="preserve"> a Pension Board meeting, and the capacity in which they attended</w:t>
      </w:r>
      <w:r w:rsidR="00BC2676">
        <w:t>;</w:t>
      </w:r>
    </w:p>
    <w:p w14:paraId="3FB7F243" w14:textId="77777777" w:rsidR="00AE65E2" w:rsidRPr="0048303E" w:rsidRDefault="00AE65E2" w:rsidP="00FE483C">
      <w:pPr>
        <w:pStyle w:val="ListParagraph"/>
        <w:numPr>
          <w:ilvl w:val="0"/>
          <w:numId w:val="12"/>
        </w:numPr>
        <w:spacing w:before="240" w:line="240" w:lineRule="auto"/>
      </w:pPr>
      <w:r w:rsidRPr="0048303E">
        <w:t xml:space="preserve">all decisions made </w:t>
      </w:r>
      <w:r w:rsidR="00782CFB" w:rsidRPr="0048303E">
        <w:t>at the meeting</w:t>
      </w:r>
      <w:r w:rsidRPr="0048303E">
        <w:t xml:space="preserve"> (t</w:t>
      </w:r>
      <w:r w:rsidR="00782CFB" w:rsidRPr="0048303E">
        <w:t>his will</w:t>
      </w:r>
      <w:r w:rsidRPr="0048303E">
        <w:t xml:space="preserve"> ensure that there is a clear and transparent audit trail of the decisions made);</w:t>
      </w:r>
    </w:p>
    <w:p w14:paraId="3FB7F244" w14:textId="6C297208" w:rsidR="002E73B3" w:rsidRPr="0048303E" w:rsidRDefault="00135D21" w:rsidP="0048303E">
      <w:pPr>
        <w:pStyle w:val="ListParagraph"/>
        <w:numPr>
          <w:ilvl w:val="0"/>
          <w:numId w:val="23"/>
        </w:numPr>
        <w:spacing w:before="240" w:line="240" w:lineRule="auto"/>
      </w:pPr>
      <w:r w:rsidRPr="0048303E">
        <w:t>The scheme manager must also keep records relating to any decision taken by the Pension Board other than at a meeting, including</w:t>
      </w:r>
      <w:r w:rsidR="00D74858" w:rsidRPr="0048303E">
        <w:t xml:space="preserve"> the date, time, and place of the decision and the names of </w:t>
      </w:r>
      <w:r w:rsidRPr="0048303E">
        <w:t xml:space="preserve">the </w:t>
      </w:r>
      <w:r w:rsidR="00D74858" w:rsidRPr="0048303E">
        <w:t xml:space="preserve">members </w:t>
      </w:r>
      <w:r w:rsidRPr="0048303E">
        <w:t xml:space="preserve">who </w:t>
      </w:r>
      <w:r w:rsidR="00D74858" w:rsidRPr="0048303E">
        <w:t>participat</w:t>
      </w:r>
      <w:r w:rsidRPr="0048303E">
        <w:t>ed</w:t>
      </w:r>
      <w:r w:rsidR="00D74858" w:rsidRPr="0048303E">
        <w:t xml:space="preserve"> in </w:t>
      </w:r>
      <w:r w:rsidR="008D3008" w:rsidRPr="0048303E">
        <w:t>it</w:t>
      </w:r>
      <w:r w:rsidR="002E73B3" w:rsidRPr="0048303E">
        <w:t>.</w:t>
      </w:r>
    </w:p>
    <w:p w14:paraId="3FB7F245" w14:textId="5A5523F8" w:rsidR="002E73B3" w:rsidRPr="0048303E" w:rsidRDefault="002E73B3" w:rsidP="0048303E">
      <w:pPr>
        <w:pStyle w:val="ListParagraph"/>
        <w:numPr>
          <w:ilvl w:val="0"/>
          <w:numId w:val="23"/>
        </w:numPr>
        <w:spacing w:before="240" w:line="240" w:lineRule="auto"/>
      </w:pPr>
      <w:r w:rsidRPr="0048303E">
        <w:t>Relevant legislation:</w:t>
      </w:r>
    </w:p>
    <w:p w14:paraId="3FB7F246" w14:textId="7E4CC8C9" w:rsidR="002E73B3" w:rsidRPr="0048303E" w:rsidRDefault="002E73B3" w:rsidP="002E73B3">
      <w:pPr>
        <w:pStyle w:val="ListParagraph"/>
        <w:numPr>
          <w:ilvl w:val="0"/>
          <w:numId w:val="15"/>
        </w:numPr>
        <w:spacing w:before="240" w:line="240" w:lineRule="auto"/>
      </w:pPr>
      <w:r w:rsidRPr="0048303E">
        <w:t xml:space="preserve">The Public Service Pensions (Record Keeping and Miscellaneous Amendments) Regulations 2014 (regulations </w:t>
      </w:r>
      <w:r w:rsidR="006067EF">
        <w:t>6(1)</w:t>
      </w:r>
      <w:r w:rsidRPr="0048303E">
        <w:t xml:space="preserve"> and 6(2))</w:t>
      </w:r>
      <w:r w:rsidR="007969F4" w:rsidRPr="0048303E">
        <w:t>.</w:t>
      </w:r>
    </w:p>
    <w:p w14:paraId="3FB7F247" w14:textId="5E694F3F" w:rsidR="00AE65E2" w:rsidRPr="0048303E" w:rsidRDefault="00D770C8" w:rsidP="0048303E">
      <w:pPr>
        <w:pStyle w:val="ListParagraph"/>
        <w:numPr>
          <w:ilvl w:val="0"/>
          <w:numId w:val="23"/>
        </w:numPr>
        <w:spacing w:before="240" w:line="240" w:lineRule="auto"/>
      </w:pPr>
      <w:proofErr w:type="gramStart"/>
      <w:r w:rsidRPr="0048303E">
        <w:t>tPR</w:t>
      </w:r>
      <w:proofErr w:type="gramEnd"/>
      <w:r w:rsidR="00CB0E50" w:rsidRPr="0048303E">
        <w:t xml:space="preserve"> Code of </w:t>
      </w:r>
      <w:r w:rsidR="00E01A92" w:rsidRPr="0048303E">
        <w:t xml:space="preserve">Practice </w:t>
      </w:r>
      <w:r w:rsidR="00CB0E50" w:rsidRPr="0048303E">
        <w:t>no 14 also advises that schemes keep records of key discussions, which may include topics such as compliance with policies in relation to the administration of the scheme, where appropriate.</w:t>
      </w:r>
    </w:p>
    <w:p w14:paraId="3FB7F248" w14:textId="67C855C4" w:rsidR="00CB0E50" w:rsidRPr="0048303E" w:rsidRDefault="00CB0E50" w:rsidP="0048303E">
      <w:pPr>
        <w:pStyle w:val="ListParagraph"/>
        <w:numPr>
          <w:ilvl w:val="0"/>
          <w:numId w:val="23"/>
        </w:numPr>
        <w:overflowPunct w:val="0"/>
        <w:autoSpaceDE w:val="0"/>
        <w:autoSpaceDN w:val="0"/>
        <w:adjustRightInd w:val="0"/>
        <w:spacing w:line="240" w:lineRule="auto"/>
        <w:textAlignment w:val="baseline"/>
      </w:pPr>
      <w:r w:rsidRPr="0048303E">
        <w:t xml:space="preserve">The </w:t>
      </w:r>
      <w:proofErr w:type="gramStart"/>
      <w:r w:rsidRPr="0048303E">
        <w:t xml:space="preserve">records of </w:t>
      </w:r>
      <w:r w:rsidR="00DC72CB" w:rsidRPr="0048303E">
        <w:t>P</w:t>
      </w:r>
      <w:r w:rsidRPr="0048303E">
        <w:t xml:space="preserve">ension </w:t>
      </w:r>
      <w:r w:rsidR="00DC72CB" w:rsidRPr="0048303E">
        <w:t>B</w:t>
      </w:r>
      <w:r w:rsidRPr="0048303E">
        <w:t>oard meetings and decisions must be kept by the scheme manager</w:t>
      </w:r>
      <w:proofErr w:type="gramEnd"/>
      <w:r w:rsidRPr="0048303E">
        <w:t xml:space="preserve"> for at least 6 years from the end of the scheme year to which they relate.</w:t>
      </w:r>
    </w:p>
    <w:p w14:paraId="266772D5" w14:textId="2D7688E1" w:rsidR="0048303E" w:rsidRPr="0048303E" w:rsidRDefault="00CB0E50" w:rsidP="0048303E">
      <w:pPr>
        <w:pStyle w:val="ListParagraph"/>
        <w:numPr>
          <w:ilvl w:val="0"/>
          <w:numId w:val="23"/>
        </w:numPr>
        <w:overflowPunct w:val="0"/>
        <w:autoSpaceDE w:val="0"/>
        <w:autoSpaceDN w:val="0"/>
        <w:adjustRightInd w:val="0"/>
        <w:spacing w:line="240" w:lineRule="auto"/>
        <w:textAlignment w:val="baseline"/>
      </w:pPr>
      <w:r w:rsidRPr="0048303E">
        <w:t xml:space="preserve">In </w:t>
      </w:r>
      <w:proofErr w:type="gramStart"/>
      <w:r w:rsidRPr="0048303E">
        <w:t>practice</w:t>
      </w:r>
      <w:proofErr w:type="gramEnd"/>
      <w:r w:rsidRPr="0048303E">
        <w:t xml:space="preserve"> it will be the Pension Board Secretariat that drafts </w:t>
      </w:r>
      <w:r w:rsidR="00D74858" w:rsidRPr="0048303E">
        <w:t>the minutes of meeting</w:t>
      </w:r>
      <w:r w:rsidR="00F410D5" w:rsidRPr="0048303E">
        <w:t>s</w:t>
      </w:r>
      <w:r w:rsidR="00D74858" w:rsidRPr="0048303E">
        <w:t xml:space="preserve">, agrees them with the Chair and retains a copy for the scheme manager’s records.  The Secretariat will also ensure that decisions, particularly those taken between meetings, </w:t>
      </w:r>
      <w:proofErr w:type="gramStart"/>
      <w:r w:rsidR="00D74858" w:rsidRPr="0048303E">
        <w:t>are properly recorded</w:t>
      </w:r>
      <w:proofErr w:type="gramEnd"/>
      <w:r w:rsidR="00D74858" w:rsidRPr="0048303E">
        <w:t>.</w:t>
      </w:r>
      <w:bookmarkStart w:id="11" w:name="_Toc389664253"/>
    </w:p>
    <w:p w14:paraId="33C2AB79" w14:textId="77777777" w:rsidR="0048303E" w:rsidRDefault="0048303E" w:rsidP="0048303E">
      <w:pPr>
        <w:overflowPunct w:val="0"/>
        <w:autoSpaceDE w:val="0"/>
        <w:autoSpaceDN w:val="0"/>
        <w:adjustRightInd w:val="0"/>
        <w:spacing w:after="120" w:line="240" w:lineRule="auto"/>
        <w:textAlignment w:val="baseline"/>
        <w:rPr>
          <w:rFonts w:cs="Arial"/>
        </w:rPr>
      </w:pPr>
    </w:p>
    <w:p w14:paraId="3FB7F24A" w14:textId="69AD2DCB" w:rsidR="00586FA5" w:rsidRPr="0048303E" w:rsidRDefault="00946525" w:rsidP="0048303E">
      <w:pPr>
        <w:overflowPunct w:val="0"/>
        <w:autoSpaceDE w:val="0"/>
        <w:autoSpaceDN w:val="0"/>
        <w:adjustRightInd w:val="0"/>
        <w:spacing w:after="120" w:line="240" w:lineRule="auto"/>
        <w:textAlignment w:val="baseline"/>
        <w:rPr>
          <w:b/>
          <w:color w:val="1F497D" w:themeColor="text2"/>
          <w:sz w:val="28"/>
          <w:szCs w:val="28"/>
        </w:rPr>
      </w:pPr>
      <w:r w:rsidRPr="0048303E">
        <w:rPr>
          <w:b/>
          <w:color w:val="1F497D" w:themeColor="text2"/>
          <w:sz w:val="28"/>
          <w:szCs w:val="28"/>
        </w:rPr>
        <w:t>Teachers’ Pension Scheme Pension Board</w:t>
      </w:r>
      <w:bookmarkEnd w:id="11"/>
    </w:p>
    <w:p w14:paraId="3FB7F24B" w14:textId="77777777" w:rsidR="005926A0" w:rsidRPr="005926A0" w:rsidRDefault="005926A0" w:rsidP="005926A0">
      <w:pPr>
        <w:pStyle w:val="Heading2"/>
        <w:spacing w:before="120"/>
      </w:pPr>
      <w:bookmarkStart w:id="12" w:name="_Toc389664254"/>
      <w:r w:rsidRPr="005926A0">
        <w:t>Purpose and Make Up</w:t>
      </w:r>
      <w:bookmarkEnd w:id="12"/>
    </w:p>
    <w:p w14:paraId="3FB7F24C" w14:textId="625914DA" w:rsidR="00946525" w:rsidRPr="0048303E" w:rsidRDefault="00946525" w:rsidP="0048303E">
      <w:pPr>
        <w:pStyle w:val="ListParagraph"/>
        <w:numPr>
          <w:ilvl w:val="0"/>
          <w:numId w:val="23"/>
        </w:numPr>
        <w:spacing w:before="240" w:line="240" w:lineRule="auto"/>
      </w:pPr>
      <w:r w:rsidRPr="0048303E">
        <w:t xml:space="preserve">The </w:t>
      </w:r>
      <w:r w:rsidR="000D4397" w:rsidRPr="0048303E">
        <w:t xml:space="preserve">function </w:t>
      </w:r>
      <w:r w:rsidRPr="0048303E">
        <w:t xml:space="preserve">of the </w:t>
      </w:r>
      <w:r w:rsidR="00A8544A" w:rsidRPr="0048303E">
        <w:t>Pension Board</w:t>
      </w:r>
      <w:r w:rsidRPr="0048303E">
        <w:t xml:space="preserve"> is to assist the scheme manager to secure compliance with the scheme regulations and any other regulations </w:t>
      </w:r>
      <w:r w:rsidR="00A8544A" w:rsidRPr="0048303E">
        <w:t>relating to the governance and administration of the TPS</w:t>
      </w:r>
      <w:r w:rsidR="00A052D3" w:rsidRPr="0048303E">
        <w:t xml:space="preserve"> and any connected scheme</w:t>
      </w:r>
      <w:r w:rsidR="005926A0" w:rsidRPr="0048303E">
        <w:t xml:space="preserve">, along with requirements imposed by </w:t>
      </w:r>
      <w:r w:rsidR="00936182" w:rsidRPr="0048303E">
        <w:t>tPR</w:t>
      </w:r>
      <w:r w:rsidR="005926A0" w:rsidRPr="0048303E">
        <w:t xml:space="preserve"> in relation to the scheme </w:t>
      </w:r>
      <w:r w:rsidR="00A052D3" w:rsidRPr="0048303E">
        <w:t xml:space="preserve">and any </w:t>
      </w:r>
      <w:r w:rsidR="005926A0" w:rsidRPr="0048303E">
        <w:t>connected scheme.</w:t>
      </w:r>
    </w:p>
    <w:p w14:paraId="3FB7F24D" w14:textId="38197DEF" w:rsidR="00946525" w:rsidRPr="0048303E" w:rsidRDefault="00EE4CB1" w:rsidP="0048303E">
      <w:pPr>
        <w:pStyle w:val="ListParagraph"/>
        <w:numPr>
          <w:ilvl w:val="0"/>
          <w:numId w:val="23"/>
        </w:numPr>
        <w:spacing w:before="240" w:line="240" w:lineRule="auto"/>
      </w:pPr>
      <w:r w:rsidRPr="0048303E">
        <w:t>Rel</w:t>
      </w:r>
      <w:r w:rsidR="00A052D3" w:rsidRPr="0048303E">
        <w:t>evant</w:t>
      </w:r>
      <w:r w:rsidR="00936182" w:rsidRPr="0048303E">
        <w:t xml:space="preserve"> </w:t>
      </w:r>
      <w:r w:rsidRPr="0048303E">
        <w:t>l</w:t>
      </w:r>
      <w:r w:rsidR="00800BE5" w:rsidRPr="0048303E">
        <w:t>egislation:</w:t>
      </w:r>
    </w:p>
    <w:p w14:paraId="3FB7F24E" w14:textId="77777777" w:rsidR="00800BE5" w:rsidRDefault="00925A8F" w:rsidP="00FE483C">
      <w:pPr>
        <w:pStyle w:val="ListParagraph"/>
        <w:numPr>
          <w:ilvl w:val="0"/>
          <w:numId w:val="13"/>
        </w:numPr>
        <w:spacing w:before="240" w:line="240" w:lineRule="auto"/>
      </w:pPr>
      <w:r w:rsidRPr="0048303E">
        <w:t>TPSR</w:t>
      </w:r>
      <w:r w:rsidR="00800BE5" w:rsidRPr="0048303E">
        <w:t xml:space="preserve"> 2014 (</w:t>
      </w:r>
      <w:r w:rsidR="00BF7C44" w:rsidRPr="0048303E">
        <w:t xml:space="preserve">regulation </w:t>
      </w:r>
      <w:r w:rsidR="00E268E9" w:rsidRPr="0048303E">
        <w:t>8</w:t>
      </w:r>
      <w:r w:rsidR="00800BE5" w:rsidRPr="0048303E">
        <w:t>(2)</w:t>
      </w:r>
      <w:r w:rsidR="00BF7C44" w:rsidRPr="0048303E">
        <w:t>).</w:t>
      </w:r>
    </w:p>
    <w:p w14:paraId="6BF51B3B" w14:textId="77777777" w:rsidR="0048303E" w:rsidRPr="0048303E" w:rsidRDefault="0048303E" w:rsidP="0048303E">
      <w:pPr>
        <w:pStyle w:val="ListParagraph"/>
        <w:numPr>
          <w:ilvl w:val="0"/>
          <w:numId w:val="0"/>
        </w:numPr>
        <w:spacing w:before="240" w:line="240" w:lineRule="auto"/>
        <w:ind w:left="720"/>
      </w:pPr>
    </w:p>
    <w:p w14:paraId="3FB7F24F" w14:textId="77777777" w:rsidR="00864FBF" w:rsidRPr="0023541B" w:rsidRDefault="00864FBF" w:rsidP="0023541B">
      <w:pPr>
        <w:pStyle w:val="Heading2"/>
        <w:spacing w:before="120"/>
      </w:pPr>
      <w:bookmarkStart w:id="13" w:name="_Toc389664255"/>
      <w:r w:rsidRPr="0023541B">
        <w:t>Pension Board Reporting, Disclosure and Communications</w:t>
      </w:r>
      <w:bookmarkEnd w:id="13"/>
    </w:p>
    <w:p w14:paraId="3FB7F250" w14:textId="31F6E1CE" w:rsidR="00864FBF" w:rsidRPr="0048303E" w:rsidRDefault="005C72D7" w:rsidP="0048303E">
      <w:pPr>
        <w:pStyle w:val="ListParagraph"/>
        <w:numPr>
          <w:ilvl w:val="0"/>
          <w:numId w:val="23"/>
        </w:numPr>
        <w:spacing w:before="240" w:line="240" w:lineRule="auto"/>
        <w:rPr>
          <w:rFonts w:eastAsia="MS Mincho"/>
        </w:rPr>
      </w:pPr>
      <w:r w:rsidRPr="0048303E">
        <w:rPr>
          <w:rFonts w:eastAsia="MS Mincho"/>
        </w:rPr>
        <w:t>PSPA 2013</w:t>
      </w:r>
      <w:r w:rsidR="00BF7C44" w:rsidRPr="0048303E">
        <w:rPr>
          <w:rFonts w:eastAsia="MS Mincho"/>
        </w:rPr>
        <w:t xml:space="preserve"> </w:t>
      </w:r>
      <w:r w:rsidR="00864FBF" w:rsidRPr="0048303E">
        <w:rPr>
          <w:rFonts w:eastAsia="MS Mincho"/>
        </w:rPr>
        <w:t>set</w:t>
      </w:r>
      <w:r w:rsidRPr="0048303E">
        <w:rPr>
          <w:rFonts w:eastAsia="MS Mincho"/>
        </w:rPr>
        <w:t>s</w:t>
      </w:r>
      <w:r w:rsidR="00864FBF" w:rsidRPr="0048303E">
        <w:rPr>
          <w:rFonts w:eastAsia="MS Mincho"/>
        </w:rPr>
        <w:t xml:space="preserve"> out the information </w:t>
      </w:r>
      <w:r w:rsidR="009C0EAB" w:rsidRPr="0048303E">
        <w:rPr>
          <w:rFonts w:eastAsia="MS Mincho"/>
        </w:rPr>
        <w:t xml:space="preserve">relating to the Pension Board </w:t>
      </w:r>
      <w:r w:rsidR="00864FBF" w:rsidRPr="0048303E">
        <w:rPr>
          <w:rFonts w:eastAsia="MS Mincho"/>
        </w:rPr>
        <w:t>that must be p</w:t>
      </w:r>
      <w:r w:rsidR="009C0EAB" w:rsidRPr="0048303E">
        <w:rPr>
          <w:rFonts w:eastAsia="MS Mincho"/>
        </w:rPr>
        <w:t>ublished and kept up</w:t>
      </w:r>
      <w:r w:rsidR="00BF7C44" w:rsidRPr="0048303E">
        <w:rPr>
          <w:rFonts w:eastAsia="MS Mincho"/>
        </w:rPr>
        <w:t>-</w:t>
      </w:r>
      <w:r w:rsidR="009C0EAB" w:rsidRPr="0048303E">
        <w:rPr>
          <w:rFonts w:eastAsia="MS Mincho"/>
        </w:rPr>
        <w:t>to</w:t>
      </w:r>
      <w:r w:rsidR="00BF7C44" w:rsidRPr="0048303E">
        <w:rPr>
          <w:rFonts w:eastAsia="MS Mincho"/>
        </w:rPr>
        <w:t>-</w:t>
      </w:r>
      <w:r w:rsidR="009C0EAB" w:rsidRPr="0048303E">
        <w:rPr>
          <w:rFonts w:eastAsia="MS Mincho"/>
        </w:rPr>
        <w:t>date</w:t>
      </w:r>
      <w:r w:rsidR="00BF7C44" w:rsidRPr="0048303E">
        <w:rPr>
          <w:rFonts w:eastAsia="MS Mincho"/>
        </w:rPr>
        <w:t>, as follows</w:t>
      </w:r>
      <w:r w:rsidR="003337BE" w:rsidRPr="0048303E">
        <w:rPr>
          <w:rFonts w:eastAsia="MS Mincho"/>
        </w:rPr>
        <w:t xml:space="preserve"> - </w:t>
      </w:r>
    </w:p>
    <w:p w14:paraId="3FB7F251" w14:textId="77777777" w:rsidR="00581B25" w:rsidRPr="0048303E" w:rsidRDefault="00EE4CB1" w:rsidP="00FE483C">
      <w:pPr>
        <w:pStyle w:val="ListParagraph"/>
        <w:numPr>
          <w:ilvl w:val="0"/>
          <w:numId w:val="14"/>
        </w:numPr>
        <w:spacing w:before="240" w:line="240" w:lineRule="auto"/>
        <w:rPr>
          <w:rFonts w:eastAsia="MS Mincho"/>
        </w:rPr>
      </w:pPr>
      <w:r w:rsidRPr="0048303E">
        <w:rPr>
          <w:rFonts w:eastAsia="MS Mincho"/>
        </w:rPr>
        <w:t>w</w:t>
      </w:r>
      <w:r w:rsidR="00581B25" w:rsidRPr="0048303E">
        <w:rPr>
          <w:rFonts w:eastAsia="MS Mincho"/>
        </w:rPr>
        <w:t xml:space="preserve">ho the members of the </w:t>
      </w:r>
      <w:r w:rsidR="00BD3859" w:rsidRPr="0048303E">
        <w:rPr>
          <w:rFonts w:eastAsia="MS Mincho"/>
        </w:rPr>
        <w:t>Pension B</w:t>
      </w:r>
      <w:r w:rsidR="00581B25" w:rsidRPr="0048303E">
        <w:rPr>
          <w:rFonts w:eastAsia="MS Mincho"/>
        </w:rPr>
        <w:t>oard are;</w:t>
      </w:r>
    </w:p>
    <w:p w14:paraId="3FB7F252" w14:textId="02DB48ED" w:rsidR="00581B25" w:rsidRPr="0048303E" w:rsidRDefault="00581B25" w:rsidP="00FE483C">
      <w:pPr>
        <w:pStyle w:val="ListParagraph"/>
        <w:numPr>
          <w:ilvl w:val="0"/>
          <w:numId w:val="14"/>
        </w:numPr>
        <w:spacing w:before="240" w:line="240" w:lineRule="auto"/>
        <w:rPr>
          <w:rFonts w:eastAsia="MS Mincho"/>
        </w:rPr>
      </w:pPr>
      <w:r w:rsidRPr="0048303E">
        <w:rPr>
          <w:rFonts w:eastAsia="MS Mincho"/>
        </w:rPr>
        <w:t>represen</w:t>
      </w:r>
      <w:r w:rsidR="00925A8F" w:rsidRPr="0048303E">
        <w:rPr>
          <w:rFonts w:eastAsia="MS Mincho"/>
        </w:rPr>
        <w:t>ta</w:t>
      </w:r>
      <w:r w:rsidRPr="0048303E">
        <w:rPr>
          <w:rFonts w:eastAsia="MS Mincho"/>
        </w:rPr>
        <w:t>t</w:t>
      </w:r>
      <w:r w:rsidR="00277C65" w:rsidRPr="0048303E">
        <w:rPr>
          <w:rFonts w:eastAsia="MS Mincho"/>
        </w:rPr>
        <w:t>ion on the Pension Board of members of the scheme or schemes</w:t>
      </w:r>
      <w:r w:rsidR="007969F4" w:rsidRPr="0048303E">
        <w:rPr>
          <w:rFonts w:eastAsia="MS Mincho"/>
        </w:rPr>
        <w:t xml:space="preserve">; </w:t>
      </w:r>
    </w:p>
    <w:p w14:paraId="3FB7F253" w14:textId="77777777" w:rsidR="009C0EAB" w:rsidRPr="0048303E" w:rsidRDefault="00EE4CB1" w:rsidP="00FE483C">
      <w:pPr>
        <w:pStyle w:val="ListParagraph"/>
        <w:numPr>
          <w:ilvl w:val="0"/>
          <w:numId w:val="14"/>
        </w:numPr>
        <w:spacing w:before="240" w:line="240" w:lineRule="auto"/>
        <w:rPr>
          <w:rFonts w:eastAsia="MS Mincho"/>
        </w:rPr>
      </w:pPr>
      <w:proofErr w:type="gramStart"/>
      <w:r w:rsidRPr="0048303E">
        <w:rPr>
          <w:rFonts w:eastAsia="MS Mincho"/>
        </w:rPr>
        <w:t>t</w:t>
      </w:r>
      <w:r w:rsidR="00581B25" w:rsidRPr="0048303E">
        <w:rPr>
          <w:rFonts w:eastAsia="MS Mincho"/>
        </w:rPr>
        <w:t>he</w:t>
      </w:r>
      <w:proofErr w:type="gramEnd"/>
      <w:r w:rsidR="00581B25" w:rsidRPr="0048303E">
        <w:rPr>
          <w:rFonts w:eastAsia="MS Mincho"/>
        </w:rPr>
        <w:t xml:space="preserve"> matters falling within the Pension Board's responsibility</w:t>
      </w:r>
      <w:r w:rsidR="007969F4" w:rsidRPr="0048303E">
        <w:rPr>
          <w:rFonts w:eastAsia="MS Mincho"/>
        </w:rPr>
        <w:t>.</w:t>
      </w:r>
    </w:p>
    <w:p w14:paraId="3FB7F254" w14:textId="21C140AF" w:rsidR="009C0EAB" w:rsidRPr="0048303E" w:rsidRDefault="006C141D" w:rsidP="0048303E">
      <w:pPr>
        <w:pStyle w:val="ListParagraph"/>
        <w:numPr>
          <w:ilvl w:val="0"/>
          <w:numId w:val="23"/>
        </w:numPr>
        <w:spacing w:before="240" w:line="240" w:lineRule="auto"/>
      </w:pPr>
      <w:r w:rsidRPr="0048303E">
        <w:t>Rel</w:t>
      </w:r>
      <w:r w:rsidR="005A589D" w:rsidRPr="0048303E">
        <w:t>evant</w:t>
      </w:r>
      <w:r w:rsidRPr="0048303E">
        <w:t xml:space="preserve"> l</w:t>
      </w:r>
      <w:r w:rsidR="009C0EAB" w:rsidRPr="0048303E">
        <w:t>egislation:</w:t>
      </w:r>
    </w:p>
    <w:p w14:paraId="3FB7F255" w14:textId="77777777" w:rsidR="009C0EAB" w:rsidRPr="0048303E" w:rsidRDefault="00F25F2B" w:rsidP="00FE483C">
      <w:pPr>
        <w:pStyle w:val="ListParagraph"/>
        <w:numPr>
          <w:ilvl w:val="0"/>
          <w:numId w:val="14"/>
        </w:numPr>
        <w:spacing w:before="240" w:line="240" w:lineRule="auto"/>
        <w:rPr>
          <w:rFonts w:eastAsia="MS Mincho"/>
        </w:rPr>
      </w:pPr>
      <w:r w:rsidRPr="0048303E">
        <w:rPr>
          <w:rFonts w:eastAsia="MS Mincho"/>
        </w:rPr>
        <w:t>PSPA</w:t>
      </w:r>
      <w:r w:rsidR="009C0EAB" w:rsidRPr="0048303E">
        <w:rPr>
          <w:rFonts w:eastAsia="MS Mincho"/>
        </w:rPr>
        <w:t xml:space="preserve"> 2013 (</w:t>
      </w:r>
      <w:r w:rsidR="005A589D" w:rsidRPr="0048303E">
        <w:rPr>
          <w:rFonts w:eastAsia="MS Mincho"/>
        </w:rPr>
        <w:t xml:space="preserve">section </w:t>
      </w:r>
      <w:r w:rsidR="009C0EAB" w:rsidRPr="0048303E">
        <w:rPr>
          <w:rFonts w:eastAsia="MS Mincho"/>
        </w:rPr>
        <w:t>6)</w:t>
      </w:r>
    </w:p>
    <w:p w14:paraId="3FB7F256" w14:textId="0357F699" w:rsidR="00581B25" w:rsidRPr="0048303E" w:rsidRDefault="00821734" w:rsidP="0048303E">
      <w:pPr>
        <w:pStyle w:val="ListParagraph"/>
        <w:numPr>
          <w:ilvl w:val="0"/>
          <w:numId w:val="23"/>
        </w:numPr>
        <w:spacing w:before="240" w:line="240" w:lineRule="auto"/>
      </w:pPr>
      <w:proofErr w:type="gramStart"/>
      <w:r w:rsidRPr="0048303E">
        <w:rPr>
          <w:rFonts w:eastAsia="MS Mincho"/>
        </w:rPr>
        <w:t xml:space="preserve">There is no requirement for the Pension Board to publish </w:t>
      </w:r>
      <w:r w:rsidR="00ED7FAC">
        <w:rPr>
          <w:rFonts w:eastAsia="MS Mincho"/>
        </w:rPr>
        <w:t>B</w:t>
      </w:r>
      <w:r w:rsidRPr="0048303E">
        <w:rPr>
          <w:rFonts w:eastAsia="MS Mincho"/>
        </w:rPr>
        <w:t xml:space="preserve">oard papers, agendas or meeting minutes, but if they are published </w:t>
      </w:r>
      <w:r w:rsidR="00BA66AA" w:rsidRPr="0048303E">
        <w:rPr>
          <w:rFonts w:eastAsia="MS Mincho"/>
        </w:rPr>
        <w:t xml:space="preserve">consideration should be given to whether </w:t>
      </w:r>
      <w:r w:rsidRPr="0048303E">
        <w:t xml:space="preserve">they </w:t>
      </w:r>
      <w:r w:rsidR="005A589D" w:rsidRPr="0048303E">
        <w:t xml:space="preserve">should </w:t>
      </w:r>
      <w:r w:rsidRPr="0048303E">
        <w:t>be redacted to the extent that they contain confidential or commercially sensitive information and/or data covered by the Data Protection Act 1998</w:t>
      </w:r>
      <w:r w:rsidR="00BA66AA" w:rsidRPr="0048303E">
        <w:t xml:space="preserve"> and</w:t>
      </w:r>
      <w:r w:rsidR="005A589D" w:rsidRPr="0048303E">
        <w:t xml:space="preserve"> if publication would, or would be likely t</w:t>
      </w:r>
      <w:r w:rsidR="00463490" w:rsidRPr="0048303E">
        <w:t>o, be in breach of t</w:t>
      </w:r>
      <w:r w:rsidR="005A589D" w:rsidRPr="0048303E">
        <w:t>hat Act or of a legally enforceable duty of confidentiality</w:t>
      </w:r>
      <w:r w:rsidRPr="0048303E">
        <w:t>.</w:t>
      </w:r>
      <w:proofErr w:type="gramEnd"/>
    </w:p>
    <w:p w14:paraId="3FB7F257" w14:textId="0B976B77" w:rsidR="00581B25" w:rsidRPr="0048303E" w:rsidRDefault="002E73B3" w:rsidP="0048303E">
      <w:pPr>
        <w:pStyle w:val="ListParagraph"/>
        <w:numPr>
          <w:ilvl w:val="0"/>
          <w:numId w:val="23"/>
        </w:numPr>
        <w:spacing w:before="240" w:line="240" w:lineRule="auto"/>
        <w:rPr>
          <w:rFonts w:eastAsia="MS Mincho"/>
        </w:rPr>
      </w:pPr>
      <w:r w:rsidRPr="0048303E">
        <w:rPr>
          <w:rFonts w:eastAsia="MS Mincho"/>
        </w:rPr>
        <w:t>tPR Draft code of practice no 14 also suggests that the Pension Board publishes:</w:t>
      </w:r>
    </w:p>
    <w:p w14:paraId="3FB7F258" w14:textId="77777777" w:rsidR="002E73B3" w:rsidRPr="0048303E" w:rsidRDefault="002E73B3" w:rsidP="002E73B3">
      <w:pPr>
        <w:pStyle w:val="ListParagraph"/>
        <w:numPr>
          <w:ilvl w:val="0"/>
          <w:numId w:val="10"/>
        </w:numPr>
        <w:spacing w:before="240" w:line="240" w:lineRule="auto"/>
      </w:pPr>
      <w:r w:rsidRPr="0048303E">
        <w:t>any specific roles and responsibilities that a Pension Board member may have</w:t>
      </w:r>
      <w:r w:rsidRPr="0048303E">
        <w:rPr>
          <w:rStyle w:val="FootnoteReference"/>
        </w:rPr>
        <w:footnoteReference w:id="2"/>
      </w:r>
      <w:r w:rsidRPr="0048303E">
        <w:t xml:space="preserve">; </w:t>
      </w:r>
    </w:p>
    <w:p w14:paraId="3FB7F259" w14:textId="31895010" w:rsidR="002E73B3" w:rsidRPr="0048303E" w:rsidRDefault="002E73B3" w:rsidP="002E73B3">
      <w:pPr>
        <w:pStyle w:val="ListParagraph"/>
        <w:numPr>
          <w:ilvl w:val="0"/>
          <w:numId w:val="10"/>
        </w:numPr>
        <w:spacing w:before="240" w:line="240" w:lineRule="auto"/>
        <w:rPr>
          <w:rFonts w:eastAsia="MS Mincho"/>
        </w:rPr>
      </w:pPr>
      <w:r w:rsidRPr="0048303E">
        <w:rPr>
          <w:rFonts w:eastAsia="MS Mincho"/>
        </w:rPr>
        <w:t>the full terms of reference of the Pension Board</w:t>
      </w:r>
      <w:r w:rsidRPr="0048303E">
        <w:rPr>
          <w:rStyle w:val="FootnoteReference"/>
          <w:rFonts w:eastAsia="MS Mincho"/>
        </w:rPr>
        <w:footnoteReference w:id="3"/>
      </w:r>
      <w:r w:rsidRPr="0048303E">
        <w:rPr>
          <w:rFonts w:eastAsia="MS Mincho"/>
        </w:rPr>
        <w:t xml:space="preserve">; </w:t>
      </w:r>
    </w:p>
    <w:p w14:paraId="3FB7F25A" w14:textId="77777777" w:rsidR="002E73B3" w:rsidRPr="0048303E" w:rsidRDefault="002E73B3" w:rsidP="006031AD">
      <w:pPr>
        <w:pStyle w:val="ListParagraph"/>
        <w:numPr>
          <w:ilvl w:val="0"/>
          <w:numId w:val="10"/>
        </w:numPr>
        <w:spacing w:before="240" w:after="0" w:line="240" w:lineRule="auto"/>
        <w:rPr>
          <w:rFonts w:eastAsia="MS Mincho"/>
        </w:rPr>
      </w:pPr>
      <w:proofErr w:type="gramStart"/>
      <w:r w:rsidRPr="0048303E">
        <w:rPr>
          <w:rFonts w:eastAsia="MS Mincho"/>
        </w:rPr>
        <w:t>the</w:t>
      </w:r>
      <w:proofErr w:type="gramEnd"/>
      <w:r w:rsidRPr="0048303E">
        <w:rPr>
          <w:rFonts w:eastAsia="MS Mincho"/>
        </w:rPr>
        <w:t xml:space="preserve"> appointment process for the Pension Board</w:t>
      </w:r>
      <w:r w:rsidRPr="0048303E">
        <w:rPr>
          <w:rStyle w:val="FootnoteReference"/>
          <w:rFonts w:eastAsia="MS Mincho"/>
        </w:rPr>
        <w:footnoteReference w:id="4"/>
      </w:r>
      <w:r w:rsidRPr="0048303E">
        <w:rPr>
          <w:rFonts w:eastAsia="MS Mincho"/>
        </w:rPr>
        <w:t>.</w:t>
      </w:r>
    </w:p>
    <w:p w14:paraId="64009B41" w14:textId="77777777" w:rsidR="006031AD" w:rsidRDefault="006031AD" w:rsidP="006031AD">
      <w:pPr>
        <w:pStyle w:val="Heading2"/>
        <w:spacing w:before="120" w:after="0"/>
        <w:rPr>
          <w:sz w:val="28"/>
          <w:szCs w:val="28"/>
        </w:rPr>
      </w:pPr>
      <w:bookmarkStart w:id="14" w:name="_Toc389664256"/>
    </w:p>
    <w:p w14:paraId="3FB7F25C" w14:textId="77777777" w:rsidR="005C72D7" w:rsidRPr="0048303E" w:rsidRDefault="00C46DA8" w:rsidP="005C72D7">
      <w:pPr>
        <w:pStyle w:val="Heading2"/>
        <w:spacing w:before="120"/>
        <w:rPr>
          <w:sz w:val="28"/>
          <w:szCs w:val="28"/>
        </w:rPr>
      </w:pPr>
      <w:r w:rsidRPr="0048303E">
        <w:rPr>
          <w:sz w:val="28"/>
          <w:szCs w:val="28"/>
        </w:rPr>
        <w:t>Pension Board Conflicts of Interest</w:t>
      </w:r>
      <w:bookmarkEnd w:id="14"/>
    </w:p>
    <w:p w14:paraId="3FB7F25D" w14:textId="5D460C0D" w:rsidR="00B07769" w:rsidRPr="0048303E" w:rsidRDefault="00E803B5" w:rsidP="0048303E">
      <w:pPr>
        <w:pStyle w:val="ListParagraph"/>
        <w:numPr>
          <w:ilvl w:val="0"/>
          <w:numId w:val="23"/>
        </w:numPr>
        <w:spacing w:before="240" w:line="240" w:lineRule="auto"/>
        <w:rPr>
          <w:rFonts w:eastAsia="MS Mincho"/>
        </w:rPr>
      </w:pPr>
      <w:r w:rsidRPr="0048303E">
        <w:rPr>
          <w:rFonts w:eastAsia="MS Mincho"/>
        </w:rPr>
        <w:t>T</w:t>
      </w:r>
      <w:r w:rsidR="00B07769" w:rsidRPr="0048303E">
        <w:rPr>
          <w:rFonts w:eastAsia="MS Mincho"/>
        </w:rPr>
        <w:t xml:space="preserve">he scheme manager must be satisfied that any person </w:t>
      </w:r>
      <w:r w:rsidRPr="0048303E">
        <w:rPr>
          <w:rFonts w:eastAsia="MS Mincho"/>
        </w:rPr>
        <w:t xml:space="preserve">to be </w:t>
      </w:r>
      <w:r w:rsidR="00B07769" w:rsidRPr="0048303E">
        <w:rPr>
          <w:rFonts w:eastAsia="MS Mincho"/>
        </w:rPr>
        <w:t>appointed to the Pension Board does not have a conflict of interest, which, where it relates to a person, is defined as:</w:t>
      </w:r>
    </w:p>
    <w:p w14:paraId="3FB7F25E" w14:textId="77777777" w:rsidR="00B07769" w:rsidRPr="0048303E" w:rsidRDefault="00B07769" w:rsidP="00B07769">
      <w:pPr>
        <w:spacing w:before="240" w:line="240" w:lineRule="auto"/>
        <w:ind w:left="720"/>
        <w:rPr>
          <w:rFonts w:eastAsia="MS Mincho" w:cs="Arial"/>
          <w:i/>
        </w:rPr>
      </w:pPr>
      <w:proofErr w:type="gramStart"/>
      <w:r w:rsidRPr="0048303E">
        <w:rPr>
          <w:rFonts w:cs="Arial"/>
          <w:i/>
          <w:color w:val="000000"/>
        </w:rPr>
        <w:t>a</w:t>
      </w:r>
      <w:proofErr w:type="gramEnd"/>
      <w:r w:rsidRPr="0048303E">
        <w:rPr>
          <w:rFonts w:cs="Arial"/>
          <w:i/>
          <w:color w:val="000000"/>
        </w:rPr>
        <w:t xml:space="preserve"> financial or other interest which is likely to prejudice the person's exercise of functions as a member of the </w:t>
      </w:r>
      <w:r w:rsidR="00E803B5" w:rsidRPr="0048303E">
        <w:rPr>
          <w:rFonts w:cs="Arial"/>
          <w:i/>
          <w:color w:val="000000"/>
        </w:rPr>
        <w:t>[</w:t>
      </w:r>
      <w:r w:rsidRPr="0048303E">
        <w:rPr>
          <w:rFonts w:cs="Arial"/>
          <w:i/>
          <w:color w:val="000000"/>
        </w:rPr>
        <w:t>Pension Board</w:t>
      </w:r>
      <w:r w:rsidR="00E803B5" w:rsidRPr="0048303E">
        <w:rPr>
          <w:rFonts w:cs="Arial"/>
          <w:i/>
          <w:color w:val="000000"/>
        </w:rPr>
        <w:t>]</w:t>
      </w:r>
      <w:r w:rsidRPr="0048303E">
        <w:rPr>
          <w:rFonts w:cs="Arial"/>
          <w:i/>
          <w:color w:val="000000"/>
        </w:rPr>
        <w:t xml:space="preserve"> (but does not include a financial or other interest arising merely by virtue of membership of the scheme or any connected scheme).</w:t>
      </w:r>
    </w:p>
    <w:p w14:paraId="3FB7F25F" w14:textId="3925D64F" w:rsidR="00F32451" w:rsidRPr="0048303E" w:rsidRDefault="00467D0E" w:rsidP="0048303E">
      <w:pPr>
        <w:pStyle w:val="ListParagraph"/>
        <w:numPr>
          <w:ilvl w:val="0"/>
          <w:numId w:val="23"/>
        </w:numPr>
        <w:spacing w:before="240" w:line="240" w:lineRule="auto"/>
        <w:rPr>
          <w:rFonts w:eastAsia="MS Mincho"/>
        </w:rPr>
      </w:pPr>
      <w:r w:rsidRPr="0048303E">
        <w:rPr>
          <w:rFonts w:eastAsia="MS Mincho"/>
        </w:rPr>
        <w:t xml:space="preserve">It is the responsibility of </w:t>
      </w:r>
      <w:r w:rsidR="00E803B5" w:rsidRPr="0048303E">
        <w:rPr>
          <w:rFonts w:eastAsia="MS Mincho"/>
        </w:rPr>
        <w:t xml:space="preserve">proposed </w:t>
      </w:r>
      <w:r w:rsidRPr="0048303E">
        <w:rPr>
          <w:rFonts w:eastAsia="MS Mincho"/>
        </w:rPr>
        <w:t xml:space="preserve">Pension Board appointees to provide the scheme manager with information that the scheme manager reasonably requires to </w:t>
      </w:r>
      <w:r w:rsidR="00E803B5" w:rsidRPr="0048303E">
        <w:rPr>
          <w:rFonts w:eastAsia="MS Mincho"/>
        </w:rPr>
        <w:t xml:space="preserve">satisfy </w:t>
      </w:r>
      <w:proofErr w:type="gramStart"/>
      <w:r w:rsidR="00E803B5" w:rsidRPr="0048303E">
        <w:rPr>
          <w:rFonts w:eastAsia="MS Mincho"/>
        </w:rPr>
        <w:t>him</w:t>
      </w:r>
      <w:r w:rsidR="00ED7FAC">
        <w:rPr>
          <w:rFonts w:eastAsia="MS Mincho"/>
        </w:rPr>
        <w:t>(</w:t>
      </w:r>
      <w:proofErr w:type="gramEnd"/>
      <w:r w:rsidR="00ED7FAC">
        <w:rPr>
          <w:rFonts w:eastAsia="MS Mincho"/>
        </w:rPr>
        <w:t>her)</w:t>
      </w:r>
      <w:r w:rsidR="00E803B5" w:rsidRPr="0048303E">
        <w:rPr>
          <w:rFonts w:eastAsia="MS Mincho"/>
        </w:rPr>
        <w:t xml:space="preserve">self that there are no </w:t>
      </w:r>
      <w:r w:rsidRPr="0048303E">
        <w:rPr>
          <w:rFonts w:eastAsia="MS Mincho"/>
        </w:rPr>
        <w:t>conflicts of interest.</w:t>
      </w:r>
    </w:p>
    <w:p w14:paraId="3FB7F260" w14:textId="43D093F4" w:rsidR="00B07769" w:rsidRPr="0048303E" w:rsidRDefault="00F32451" w:rsidP="0048303E">
      <w:pPr>
        <w:pStyle w:val="ListParagraph"/>
        <w:numPr>
          <w:ilvl w:val="0"/>
          <w:numId w:val="23"/>
        </w:numPr>
        <w:spacing w:before="240" w:line="240" w:lineRule="auto"/>
        <w:rPr>
          <w:rFonts w:eastAsia="MS Mincho"/>
        </w:rPr>
      </w:pPr>
      <w:r w:rsidRPr="0048303E">
        <w:rPr>
          <w:rFonts w:eastAsia="MS Mincho"/>
        </w:rPr>
        <w:t>T</w:t>
      </w:r>
      <w:r w:rsidR="00B07769" w:rsidRPr="0048303E">
        <w:rPr>
          <w:rFonts w:eastAsia="MS Mincho"/>
        </w:rPr>
        <w:t xml:space="preserve">he scheme manager must </w:t>
      </w:r>
      <w:r w:rsidRPr="0048303E">
        <w:rPr>
          <w:rFonts w:eastAsia="MS Mincho"/>
        </w:rPr>
        <w:t xml:space="preserve">also </w:t>
      </w:r>
      <w:r w:rsidR="00B07769" w:rsidRPr="0048303E">
        <w:rPr>
          <w:rFonts w:eastAsia="MS Mincho"/>
        </w:rPr>
        <w:t>be satisfied from time to time that none of the members of the Pension Board has a conflict of interest</w:t>
      </w:r>
      <w:r w:rsidR="00467D0E" w:rsidRPr="0048303E">
        <w:rPr>
          <w:rFonts w:eastAsia="MS Mincho"/>
        </w:rPr>
        <w:t>; again Pension Board member</w:t>
      </w:r>
      <w:r w:rsidRPr="0048303E">
        <w:rPr>
          <w:rFonts w:eastAsia="MS Mincho"/>
        </w:rPr>
        <w:t>s</w:t>
      </w:r>
      <w:r w:rsidR="00467D0E" w:rsidRPr="0048303E">
        <w:rPr>
          <w:rFonts w:eastAsia="MS Mincho"/>
        </w:rPr>
        <w:t xml:space="preserve"> must provide the scheme manager with information that the scheme manager reasonably requires to </w:t>
      </w:r>
      <w:r w:rsidRPr="0048303E">
        <w:rPr>
          <w:rFonts w:eastAsia="MS Mincho"/>
        </w:rPr>
        <w:t>satisfy him</w:t>
      </w:r>
      <w:r w:rsidR="00ED7FAC">
        <w:rPr>
          <w:rFonts w:eastAsia="MS Mincho"/>
        </w:rPr>
        <w:t>(her)</w:t>
      </w:r>
      <w:r w:rsidRPr="0048303E">
        <w:rPr>
          <w:rFonts w:eastAsia="MS Mincho"/>
        </w:rPr>
        <w:t>self that there are no conflicts of interest</w:t>
      </w:r>
      <w:r w:rsidR="00467D0E" w:rsidRPr="0048303E">
        <w:rPr>
          <w:rFonts w:eastAsia="MS Mincho"/>
        </w:rPr>
        <w:t>.</w:t>
      </w:r>
    </w:p>
    <w:p w14:paraId="3FB7F261" w14:textId="22FC6D9A" w:rsidR="00E906E8" w:rsidRPr="0048303E" w:rsidRDefault="00E906E8" w:rsidP="0048303E">
      <w:pPr>
        <w:pStyle w:val="ListParagraph"/>
        <w:numPr>
          <w:ilvl w:val="0"/>
          <w:numId w:val="23"/>
        </w:numPr>
        <w:spacing w:before="240" w:line="240" w:lineRule="auto"/>
        <w:rPr>
          <w:rFonts w:eastAsia="MS Mincho"/>
        </w:rPr>
      </w:pPr>
      <w:r w:rsidRPr="0048303E">
        <w:rPr>
          <w:rFonts w:eastAsia="MS Mincho"/>
        </w:rPr>
        <w:t>Rel</w:t>
      </w:r>
      <w:r w:rsidR="008B7EA2" w:rsidRPr="0048303E">
        <w:rPr>
          <w:rFonts w:eastAsia="MS Mincho"/>
        </w:rPr>
        <w:t>evant</w:t>
      </w:r>
      <w:r w:rsidRPr="0048303E">
        <w:rPr>
          <w:rFonts w:eastAsia="MS Mincho"/>
        </w:rPr>
        <w:t xml:space="preserve"> legislation:</w:t>
      </w:r>
    </w:p>
    <w:p w14:paraId="3FB7F262" w14:textId="0665F1CA" w:rsidR="00E906E8" w:rsidRPr="0048303E" w:rsidRDefault="00BA66AA" w:rsidP="00FE483C">
      <w:pPr>
        <w:pStyle w:val="ListParagraph"/>
        <w:numPr>
          <w:ilvl w:val="0"/>
          <w:numId w:val="16"/>
        </w:numPr>
        <w:spacing w:before="240" w:line="240" w:lineRule="auto"/>
        <w:rPr>
          <w:rFonts w:eastAsia="MS Mincho"/>
        </w:rPr>
      </w:pPr>
      <w:r w:rsidRPr="0048303E">
        <w:rPr>
          <w:rFonts w:eastAsia="MS Mincho"/>
        </w:rPr>
        <w:t>PSPA</w:t>
      </w:r>
      <w:r w:rsidR="00E906E8" w:rsidRPr="0048303E">
        <w:rPr>
          <w:rFonts w:eastAsia="MS Mincho"/>
        </w:rPr>
        <w:t xml:space="preserve"> 2013 (</w:t>
      </w:r>
      <w:r w:rsidR="008B7EA2" w:rsidRPr="0048303E">
        <w:rPr>
          <w:rFonts w:eastAsia="MS Mincho"/>
        </w:rPr>
        <w:t xml:space="preserve">section </w:t>
      </w:r>
      <w:r w:rsidR="00E906E8" w:rsidRPr="0048303E">
        <w:rPr>
          <w:rFonts w:eastAsia="MS Mincho"/>
        </w:rPr>
        <w:t>5(5)</w:t>
      </w:r>
      <w:r w:rsidR="008F07F3">
        <w:rPr>
          <w:rFonts w:eastAsia="MS Mincho"/>
        </w:rPr>
        <w:t xml:space="preserve"> for a definition of “conflict of interest”</w:t>
      </w:r>
      <w:r w:rsidR="008B7EA2" w:rsidRPr="0048303E">
        <w:rPr>
          <w:rFonts w:eastAsia="MS Mincho"/>
        </w:rPr>
        <w:t>)</w:t>
      </w:r>
    </w:p>
    <w:p w14:paraId="3FB7F263" w14:textId="77777777" w:rsidR="00E906E8" w:rsidRPr="0048303E" w:rsidRDefault="008B7EA2" w:rsidP="00FE483C">
      <w:pPr>
        <w:pStyle w:val="ListParagraph"/>
        <w:numPr>
          <w:ilvl w:val="0"/>
          <w:numId w:val="16"/>
        </w:numPr>
        <w:spacing w:before="240" w:line="240" w:lineRule="auto"/>
        <w:rPr>
          <w:rFonts w:eastAsia="MS Mincho"/>
        </w:rPr>
      </w:pPr>
      <w:r w:rsidRPr="0048303E">
        <w:rPr>
          <w:rFonts w:eastAsia="MS Mincho"/>
        </w:rPr>
        <w:t>TPSR</w:t>
      </w:r>
      <w:r w:rsidR="00E906E8" w:rsidRPr="0048303E">
        <w:rPr>
          <w:rFonts w:eastAsia="MS Mincho"/>
        </w:rPr>
        <w:t xml:space="preserve"> 2014 (</w:t>
      </w:r>
      <w:r w:rsidRPr="0048303E">
        <w:rPr>
          <w:rFonts w:eastAsia="MS Mincho"/>
        </w:rPr>
        <w:t xml:space="preserve">regulation </w:t>
      </w:r>
      <w:r w:rsidR="00E906E8" w:rsidRPr="0048303E">
        <w:rPr>
          <w:rFonts w:eastAsia="MS Mincho"/>
        </w:rPr>
        <w:t>1</w:t>
      </w:r>
      <w:r w:rsidR="00E268E9" w:rsidRPr="0048303E">
        <w:rPr>
          <w:rFonts w:eastAsia="MS Mincho"/>
        </w:rPr>
        <w:t>0</w:t>
      </w:r>
      <w:r w:rsidR="00E906E8" w:rsidRPr="0048303E">
        <w:rPr>
          <w:rFonts w:eastAsia="MS Mincho"/>
        </w:rPr>
        <w:t>)</w:t>
      </w:r>
    </w:p>
    <w:p w14:paraId="3FB7F264" w14:textId="4F324BAA" w:rsidR="00E906E8" w:rsidRPr="0048303E" w:rsidRDefault="00D770C8" w:rsidP="0048303E">
      <w:pPr>
        <w:pStyle w:val="ListParagraph"/>
        <w:numPr>
          <w:ilvl w:val="0"/>
          <w:numId w:val="23"/>
        </w:numPr>
        <w:spacing w:before="240" w:line="240" w:lineRule="auto"/>
        <w:rPr>
          <w:rFonts w:eastAsia="MS Mincho"/>
        </w:rPr>
      </w:pPr>
      <w:proofErr w:type="gramStart"/>
      <w:r w:rsidRPr="0048303E">
        <w:rPr>
          <w:rFonts w:eastAsia="MS Mincho"/>
        </w:rPr>
        <w:t>tPR</w:t>
      </w:r>
      <w:proofErr w:type="gramEnd"/>
      <w:r w:rsidR="00E906E8" w:rsidRPr="0048303E">
        <w:rPr>
          <w:rFonts w:eastAsia="MS Mincho"/>
        </w:rPr>
        <w:t xml:space="preserve"> </w:t>
      </w:r>
      <w:r w:rsidR="00B87E65" w:rsidRPr="0048303E">
        <w:rPr>
          <w:rFonts w:eastAsia="MS Mincho"/>
        </w:rPr>
        <w:t>C</w:t>
      </w:r>
      <w:r w:rsidR="00E906E8" w:rsidRPr="0048303E">
        <w:rPr>
          <w:rFonts w:eastAsia="MS Mincho"/>
        </w:rPr>
        <w:t xml:space="preserve">ode of </w:t>
      </w:r>
      <w:r w:rsidR="00B87E65" w:rsidRPr="0048303E">
        <w:rPr>
          <w:rFonts w:eastAsia="MS Mincho"/>
        </w:rPr>
        <w:t>P</w:t>
      </w:r>
      <w:r w:rsidR="00E906E8" w:rsidRPr="0048303E">
        <w:rPr>
          <w:rFonts w:eastAsia="MS Mincho"/>
        </w:rPr>
        <w:t>ractice no 14 provide</w:t>
      </w:r>
      <w:r w:rsidR="008B7EA2" w:rsidRPr="0048303E">
        <w:rPr>
          <w:rFonts w:eastAsia="MS Mincho"/>
        </w:rPr>
        <w:t>s</w:t>
      </w:r>
      <w:r w:rsidR="00E906E8" w:rsidRPr="0048303E">
        <w:rPr>
          <w:rFonts w:eastAsia="MS Mincho"/>
        </w:rPr>
        <w:t xml:space="preserve"> practical guidance on the management of </w:t>
      </w:r>
      <w:r w:rsidR="009D6615" w:rsidRPr="0048303E">
        <w:rPr>
          <w:rFonts w:eastAsia="MS Mincho"/>
        </w:rPr>
        <w:t xml:space="preserve">potential </w:t>
      </w:r>
      <w:r w:rsidR="00E906E8" w:rsidRPr="0048303E">
        <w:rPr>
          <w:rFonts w:eastAsia="MS Mincho"/>
        </w:rPr>
        <w:t>conflicts of interest of Pension Board members</w:t>
      </w:r>
      <w:r w:rsidR="00C93D33" w:rsidRPr="0048303E">
        <w:rPr>
          <w:rFonts w:eastAsia="MS Mincho"/>
        </w:rPr>
        <w:t xml:space="preserve"> and</w:t>
      </w:r>
      <w:r w:rsidR="00E906E8" w:rsidRPr="0048303E">
        <w:rPr>
          <w:rFonts w:eastAsia="MS Mincho"/>
        </w:rPr>
        <w:t xml:space="preserve"> the need to establish process</w:t>
      </w:r>
      <w:r w:rsidR="0008019C" w:rsidRPr="0048303E">
        <w:rPr>
          <w:rFonts w:eastAsia="MS Mincho"/>
        </w:rPr>
        <w:t>es</w:t>
      </w:r>
      <w:r w:rsidR="00E906E8" w:rsidRPr="0048303E">
        <w:rPr>
          <w:rFonts w:eastAsia="MS Mincho"/>
        </w:rPr>
        <w:t xml:space="preserve"> to ensure </w:t>
      </w:r>
      <w:r w:rsidR="0008019C" w:rsidRPr="0048303E">
        <w:rPr>
          <w:rFonts w:eastAsia="MS Mincho"/>
        </w:rPr>
        <w:t xml:space="preserve">that </w:t>
      </w:r>
      <w:r w:rsidR="00E906E8" w:rsidRPr="0048303E">
        <w:rPr>
          <w:rFonts w:eastAsia="MS Mincho"/>
        </w:rPr>
        <w:t>management is ongoing and enduring.  Th</w:t>
      </w:r>
      <w:r w:rsidR="003C043A" w:rsidRPr="0048303E">
        <w:rPr>
          <w:rFonts w:eastAsia="MS Mincho"/>
        </w:rPr>
        <w:t xml:space="preserve">e </w:t>
      </w:r>
      <w:r w:rsidR="00B87E65" w:rsidRPr="0048303E">
        <w:rPr>
          <w:rFonts w:eastAsia="MS Mincho"/>
        </w:rPr>
        <w:t>C</w:t>
      </w:r>
      <w:r w:rsidR="003C043A" w:rsidRPr="0048303E">
        <w:rPr>
          <w:rFonts w:eastAsia="MS Mincho"/>
        </w:rPr>
        <w:t xml:space="preserve">ode of </w:t>
      </w:r>
      <w:r w:rsidR="00B87E65" w:rsidRPr="0048303E">
        <w:rPr>
          <w:rFonts w:eastAsia="MS Mincho"/>
        </w:rPr>
        <w:t>P</w:t>
      </w:r>
      <w:r w:rsidR="003C043A" w:rsidRPr="0048303E">
        <w:rPr>
          <w:rFonts w:eastAsia="MS Mincho"/>
        </w:rPr>
        <w:t xml:space="preserve">ractice offers advice on managing potential conflicts, which </w:t>
      </w:r>
      <w:r w:rsidR="00E906E8" w:rsidRPr="0048303E">
        <w:rPr>
          <w:rFonts w:eastAsia="MS Mincho"/>
        </w:rPr>
        <w:t>includes:</w:t>
      </w:r>
    </w:p>
    <w:p w14:paraId="3FB7F265" w14:textId="77777777" w:rsidR="00E906E8" w:rsidRPr="0048303E" w:rsidRDefault="0008019C" w:rsidP="00FE483C">
      <w:pPr>
        <w:pStyle w:val="ListParagraph"/>
        <w:numPr>
          <w:ilvl w:val="0"/>
          <w:numId w:val="17"/>
        </w:numPr>
        <w:spacing w:before="240" w:line="240" w:lineRule="auto"/>
        <w:rPr>
          <w:rFonts w:eastAsia="MS Mincho"/>
        </w:rPr>
      </w:pPr>
      <w:r w:rsidRPr="0048303E">
        <w:rPr>
          <w:rFonts w:eastAsia="MS Mincho"/>
        </w:rPr>
        <w:t>m</w:t>
      </w:r>
      <w:r w:rsidR="00E906E8" w:rsidRPr="0048303E">
        <w:rPr>
          <w:rFonts w:eastAsia="MS Mincho"/>
        </w:rPr>
        <w:t>aintaining a register of interests, to record and monitor dual interests and responsibilities of pension board members</w:t>
      </w:r>
      <w:r w:rsidR="008F12AC" w:rsidRPr="0048303E">
        <w:rPr>
          <w:rStyle w:val="FootnoteReference"/>
          <w:rFonts w:eastAsia="MS Mincho"/>
        </w:rPr>
        <w:footnoteReference w:id="5"/>
      </w:r>
      <w:r w:rsidR="00E906E8" w:rsidRPr="0048303E">
        <w:rPr>
          <w:rFonts w:eastAsia="MS Mincho"/>
        </w:rPr>
        <w:t>;</w:t>
      </w:r>
    </w:p>
    <w:p w14:paraId="3FB7F266" w14:textId="77777777" w:rsidR="00E906E8" w:rsidRPr="0048303E" w:rsidRDefault="0008019C" w:rsidP="00FE483C">
      <w:pPr>
        <w:pStyle w:val="ListParagraph"/>
        <w:numPr>
          <w:ilvl w:val="0"/>
          <w:numId w:val="17"/>
        </w:numPr>
        <w:spacing w:before="240" w:line="240" w:lineRule="auto"/>
        <w:rPr>
          <w:rFonts w:eastAsia="MS Mincho"/>
        </w:rPr>
      </w:pPr>
      <w:r w:rsidRPr="0048303E">
        <w:rPr>
          <w:rFonts w:eastAsia="MS Mincho"/>
        </w:rPr>
        <w:t>c</w:t>
      </w:r>
      <w:r w:rsidR="00E906E8" w:rsidRPr="0048303E">
        <w:rPr>
          <w:rFonts w:eastAsia="MS Mincho"/>
        </w:rPr>
        <w:t>irculating the register of interests to Pension Board members for ongoing review</w:t>
      </w:r>
      <w:r w:rsidR="008F12AC" w:rsidRPr="0048303E">
        <w:rPr>
          <w:rStyle w:val="FootnoteReference"/>
          <w:rFonts w:eastAsia="MS Mincho"/>
        </w:rPr>
        <w:footnoteReference w:id="6"/>
      </w:r>
      <w:r w:rsidR="00E906E8" w:rsidRPr="0048303E">
        <w:rPr>
          <w:rFonts w:eastAsia="MS Mincho"/>
        </w:rPr>
        <w:t>;</w:t>
      </w:r>
    </w:p>
    <w:p w14:paraId="3FB7F267" w14:textId="7BD156D8" w:rsidR="00E906E8" w:rsidRPr="0048303E" w:rsidRDefault="0008019C" w:rsidP="00FE483C">
      <w:pPr>
        <w:pStyle w:val="ListParagraph"/>
        <w:numPr>
          <w:ilvl w:val="0"/>
          <w:numId w:val="17"/>
        </w:numPr>
        <w:spacing w:before="240" w:line="240" w:lineRule="auto"/>
        <w:rPr>
          <w:rFonts w:eastAsia="MS Mincho"/>
        </w:rPr>
      </w:pPr>
      <w:r w:rsidRPr="0048303E">
        <w:rPr>
          <w:rFonts w:eastAsia="MS Mincho"/>
        </w:rPr>
        <w:t>c</w:t>
      </w:r>
      <w:r w:rsidR="00E906E8" w:rsidRPr="0048303E">
        <w:rPr>
          <w:rFonts w:eastAsia="MS Mincho"/>
        </w:rPr>
        <w:t>apturing and recording decisions on managing potential conflicts of interest</w:t>
      </w:r>
      <w:r w:rsidR="008F12AC" w:rsidRPr="0048303E">
        <w:rPr>
          <w:rStyle w:val="FootnoteReference"/>
          <w:rFonts w:eastAsia="MS Mincho"/>
        </w:rPr>
        <w:footnoteReference w:id="7"/>
      </w:r>
      <w:r w:rsidR="00E906E8" w:rsidRPr="0048303E">
        <w:rPr>
          <w:rFonts w:eastAsia="MS Mincho"/>
        </w:rPr>
        <w:t xml:space="preserve">; </w:t>
      </w:r>
    </w:p>
    <w:p w14:paraId="3FB7F268" w14:textId="609C0A98" w:rsidR="006C141D" w:rsidRPr="0048303E" w:rsidRDefault="003C043A" w:rsidP="00FE483C">
      <w:pPr>
        <w:pStyle w:val="ListParagraph"/>
        <w:numPr>
          <w:ilvl w:val="0"/>
          <w:numId w:val="17"/>
        </w:numPr>
        <w:spacing w:before="240" w:line="240" w:lineRule="auto"/>
        <w:rPr>
          <w:rFonts w:eastAsia="MS Mincho"/>
        </w:rPr>
      </w:pPr>
      <w:r w:rsidRPr="0048303E">
        <w:rPr>
          <w:rFonts w:eastAsia="MS Mincho"/>
        </w:rPr>
        <w:t xml:space="preserve">having </w:t>
      </w:r>
      <w:r w:rsidR="009D6615" w:rsidRPr="0048303E">
        <w:rPr>
          <w:rFonts w:eastAsia="MS Mincho"/>
        </w:rPr>
        <w:t xml:space="preserve">potential </w:t>
      </w:r>
      <w:r w:rsidR="008F12AC" w:rsidRPr="0048303E">
        <w:rPr>
          <w:rFonts w:eastAsia="MS Mincho"/>
        </w:rPr>
        <w:t>c</w:t>
      </w:r>
      <w:r w:rsidR="00E906E8" w:rsidRPr="0048303E">
        <w:rPr>
          <w:rFonts w:eastAsia="MS Mincho"/>
        </w:rPr>
        <w:t xml:space="preserve">onflicts of interest as an opening agenda item at </w:t>
      </w:r>
      <w:r w:rsidR="00ED7FAC">
        <w:rPr>
          <w:rFonts w:eastAsia="MS Mincho"/>
        </w:rPr>
        <w:t>B</w:t>
      </w:r>
      <w:r w:rsidR="00E906E8" w:rsidRPr="0048303E">
        <w:rPr>
          <w:rFonts w:eastAsia="MS Mincho"/>
        </w:rPr>
        <w:t xml:space="preserve">oard meetings, and revisiting </w:t>
      </w:r>
      <w:r w:rsidR="00C93D33" w:rsidRPr="0048303E">
        <w:rPr>
          <w:rFonts w:eastAsia="MS Mincho"/>
        </w:rPr>
        <w:t>the item</w:t>
      </w:r>
      <w:r w:rsidR="00E906E8" w:rsidRPr="0048303E">
        <w:rPr>
          <w:rFonts w:eastAsia="MS Mincho"/>
        </w:rPr>
        <w:t xml:space="preserve"> during the meeting as necessary, to provide an opportunity for all present (</w:t>
      </w:r>
      <w:r w:rsidR="002959D8">
        <w:rPr>
          <w:rFonts w:eastAsia="MS Mincho"/>
        </w:rPr>
        <w:t>B</w:t>
      </w:r>
      <w:r w:rsidR="00E906E8" w:rsidRPr="0048303E">
        <w:rPr>
          <w:rFonts w:eastAsia="MS Mincho"/>
        </w:rPr>
        <w:t>oard and non-</w:t>
      </w:r>
      <w:r w:rsidR="002959D8">
        <w:rPr>
          <w:rFonts w:eastAsia="MS Mincho"/>
        </w:rPr>
        <w:t>B</w:t>
      </w:r>
      <w:r w:rsidR="00E906E8" w:rsidRPr="0048303E">
        <w:rPr>
          <w:rFonts w:eastAsia="MS Mincho"/>
        </w:rPr>
        <w:t>oard members) to declare any dual interests and responsibilities which may have potential to become conflicts of interest</w:t>
      </w:r>
      <w:r w:rsidR="008F12AC" w:rsidRPr="0048303E">
        <w:rPr>
          <w:rStyle w:val="FootnoteReference"/>
          <w:rFonts w:eastAsia="MS Mincho"/>
        </w:rPr>
        <w:footnoteReference w:id="8"/>
      </w:r>
      <w:r w:rsidR="00E906E8" w:rsidRPr="0048303E">
        <w:rPr>
          <w:rFonts w:eastAsia="MS Mincho"/>
        </w:rPr>
        <w:t>.</w:t>
      </w:r>
    </w:p>
    <w:p w14:paraId="3FB7F269" w14:textId="15BB7B43" w:rsidR="00E906E8" w:rsidRPr="0048303E" w:rsidRDefault="00D770C8" w:rsidP="0048303E">
      <w:pPr>
        <w:pStyle w:val="ListParagraph"/>
        <w:numPr>
          <w:ilvl w:val="0"/>
          <w:numId w:val="23"/>
        </w:numPr>
        <w:spacing w:after="0" w:line="240" w:lineRule="auto"/>
        <w:rPr>
          <w:rFonts w:eastAsia="MS Mincho"/>
        </w:rPr>
      </w:pPr>
      <w:r w:rsidRPr="0048303E">
        <w:rPr>
          <w:rFonts w:eastAsia="MS Mincho"/>
        </w:rPr>
        <w:t>tPR</w:t>
      </w:r>
      <w:r w:rsidR="00E906E8" w:rsidRPr="0048303E">
        <w:rPr>
          <w:rFonts w:eastAsia="MS Mincho"/>
        </w:rPr>
        <w:t xml:space="preserve"> </w:t>
      </w:r>
      <w:r w:rsidR="00B87E65" w:rsidRPr="0048303E">
        <w:rPr>
          <w:rFonts w:eastAsia="MS Mincho"/>
        </w:rPr>
        <w:t>C</w:t>
      </w:r>
      <w:r w:rsidR="00E906E8" w:rsidRPr="0048303E">
        <w:rPr>
          <w:rFonts w:eastAsia="MS Mincho"/>
        </w:rPr>
        <w:t xml:space="preserve">ode of </w:t>
      </w:r>
      <w:r w:rsidR="00B87E65" w:rsidRPr="0048303E">
        <w:rPr>
          <w:rFonts w:eastAsia="MS Mincho"/>
        </w:rPr>
        <w:t>P</w:t>
      </w:r>
      <w:r w:rsidR="00E906E8" w:rsidRPr="0048303E">
        <w:rPr>
          <w:rFonts w:eastAsia="MS Mincho"/>
        </w:rPr>
        <w:t xml:space="preserve">ractice no 14 </w:t>
      </w:r>
      <w:r w:rsidR="00793E73" w:rsidRPr="0048303E">
        <w:rPr>
          <w:rFonts w:eastAsia="MS Mincho"/>
        </w:rPr>
        <w:t xml:space="preserve">also </w:t>
      </w:r>
      <w:r w:rsidR="00E906E8" w:rsidRPr="0048303E">
        <w:rPr>
          <w:rFonts w:eastAsia="MS Mincho"/>
        </w:rPr>
        <w:t>suggests that:</w:t>
      </w:r>
    </w:p>
    <w:p w14:paraId="3FB7F26A" w14:textId="77777777" w:rsidR="00E906E8" w:rsidRPr="0048303E" w:rsidRDefault="00793E73" w:rsidP="00FE483C">
      <w:pPr>
        <w:pStyle w:val="ListParagraph"/>
        <w:numPr>
          <w:ilvl w:val="0"/>
          <w:numId w:val="17"/>
        </w:numPr>
        <w:spacing w:before="240" w:line="240" w:lineRule="auto"/>
        <w:rPr>
          <w:rFonts w:eastAsia="MS Mincho"/>
        </w:rPr>
      </w:pPr>
      <w:r w:rsidRPr="0048303E">
        <w:rPr>
          <w:rFonts w:eastAsia="MS Mincho"/>
        </w:rPr>
        <w:t xml:space="preserve">the scheme should ensure that </w:t>
      </w:r>
      <w:r w:rsidR="00453771" w:rsidRPr="0048303E">
        <w:rPr>
          <w:rFonts w:eastAsia="MS Mincho"/>
        </w:rPr>
        <w:t>Pension Board members are appointed under procedures that require them to disclose any dual interests or responsibilities, which could become conflicts of interest and which may adversely affect their suitability for the role, before they are appointed</w:t>
      </w:r>
      <w:r w:rsidR="008F12AC" w:rsidRPr="0048303E">
        <w:rPr>
          <w:rStyle w:val="FootnoteReference"/>
          <w:rFonts w:eastAsia="MS Mincho"/>
        </w:rPr>
        <w:footnoteReference w:id="9"/>
      </w:r>
      <w:r w:rsidR="00453771" w:rsidRPr="0048303E">
        <w:rPr>
          <w:rFonts w:eastAsia="MS Mincho"/>
        </w:rPr>
        <w:t>;</w:t>
      </w:r>
    </w:p>
    <w:p w14:paraId="3FB7F26B" w14:textId="77777777" w:rsidR="00453771" w:rsidRPr="0048303E" w:rsidRDefault="00453771" w:rsidP="00FE483C">
      <w:pPr>
        <w:pStyle w:val="ListParagraph"/>
        <w:numPr>
          <w:ilvl w:val="0"/>
          <w:numId w:val="17"/>
        </w:numPr>
        <w:spacing w:before="240" w:line="240" w:lineRule="auto"/>
        <w:rPr>
          <w:rFonts w:eastAsia="MS Mincho"/>
        </w:rPr>
      </w:pPr>
      <w:r w:rsidRPr="0048303E">
        <w:rPr>
          <w:rFonts w:eastAsia="MS Mincho"/>
        </w:rPr>
        <w:t>all terms of engagement (for example appointment letters and any contracts for services) should include a clause requiring disclosure of all dual interests and responsibilities which have the potential to become conflicts of interest, as soon as they arise</w:t>
      </w:r>
      <w:r w:rsidR="008F12AC" w:rsidRPr="0048303E">
        <w:rPr>
          <w:rStyle w:val="FootnoteReference"/>
          <w:rFonts w:eastAsia="MS Mincho"/>
        </w:rPr>
        <w:footnoteReference w:id="10"/>
      </w:r>
      <w:r w:rsidRPr="0048303E">
        <w:rPr>
          <w:rFonts w:eastAsia="MS Mincho"/>
        </w:rPr>
        <w:t>;</w:t>
      </w:r>
    </w:p>
    <w:p w14:paraId="3FB7F26C" w14:textId="5E48589D" w:rsidR="009F5733" w:rsidRPr="0048303E" w:rsidRDefault="00453771" w:rsidP="00B87E65">
      <w:pPr>
        <w:pStyle w:val="ListParagraph"/>
        <w:numPr>
          <w:ilvl w:val="0"/>
          <w:numId w:val="17"/>
        </w:numPr>
        <w:spacing w:before="240" w:line="240" w:lineRule="auto"/>
        <w:rPr>
          <w:rFonts w:eastAsia="MS Mincho"/>
        </w:rPr>
      </w:pPr>
      <w:r w:rsidRPr="0048303E">
        <w:rPr>
          <w:rFonts w:eastAsia="MS Mincho"/>
        </w:rPr>
        <w:t>key decisions that are likely to be made are identified in advance to allow for an assessment for any potential conflicts of interest</w:t>
      </w:r>
      <w:r w:rsidR="00793E73" w:rsidRPr="0048303E">
        <w:rPr>
          <w:rFonts w:eastAsia="MS Mincho"/>
        </w:rPr>
        <w:t xml:space="preserve">, and the scheme notifies </w:t>
      </w:r>
      <w:r w:rsidR="00B87E65" w:rsidRPr="0048303E">
        <w:rPr>
          <w:rFonts w:eastAsia="MS Mincho"/>
        </w:rPr>
        <w:t>P</w:t>
      </w:r>
      <w:r w:rsidR="006C5CF3" w:rsidRPr="0048303E">
        <w:rPr>
          <w:rFonts w:eastAsia="MS Mincho"/>
        </w:rPr>
        <w:t>ension</w:t>
      </w:r>
      <w:r w:rsidR="00B87E65" w:rsidRPr="0048303E">
        <w:rPr>
          <w:rFonts w:eastAsia="MS Mincho"/>
        </w:rPr>
        <w:t xml:space="preserve"> B</w:t>
      </w:r>
      <w:r w:rsidR="006C5CF3" w:rsidRPr="0048303E">
        <w:rPr>
          <w:rFonts w:eastAsia="MS Mincho"/>
        </w:rPr>
        <w:t>oard members as soon as possible and puts in place mitigations to avoid potential conflicts of interest materialising</w:t>
      </w:r>
      <w:r w:rsidR="008F12AC" w:rsidRPr="0048303E">
        <w:rPr>
          <w:rStyle w:val="FootnoteReference"/>
          <w:rFonts w:eastAsia="MS Mincho"/>
        </w:rPr>
        <w:footnoteReference w:id="11"/>
      </w:r>
      <w:r w:rsidRPr="0048303E">
        <w:rPr>
          <w:rFonts w:eastAsia="MS Mincho"/>
        </w:rPr>
        <w:t xml:space="preserve">; </w:t>
      </w:r>
    </w:p>
    <w:p w14:paraId="3FB7F26D" w14:textId="77777777" w:rsidR="00E906E8" w:rsidRPr="0048303E" w:rsidRDefault="00997CC2" w:rsidP="006031AD">
      <w:pPr>
        <w:pStyle w:val="ListParagraph"/>
        <w:numPr>
          <w:ilvl w:val="0"/>
          <w:numId w:val="17"/>
        </w:numPr>
        <w:spacing w:before="240" w:after="0" w:line="240" w:lineRule="auto"/>
        <w:rPr>
          <w:rFonts w:eastAsia="MS Mincho"/>
        </w:rPr>
      </w:pPr>
      <w:proofErr w:type="gramStart"/>
      <w:r w:rsidRPr="0048303E">
        <w:rPr>
          <w:rFonts w:eastAsia="MS Mincho"/>
        </w:rPr>
        <w:t>i</w:t>
      </w:r>
      <w:r w:rsidR="00E906E8" w:rsidRPr="0048303E">
        <w:rPr>
          <w:rFonts w:eastAsia="MS Mincho"/>
        </w:rPr>
        <w:t>dentification</w:t>
      </w:r>
      <w:proofErr w:type="gramEnd"/>
      <w:r w:rsidR="00E906E8" w:rsidRPr="0048303E">
        <w:rPr>
          <w:rFonts w:eastAsia="MS Mincho"/>
        </w:rPr>
        <w:t xml:space="preserve">, evaluation and management of dual interests and responsibilities that have the potential to become conflicts of interest </w:t>
      </w:r>
      <w:r w:rsidRPr="0048303E">
        <w:rPr>
          <w:rFonts w:eastAsia="MS Mincho"/>
        </w:rPr>
        <w:t xml:space="preserve">should </w:t>
      </w:r>
      <w:r w:rsidR="00E906E8" w:rsidRPr="0048303E">
        <w:rPr>
          <w:rFonts w:eastAsia="MS Mincho"/>
        </w:rPr>
        <w:t xml:space="preserve">be part of the </w:t>
      </w:r>
      <w:r w:rsidRPr="0048303E">
        <w:rPr>
          <w:rFonts w:eastAsia="MS Mincho"/>
        </w:rPr>
        <w:t xml:space="preserve">scheme </w:t>
      </w:r>
      <w:r w:rsidR="00E906E8" w:rsidRPr="0048303E">
        <w:rPr>
          <w:rFonts w:eastAsia="MS Mincho"/>
        </w:rPr>
        <w:t>risk assessment process</w:t>
      </w:r>
      <w:r w:rsidR="008F12AC" w:rsidRPr="0048303E">
        <w:rPr>
          <w:rStyle w:val="FootnoteReference"/>
          <w:rFonts w:eastAsia="MS Mincho"/>
        </w:rPr>
        <w:footnoteReference w:id="12"/>
      </w:r>
      <w:r w:rsidR="008F12AC" w:rsidRPr="0048303E">
        <w:rPr>
          <w:rFonts w:eastAsia="MS Mincho"/>
        </w:rPr>
        <w:t>.</w:t>
      </w:r>
    </w:p>
    <w:p w14:paraId="694F5A2E" w14:textId="77777777" w:rsidR="006031AD" w:rsidRDefault="006031AD" w:rsidP="00C46DA8">
      <w:pPr>
        <w:pStyle w:val="Heading2"/>
        <w:spacing w:before="120"/>
        <w:rPr>
          <w:sz w:val="28"/>
          <w:szCs w:val="28"/>
        </w:rPr>
      </w:pPr>
      <w:bookmarkStart w:id="15" w:name="_Toc389664257"/>
    </w:p>
    <w:p w14:paraId="3FB7F26F" w14:textId="77777777" w:rsidR="00C46DA8" w:rsidRPr="0048303E" w:rsidRDefault="00C46DA8" w:rsidP="00C46DA8">
      <w:pPr>
        <w:pStyle w:val="Heading2"/>
        <w:spacing w:before="120"/>
        <w:rPr>
          <w:sz w:val="28"/>
          <w:szCs w:val="28"/>
        </w:rPr>
      </w:pPr>
      <w:r w:rsidRPr="0048303E">
        <w:rPr>
          <w:sz w:val="28"/>
          <w:szCs w:val="28"/>
        </w:rPr>
        <w:t>Pension Board Knowledge and Training</w:t>
      </w:r>
      <w:bookmarkEnd w:id="15"/>
    </w:p>
    <w:p w14:paraId="3FB7F270" w14:textId="492A95D0" w:rsidR="00C46DA8" w:rsidRPr="0048303E" w:rsidRDefault="0036356B" w:rsidP="0048303E">
      <w:pPr>
        <w:pStyle w:val="ListParagraph"/>
        <w:numPr>
          <w:ilvl w:val="0"/>
          <w:numId w:val="23"/>
        </w:numPr>
        <w:spacing w:before="240" w:line="240" w:lineRule="auto"/>
        <w:rPr>
          <w:rFonts w:eastAsia="MS Mincho"/>
        </w:rPr>
      </w:pPr>
      <w:r w:rsidRPr="0048303E">
        <w:rPr>
          <w:rFonts w:eastAsia="MS Mincho"/>
        </w:rPr>
        <w:t xml:space="preserve">It is the personal responsibility of Pension Board members to </w:t>
      </w:r>
      <w:r w:rsidR="00997CC2" w:rsidRPr="0048303E">
        <w:rPr>
          <w:rFonts w:eastAsia="MS Mincho"/>
        </w:rPr>
        <w:t>ensure</w:t>
      </w:r>
      <w:r w:rsidRPr="0048303E">
        <w:rPr>
          <w:rFonts w:eastAsia="MS Mincho"/>
        </w:rPr>
        <w:t xml:space="preserve"> that they have the appropriate degree of knowledge and understanding to enable them </w:t>
      </w:r>
      <w:proofErr w:type="gramStart"/>
      <w:r w:rsidRPr="0048303E">
        <w:rPr>
          <w:rFonts w:eastAsia="MS Mincho"/>
        </w:rPr>
        <w:t>to properly exercise</w:t>
      </w:r>
      <w:proofErr w:type="gramEnd"/>
      <w:r w:rsidRPr="0048303E">
        <w:rPr>
          <w:rFonts w:eastAsia="MS Mincho"/>
        </w:rPr>
        <w:t xml:space="preserve"> their functions as a member of the </w:t>
      </w:r>
      <w:r w:rsidR="00997CC2" w:rsidRPr="0048303E">
        <w:rPr>
          <w:rFonts w:eastAsia="MS Mincho"/>
        </w:rPr>
        <w:t>P</w:t>
      </w:r>
      <w:r w:rsidRPr="0048303E">
        <w:rPr>
          <w:rFonts w:eastAsia="MS Mincho"/>
        </w:rPr>
        <w:t xml:space="preserve">ension </w:t>
      </w:r>
      <w:r w:rsidR="00997CC2" w:rsidRPr="0048303E">
        <w:rPr>
          <w:rFonts w:eastAsia="MS Mincho"/>
        </w:rPr>
        <w:t>B</w:t>
      </w:r>
      <w:r w:rsidRPr="0048303E">
        <w:rPr>
          <w:rFonts w:eastAsia="MS Mincho"/>
        </w:rPr>
        <w:t>oard</w:t>
      </w:r>
      <w:r w:rsidR="006046A1">
        <w:rPr>
          <w:rFonts w:eastAsia="MS Mincho"/>
        </w:rPr>
        <w:t>.</w:t>
      </w:r>
      <w:r w:rsidR="00AD2251" w:rsidRPr="0048303E">
        <w:rPr>
          <w:rFonts w:eastAsia="MS Mincho"/>
        </w:rPr>
        <w:t xml:space="preserve"> </w:t>
      </w:r>
    </w:p>
    <w:p w14:paraId="3FB7F271" w14:textId="60A7F387" w:rsidR="0036356B" w:rsidRPr="0048303E" w:rsidRDefault="0036356B" w:rsidP="0048303E">
      <w:pPr>
        <w:pStyle w:val="ListParagraph"/>
        <w:numPr>
          <w:ilvl w:val="0"/>
          <w:numId w:val="23"/>
        </w:numPr>
        <w:spacing w:before="240" w:line="240" w:lineRule="auto"/>
        <w:rPr>
          <w:rFonts w:eastAsia="MS Mincho"/>
        </w:rPr>
      </w:pPr>
      <w:r w:rsidRPr="0048303E">
        <w:rPr>
          <w:rFonts w:eastAsia="MS Mincho"/>
        </w:rPr>
        <w:t>This means that a Pension Board member must be conversant with:</w:t>
      </w:r>
    </w:p>
    <w:p w14:paraId="3FB7F272" w14:textId="187C574E" w:rsidR="0036356B" w:rsidRPr="0048303E" w:rsidRDefault="0036356B" w:rsidP="00FE483C">
      <w:pPr>
        <w:pStyle w:val="ListParagraph"/>
        <w:numPr>
          <w:ilvl w:val="0"/>
          <w:numId w:val="17"/>
        </w:numPr>
        <w:spacing w:before="240" w:line="240" w:lineRule="auto"/>
        <w:rPr>
          <w:rFonts w:eastAsia="MS Mincho"/>
        </w:rPr>
      </w:pPr>
      <w:r w:rsidRPr="0048303E">
        <w:rPr>
          <w:rFonts w:eastAsia="MS Mincho"/>
        </w:rPr>
        <w:t xml:space="preserve">the rules of the scheme; </w:t>
      </w:r>
    </w:p>
    <w:p w14:paraId="3FB7F273" w14:textId="77777777" w:rsidR="006C141D" w:rsidRPr="0048303E" w:rsidRDefault="0036356B" w:rsidP="00FE483C">
      <w:pPr>
        <w:pStyle w:val="ListParagraph"/>
        <w:numPr>
          <w:ilvl w:val="0"/>
          <w:numId w:val="17"/>
        </w:numPr>
        <w:spacing w:before="240" w:line="240" w:lineRule="auto"/>
        <w:rPr>
          <w:rFonts w:eastAsia="MS Mincho"/>
        </w:rPr>
      </w:pPr>
      <w:proofErr w:type="gramStart"/>
      <w:r w:rsidRPr="0048303E">
        <w:rPr>
          <w:rFonts w:eastAsia="MS Mincho"/>
        </w:rPr>
        <w:t>any</w:t>
      </w:r>
      <w:proofErr w:type="gramEnd"/>
      <w:r w:rsidRPr="0048303E">
        <w:rPr>
          <w:rFonts w:eastAsia="MS Mincho"/>
        </w:rPr>
        <w:t xml:space="preserve"> document recording </w:t>
      </w:r>
      <w:r w:rsidR="00415209" w:rsidRPr="0048303E">
        <w:rPr>
          <w:rFonts w:eastAsia="MS Mincho"/>
        </w:rPr>
        <w:t xml:space="preserve">[current] </w:t>
      </w:r>
      <w:r w:rsidRPr="0048303E">
        <w:rPr>
          <w:rFonts w:eastAsia="MS Mincho"/>
        </w:rPr>
        <w:t xml:space="preserve">policy about the administration of the </w:t>
      </w:r>
      <w:r w:rsidR="00415209" w:rsidRPr="0048303E">
        <w:rPr>
          <w:rFonts w:eastAsia="MS Mincho"/>
        </w:rPr>
        <w:t>scheme.</w:t>
      </w:r>
    </w:p>
    <w:p w14:paraId="3FB7F274" w14:textId="450C1927" w:rsidR="0036356B" w:rsidRPr="0048303E" w:rsidRDefault="00415209" w:rsidP="0048303E">
      <w:pPr>
        <w:pStyle w:val="ListParagraph"/>
        <w:numPr>
          <w:ilvl w:val="0"/>
          <w:numId w:val="23"/>
        </w:numPr>
        <w:spacing w:before="240" w:line="240" w:lineRule="auto"/>
        <w:rPr>
          <w:rFonts w:eastAsia="MS Mincho"/>
        </w:rPr>
      </w:pPr>
      <w:r w:rsidRPr="0048303E">
        <w:rPr>
          <w:rFonts w:eastAsia="MS Mincho"/>
        </w:rPr>
        <w:t>Furthermore, members of the Pension Board must have</w:t>
      </w:r>
      <w:r w:rsidR="00ED7FAC">
        <w:rPr>
          <w:rFonts w:eastAsia="MS Mincho"/>
        </w:rPr>
        <w:t xml:space="preserve"> some</w:t>
      </w:r>
      <w:r w:rsidRPr="0048303E">
        <w:rPr>
          <w:rFonts w:eastAsia="MS Mincho"/>
        </w:rPr>
        <w:t xml:space="preserve"> knowledge and understanding of:</w:t>
      </w:r>
    </w:p>
    <w:p w14:paraId="3FB7F275" w14:textId="752DFDC2" w:rsidR="00415209" w:rsidRPr="0048303E" w:rsidRDefault="00415209" w:rsidP="00FE483C">
      <w:pPr>
        <w:pStyle w:val="ListParagraph"/>
        <w:numPr>
          <w:ilvl w:val="0"/>
          <w:numId w:val="18"/>
        </w:numPr>
        <w:spacing w:before="240" w:line="240" w:lineRule="auto"/>
        <w:rPr>
          <w:rFonts w:eastAsia="MS Mincho"/>
        </w:rPr>
      </w:pPr>
      <w:r w:rsidRPr="0048303E">
        <w:rPr>
          <w:rFonts w:eastAsia="MS Mincho"/>
        </w:rPr>
        <w:t xml:space="preserve">the law relating to pensions; </w:t>
      </w:r>
    </w:p>
    <w:p w14:paraId="3FB7F276" w14:textId="77777777" w:rsidR="00415209" w:rsidRPr="0048303E" w:rsidRDefault="00415209" w:rsidP="00FE483C">
      <w:pPr>
        <w:pStyle w:val="ListParagraph"/>
        <w:numPr>
          <w:ilvl w:val="0"/>
          <w:numId w:val="18"/>
        </w:numPr>
        <w:spacing w:before="240" w:line="240" w:lineRule="auto"/>
        <w:rPr>
          <w:rFonts w:eastAsia="MS Mincho"/>
        </w:rPr>
      </w:pPr>
      <w:proofErr w:type="gramStart"/>
      <w:r w:rsidRPr="0048303E">
        <w:rPr>
          <w:rFonts w:eastAsia="MS Mincho"/>
        </w:rPr>
        <w:t>any</w:t>
      </w:r>
      <w:proofErr w:type="gramEnd"/>
      <w:r w:rsidRPr="0048303E">
        <w:rPr>
          <w:rFonts w:eastAsia="MS Mincho"/>
        </w:rPr>
        <w:t xml:space="preserve"> other matters which are prescribed in the regulations.</w:t>
      </w:r>
    </w:p>
    <w:p w14:paraId="3FB7F277" w14:textId="73037F9A" w:rsidR="0036356B" w:rsidRPr="0048303E" w:rsidRDefault="00D770C8" w:rsidP="0048303E">
      <w:pPr>
        <w:pStyle w:val="ListParagraph"/>
        <w:numPr>
          <w:ilvl w:val="0"/>
          <w:numId w:val="23"/>
        </w:numPr>
        <w:spacing w:before="240" w:line="240" w:lineRule="auto"/>
        <w:rPr>
          <w:rFonts w:eastAsia="MS Mincho"/>
        </w:rPr>
      </w:pPr>
      <w:r w:rsidRPr="0048303E">
        <w:rPr>
          <w:rFonts w:eastAsia="MS Mincho"/>
        </w:rPr>
        <w:t>tPR</w:t>
      </w:r>
      <w:r w:rsidR="00415209" w:rsidRPr="0048303E">
        <w:rPr>
          <w:rFonts w:eastAsia="MS Mincho"/>
        </w:rPr>
        <w:t xml:space="preserve"> </w:t>
      </w:r>
      <w:r w:rsidR="00B87E65" w:rsidRPr="0048303E">
        <w:rPr>
          <w:rFonts w:eastAsia="MS Mincho"/>
        </w:rPr>
        <w:t>C</w:t>
      </w:r>
      <w:r w:rsidR="00415209" w:rsidRPr="0048303E">
        <w:rPr>
          <w:rFonts w:eastAsia="MS Mincho"/>
        </w:rPr>
        <w:t xml:space="preserve">ode of </w:t>
      </w:r>
      <w:r w:rsidR="00B87E65" w:rsidRPr="0048303E">
        <w:rPr>
          <w:rFonts w:eastAsia="MS Mincho"/>
        </w:rPr>
        <w:t>P</w:t>
      </w:r>
      <w:r w:rsidR="00415209" w:rsidRPr="0048303E">
        <w:rPr>
          <w:rFonts w:eastAsia="MS Mincho"/>
        </w:rPr>
        <w:t>ractice no 14 outlines practical guidance on the appropriate level of knowledge and understanding that is required of Pension Board members:</w:t>
      </w:r>
    </w:p>
    <w:p w14:paraId="3FB7F278" w14:textId="26AF5535" w:rsidR="00415209" w:rsidRPr="0048303E" w:rsidRDefault="00415209" w:rsidP="00415209">
      <w:pPr>
        <w:spacing w:before="240" w:line="240" w:lineRule="auto"/>
        <w:ind w:left="720"/>
        <w:rPr>
          <w:rFonts w:cs="Arial"/>
          <w:i/>
          <w:color w:val="000000"/>
        </w:rPr>
      </w:pPr>
      <w:r w:rsidRPr="0048303E">
        <w:rPr>
          <w:rFonts w:cs="Arial"/>
          <w:i/>
          <w:color w:val="000000"/>
        </w:rPr>
        <w:t>Being ‘conversant’ means having a working knowledge (i.e. a sufficient level of familiarity) of the scheme rules (which</w:t>
      </w:r>
      <w:r w:rsidR="00785539" w:rsidRPr="0048303E">
        <w:rPr>
          <w:rFonts w:cs="Arial"/>
          <w:i/>
          <w:color w:val="000000"/>
        </w:rPr>
        <w:t>…</w:t>
      </w:r>
      <w:r w:rsidRPr="0048303E">
        <w:rPr>
          <w:rFonts w:cs="Arial"/>
          <w:i/>
          <w:color w:val="000000"/>
        </w:rPr>
        <w:t xml:space="preserve"> are set out in the </w:t>
      </w:r>
      <w:r w:rsidR="00785539" w:rsidRPr="0048303E">
        <w:rPr>
          <w:rFonts w:cs="Arial"/>
          <w:i/>
          <w:color w:val="000000"/>
        </w:rPr>
        <w:t>s</w:t>
      </w:r>
      <w:r w:rsidR="00273425" w:rsidRPr="0048303E">
        <w:rPr>
          <w:rFonts w:cs="Arial"/>
          <w:i/>
          <w:color w:val="000000"/>
        </w:rPr>
        <w:t xml:space="preserve">cheme </w:t>
      </w:r>
      <w:r w:rsidR="00785539" w:rsidRPr="0048303E">
        <w:rPr>
          <w:rFonts w:cs="Arial"/>
          <w:i/>
          <w:color w:val="000000"/>
        </w:rPr>
        <w:t>r</w:t>
      </w:r>
      <w:r w:rsidR="00273425" w:rsidRPr="0048303E">
        <w:rPr>
          <w:rFonts w:cs="Arial"/>
          <w:i/>
          <w:color w:val="000000"/>
        </w:rPr>
        <w:t>egulations</w:t>
      </w:r>
      <w:r w:rsidRPr="0048303E">
        <w:rPr>
          <w:rFonts w:cs="Arial"/>
          <w:i/>
          <w:color w:val="000000"/>
        </w:rPr>
        <w:t>) and documents recording policy about the administration of the schem</w:t>
      </w:r>
      <w:r w:rsidR="00273425" w:rsidRPr="0048303E">
        <w:rPr>
          <w:rFonts w:cs="Arial"/>
          <w:i/>
          <w:color w:val="000000"/>
        </w:rPr>
        <w:t xml:space="preserve">e, so that </w:t>
      </w:r>
      <w:r w:rsidR="008F3670">
        <w:rPr>
          <w:rFonts w:cs="Arial"/>
          <w:i/>
          <w:color w:val="000000"/>
        </w:rPr>
        <w:t>P</w:t>
      </w:r>
      <w:r w:rsidR="00273425" w:rsidRPr="0048303E">
        <w:rPr>
          <w:rFonts w:cs="Arial"/>
          <w:i/>
          <w:color w:val="000000"/>
        </w:rPr>
        <w:t xml:space="preserve">ension </w:t>
      </w:r>
      <w:r w:rsidR="008F3670">
        <w:rPr>
          <w:rFonts w:cs="Arial"/>
          <w:i/>
          <w:color w:val="000000"/>
        </w:rPr>
        <w:t>B</w:t>
      </w:r>
      <w:r w:rsidRPr="0048303E">
        <w:rPr>
          <w:rFonts w:cs="Arial"/>
          <w:i/>
          <w:color w:val="000000"/>
        </w:rPr>
        <w:t>oard members can use them effectively when carrying out their duties</w:t>
      </w:r>
      <w:r w:rsidR="004640FD" w:rsidRPr="0048303E">
        <w:rPr>
          <w:rStyle w:val="FootnoteReference"/>
          <w:i/>
          <w:color w:val="000000"/>
        </w:rPr>
        <w:footnoteReference w:id="13"/>
      </w:r>
      <w:r w:rsidR="004640FD" w:rsidRPr="0048303E">
        <w:rPr>
          <w:rFonts w:cs="Arial"/>
          <w:i/>
          <w:color w:val="000000"/>
        </w:rPr>
        <w:t>.</w:t>
      </w:r>
    </w:p>
    <w:p w14:paraId="3FB7F279" w14:textId="72C5FBA2" w:rsidR="00415209" w:rsidRPr="0048303E" w:rsidRDefault="004640FD" w:rsidP="0048303E">
      <w:pPr>
        <w:pStyle w:val="ListParagraph"/>
        <w:numPr>
          <w:ilvl w:val="0"/>
          <w:numId w:val="23"/>
        </w:numPr>
        <w:spacing w:before="240" w:line="240" w:lineRule="auto"/>
        <w:rPr>
          <w:rFonts w:eastAsia="MS Mincho"/>
        </w:rPr>
      </w:pPr>
      <w:r w:rsidRPr="0048303E">
        <w:rPr>
          <w:rFonts w:eastAsia="MS Mincho"/>
        </w:rPr>
        <w:t>This will allow Pension Board members to:</w:t>
      </w:r>
    </w:p>
    <w:p w14:paraId="3FB7F27A" w14:textId="006D050D" w:rsidR="004640FD" w:rsidRPr="0048303E" w:rsidRDefault="004640FD" w:rsidP="00FE483C">
      <w:pPr>
        <w:pStyle w:val="ListParagraph"/>
        <w:numPr>
          <w:ilvl w:val="0"/>
          <w:numId w:val="18"/>
        </w:numPr>
        <w:spacing w:before="240" w:line="240" w:lineRule="auto"/>
        <w:rPr>
          <w:rFonts w:eastAsia="MS Mincho"/>
        </w:rPr>
      </w:pPr>
      <w:r w:rsidRPr="0048303E">
        <w:rPr>
          <w:rFonts w:eastAsia="MS Mincho"/>
        </w:rPr>
        <w:t>challenge any failure to comply with the scheme rules and legislation relating to the governance and administration of the scheme and/or any failure to meet the standards and expectations set out in any relevant codes of practice issued by the regulator</w:t>
      </w:r>
      <w:r w:rsidRPr="0048303E">
        <w:rPr>
          <w:rStyle w:val="FootnoteReference"/>
          <w:rFonts w:eastAsia="MS Mincho"/>
        </w:rPr>
        <w:footnoteReference w:id="14"/>
      </w:r>
      <w:r w:rsidRPr="0048303E">
        <w:rPr>
          <w:rFonts w:eastAsia="MS Mincho"/>
        </w:rPr>
        <w:t xml:space="preserve">; </w:t>
      </w:r>
    </w:p>
    <w:p w14:paraId="3FB7F27B" w14:textId="77777777" w:rsidR="004640FD" w:rsidRPr="0048303E" w:rsidRDefault="004640FD" w:rsidP="00FE483C">
      <w:pPr>
        <w:pStyle w:val="ListParagraph"/>
        <w:numPr>
          <w:ilvl w:val="0"/>
          <w:numId w:val="18"/>
        </w:numPr>
        <w:spacing w:before="240" w:line="240" w:lineRule="auto"/>
        <w:rPr>
          <w:rFonts w:eastAsia="MS Mincho"/>
        </w:rPr>
      </w:pPr>
      <w:proofErr w:type="gramStart"/>
      <w:r w:rsidRPr="0048303E">
        <w:rPr>
          <w:rFonts w:eastAsia="MS Mincho"/>
        </w:rPr>
        <w:t>challenge</w:t>
      </w:r>
      <w:proofErr w:type="gramEnd"/>
      <w:r w:rsidRPr="0048303E">
        <w:rPr>
          <w:rFonts w:eastAsia="MS Mincho"/>
        </w:rPr>
        <w:t xml:space="preserve"> any information or advice they are given and understand how that information or advice impacts on any decision for which they are legally responsible.</w:t>
      </w:r>
      <w:r w:rsidRPr="0048303E">
        <w:rPr>
          <w:rStyle w:val="FootnoteReference"/>
          <w:rFonts w:eastAsia="MS Mincho"/>
        </w:rPr>
        <w:footnoteReference w:id="15"/>
      </w:r>
    </w:p>
    <w:p w14:paraId="3FB7F27C" w14:textId="487C3814" w:rsidR="004640FD" w:rsidRPr="0048303E" w:rsidRDefault="00B35989" w:rsidP="0048303E">
      <w:pPr>
        <w:pStyle w:val="ListParagraph"/>
        <w:numPr>
          <w:ilvl w:val="0"/>
          <w:numId w:val="23"/>
        </w:numPr>
        <w:spacing w:before="240" w:line="240" w:lineRule="auto"/>
        <w:rPr>
          <w:rFonts w:eastAsia="MS Mincho"/>
        </w:rPr>
      </w:pPr>
      <w:r w:rsidRPr="0048303E">
        <w:rPr>
          <w:rFonts w:eastAsia="MS Mincho"/>
        </w:rPr>
        <w:t>In order to ensure that Pension Board members continually meet the legal requirements relating to knowledge of pension law and scheme regulations, it is suggested that:</w:t>
      </w:r>
    </w:p>
    <w:p w14:paraId="3FB7F27D" w14:textId="77777777" w:rsidR="00B35989" w:rsidRPr="0048303E" w:rsidRDefault="009A3B53" w:rsidP="00FE483C">
      <w:pPr>
        <w:pStyle w:val="ListParagraph"/>
        <w:numPr>
          <w:ilvl w:val="0"/>
          <w:numId w:val="18"/>
        </w:numPr>
        <w:spacing w:before="240" w:line="240" w:lineRule="auto"/>
        <w:rPr>
          <w:rFonts w:eastAsia="MS Mincho"/>
        </w:rPr>
      </w:pPr>
      <w:r w:rsidRPr="0048303E">
        <w:rPr>
          <w:rFonts w:eastAsia="MS Mincho"/>
        </w:rPr>
        <w:t>Pension Board members should undertake a personal training needs analysis and regularly review their skills, competencies and knowledge to identify gaps or weaknesses;</w:t>
      </w:r>
      <w:r w:rsidRPr="0048303E">
        <w:rPr>
          <w:rStyle w:val="FootnoteReference"/>
          <w:rFonts w:eastAsia="MS Mincho"/>
        </w:rPr>
        <w:footnoteReference w:id="16"/>
      </w:r>
    </w:p>
    <w:p w14:paraId="3FB7F27E" w14:textId="5B91CF80" w:rsidR="00B35989" w:rsidRPr="0048303E" w:rsidRDefault="00AD2251" w:rsidP="00FE483C">
      <w:pPr>
        <w:pStyle w:val="ListParagraph"/>
        <w:numPr>
          <w:ilvl w:val="0"/>
          <w:numId w:val="18"/>
        </w:numPr>
        <w:spacing w:before="240" w:line="240" w:lineRule="auto"/>
        <w:rPr>
          <w:rFonts w:eastAsia="MS Mincho"/>
        </w:rPr>
      </w:pPr>
      <w:r w:rsidRPr="0048303E">
        <w:rPr>
          <w:rFonts w:eastAsia="MS Mincho"/>
        </w:rPr>
        <w:t>a</w:t>
      </w:r>
      <w:r w:rsidR="009A3B53" w:rsidRPr="0048303E">
        <w:rPr>
          <w:rFonts w:eastAsia="MS Mincho"/>
        </w:rPr>
        <w:t xml:space="preserve"> training </w:t>
      </w:r>
      <w:r w:rsidR="00ED7FAC">
        <w:rPr>
          <w:rFonts w:eastAsia="MS Mincho"/>
        </w:rPr>
        <w:t xml:space="preserve">record </w:t>
      </w:r>
      <w:r w:rsidR="009A3B53" w:rsidRPr="0048303E">
        <w:rPr>
          <w:rFonts w:eastAsia="MS Mincho"/>
        </w:rPr>
        <w:t xml:space="preserve">should be </w:t>
      </w:r>
      <w:r w:rsidR="00ED7FAC">
        <w:rPr>
          <w:rFonts w:eastAsia="MS Mincho"/>
        </w:rPr>
        <w:t xml:space="preserve">held </w:t>
      </w:r>
      <w:r w:rsidR="009A3B53" w:rsidRPr="0048303E">
        <w:rPr>
          <w:rFonts w:eastAsia="MS Mincho"/>
        </w:rPr>
        <w:t xml:space="preserve">to document and address any gaps or weaknesses in </w:t>
      </w:r>
      <w:r w:rsidRPr="0048303E">
        <w:rPr>
          <w:rFonts w:eastAsia="MS Mincho"/>
        </w:rPr>
        <w:t>each</w:t>
      </w:r>
      <w:r w:rsidR="009A3B53" w:rsidRPr="0048303E">
        <w:rPr>
          <w:rFonts w:eastAsia="MS Mincho"/>
        </w:rPr>
        <w:t xml:space="preserve"> Pension Board member's skills, competencies and knowledge</w:t>
      </w:r>
      <w:r w:rsidR="009A3B53" w:rsidRPr="0048303E">
        <w:rPr>
          <w:rStyle w:val="FootnoteReference"/>
          <w:rFonts w:eastAsia="MS Mincho"/>
        </w:rPr>
        <w:footnoteReference w:id="17"/>
      </w:r>
      <w:r w:rsidR="009A3B53" w:rsidRPr="0048303E">
        <w:rPr>
          <w:rFonts w:eastAsia="MS Mincho"/>
        </w:rPr>
        <w:t xml:space="preserve">; </w:t>
      </w:r>
    </w:p>
    <w:p w14:paraId="3FB7F27F" w14:textId="77777777" w:rsidR="004640FD" w:rsidRPr="0048303E" w:rsidRDefault="00AD2251" w:rsidP="00FE483C">
      <w:pPr>
        <w:pStyle w:val="ListParagraph"/>
        <w:numPr>
          <w:ilvl w:val="0"/>
          <w:numId w:val="18"/>
        </w:numPr>
        <w:spacing w:before="240" w:line="240" w:lineRule="auto"/>
        <w:rPr>
          <w:rFonts w:eastAsia="MS Mincho"/>
        </w:rPr>
      </w:pPr>
      <w:proofErr w:type="gramStart"/>
      <w:r w:rsidRPr="0048303E">
        <w:rPr>
          <w:rFonts w:eastAsia="MS Mincho"/>
        </w:rPr>
        <w:t>t</w:t>
      </w:r>
      <w:r w:rsidR="009A3B53" w:rsidRPr="0048303E">
        <w:rPr>
          <w:rFonts w:eastAsia="MS Mincho"/>
        </w:rPr>
        <w:t>he</w:t>
      </w:r>
      <w:proofErr w:type="gramEnd"/>
      <w:r w:rsidR="009A3B53" w:rsidRPr="0048303E">
        <w:rPr>
          <w:rFonts w:eastAsia="MS Mincho"/>
        </w:rPr>
        <w:t xml:space="preserve"> </w:t>
      </w:r>
      <w:r w:rsidR="00FD5F06" w:rsidRPr="0048303E">
        <w:rPr>
          <w:rFonts w:eastAsia="MS Mincho"/>
        </w:rPr>
        <w:t>scheme</w:t>
      </w:r>
      <w:r w:rsidR="009A3B53" w:rsidRPr="0048303E">
        <w:rPr>
          <w:rFonts w:eastAsia="MS Mincho"/>
        </w:rPr>
        <w:t xml:space="preserve"> should keep appropriate records of the learning activities of individual Pension Board members and the board as a whole</w:t>
      </w:r>
      <w:r w:rsidR="009A3B53" w:rsidRPr="0048303E">
        <w:rPr>
          <w:rStyle w:val="FootnoteReference"/>
          <w:rFonts w:eastAsia="MS Mincho"/>
        </w:rPr>
        <w:footnoteReference w:id="18"/>
      </w:r>
      <w:r w:rsidRPr="0048303E">
        <w:rPr>
          <w:rFonts w:eastAsia="MS Mincho"/>
        </w:rPr>
        <w:t>; i</w:t>
      </w:r>
      <w:r w:rsidR="00FD5F06" w:rsidRPr="0048303E">
        <w:rPr>
          <w:rFonts w:eastAsia="MS Mincho"/>
        </w:rPr>
        <w:t>n practical terms this will be the responsibility of the Pension Board Secretariat.</w:t>
      </w:r>
    </w:p>
    <w:p w14:paraId="3FB7F280" w14:textId="79516276" w:rsidR="009D70DD" w:rsidRPr="0048303E" w:rsidRDefault="009D70DD" w:rsidP="0048303E">
      <w:pPr>
        <w:pStyle w:val="ListParagraph"/>
        <w:numPr>
          <w:ilvl w:val="0"/>
          <w:numId w:val="23"/>
        </w:numPr>
        <w:spacing w:before="240" w:line="240" w:lineRule="auto"/>
        <w:rPr>
          <w:rFonts w:eastAsia="MS Mincho"/>
        </w:rPr>
      </w:pPr>
      <w:r w:rsidRPr="0048303E">
        <w:rPr>
          <w:rFonts w:eastAsia="MS Mincho"/>
        </w:rPr>
        <w:t>Rel</w:t>
      </w:r>
      <w:r w:rsidR="00FD5F06" w:rsidRPr="0048303E">
        <w:rPr>
          <w:rFonts w:eastAsia="MS Mincho"/>
        </w:rPr>
        <w:t>evant</w:t>
      </w:r>
      <w:r w:rsidRPr="0048303E">
        <w:rPr>
          <w:rFonts w:eastAsia="MS Mincho"/>
        </w:rPr>
        <w:t xml:space="preserve"> legislation:</w:t>
      </w:r>
    </w:p>
    <w:p w14:paraId="3FB7F281" w14:textId="5C4581A2" w:rsidR="009D70DD" w:rsidRPr="0048303E" w:rsidRDefault="009D70DD" w:rsidP="006031AD">
      <w:pPr>
        <w:pStyle w:val="ListParagraph"/>
        <w:numPr>
          <w:ilvl w:val="0"/>
          <w:numId w:val="18"/>
        </w:numPr>
        <w:spacing w:before="240" w:after="100" w:afterAutospacing="1" w:line="240" w:lineRule="auto"/>
        <w:rPr>
          <w:rFonts w:eastAsia="MS Mincho"/>
        </w:rPr>
      </w:pPr>
      <w:r w:rsidRPr="0048303E">
        <w:rPr>
          <w:rFonts w:eastAsia="MS Mincho"/>
        </w:rPr>
        <w:t>Section 248A of the Pension Act 2004</w:t>
      </w:r>
      <w:r w:rsidR="008E6147">
        <w:rPr>
          <w:rFonts w:eastAsia="MS Mincho"/>
        </w:rPr>
        <w:t>.</w:t>
      </w:r>
    </w:p>
    <w:p w14:paraId="0650EAE0" w14:textId="77777777" w:rsidR="006031AD" w:rsidRDefault="006031AD" w:rsidP="00370019">
      <w:pPr>
        <w:pStyle w:val="Heading2"/>
        <w:spacing w:before="120"/>
        <w:rPr>
          <w:sz w:val="28"/>
          <w:szCs w:val="28"/>
        </w:rPr>
      </w:pPr>
      <w:bookmarkStart w:id="16" w:name="_Toc389664258"/>
    </w:p>
    <w:p w14:paraId="3FB7F283" w14:textId="77777777" w:rsidR="00370019" w:rsidRPr="0048303E" w:rsidRDefault="00370019" w:rsidP="00370019">
      <w:pPr>
        <w:pStyle w:val="Heading2"/>
        <w:spacing w:before="120"/>
        <w:rPr>
          <w:sz w:val="28"/>
          <w:szCs w:val="28"/>
        </w:rPr>
      </w:pPr>
      <w:r w:rsidRPr="0048303E">
        <w:rPr>
          <w:sz w:val="28"/>
          <w:szCs w:val="28"/>
        </w:rPr>
        <w:t xml:space="preserve">Pension Governance </w:t>
      </w:r>
      <w:r w:rsidR="00AD2251" w:rsidRPr="0048303E">
        <w:rPr>
          <w:sz w:val="28"/>
          <w:szCs w:val="28"/>
        </w:rPr>
        <w:t xml:space="preserve">- </w:t>
      </w:r>
      <w:r w:rsidR="009A3B53" w:rsidRPr="0048303E">
        <w:rPr>
          <w:sz w:val="28"/>
          <w:szCs w:val="28"/>
        </w:rPr>
        <w:t xml:space="preserve">Internal Controls and </w:t>
      </w:r>
      <w:r w:rsidRPr="0048303E">
        <w:rPr>
          <w:sz w:val="28"/>
          <w:szCs w:val="28"/>
        </w:rPr>
        <w:t>Risk Management</w:t>
      </w:r>
      <w:bookmarkEnd w:id="16"/>
    </w:p>
    <w:p w14:paraId="3FB7F284" w14:textId="499B099D" w:rsidR="000443F8" w:rsidRPr="0048303E" w:rsidRDefault="009A3B53" w:rsidP="0048303E">
      <w:pPr>
        <w:pStyle w:val="ListParagraph"/>
        <w:numPr>
          <w:ilvl w:val="0"/>
          <w:numId w:val="23"/>
        </w:numPr>
        <w:spacing w:before="240" w:line="240" w:lineRule="auto"/>
        <w:rPr>
          <w:rFonts w:eastAsia="MS Mincho"/>
        </w:rPr>
      </w:pPr>
      <w:r w:rsidRPr="0048303E">
        <w:rPr>
          <w:rFonts w:eastAsia="MS Mincho"/>
        </w:rPr>
        <w:t xml:space="preserve">It is the responsibility of the </w:t>
      </w:r>
      <w:r w:rsidR="00A63357" w:rsidRPr="0048303E">
        <w:rPr>
          <w:rFonts w:eastAsia="MS Mincho"/>
        </w:rPr>
        <w:t>s</w:t>
      </w:r>
      <w:r w:rsidRPr="0048303E">
        <w:rPr>
          <w:rFonts w:eastAsia="MS Mincho"/>
        </w:rPr>
        <w:t xml:space="preserve">cheme </w:t>
      </w:r>
      <w:r w:rsidR="00A63357" w:rsidRPr="0048303E">
        <w:rPr>
          <w:rFonts w:eastAsia="MS Mincho"/>
        </w:rPr>
        <w:t>m</w:t>
      </w:r>
      <w:r w:rsidRPr="0048303E">
        <w:rPr>
          <w:rFonts w:eastAsia="MS Mincho"/>
        </w:rPr>
        <w:t xml:space="preserve">anager to establish and operate adequate internal controls </w:t>
      </w:r>
      <w:proofErr w:type="gramStart"/>
      <w:r w:rsidRPr="0048303E">
        <w:rPr>
          <w:rFonts w:eastAsia="MS Mincho"/>
        </w:rPr>
        <w:t>for the purpose of</w:t>
      </w:r>
      <w:proofErr w:type="gramEnd"/>
      <w:r w:rsidRPr="0048303E">
        <w:rPr>
          <w:rFonts w:eastAsia="MS Mincho"/>
        </w:rPr>
        <w:t xml:space="preserve"> ensuring that the scheme is being run in accordance with scheme rules and </w:t>
      </w:r>
      <w:r w:rsidR="00890092" w:rsidRPr="0048303E">
        <w:rPr>
          <w:rFonts w:eastAsia="MS Mincho"/>
        </w:rPr>
        <w:t>in accordance with the law</w:t>
      </w:r>
      <w:r w:rsidRPr="0048303E">
        <w:rPr>
          <w:rFonts w:eastAsia="MS Mincho"/>
        </w:rPr>
        <w:t>, employing a risk-based approach to address significant risks that are likely to have a material impact on the scheme</w:t>
      </w:r>
      <w:r w:rsidR="00A861A0" w:rsidRPr="0048303E">
        <w:rPr>
          <w:rStyle w:val="FootnoteReference"/>
          <w:rFonts w:eastAsia="MS Mincho"/>
        </w:rPr>
        <w:footnoteReference w:id="19"/>
      </w:r>
      <w:r w:rsidRPr="0048303E">
        <w:rPr>
          <w:rFonts w:eastAsia="MS Mincho"/>
        </w:rPr>
        <w:t>.</w:t>
      </w:r>
    </w:p>
    <w:p w14:paraId="3FB7F285" w14:textId="3AE10FD1" w:rsidR="00A861A0" w:rsidRPr="0048303E" w:rsidRDefault="00A861A0" w:rsidP="0048303E">
      <w:pPr>
        <w:pStyle w:val="ListParagraph"/>
        <w:numPr>
          <w:ilvl w:val="0"/>
          <w:numId w:val="23"/>
        </w:numPr>
        <w:spacing w:before="240" w:line="240" w:lineRule="auto"/>
        <w:rPr>
          <w:rFonts w:eastAsia="MS Mincho"/>
        </w:rPr>
      </w:pPr>
      <w:r w:rsidRPr="0048303E">
        <w:rPr>
          <w:rFonts w:eastAsia="MS Mincho"/>
        </w:rPr>
        <w:t>Internal controls means:</w:t>
      </w:r>
    </w:p>
    <w:p w14:paraId="3FB7F286" w14:textId="77777777" w:rsidR="00A861A0" w:rsidRPr="0048303E" w:rsidRDefault="00A861A0" w:rsidP="00FE483C">
      <w:pPr>
        <w:pStyle w:val="ListParagraph"/>
        <w:numPr>
          <w:ilvl w:val="0"/>
          <w:numId w:val="18"/>
        </w:numPr>
        <w:spacing w:before="240" w:line="240" w:lineRule="auto"/>
        <w:rPr>
          <w:rFonts w:eastAsia="MS Mincho"/>
        </w:rPr>
      </w:pPr>
      <w:r w:rsidRPr="0048303E">
        <w:rPr>
          <w:rFonts w:eastAsia="MS Mincho"/>
        </w:rPr>
        <w:t>arrangements and procedures to be followed in the administration and management of the scheme;</w:t>
      </w:r>
    </w:p>
    <w:p w14:paraId="3FB7F287" w14:textId="65A1C96B" w:rsidR="00A861A0" w:rsidRPr="0048303E" w:rsidRDefault="00A861A0" w:rsidP="00FE483C">
      <w:pPr>
        <w:pStyle w:val="ListParagraph"/>
        <w:numPr>
          <w:ilvl w:val="0"/>
          <w:numId w:val="18"/>
        </w:numPr>
        <w:spacing w:before="240" w:line="240" w:lineRule="auto"/>
        <w:rPr>
          <w:rFonts w:eastAsia="MS Mincho"/>
        </w:rPr>
      </w:pPr>
      <w:r w:rsidRPr="0048303E">
        <w:rPr>
          <w:rFonts w:eastAsia="MS Mincho"/>
        </w:rPr>
        <w:t>systems and arrangements for monitoring that</w:t>
      </w:r>
      <w:r w:rsidR="002C23C5">
        <w:rPr>
          <w:rFonts w:eastAsia="MS Mincho"/>
        </w:rPr>
        <w:t xml:space="preserve"> administration and management;</w:t>
      </w:r>
    </w:p>
    <w:p w14:paraId="3FB7F288" w14:textId="209764E3" w:rsidR="00A861A0" w:rsidRPr="0048303E" w:rsidRDefault="00A861A0" w:rsidP="00FE483C">
      <w:pPr>
        <w:pStyle w:val="ListParagraph"/>
        <w:numPr>
          <w:ilvl w:val="0"/>
          <w:numId w:val="18"/>
        </w:numPr>
        <w:spacing w:before="240" w:line="240" w:lineRule="auto"/>
        <w:rPr>
          <w:rFonts w:eastAsia="MS Mincho"/>
        </w:rPr>
      </w:pPr>
      <w:proofErr w:type="gramStart"/>
      <w:r w:rsidRPr="0048303E">
        <w:rPr>
          <w:rFonts w:eastAsia="MS Mincho"/>
        </w:rPr>
        <w:t>arrangements</w:t>
      </w:r>
      <w:proofErr w:type="gramEnd"/>
      <w:r w:rsidR="00B87E65" w:rsidRPr="0048303E">
        <w:rPr>
          <w:rFonts w:eastAsia="MS Mincho"/>
        </w:rPr>
        <w:t xml:space="preserve"> </w:t>
      </w:r>
      <w:r w:rsidRPr="0048303E">
        <w:rPr>
          <w:rFonts w:eastAsia="MS Mincho"/>
        </w:rPr>
        <w:t>and procedures to be followed for the safe custody and security of the assets of the scheme.</w:t>
      </w:r>
    </w:p>
    <w:p w14:paraId="09FAB9BE" w14:textId="77777777" w:rsidR="006031AD" w:rsidRDefault="006031AD" w:rsidP="006031AD">
      <w:pPr>
        <w:pStyle w:val="Heading2"/>
        <w:spacing w:before="120" w:after="120"/>
        <w:rPr>
          <w:sz w:val="28"/>
          <w:szCs w:val="28"/>
        </w:rPr>
      </w:pPr>
      <w:bookmarkStart w:id="17" w:name="_Toc389664259"/>
    </w:p>
    <w:p w14:paraId="3FB7F28A" w14:textId="62BFC379" w:rsidR="000443F8" w:rsidRPr="0048303E" w:rsidRDefault="000443F8" w:rsidP="000443F8">
      <w:pPr>
        <w:pStyle w:val="Heading2"/>
        <w:spacing w:before="120"/>
        <w:rPr>
          <w:sz w:val="28"/>
          <w:szCs w:val="28"/>
        </w:rPr>
      </w:pPr>
      <w:r w:rsidRPr="0048303E">
        <w:rPr>
          <w:sz w:val="28"/>
          <w:szCs w:val="28"/>
        </w:rPr>
        <w:t xml:space="preserve">Pension Governance </w:t>
      </w:r>
      <w:r w:rsidR="003C1D26" w:rsidRPr="0048303E">
        <w:rPr>
          <w:sz w:val="28"/>
          <w:szCs w:val="28"/>
        </w:rPr>
        <w:t xml:space="preserve">- </w:t>
      </w:r>
      <w:r w:rsidR="00A861A0" w:rsidRPr="0048303E">
        <w:rPr>
          <w:sz w:val="28"/>
          <w:szCs w:val="28"/>
        </w:rPr>
        <w:t xml:space="preserve">Reporting Breaches of the </w:t>
      </w:r>
      <w:r w:rsidR="000925C0">
        <w:rPr>
          <w:sz w:val="28"/>
          <w:szCs w:val="28"/>
        </w:rPr>
        <w:t>l</w:t>
      </w:r>
      <w:r w:rsidR="00A861A0" w:rsidRPr="0048303E">
        <w:rPr>
          <w:sz w:val="28"/>
          <w:szCs w:val="28"/>
        </w:rPr>
        <w:t>aw</w:t>
      </w:r>
      <w:bookmarkEnd w:id="17"/>
    </w:p>
    <w:p w14:paraId="3FB7F28B" w14:textId="71BAEDEB" w:rsidR="00A861A0" w:rsidRPr="0048303E" w:rsidRDefault="00A861A0" w:rsidP="0048303E">
      <w:pPr>
        <w:pStyle w:val="ListParagraph"/>
        <w:numPr>
          <w:ilvl w:val="0"/>
          <w:numId w:val="23"/>
        </w:numPr>
        <w:spacing w:before="240" w:line="240" w:lineRule="auto"/>
        <w:rPr>
          <w:rFonts w:eastAsia="MS Mincho"/>
        </w:rPr>
      </w:pPr>
      <w:r w:rsidRPr="0048303E">
        <w:rPr>
          <w:rFonts w:eastAsia="MS Mincho"/>
        </w:rPr>
        <w:t xml:space="preserve">Pension Board members </w:t>
      </w:r>
      <w:r w:rsidR="009C4C97" w:rsidRPr="0048303E">
        <w:rPr>
          <w:rFonts w:eastAsia="MS Mincho"/>
        </w:rPr>
        <w:t>(amongst others</w:t>
      </w:r>
      <w:r w:rsidR="003C1D26" w:rsidRPr="0048303E">
        <w:rPr>
          <w:rFonts w:eastAsia="MS Mincho"/>
        </w:rPr>
        <w:t>)</w:t>
      </w:r>
      <w:r w:rsidR="009C4C97" w:rsidRPr="0048303E">
        <w:rPr>
          <w:rFonts w:eastAsia="MS Mincho"/>
        </w:rPr>
        <w:t xml:space="preserve"> </w:t>
      </w:r>
      <w:r w:rsidRPr="0048303E">
        <w:rPr>
          <w:rFonts w:eastAsia="MS Mincho"/>
        </w:rPr>
        <w:t xml:space="preserve">are required to report breaches of the law to the regulator, </w:t>
      </w:r>
      <w:r w:rsidR="000925C0">
        <w:rPr>
          <w:rFonts w:eastAsia="MS Mincho"/>
        </w:rPr>
        <w:t>as soon as reasonably practicable, if</w:t>
      </w:r>
      <w:r w:rsidRPr="0048303E">
        <w:rPr>
          <w:rFonts w:eastAsia="MS Mincho"/>
        </w:rPr>
        <w:t xml:space="preserve"> they have reasonable cause to believe that:</w:t>
      </w:r>
    </w:p>
    <w:p w14:paraId="3FB7F28C" w14:textId="0AB901DD" w:rsidR="00A861A0" w:rsidRPr="0048303E" w:rsidRDefault="00FE483C" w:rsidP="00FE483C">
      <w:pPr>
        <w:pStyle w:val="ListParagraph"/>
        <w:numPr>
          <w:ilvl w:val="0"/>
          <w:numId w:val="18"/>
        </w:numPr>
        <w:spacing w:before="240" w:line="240" w:lineRule="auto"/>
        <w:rPr>
          <w:rFonts w:eastAsia="MS Mincho"/>
        </w:rPr>
      </w:pPr>
      <w:r w:rsidRPr="0048303E">
        <w:rPr>
          <w:rFonts w:eastAsia="MS Mincho"/>
        </w:rPr>
        <w:t>a</w:t>
      </w:r>
      <w:r w:rsidR="00A861A0" w:rsidRPr="0048303E">
        <w:rPr>
          <w:rFonts w:eastAsia="MS Mincho"/>
        </w:rPr>
        <w:t xml:space="preserve"> legal duty which is relevant to the administration of the scheme has not been, or is not being, complied with; </w:t>
      </w:r>
    </w:p>
    <w:p w14:paraId="3FB7F28D" w14:textId="77777777" w:rsidR="00A861A0" w:rsidRPr="0048303E" w:rsidRDefault="00FE483C" w:rsidP="00FE483C">
      <w:pPr>
        <w:pStyle w:val="ListParagraph"/>
        <w:numPr>
          <w:ilvl w:val="0"/>
          <w:numId w:val="18"/>
        </w:numPr>
        <w:spacing w:before="240" w:line="240" w:lineRule="auto"/>
        <w:rPr>
          <w:rFonts w:eastAsia="MS Mincho"/>
        </w:rPr>
      </w:pPr>
      <w:proofErr w:type="gramStart"/>
      <w:r w:rsidRPr="0048303E">
        <w:rPr>
          <w:rFonts w:eastAsia="MS Mincho"/>
        </w:rPr>
        <w:t>t</w:t>
      </w:r>
      <w:r w:rsidR="00A861A0" w:rsidRPr="0048303E">
        <w:rPr>
          <w:rFonts w:eastAsia="MS Mincho"/>
        </w:rPr>
        <w:t>h</w:t>
      </w:r>
      <w:r w:rsidR="00D770C8" w:rsidRPr="0048303E">
        <w:rPr>
          <w:rFonts w:eastAsia="MS Mincho"/>
        </w:rPr>
        <w:t>at</w:t>
      </w:r>
      <w:proofErr w:type="gramEnd"/>
      <w:r w:rsidR="00A861A0" w:rsidRPr="0048303E">
        <w:rPr>
          <w:rFonts w:eastAsia="MS Mincho"/>
        </w:rPr>
        <w:t xml:space="preserve"> failure to comply is likely to be of material significance to </w:t>
      </w:r>
      <w:r w:rsidR="009C4C97" w:rsidRPr="0048303E">
        <w:rPr>
          <w:rFonts w:eastAsia="MS Mincho"/>
        </w:rPr>
        <w:t>tPR</w:t>
      </w:r>
      <w:r w:rsidR="00A861A0" w:rsidRPr="0048303E">
        <w:rPr>
          <w:rFonts w:eastAsia="MS Mincho"/>
        </w:rPr>
        <w:t xml:space="preserve"> in the exercise of its functions.</w:t>
      </w:r>
    </w:p>
    <w:p w14:paraId="3FB7F28E" w14:textId="29B575FA" w:rsidR="00A861A0" w:rsidRPr="0048303E" w:rsidRDefault="00A861A0" w:rsidP="0048303E">
      <w:pPr>
        <w:pStyle w:val="ListParagraph"/>
        <w:numPr>
          <w:ilvl w:val="0"/>
          <w:numId w:val="23"/>
        </w:numPr>
        <w:spacing w:before="240" w:line="240" w:lineRule="auto"/>
        <w:rPr>
          <w:rFonts w:eastAsia="MS Mincho"/>
        </w:rPr>
      </w:pPr>
      <w:r w:rsidRPr="0048303E">
        <w:rPr>
          <w:rFonts w:eastAsia="MS Mincho"/>
        </w:rPr>
        <w:t xml:space="preserve">In practical </w:t>
      </w:r>
      <w:proofErr w:type="gramStart"/>
      <w:r w:rsidRPr="0048303E">
        <w:rPr>
          <w:rFonts w:eastAsia="MS Mincho"/>
        </w:rPr>
        <w:t>terms</w:t>
      </w:r>
      <w:proofErr w:type="gramEnd"/>
      <w:r w:rsidRPr="0048303E">
        <w:rPr>
          <w:rFonts w:eastAsia="MS Mincho"/>
        </w:rPr>
        <w:t xml:space="preserve"> the Pension Board Secretariat </w:t>
      </w:r>
      <w:r w:rsidR="009C4C97" w:rsidRPr="0048303E">
        <w:rPr>
          <w:rFonts w:eastAsia="MS Mincho"/>
        </w:rPr>
        <w:t>will ensure</w:t>
      </w:r>
      <w:r w:rsidRPr="0048303E">
        <w:rPr>
          <w:rFonts w:eastAsia="MS Mincho"/>
        </w:rPr>
        <w:t xml:space="preserve"> </w:t>
      </w:r>
      <w:r w:rsidR="00FE483C" w:rsidRPr="0048303E">
        <w:rPr>
          <w:rFonts w:eastAsia="MS Mincho"/>
        </w:rPr>
        <w:t xml:space="preserve">that Pension Board members are made aware of their responsibility for reporting breaches, and of the legal requirements and </w:t>
      </w:r>
      <w:r w:rsidR="00D770C8" w:rsidRPr="0048303E">
        <w:rPr>
          <w:rFonts w:eastAsia="MS Mincho"/>
        </w:rPr>
        <w:t>t</w:t>
      </w:r>
      <w:r w:rsidR="00FE483C" w:rsidRPr="0048303E">
        <w:rPr>
          <w:rFonts w:eastAsia="MS Mincho"/>
        </w:rPr>
        <w:t>PR guidance relating to the reporting of breaches.</w:t>
      </w:r>
    </w:p>
    <w:p w14:paraId="3FB7F28F" w14:textId="24E5CF9B" w:rsidR="00936182" w:rsidRPr="0048303E" w:rsidRDefault="00936182" w:rsidP="0048303E">
      <w:pPr>
        <w:pStyle w:val="ListParagraph"/>
        <w:numPr>
          <w:ilvl w:val="0"/>
          <w:numId w:val="23"/>
        </w:numPr>
        <w:spacing w:before="240" w:line="240" w:lineRule="auto"/>
        <w:rPr>
          <w:rFonts w:eastAsia="MS Mincho"/>
        </w:rPr>
      </w:pPr>
      <w:r w:rsidRPr="0048303E">
        <w:rPr>
          <w:rFonts w:eastAsia="MS Mincho"/>
        </w:rPr>
        <w:t>Rel</w:t>
      </w:r>
      <w:r w:rsidR="009C4C97" w:rsidRPr="0048303E">
        <w:rPr>
          <w:rFonts w:eastAsia="MS Mincho"/>
        </w:rPr>
        <w:t>evant</w:t>
      </w:r>
      <w:r w:rsidRPr="0048303E">
        <w:rPr>
          <w:rFonts w:eastAsia="MS Mincho"/>
        </w:rPr>
        <w:t xml:space="preserve"> legislation:</w:t>
      </w:r>
    </w:p>
    <w:p w14:paraId="3FB7F29A" w14:textId="2633BF9A" w:rsidR="009D70DD" w:rsidRPr="002C23C5" w:rsidRDefault="009D70DD" w:rsidP="009D70DD">
      <w:pPr>
        <w:pStyle w:val="ListParagraph"/>
        <w:numPr>
          <w:ilvl w:val="0"/>
          <w:numId w:val="19"/>
        </w:numPr>
        <w:spacing w:before="240" w:line="240" w:lineRule="auto"/>
        <w:rPr>
          <w:sz w:val="23"/>
          <w:szCs w:val="23"/>
        </w:rPr>
      </w:pPr>
      <w:r w:rsidRPr="002C23C5">
        <w:rPr>
          <w:rFonts w:eastAsia="MS Mincho"/>
        </w:rPr>
        <w:t>Pensions Act 2004 (</w:t>
      </w:r>
      <w:r w:rsidR="00AB341B" w:rsidRPr="002C23C5">
        <w:rPr>
          <w:rFonts w:eastAsia="MS Mincho"/>
        </w:rPr>
        <w:t xml:space="preserve">section </w:t>
      </w:r>
      <w:r w:rsidRPr="002C23C5">
        <w:rPr>
          <w:rFonts w:eastAsia="MS Mincho"/>
        </w:rPr>
        <w:t>70(2)</w:t>
      </w:r>
      <w:r w:rsidR="00AB341B" w:rsidRPr="002C23C5">
        <w:rPr>
          <w:rFonts w:eastAsia="MS Mincho"/>
        </w:rPr>
        <w:t>)</w:t>
      </w:r>
    </w:p>
    <w:sectPr w:rsidR="009D70DD" w:rsidRPr="002C23C5" w:rsidSect="008F3670">
      <w:footerReference w:type="default" r:id="rId13"/>
      <w:pgSz w:w="11906" w:h="16838" w:code="9"/>
      <w:pgMar w:top="1134" w:right="1276" w:bottom="1135"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7F2A0" w14:textId="77777777" w:rsidR="00337BFA" w:rsidRDefault="00337BFA" w:rsidP="005C657D">
      <w:pPr>
        <w:spacing w:after="0" w:line="240" w:lineRule="auto"/>
      </w:pPr>
      <w:r>
        <w:separator/>
      </w:r>
    </w:p>
  </w:endnote>
  <w:endnote w:type="continuationSeparator" w:id="0">
    <w:p w14:paraId="3FB7F2A1" w14:textId="77777777" w:rsidR="00337BFA" w:rsidRDefault="00337BFA" w:rsidP="005C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877256"/>
      <w:docPartObj>
        <w:docPartGallery w:val="Page Numbers (Bottom of Page)"/>
        <w:docPartUnique/>
      </w:docPartObj>
    </w:sdtPr>
    <w:sdtEndPr>
      <w:rPr>
        <w:noProof/>
      </w:rPr>
    </w:sdtEndPr>
    <w:sdtContent>
      <w:p w14:paraId="07CA56C8" w14:textId="0AA538A5" w:rsidR="002C23C5" w:rsidRDefault="002C23C5">
        <w:pPr>
          <w:pStyle w:val="Footer"/>
          <w:jc w:val="right"/>
        </w:pPr>
        <w:r>
          <w:fldChar w:fldCharType="begin"/>
        </w:r>
        <w:r>
          <w:instrText xml:space="preserve"> PAGE   \* MERGEFORMAT </w:instrText>
        </w:r>
        <w:r>
          <w:fldChar w:fldCharType="separate"/>
        </w:r>
        <w:r w:rsidR="00D64701">
          <w:rPr>
            <w:noProof/>
          </w:rPr>
          <w:t>8</w:t>
        </w:r>
        <w:r>
          <w:rPr>
            <w:noProof/>
          </w:rPr>
          <w:fldChar w:fldCharType="end"/>
        </w:r>
      </w:p>
    </w:sdtContent>
  </w:sdt>
  <w:p w14:paraId="3FB7F2A5" w14:textId="77777777" w:rsidR="00337BFA" w:rsidRDefault="00337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7F29E" w14:textId="77777777" w:rsidR="00337BFA" w:rsidRDefault="00337BFA" w:rsidP="005C657D">
      <w:pPr>
        <w:spacing w:after="0" w:line="240" w:lineRule="auto"/>
      </w:pPr>
      <w:r>
        <w:separator/>
      </w:r>
    </w:p>
  </w:footnote>
  <w:footnote w:type="continuationSeparator" w:id="0">
    <w:p w14:paraId="3FB7F29F" w14:textId="77777777" w:rsidR="00337BFA" w:rsidRDefault="00337BFA" w:rsidP="005C657D">
      <w:pPr>
        <w:spacing w:after="0" w:line="240" w:lineRule="auto"/>
      </w:pPr>
      <w:r>
        <w:continuationSeparator/>
      </w:r>
    </w:p>
  </w:footnote>
  <w:footnote w:id="1">
    <w:p w14:paraId="3FB7F2A7" w14:textId="1F4B3092" w:rsidR="00337BFA" w:rsidRDefault="002959D8">
      <w:pPr>
        <w:pStyle w:val="FootnoteText"/>
      </w:pPr>
      <w:r w:rsidRPr="002959D8">
        <w:rPr>
          <w:sz w:val="16"/>
          <w:szCs w:val="16"/>
        </w:rPr>
        <w:t>1</w:t>
      </w:r>
      <w:r w:rsidR="00337BFA">
        <w:t xml:space="preserve"> </w:t>
      </w:r>
      <w:r w:rsidR="00337BFA" w:rsidRPr="00470F08">
        <w:rPr>
          <w:sz w:val="16"/>
          <w:szCs w:val="16"/>
        </w:rPr>
        <w:t>The Pension Board must include equal numbers of members representing the employers and members.</w:t>
      </w:r>
    </w:p>
  </w:footnote>
  <w:footnote w:id="2">
    <w:p w14:paraId="3FB7F2A8" w14:textId="372788B3" w:rsidR="00337BFA" w:rsidRDefault="00337BFA" w:rsidP="002E73B3">
      <w:pPr>
        <w:pStyle w:val="FootnoteText"/>
      </w:pPr>
      <w:r>
        <w:rPr>
          <w:rStyle w:val="FootnoteReference"/>
        </w:rPr>
        <w:footnoteRef/>
      </w:r>
      <w:r>
        <w:t xml:space="preserve"> </w:t>
      </w:r>
      <w:r w:rsidR="00D7205B" w:rsidRPr="007140E0">
        <w:rPr>
          <w:sz w:val="16"/>
          <w:szCs w:val="16"/>
        </w:rPr>
        <w:t>tPR</w:t>
      </w:r>
      <w:r w:rsidR="00D7205B">
        <w:t xml:space="preserve"> </w:t>
      </w:r>
      <w:r w:rsidR="00DC72CB">
        <w:t>C</w:t>
      </w:r>
      <w:r w:rsidRPr="00EE4CB1">
        <w:rPr>
          <w:sz w:val="16"/>
          <w:szCs w:val="16"/>
        </w:rPr>
        <w:t xml:space="preserve">ode of </w:t>
      </w:r>
      <w:r w:rsidR="00DC72CB">
        <w:rPr>
          <w:sz w:val="16"/>
          <w:szCs w:val="16"/>
        </w:rPr>
        <w:t>P</w:t>
      </w:r>
      <w:r w:rsidRPr="00EE4CB1">
        <w:rPr>
          <w:sz w:val="16"/>
          <w:szCs w:val="16"/>
        </w:rPr>
        <w:t>ractice no. 14 – Governance and administration of public service pension scheme (89)</w:t>
      </w:r>
    </w:p>
  </w:footnote>
  <w:footnote w:id="3">
    <w:p w14:paraId="3FB7F2A9" w14:textId="77777777" w:rsidR="00337BFA" w:rsidRDefault="00337BFA" w:rsidP="002E73B3">
      <w:pPr>
        <w:pStyle w:val="FootnoteText"/>
      </w:pPr>
      <w:r>
        <w:rPr>
          <w:rStyle w:val="FootnoteReference"/>
        </w:rPr>
        <w:footnoteRef/>
      </w:r>
      <w:r>
        <w:t xml:space="preserve"> </w:t>
      </w:r>
      <w:r w:rsidRPr="00EE4CB1">
        <w:rPr>
          <w:sz w:val="16"/>
          <w:szCs w:val="16"/>
        </w:rPr>
        <w:t>Ibid.</w:t>
      </w:r>
    </w:p>
  </w:footnote>
  <w:footnote w:id="4">
    <w:p w14:paraId="3FB7F2AA" w14:textId="77777777" w:rsidR="00337BFA" w:rsidRDefault="00337BFA" w:rsidP="002E73B3">
      <w:pPr>
        <w:pStyle w:val="FootnoteText"/>
      </w:pPr>
      <w:r>
        <w:rPr>
          <w:rStyle w:val="FootnoteReference"/>
        </w:rPr>
        <w:footnoteRef/>
      </w:r>
      <w:r>
        <w:t xml:space="preserve"> </w:t>
      </w:r>
      <w:r w:rsidRPr="00EE4CB1">
        <w:rPr>
          <w:sz w:val="16"/>
          <w:szCs w:val="16"/>
        </w:rPr>
        <w:t>Ibid.</w:t>
      </w:r>
    </w:p>
  </w:footnote>
  <w:footnote w:id="5">
    <w:p w14:paraId="3FB7F2AB" w14:textId="152F7C4F" w:rsidR="00337BFA" w:rsidRDefault="00337BFA">
      <w:pPr>
        <w:pStyle w:val="FootnoteText"/>
      </w:pPr>
      <w:r>
        <w:rPr>
          <w:rStyle w:val="FootnoteReference"/>
        </w:rPr>
        <w:footnoteRef/>
      </w:r>
      <w:r>
        <w:t xml:space="preserve"> </w:t>
      </w:r>
      <w:r w:rsidR="008F3670" w:rsidRPr="00D232E4">
        <w:rPr>
          <w:sz w:val="16"/>
          <w:szCs w:val="16"/>
        </w:rPr>
        <w:t>tPR C</w:t>
      </w:r>
      <w:r w:rsidRPr="00EE4CB1">
        <w:rPr>
          <w:sz w:val="16"/>
          <w:szCs w:val="16"/>
        </w:rPr>
        <w:t xml:space="preserve">ode of practice no. 14 – Governance and administration of public service pension scheme </w:t>
      </w:r>
      <w:r w:rsidRPr="008F12AC">
        <w:rPr>
          <w:sz w:val="16"/>
          <w:szCs w:val="16"/>
        </w:rPr>
        <w:t>(79)</w:t>
      </w:r>
    </w:p>
  </w:footnote>
  <w:footnote w:id="6">
    <w:p w14:paraId="3FB7F2AC" w14:textId="77777777" w:rsidR="00337BFA" w:rsidRDefault="00337BFA">
      <w:pPr>
        <w:pStyle w:val="FootnoteText"/>
      </w:pPr>
      <w:r>
        <w:rPr>
          <w:rStyle w:val="FootnoteReference"/>
        </w:rPr>
        <w:footnoteRef/>
      </w:r>
      <w:r>
        <w:t xml:space="preserve"> </w:t>
      </w:r>
      <w:r w:rsidRPr="008F12AC">
        <w:rPr>
          <w:sz w:val="16"/>
          <w:szCs w:val="16"/>
        </w:rPr>
        <w:t>Ibid.</w:t>
      </w:r>
    </w:p>
  </w:footnote>
  <w:footnote w:id="7">
    <w:p w14:paraId="3FB7F2AD" w14:textId="77777777" w:rsidR="00337BFA" w:rsidRDefault="00337BFA">
      <w:pPr>
        <w:pStyle w:val="FootnoteText"/>
      </w:pPr>
      <w:r>
        <w:rPr>
          <w:rStyle w:val="FootnoteReference"/>
        </w:rPr>
        <w:footnoteRef/>
      </w:r>
      <w:r>
        <w:t xml:space="preserve"> </w:t>
      </w:r>
      <w:r w:rsidRPr="008F12AC">
        <w:rPr>
          <w:sz w:val="16"/>
          <w:szCs w:val="16"/>
        </w:rPr>
        <w:t>Ibid.</w:t>
      </w:r>
    </w:p>
  </w:footnote>
  <w:footnote w:id="8">
    <w:p w14:paraId="3FB7F2AE" w14:textId="77777777" w:rsidR="00337BFA" w:rsidRDefault="00337BFA">
      <w:pPr>
        <w:pStyle w:val="FootnoteText"/>
      </w:pPr>
      <w:r>
        <w:rPr>
          <w:rStyle w:val="FootnoteReference"/>
        </w:rPr>
        <w:footnoteRef/>
      </w:r>
      <w:r>
        <w:t xml:space="preserve"> </w:t>
      </w:r>
      <w:r w:rsidRPr="008F12AC">
        <w:rPr>
          <w:sz w:val="16"/>
          <w:szCs w:val="16"/>
        </w:rPr>
        <w:t>Ibid., (80)</w:t>
      </w:r>
    </w:p>
  </w:footnote>
  <w:footnote w:id="9">
    <w:p w14:paraId="3FB7F2AF" w14:textId="77777777" w:rsidR="00337BFA" w:rsidRDefault="00337BFA">
      <w:pPr>
        <w:pStyle w:val="FootnoteText"/>
      </w:pPr>
      <w:r>
        <w:rPr>
          <w:rStyle w:val="FootnoteReference"/>
        </w:rPr>
        <w:footnoteRef/>
      </w:r>
      <w:r>
        <w:t xml:space="preserve"> </w:t>
      </w:r>
      <w:r w:rsidR="00470F08">
        <w:rPr>
          <w:sz w:val="16"/>
          <w:szCs w:val="16"/>
        </w:rPr>
        <w:t>Ibid.,</w:t>
      </w:r>
      <w:r>
        <w:rPr>
          <w:sz w:val="16"/>
          <w:szCs w:val="16"/>
        </w:rPr>
        <w:t xml:space="preserve"> (75</w:t>
      </w:r>
      <w:r w:rsidRPr="00EE4CB1">
        <w:rPr>
          <w:sz w:val="16"/>
          <w:szCs w:val="16"/>
        </w:rPr>
        <w:t>)</w:t>
      </w:r>
    </w:p>
  </w:footnote>
  <w:footnote w:id="10">
    <w:p w14:paraId="3FB7F2B0" w14:textId="59C08C95" w:rsidR="00337BFA" w:rsidRDefault="00337BFA">
      <w:pPr>
        <w:pStyle w:val="FootnoteText"/>
      </w:pPr>
      <w:r>
        <w:rPr>
          <w:rStyle w:val="FootnoteReference"/>
        </w:rPr>
        <w:footnoteRef/>
      </w:r>
      <w:r>
        <w:t xml:space="preserve"> </w:t>
      </w:r>
      <w:r w:rsidR="008F3670" w:rsidRPr="00D232E4">
        <w:rPr>
          <w:sz w:val="16"/>
          <w:szCs w:val="16"/>
        </w:rPr>
        <w:t>tPR C</w:t>
      </w:r>
      <w:r w:rsidR="00470F08" w:rsidRPr="00EE4CB1">
        <w:rPr>
          <w:sz w:val="16"/>
          <w:szCs w:val="16"/>
        </w:rPr>
        <w:t xml:space="preserve">ode of practice no. 14 – Governance and administration of </w:t>
      </w:r>
      <w:r w:rsidR="00470F08">
        <w:rPr>
          <w:sz w:val="16"/>
          <w:szCs w:val="16"/>
        </w:rPr>
        <w:t>public service pension scheme</w:t>
      </w:r>
      <w:r w:rsidR="00470F08" w:rsidRPr="008F12AC" w:rsidDel="00470F08">
        <w:rPr>
          <w:sz w:val="16"/>
          <w:szCs w:val="16"/>
        </w:rPr>
        <w:t xml:space="preserve"> </w:t>
      </w:r>
      <w:r w:rsidRPr="008F12AC">
        <w:rPr>
          <w:sz w:val="16"/>
          <w:szCs w:val="16"/>
        </w:rPr>
        <w:t>(76)</w:t>
      </w:r>
    </w:p>
  </w:footnote>
  <w:footnote w:id="11">
    <w:p w14:paraId="3FB7F2B1" w14:textId="77777777" w:rsidR="00337BFA" w:rsidRDefault="00337BFA">
      <w:pPr>
        <w:pStyle w:val="FootnoteText"/>
      </w:pPr>
      <w:r>
        <w:rPr>
          <w:rStyle w:val="FootnoteReference"/>
        </w:rPr>
        <w:footnoteRef/>
      </w:r>
      <w:r>
        <w:t xml:space="preserve"> </w:t>
      </w:r>
      <w:r w:rsidRPr="008F12AC">
        <w:rPr>
          <w:sz w:val="16"/>
          <w:szCs w:val="16"/>
        </w:rPr>
        <w:t>Ibid., (77)</w:t>
      </w:r>
    </w:p>
  </w:footnote>
  <w:footnote w:id="12">
    <w:p w14:paraId="3FB7F2B2" w14:textId="77777777" w:rsidR="00337BFA" w:rsidRDefault="00337BFA">
      <w:pPr>
        <w:pStyle w:val="FootnoteText"/>
      </w:pPr>
      <w:r>
        <w:rPr>
          <w:rStyle w:val="FootnoteReference"/>
        </w:rPr>
        <w:footnoteRef/>
      </w:r>
      <w:r>
        <w:t xml:space="preserve"> </w:t>
      </w:r>
      <w:r w:rsidRPr="008F12AC">
        <w:rPr>
          <w:sz w:val="16"/>
          <w:szCs w:val="16"/>
        </w:rPr>
        <w:t>Ibid., (78)</w:t>
      </w:r>
    </w:p>
  </w:footnote>
  <w:footnote w:id="13">
    <w:p w14:paraId="3FB7F2B3" w14:textId="77777777" w:rsidR="00337BFA" w:rsidRDefault="00337BFA">
      <w:pPr>
        <w:pStyle w:val="FootnoteText"/>
      </w:pPr>
      <w:r>
        <w:rPr>
          <w:rStyle w:val="FootnoteReference"/>
        </w:rPr>
        <w:footnoteRef/>
      </w:r>
      <w:r>
        <w:t xml:space="preserve"> </w:t>
      </w:r>
      <w:r w:rsidR="00470F08" w:rsidRPr="00470F08">
        <w:rPr>
          <w:sz w:val="16"/>
          <w:szCs w:val="16"/>
        </w:rPr>
        <w:t>Ibid.,</w:t>
      </w:r>
      <w:r w:rsidR="00470F08">
        <w:t xml:space="preserve"> </w:t>
      </w:r>
      <w:r>
        <w:rPr>
          <w:sz w:val="16"/>
          <w:szCs w:val="16"/>
        </w:rPr>
        <w:t>(37</w:t>
      </w:r>
      <w:r w:rsidRPr="00EE4CB1">
        <w:rPr>
          <w:sz w:val="16"/>
          <w:szCs w:val="16"/>
        </w:rPr>
        <w:t>)</w:t>
      </w:r>
    </w:p>
  </w:footnote>
  <w:footnote w:id="14">
    <w:p w14:paraId="3FB7F2B4" w14:textId="77777777" w:rsidR="00337BFA" w:rsidRPr="004640FD" w:rsidRDefault="00337BFA">
      <w:pPr>
        <w:pStyle w:val="FootnoteText"/>
        <w:rPr>
          <w:sz w:val="16"/>
          <w:szCs w:val="16"/>
        </w:rPr>
      </w:pPr>
      <w:r>
        <w:rPr>
          <w:rStyle w:val="FootnoteReference"/>
        </w:rPr>
        <w:footnoteRef/>
      </w:r>
      <w:r>
        <w:t xml:space="preserve"> </w:t>
      </w:r>
      <w:r w:rsidRPr="004640FD">
        <w:rPr>
          <w:sz w:val="16"/>
          <w:szCs w:val="16"/>
        </w:rPr>
        <w:t>Ibid., (46)</w:t>
      </w:r>
    </w:p>
  </w:footnote>
  <w:footnote w:id="15">
    <w:p w14:paraId="3FB7F2B5" w14:textId="4DA90753" w:rsidR="00337BFA" w:rsidRPr="004640FD" w:rsidRDefault="00337BFA">
      <w:pPr>
        <w:pStyle w:val="FootnoteText"/>
        <w:rPr>
          <w:sz w:val="16"/>
          <w:szCs w:val="16"/>
        </w:rPr>
      </w:pPr>
      <w:r>
        <w:rPr>
          <w:rStyle w:val="FootnoteReference"/>
        </w:rPr>
        <w:footnoteRef/>
      </w:r>
      <w:r>
        <w:t xml:space="preserve"> </w:t>
      </w:r>
      <w:r w:rsidR="00D7205B">
        <w:rPr>
          <w:sz w:val="16"/>
          <w:szCs w:val="16"/>
        </w:rPr>
        <w:t>tPR</w:t>
      </w:r>
      <w:r w:rsidR="00470F08" w:rsidRPr="00EE4CB1">
        <w:rPr>
          <w:sz w:val="16"/>
          <w:szCs w:val="16"/>
        </w:rPr>
        <w:t xml:space="preserve"> code of practice no. 14 – Governance and administration of public service pension scheme</w:t>
      </w:r>
      <w:r w:rsidRPr="004640FD">
        <w:rPr>
          <w:sz w:val="16"/>
          <w:szCs w:val="16"/>
        </w:rPr>
        <w:t xml:space="preserve"> (47)</w:t>
      </w:r>
    </w:p>
  </w:footnote>
  <w:footnote w:id="16">
    <w:p w14:paraId="3FB7F2B6" w14:textId="77777777" w:rsidR="00337BFA" w:rsidRPr="009A3B53" w:rsidRDefault="00337BFA">
      <w:pPr>
        <w:pStyle w:val="FootnoteText"/>
        <w:rPr>
          <w:sz w:val="16"/>
          <w:szCs w:val="16"/>
        </w:rPr>
      </w:pPr>
      <w:r>
        <w:rPr>
          <w:rStyle w:val="FootnoteReference"/>
        </w:rPr>
        <w:footnoteRef/>
      </w:r>
      <w:r>
        <w:t xml:space="preserve"> </w:t>
      </w:r>
      <w:r w:rsidRPr="009A3B53">
        <w:rPr>
          <w:sz w:val="16"/>
          <w:szCs w:val="16"/>
        </w:rPr>
        <w:t>Ibid., (52)</w:t>
      </w:r>
    </w:p>
  </w:footnote>
  <w:footnote w:id="17">
    <w:p w14:paraId="3FB7F2B7" w14:textId="77777777" w:rsidR="00337BFA" w:rsidRPr="009A3B53" w:rsidRDefault="00337BFA">
      <w:pPr>
        <w:pStyle w:val="FootnoteText"/>
        <w:rPr>
          <w:sz w:val="16"/>
          <w:szCs w:val="16"/>
        </w:rPr>
      </w:pPr>
      <w:r>
        <w:rPr>
          <w:rStyle w:val="FootnoteReference"/>
        </w:rPr>
        <w:footnoteRef/>
      </w:r>
      <w:r>
        <w:t xml:space="preserve"> </w:t>
      </w:r>
      <w:r w:rsidRPr="009A3B53">
        <w:rPr>
          <w:sz w:val="16"/>
          <w:szCs w:val="16"/>
        </w:rPr>
        <w:t>Ibid.</w:t>
      </w:r>
    </w:p>
  </w:footnote>
  <w:footnote w:id="18">
    <w:p w14:paraId="3FB7F2B8" w14:textId="77777777" w:rsidR="00337BFA" w:rsidRPr="009A3B53" w:rsidRDefault="00337BFA">
      <w:pPr>
        <w:pStyle w:val="FootnoteText"/>
        <w:rPr>
          <w:sz w:val="16"/>
          <w:szCs w:val="16"/>
        </w:rPr>
      </w:pPr>
      <w:r>
        <w:rPr>
          <w:rStyle w:val="FootnoteReference"/>
        </w:rPr>
        <w:footnoteRef/>
      </w:r>
      <w:r>
        <w:t xml:space="preserve"> </w:t>
      </w:r>
      <w:r w:rsidRPr="009A3B53">
        <w:rPr>
          <w:sz w:val="16"/>
          <w:szCs w:val="16"/>
        </w:rPr>
        <w:t>Ibid., (5</w:t>
      </w:r>
      <w:r>
        <w:rPr>
          <w:sz w:val="16"/>
          <w:szCs w:val="16"/>
        </w:rPr>
        <w:t>5</w:t>
      </w:r>
      <w:r w:rsidRPr="009A3B53">
        <w:rPr>
          <w:sz w:val="16"/>
          <w:szCs w:val="16"/>
        </w:rPr>
        <w:t>)</w:t>
      </w:r>
    </w:p>
  </w:footnote>
  <w:footnote w:id="19">
    <w:p w14:paraId="3FB7F2B9" w14:textId="77777777" w:rsidR="00337BFA" w:rsidRPr="00A861A0" w:rsidRDefault="00337BFA">
      <w:pPr>
        <w:pStyle w:val="FootnoteText"/>
        <w:rPr>
          <w:sz w:val="16"/>
          <w:szCs w:val="16"/>
        </w:rPr>
      </w:pPr>
      <w:r>
        <w:rPr>
          <w:rStyle w:val="FootnoteReference"/>
        </w:rPr>
        <w:footnoteRef/>
      </w:r>
      <w:r>
        <w:t xml:space="preserve"> </w:t>
      </w:r>
      <w:r w:rsidRPr="00A861A0">
        <w:rPr>
          <w:sz w:val="16"/>
          <w:szCs w:val="16"/>
        </w:rPr>
        <w:t>Ibid., (94</w:t>
      </w:r>
      <w:r>
        <w:rPr>
          <w:sz w:val="16"/>
          <w:szCs w:val="16"/>
        </w:rPr>
        <w:t xml:space="preserve"> and 97</w:t>
      </w:r>
      <w:r w:rsidRPr="00A861A0">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55862DE"/>
    <w:lvl w:ilvl="0">
      <w:start w:val="1"/>
      <w:numFmt w:val="bullet"/>
      <w:pStyle w:val="ListParagraph"/>
      <w:lvlText w:val=""/>
      <w:lvlJc w:val="left"/>
      <w:pPr>
        <w:tabs>
          <w:tab w:val="num" w:pos="926"/>
        </w:tabs>
        <w:ind w:left="926" w:hanging="360"/>
      </w:pPr>
      <w:rPr>
        <w:rFonts w:ascii="Symbol" w:hAnsi="Symbol" w:hint="default"/>
      </w:rPr>
    </w:lvl>
  </w:abstractNum>
  <w:abstractNum w:abstractNumId="1" w15:restartNumberingAfterBreak="0">
    <w:nsid w:val="021A4E33"/>
    <w:multiLevelType w:val="hybridMultilevel"/>
    <w:tmpl w:val="A58C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A10B8"/>
    <w:multiLevelType w:val="hybridMultilevel"/>
    <w:tmpl w:val="1AE2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57F7D"/>
    <w:multiLevelType w:val="hybridMultilevel"/>
    <w:tmpl w:val="6BDE9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5" w15:restartNumberingAfterBreak="0">
    <w:nsid w:val="21AE49DB"/>
    <w:multiLevelType w:val="hybridMultilevel"/>
    <w:tmpl w:val="7D186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85BDB"/>
    <w:multiLevelType w:val="hybridMultilevel"/>
    <w:tmpl w:val="5C86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31EED"/>
    <w:multiLevelType w:val="multilevel"/>
    <w:tmpl w:val="3984EC1A"/>
    <w:lvl w:ilvl="0">
      <w:start w:val="1"/>
      <w:numFmt w:val="decimal"/>
      <w:lvlRestart w:val="0"/>
      <w:lvlText w:val="%1."/>
      <w:lvlJc w:val="left"/>
      <w:pPr>
        <w:tabs>
          <w:tab w:val="num" w:pos="720"/>
        </w:tabs>
      </w:pPr>
      <w:rPr>
        <w:rFonts w:cs="Times New Roman"/>
      </w:rPr>
    </w:lvl>
    <w:lvl w:ilvl="1">
      <w:start w:val="1"/>
      <w:numFmt w:val="decimal"/>
      <w:pStyle w:val="Lvl2bullet"/>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pStyle w:val="Lvl4bullet"/>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968"/>
        </w:tabs>
        <w:ind w:left="4968" w:hanging="1368"/>
      </w:pPr>
      <w:rPr>
        <w:rFonts w:cs="Times New Roman"/>
      </w:rPr>
    </w:lvl>
    <w:lvl w:ilvl="6">
      <w:start w:val="1"/>
      <w:numFmt w:val="decimal"/>
      <w:lvlText w:val="%1.%2.%3.%4.%5.%6.%7."/>
      <w:lvlJc w:val="left"/>
      <w:pPr>
        <w:tabs>
          <w:tab w:val="num" w:pos="5976"/>
        </w:tabs>
        <w:ind w:left="5976" w:hanging="1656"/>
      </w:pPr>
      <w:rPr>
        <w:rFonts w:cs="Times New Roman"/>
      </w:rPr>
    </w:lvl>
    <w:lvl w:ilvl="7">
      <w:start w:val="1"/>
      <w:numFmt w:val="decimal"/>
      <w:lvlText w:val="%1.%2.%3.%4.%5.%6.%7.%8."/>
      <w:lvlJc w:val="left"/>
      <w:pPr>
        <w:tabs>
          <w:tab w:val="num" w:pos="6696"/>
        </w:tabs>
        <w:ind w:left="6696" w:hanging="1656"/>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 w15:restartNumberingAfterBreak="0">
    <w:nsid w:val="364D7252"/>
    <w:multiLevelType w:val="hybridMultilevel"/>
    <w:tmpl w:val="01E2B918"/>
    <w:lvl w:ilvl="0" w:tplc="87149A98">
      <w:start w:val="1"/>
      <w:numFmt w:val="bullet"/>
      <w:pStyle w:val="ListBullet2"/>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9" w15:restartNumberingAfterBreak="0">
    <w:nsid w:val="46C3743A"/>
    <w:multiLevelType w:val="hybridMultilevel"/>
    <w:tmpl w:val="2B304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9CB46DC"/>
    <w:multiLevelType w:val="hybridMultilevel"/>
    <w:tmpl w:val="9F9005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8A1801"/>
    <w:multiLevelType w:val="hybridMultilevel"/>
    <w:tmpl w:val="15604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132019"/>
    <w:multiLevelType w:val="hybridMultilevel"/>
    <w:tmpl w:val="0BB80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0B36A7"/>
    <w:multiLevelType w:val="hybridMultilevel"/>
    <w:tmpl w:val="D074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065B20"/>
    <w:multiLevelType w:val="hybridMultilevel"/>
    <w:tmpl w:val="542E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323C5C"/>
    <w:multiLevelType w:val="hybridMultilevel"/>
    <w:tmpl w:val="8174A4DE"/>
    <w:lvl w:ilvl="0" w:tplc="635C3CE0">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18" w15:restartNumberingAfterBreak="0">
    <w:nsid w:val="62A232E5"/>
    <w:multiLevelType w:val="multilevel"/>
    <w:tmpl w:val="4228834A"/>
    <w:lvl w:ilvl="0">
      <w:start w:val="1"/>
      <w:numFmt w:val="decimal"/>
      <w:lvlRestart w:val="0"/>
      <w:lvlText w:val="%1."/>
      <w:lvlJc w:val="left"/>
      <w:pPr>
        <w:tabs>
          <w:tab w:val="num" w:pos="720"/>
        </w:tabs>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pStyle w:val="Lvl3bullet"/>
      <w:lvlText w:val="2.1.%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968"/>
        </w:tabs>
        <w:ind w:left="4968" w:hanging="1368"/>
      </w:pPr>
      <w:rPr>
        <w:rFonts w:cs="Times New Roman"/>
      </w:rPr>
    </w:lvl>
    <w:lvl w:ilvl="6">
      <w:start w:val="1"/>
      <w:numFmt w:val="decimal"/>
      <w:lvlText w:val="%1.%2.%3.%4.%5.%6.%7."/>
      <w:lvlJc w:val="left"/>
      <w:pPr>
        <w:tabs>
          <w:tab w:val="num" w:pos="5976"/>
        </w:tabs>
        <w:ind w:left="5976" w:hanging="1656"/>
      </w:pPr>
      <w:rPr>
        <w:rFonts w:cs="Times New Roman"/>
      </w:rPr>
    </w:lvl>
    <w:lvl w:ilvl="7">
      <w:start w:val="1"/>
      <w:numFmt w:val="decimal"/>
      <w:lvlText w:val="%1.%2.%3.%4.%5.%6.%7.%8."/>
      <w:lvlJc w:val="left"/>
      <w:pPr>
        <w:tabs>
          <w:tab w:val="num" w:pos="6696"/>
        </w:tabs>
        <w:ind w:left="6696" w:hanging="1656"/>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9" w15:restartNumberingAfterBreak="0">
    <w:nsid w:val="665D56DD"/>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0" w15:restartNumberingAfterBreak="0">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74F117F4"/>
    <w:multiLevelType w:val="hybridMultilevel"/>
    <w:tmpl w:val="2054B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20"/>
  </w:num>
  <w:num w:numId="4">
    <w:abstractNumId w:val="17"/>
  </w:num>
  <w:num w:numId="5">
    <w:abstractNumId w:val="19"/>
  </w:num>
  <w:num w:numId="6">
    <w:abstractNumId w:val="7"/>
  </w:num>
  <w:num w:numId="7">
    <w:abstractNumId w:val="4"/>
  </w:num>
  <w:num w:numId="8">
    <w:abstractNumId w:val="10"/>
  </w:num>
  <w:num w:numId="9">
    <w:abstractNumId w:val="18"/>
  </w:num>
  <w:num w:numId="10">
    <w:abstractNumId w:val="5"/>
  </w:num>
  <w:num w:numId="11">
    <w:abstractNumId w:val="14"/>
  </w:num>
  <w:num w:numId="12">
    <w:abstractNumId w:val="9"/>
  </w:num>
  <w:num w:numId="13">
    <w:abstractNumId w:val="2"/>
  </w:num>
  <w:num w:numId="14">
    <w:abstractNumId w:val="11"/>
  </w:num>
  <w:num w:numId="15">
    <w:abstractNumId w:val="15"/>
  </w:num>
  <w:num w:numId="16">
    <w:abstractNumId w:val="12"/>
  </w:num>
  <w:num w:numId="17">
    <w:abstractNumId w:val="13"/>
  </w:num>
  <w:num w:numId="18">
    <w:abstractNumId w:val="6"/>
  </w:num>
  <w:num w:numId="19">
    <w:abstractNumId w:val="1"/>
  </w:num>
  <w:num w:numId="20">
    <w:abstractNumId w:val="0"/>
  </w:num>
  <w:num w:numId="21">
    <w:abstractNumId w:val="3"/>
  </w:num>
  <w:num w:numId="22">
    <w:abstractNumId w:val="0"/>
  </w:num>
  <w:num w:numId="23">
    <w:abstractNumId w:val="16"/>
  </w:num>
  <w:num w:numId="24">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2F2"/>
    <w:rsid w:val="00001CDD"/>
    <w:rsid w:val="00003698"/>
    <w:rsid w:val="0000394B"/>
    <w:rsid w:val="00003F2B"/>
    <w:rsid w:val="00005E8F"/>
    <w:rsid w:val="00010B4E"/>
    <w:rsid w:val="00011A88"/>
    <w:rsid w:val="0001318B"/>
    <w:rsid w:val="00013A6E"/>
    <w:rsid w:val="0002203B"/>
    <w:rsid w:val="0002438E"/>
    <w:rsid w:val="00024B43"/>
    <w:rsid w:val="00030F68"/>
    <w:rsid w:val="00031F36"/>
    <w:rsid w:val="00031F84"/>
    <w:rsid w:val="00033E6E"/>
    <w:rsid w:val="00036CE9"/>
    <w:rsid w:val="00042BDD"/>
    <w:rsid w:val="000442BD"/>
    <w:rsid w:val="000443F8"/>
    <w:rsid w:val="00045835"/>
    <w:rsid w:val="00052E27"/>
    <w:rsid w:val="00056C20"/>
    <w:rsid w:val="00057100"/>
    <w:rsid w:val="000571E2"/>
    <w:rsid w:val="00066B1C"/>
    <w:rsid w:val="00067847"/>
    <w:rsid w:val="00067A55"/>
    <w:rsid w:val="00072AA7"/>
    <w:rsid w:val="00073227"/>
    <w:rsid w:val="000746BD"/>
    <w:rsid w:val="0008019C"/>
    <w:rsid w:val="000822A8"/>
    <w:rsid w:val="0008242D"/>
    <w:rsid w:val="00083A73"/>
    <w:rsid w:val="0008689E"/>
    <w:rsid w:val="00090924"/>
    <w:rsid w:val="000925C0"/>
    <w:rsid w:val="00096CAB"/>
    <w:rsid w:val="000A08DF"/>
    <w:rsid w:val="000A10F4"/>
    <w:rsid w:val="000A3889"/>
    <w:rsid w:val="000A428E"/>
    <w:rsid w:val="000A5785"/>
    <w:rsid w:val="000A6C55"/>
    <w:rsid w:val="000A6E70"/>
    <w:rsid w:val="000B1C1A"/>
    <w:rsid w:val="000B3DE0"/>
    <w:rsid w:val="000B4D8E"/>
    <w:rsid w:val="000C2E5C"/>
    <w:rsid w:val="000D0A6C"/>
    <w:rsid w:val="000D1D30"/>
    <w:rsid w:val="000D4397"/>
    <w:rsid w:val="000D4405"/>
    <w:rsid w:val="000D4433"/>
    <w:rsid w:val="000D4483"/>
    <w:rsid w:val="000E27D9"/>
    <w:rsid w:val="000E3350"/>
    <w:rsid w:val="000F4439"/>
    <w:rsid w:val="000F49F4"/>
    <w:rsid w:val="000F6E10"/>
    <w:rsid w:val="000F73F3"/>
    <w:rsid w:val="000F7996"/>
    <w:rsid w:val="00100794"/>
    <w:rsid w:val="00100B4E"/>
    <w:rsid w:val="0010244B"/>
    <w:rsid w:val="00103E77"/>
    <w:rsid w:val="0010573A"/>
    <w:rsid w:val="00107A6F"/>
    <w:rsid w:val="001111C1"/>
    <w:rsid w:val="0011494F"/>
    <w:rsid w:val="00114B37"/>
    <w:rsid w:val="00115676"/>
    <w:rsid w:val="00120284"/>
    <w:rsid w:val="001208CE"/>
    <w:rsid w:val="00120FB3"/>
    <w:rsid w:val="00121124"/>
    <w:rsid w:val="00121C6C"/>
    <w:rsid w:val="00133075"/>
    <w:rsid w:val="00135D21"/>
    <w:rsid w:val="001363E5"/>
    <w:rsid w:val="00144D67"/>
    <w:rsid w:val="0014509D"/>
    <w:rsid w:val="00147214"/>
    <w:rsid w:val="00151C51"/>
    <w:rsid w:val="0015279A"/>
    <w:rsid w:val="001540AB"/>
    <w:rsid w:val="00156B06"/>
    <w:rsid w:val="00160BBB"/>
    <w:rsid w:val="00164FEE"/>
    <w:rsid w:val="00166199"/>
    <w:rsid w:val="001747E2"/>
    <w:rsid w:val="00175C20"/>
    <w:rsid w:val="00176EB9"/>
    <w:rsid w:val="00180127"/>
    <w:rsid w:val="00180454"/>
    <w:rsid w:val="0018083D"/>
    <w:rsid w:val="00185F5F"/>
    <w:rsid w:val="00186F7C"/>
    <w:rsid w:val="00187A1D"/>
    <w:rsid w:val="00192309"/>
    <w:rsid w:val="00192B3A"/>
    <w:rsid w:val="00196306"/>
    <w:rsid w:val="00197DB4"/>
    <w:rsid w:val="001A1443"/>
    <w:rsid w:val="001A179F"/>
    <w:rsid w:val="001A1E33"/>
    <w:rsid w:val="001A3A04"/>
    <w:rsid w:val="001A40FB"/>
    <w:rsid w:val="001B2AE2"/>
    <w:rsid w:val="001B5C15"/>
    <w:rsid w:val="001B796F"/>
    <w:rsid w:val="001C1074"/>
    <w:rsid w:val="001C1879"/>
    <w:rsid w:val="001C577B"/>
    <w:rsid w:val="001C5A63"/>
    <w:rsid w:val="001C5B4D"/>
    <w:rsid w:val="001C5EB6"/>
    <w:rsid w:val="001C6370"/>
    <w:rsid w:val="001D26A9"/>
    <w:rsid w:val="001D3455"/>
    <w:rsid w:val="001D40FB"/>
    <w:rsid w:val="001D5770"/>
    <w:rsid w:val="001E694B"/>
    <w:rsid w:val="001E7BDD"/>
    <w:rsid w:val="001F1337"/>
    <w:rsid w:val="001F14B1"/>
    <w:rsid w:val="001F3A46"/>
    <w:rsid w:val="001F7F08"/>
    <w:rsid w:val="0020040D"/>
    <w:rsid w:val="002038BD"/>
    <w:rsid w:val="00203EC9"/>
    <w:rsid w:val="0020772A"/>
    <w:rsid w:val="0021197A"/>
    <w:rsid w:val="00212558"/>
    <w:rsid w:val="002169A7"/>
    <w:rsid w:val="00221BFF"/>
    <w:rsid w:val="00222405"/>
    <w:rsid w:val="0022255C"/>
    <w:rsid w:val="0022370F"/>
    <w:rsid w:val="00224004"/>
    <w:rsid w:val="0022489D"/>
    <w:rsid w:val="00224F0F"/>
    <w:rsid w:val="00230559"/>
    <w:rsid w:val="00232176"/>
    <w:rsid w:val="00232C74"/>
    <w:rsid w:val="002332F8"/>
    <w:rsid w:val="00234B56"/>
    <w:rsid w:val="00234F75"/>
    <w:rsid w:val="0023541B"/>
    <w:rsid w:val="00240F4B"/>
    <w:rsid w:val="00244FD5"/>
    <w:rsid w:val="002464C0"/>
    <w:rsid w:val="002508EC"/>
    <w:rsid w:val="00253A87"/>
    <w:rsid w:val="00256CA8"/>
    <w:rsid w:val="002575C5"/>
    <w:rsid w:val="00257F8A"/>
    <w:rsid w:val="00263BE2"/>
    <w:rsid w:val="00271D8F"/>
    <w:rsid w:val="00273425"/>
    <w:rsid w:val="00273842"/>
    <w:rsid w:val="00274995"/>
    <w:rsid w:val="00274B2B"/>
    <w:rsid w:val="00275D3F"/>
    <w:rsid w:val="00277C65"/>
    <w:rsid w:val="002801E2"/>
    <w:rsid w:val="002839B5"/>
    <w:rsid w:val="00284BF0"/>
    <w:rsid w:val="002875AB"/>
    <w:rsid w:val="00287755"/>
    <w:rsid w:val="00287FEA"/>
    <w:rsid w:val="00290A45"/>
    <w:rsid w:val="002923E2"/>
    <w:rsid w:val="002938D2"/>
    <w:rsid w:val="0029475B"/>
    <w:rsid w:val="002959D8"/>
    <w:rsid w:val="002A28F7"/>
    <w:rsid w:val="002A3153"/>
    <w:rsid w:val="002A6212"/>
    <w:rsid w:val="002B448D"/>
    <w:rsid w:val="002B5F77"/>
    <w:rsid w:val="002B7696"/>
    <w:rsid w:val="002B7E21"/>
    <w:rsid w:val="002C23C5"/>
    <w:rsid w:val="002C25FD"/>
    <w:rsid w:val="002C3AA4"/>
    <w:rsid w:val="002C4ABE"/>
    <w:rsid w:val="002C52A8"/>
    <w:rsid w:val="002C52F0"/>
    <w:rsid w:val="002D2FA8"/>
    <w:rsid w:val="002D3515"/>
    <w:rsid w:val="002D3F75"/>
    <w:rsid w:val="002E1809"/>
    <w:rsid w:val="002E2CAC"/>
    <w:rsid w:val="002E3B7F"/>
    <w:rsid w:val="002E463F"/>
    <w:rsid w:val="002E4E9A"/>
    <w:rsid w:val="002E508B"/>
    <w:rsid w:val="002E5F9F"/>
    <w:rsid w:val="002E6A4F"/>
    <w:rsid w:val="002E6D42"/>
    <w:rsid w:val="002E73B3"/>
    <w:rsid w:val="002E7849"/>
    <w:rsid w:val="002E7FF7"/>
    <w:rsid w:val="002F0156"/>
    <w:rsid w:val="002F1060"/>
    <w:rsid w:val="002F10B0"/>
    <w:rsid w:val="002F2468"/>
    <w:rsid w:val="002F7128"/>
    <w:rsid w:val="00300CFA"/>
    <w:rsid w:val="00300F99"/>
    <w:rsid w:val="00301B3B"/>
    <w:rsid w:val="00302159"/>
    <w:rsid w:val="00303BCB"/>
    <w:rsid w:val="0030621B"/>
    <w:rsid w:val="003102B0"/>
    <w:rsid w:val="00310CF7"/>
    <w:rsid w:val="00312928"/>
    <w:rsid w:val="00312EB5"/>
    <w:rsid w:val="00314F41"/>
    <w:rsid w:val="00315B57"/>
    <w:rsid w:val="00320A13"/>
    <w:rsid w:val="00321D3E"/>
    <w:rsid w:val="00324B82"/>
    <w:rsid w:val="00330296"/>
    <w:rsid w:val="0033269C"/>
    <w:rsid w:val="003329E2"/>
    <w:rsid w:val="003337BE"/>
    <w:rsid w:val="00333D9E"/>
    <w:rsid w:val="00335957"/>
    <w:rsid w:val="003375A9"/>
    <w:rsid w:val="00337BFA"/>
    <w:rsid w:val="00344DE9"/>
    <w:rsid w:val="00346B16"/>
    <w:rsid w:val="003502E6"/>
    <w:rsid w:val="00351E98"/>
    <w:rsid w:val="003521F0"/>
    <w:rsid w:val="00353B87"/>
    <w:rsid w:val="003578B7"/>
    <w:rsid w:val="00361752"/>
    <w:rsid w:val="00362BC8"/>
    <w:rsid w:val="0036356B"/>
    <w:rsid w:val="00364BF3"/>
    <w:rsid w:val="003679BE"/>
    <w:rsid w:val="00370019"/>
    <w:rsid w:val="0037050F"/>
    <w:rsid w:val="003732FD"/>
    <w:rsid w:val="00374981"/>
    <w:rsid w:val="00375136"/>
    <w:rsid w:val="0037765F"/>
    <w:rsid w:val="00380673"/>
    <w:rsid w:val="00380792"/>
    <w:rsid w:val="003810D8"/>
    <w:rsid w:val="003815DE"/>
    <w:rsid w:val="003853A4"/>
    <w:rsid w:val="00385871"/>
    <w:rsid w:val="0039010A"/>
    <w:rsid w:val="00393F8C"/>
    <w:rsid w:val="00397FED"/>
    <w:rsid w:val="003A02AD"/>
    <w:rsid w:val="003A09C5"/>
    <w:rsid w:val="003A1CC2"/>
    <w:rsid w:val="003B2CF2"/>
    <w:rsid w:val="003B44F0"/>
    <w:rsid w:val="003B48AB"/>
    <w:rsid w:val="003B6150"/>
    <w:rsid w:val="003C043A"/>
    <w:rsid w:val="003C1D26"/>
    <w:rsid w:val="003C4581"/>
    <w:rsid w:val="003C6074"/>
    <w:rsid w:val="003C60B5"/>
    <w:rsid w:val="003C77B3"/>
    <w:rsid w:val="003C7C76"/>
    <w:rsid w:val="003D1EFE"/>
    <w:rsid w:val="003D22F2"/>
    <w:rsid w:val="003D488E"/>
    <w:rsid w:val="003D66C6"/>
    <w:rsid w:val="003E1329"/>
    <w:rsid w:val="003E2CF9"/>
    <w:rsid w:val="003E56BF"/>
    <w:rsid w:val="003E5EE5"/>
    <w:rsid w:val="003E7934"/>
    <w:rsid w:val="003E7ECA"/>
    <w:rsid w:val="003F398E"/>
    <w:rsid w:val="003F6C92"/>
    <w:rsid w:val="003F738F"/>
    <w:rsid w:val="004026AC"/>
    <w:rsid w:val="00403B67"/>
    <w:rsid w:val="00406211"/>
    <w:rsid w:val="00406F75"/>
    <w:rsid w:val="0041044D"/>
    <w:rsid w:val="00412351"/>
    <w:rsid w:val="00415209"/>
    <w:rsid w:val="00416946"/>
    <w:rsid w:val="00421574"/>
    <w:rsid w:val="0042157A"/>
    <w:rsid w:val="00422B81"/>
    <w:rsid w:val="00423C99"/>
    <w:rsid w:val="004242C5"/>
    <w:rsid w:val="00425FF0"/>
    <w:rsid w:val="004261C2"/>
    <w:rsid w:val="004276A0"/>
    <w:rsid w:val="004322FA"/>
    <w:rsid w:val="00433466"/>
    <w:rsid w:val="004338FC"/>
    <w:rsid w:val="004339FB"/>
    <w:rsid w:val="00436749"/>
    <w:rsid w:val="00437F55"/>
    <w:rsid w:val="00441668"/>
    <w:rsid w:val="00441A7D"/>
    <w:rsid w:val="00447481"/>
    <w:rsid w:val="0045089E"/>
    <w:rsid w:val="004509BE"/>
    <w:rsid w:val="00453771"/>
    <w:rsid w:val="00455451"/>
    <w:rsid w:val="00456865"/>
    <w:rsid w:val="00460B46"/>
    <w:rsid w:val="004631EF"/>
    <w:rsid w:val="00463490"/>
    <w:rsid w:val="004640FD"/>
    <w:rsid w:val="00467556"/>
    <w:rsid w:val="00467D0E"/>
    <w:rsid w:val="00470223"/>
    <w:rsid w:val="00470F08"/>
    <w:rsid w:val="00471E01"/>
    <w:rsid w:val="004736C9"/>
    <w:rsid w:val="004744EA"/>
    <w:rsid w:val="00474F13"/>
    <w:rsid w:val="0047664C"/>
    <w:rsid w:val="0048303E"/>
    <w:rsid w:val="00483E0B"/>
    <w:rsid w:val="004850C3"/>
    <w:rsid w:val="00485B00"/>
    <w:rsid w:val="004866AD"/>
    <w:rsid w:val="00487361"/>
    <w:rsid w:val="0049268D"/>
    <w:rsid w:val="00493D96"/>
    <w:rsid w:val="004A1250"/>
    <w:rsid w:val="004A13E7"/>
    <w:rsid w:val="004A33E4"/>
    <w:rsid w:val="004A35A3"/>
    <w:rsid w:val="004A44C5"/>
    <w:rsid w:val="004A49EA"/>
    <w:rsid w:val="004A5F8B"/>
    <w:rsid w:val="004A6CDD"/>
    <w:rsid w:val="004B1C04"/>
    <w:rsid w:val="004B449C"/>
    <w:rsid w:val="004C23DB"/>
    <w:rsid w:val="004C315B"/>
    <w:rsid w:val="004C7D73"/>
    <w:rsid w:val="004D13A3"/>
    <w:rsid w:val="004E1582"/>
    <w:rsid w:val="004E1C3E"/>
    <w:rsid w:val="004E1F49"/>
    <w:rsid w:val="004E4F27"/>
    <w:rsid w:val="004E6CD9"/>
    <w:rsid w:val="004E794A"/>
    <w:rsid w:val="004E7CDB"/>
    <w:rsid w:val="004F20E3"/>
    <w:rsid w:val="004F211A"/>
    <w:rsid w:val="004F3159"/>
    <w:rsid w:val="004F4AEF"/>
    <w:rsid w:val="004F6535"/>
    <w:rsid w:val="004F66BB"/>
    <w:rsid w:val="00500B2F"/>
    <w:rsid w:val="0050345B"/>
    <w:rsid w:val="0050391B"/>
    <w:rsid w:val="00504C36"/>
    <w:rsid w:val="00510DAB"/>
    <w:rsid w:val="00513F72"/>
    <w:rsid w:val="0051579A"/>
    <w:rsid w:val="00516872"/>
    <w:rsid w:val="0051753C"/>
    <w:rsid w:val="00521F77"/>
    <w:rsid w:val="00522C37"/>
    <w:rsid w:val="00525653"/>
    <w:rsid w:val="00536E0B"/>
    <w:rsid w:val="005436B7"/>
    <w:rsid w:val="00546E0E"/>
    <w:rsid w:val="0054797B"/>
    <w:rsid w:val="005535E5"/>
    <w:rsid w:val="005549BA"/>
    <w:rsid w:val="00560451"/>
    <w:rsid w:val="00563163"/>
    <w:rsid w:val="00564AD2"/>
    <w:rsid w:val="00565A55"/>
    <w:rsid w:val="0057250B"/>
    <w:rsid w:val="00574294"/>
    <w:rsid w:val="005749C5"/>
    <w:rsid w:val="00574C98"/>
    <w:rsid w:val="0057670A"/>
    <w:rsid w:val="00576CD6"/>
    <w:rsid w:val="005770E5"/>
    <w:rsid w:val="00580A8B"/>
    <w:rsid w:val="00580C3F"/>
    <w:rsid w:val="0058158A"/>
    <w:rsid w:val="00581B25"/>
    <w:rsid w:val="00581D79"/>
    <w:rsid w:val="005844DF"/>
    <w:rsid w:val="0058546B"/>
    <w:rsid w:val="0058568A"/>
    <w:rsid w:val="00586FA5"/>
    <w:rsid w:val="005905B1"/>
    <w:rsid w:val="005914F1"/>
    <w:rsid w:val="0059207A"/>
    <w:rsid w:val="0059241F"/>
    <w:rsid w:val="005926A0"/>
    <w:rsid w:val="005A07FF"/>
    <w:rsid w:val="005A3E47"/>
    <w:rsid w:val="005A589D"/>
    <w:rsid w:val="005B006D"/>
    <w:rsid w:val="005B1946"/>
    <w:rsid w:val="005B23D9"/>
    <w:rsid w:val="005B7302"/>
    <w:rsid w:val="005B7C2A"/>
    <w:rsid w:val="005C0637"/>
    <w:rsid w:val="005C0B41"/>
    <w:rsid w:val="005C1770"/>
    <w:rsid w:val="005C5352"/>
    <w:rsid w:val="005C657D"/>
    <w:rsid w:val="005C72D7"/>
    <w:rsid w:val="005D6618"/>
    <w:rsid w:val="005E0B77"/>
    <w:rsid w:val="005E3B9A"/>
    <w:rsid w:val="005E44AB"/>
    <w:rsid w:val="005F107C"/>
    <w:rsid w:val="005F31D1"/>
    <w:rsid w:val="005F7F04"/>
    <w:rsid w:val="006020CC"/>
    <w:rsid w:val="006031AD"/>
    <w:rsid w:val="0060465E"/>
    <w:rsid w:val="006046A1"/>
    <w:rsid w:val="006067EF"/>
    <w:rsid w:val="0060702F"/>
    <w:rsid w:val="00607C9F"/>
    <w:rsid w:val="006100C5"/>
    <w:rsid w:val="006108B3"/>
    <w:rsid w:val="00613B77"/>
    <w:rsid w:val="00616960"/>
    <w:rsid w:val="00617637"/>
    <w:rsid w:val="00617B85"/>
    <w:rsid w:val="006225B2"/>
    <w:rsid w:val="006233AA"/>
    <w:rsid w:val="006237FB"/>
    <w:rsid w:val="00624153"/>
    <w:rsid w:val="0062636F"/>
    <w:rsid w:val="00630FCD"/>
    <w:rsid w:val="006359DB"/>
    <w:rsid w:val="00635D57"/>
    <w:rsid w:val="006418B2"/>
    <w:rsid w:val="00642404"/>
    <w:rsid w:val="00644B7F"/>
    <w:rsid w:val="00645083"/>
    <w:rsid w:val="00647EFA"/>
    <w:rsid w:val="006510C1"/>
    <w:rsid w:val="0065268C"/>
    <w:rsid w:val="00652973"/>
    <w:rsid w:val="00652FB4"/>
    <w:rsid w:val="00654ACF"/>
    <w:rsid w:val="006558CA"/>
    <w:rsid w:val="00655C1B"/>
    <w:rsid w:val="006606F5"/>
    <w:rsid w:val="0066249A"/>
    <w:rsid w:val="0066657A"/>
    <w:rsid w:val="00670DF9"/>
    <w:rsid w:val="0067103E"/>
    <w:rsid w:val="0067185E"/>
    <w:rsid w:val="00671D5B"/>
    <w:rsid w:val="00672E76"/>
    <w:rsid w:val="00673D78"/>
    <w:rsid w:val="006746E4"/>
    <w:rsid w:val="00676D67"/>
    <w:rsid w:val="006775FA"/>
    <w:rsid w:val="006807DF"/>
    <w:rsid w:val="00682C2F"/>
    <w:rsid w:val="0068544D"/>
    <w:rsid w:val="0068790E"/>
    <w:rsid w:val="00692A70"/>
    <w:rsid w:val="00692D80"/>
    <w:rsid w:val="00693966"/>
    <w:rsid w:val="00695825"/>
    <w:rsid w:val="00695D08"/>
    <w:rsid w:val="006A27AA"/>
    <w:rsid w:val="006A3602"/>
    <w:rsid w:val="006A7A22"/>
    <w:rsid w:val="006A7F67"/>
    <w:rsid w:val="006B13D1"/>
    <w:rsid w:val="006B1F9F"/>
    <w:rsid w:val="006B25B4"/>
    <w:rsid w:val="006B4297"/>
    <w:rsid w:val="006B501D"/>
    <w:rsid w:val="006B7DE3"/>
    <w:rsid w:val="006C0572"/>
    <w:rsid w:val="006C141D"/>
    <w:rsid w:val="006C382D"/>
    <w:rsid w:val="006C5CF3"/>
    <w:rsid w:val="006D1162"/>
    <w:rsid w:val="006D1A2F"/>
    <w:rsid w:val="006D2238"/>
    <w:rsid w:val="006D6CB3"/>
    <w:rsid w:val="006D72D9"/>
    <w:rsid w:val="006E3F15"/>
    <w:rsid w:val="006E7C90"/>
    <w:rsid w:val="006E7F39"/>
    <w:rsid w:val="006F1BDC"/>
    <w:rsid w:val="006F1F96"/>
    <w:rsid w:val="006F3B6B"/>
    <w:rsid w:val="006F4665"/>
    <w:rsid w:val="006F5059"/>
    <w:rsid w:val="00700B01"/>
    <w:rsid w:val="00702EBF"/>
    <w:rsid w:val="007036F0"/>
    <w:rsid w:val="00707160"/>
    <w:rsid w:val="00707D00"/>
    <w:rsid w:val="00713414"/>
    <w:rsid w:val="00713C9E"/>
    <w:rsid w:val="007140E0"/>
    <w:rsid w:val="007152D6"/>
    <w:rsid w:val="00716132"/>
    <w:rsid w:val="00723AF9"/>
    <w:rsid w:val="00727C1D"/>
    <w:rsid w:val="00730350"/>
    <w:rsid w:val="00730C33"/>
    <w:rsid w:val="00731557"/>
    <w:rsid w:val="0073183E"/>
    <w:rsid w:val="00731CC8"/>
    <w:rsid w:val="0073516C"/>
    <w:rsid w:val="00737B70"/>
    <w:rsid w:val="007403F5"/>
    <w:rsid w:val="00740CF4"/>
    <w:rsid w:val="00741D38"/>
    <w:rsid w:val="007426B3"/>
    <w:rsid w:val="00742FB2"/>
    <w:rsid w:val="00743353"/>
    <w:rsid w:val="00746264"/>
    <w:rsid w:val="0075096B"/>
    <w:rsid w:val="00751648"/>
    <w:rsid w:val="0076231A"/>
    <w:rsid w:val="007631C8"/>
    <w:rsid w:val="00764D03"/>
    <w:rsid w:val="00772EE1"/>
    <w:rsid w:val="00774F55"/>
    <w:rsid w:val="00775D8A"/>
    <w:rsid w:val="0077659E"/>
    <w:rsid w:val="00777AD4"/>
    <w:rsid w:val="00780950"/>
    <w:rsid w:val="007809EF"/>
    <w:rsid w:val="00781729"/>
    <w:rsid w:val="00782CFB"/>
    <w:rsid w:val="00783D2C"/>
    <w:rsid w:val="00784F55"/>
    <w:rsid w:val="007850D3"/>
    <w:rsid w:val="00785539"/>
    <w:rsid w:val="00787C3F"/>
    <w:rsid w:val="00791175"/>
    <w:rsid w:val="00791ECB"/>
    <w:rsid w:val="00792920"/>
    <w:rsid w:val="007935F3"/>
    <w:rsid w:val="00793E73"/>
    <w:rsid w:val="00794F29"/>
    <w:rsid w:val="00796651"/>
    <w:rsid w:val="007969F4"/>
    <w:rsid w:val="00797301"/>
    <w:rsid w:val="007A1DAE"/>
    <w:rsid w:val="007A2250"/>
    <w:rsid w:val="007A2BCF"/>
    <w:rsid w:val="007A5759"/>
    <w:rsid w:val="007A7B52"/>
    <w:rsid w:val="007B1938"/>
    <w:rsid w:val="007B4135"/>
    <w:rsid w:val="007B5513"/>
    <w:rsid w:val="007C3A31"/>
    <w:rsid w:val="007C3F73"/>
    <w:rsid w:val="007C41A5"/>
    <w:rsid w:val="007C5808"/>
    <w:rsid w:val="007C5A68"/>
    <w:rsid w:val="007C6B12"/>
    <w:rsid w:val="007C7C1B"/>
    <w:rsid w:val="007D080B"/>
    <w:rsid w:val="007E3339"/>
    <w:rsid w:val="007E3656"/>
    <w:rsid w:val="007E40D7"/>
    <w:rsid w:val="007F2ACC"/>
    <w:rsid w:val="007F3D05"/>
    <w:rsid w:val="007F40B3"/>
    <w:rsid w:val="007F53A3"/>
    <w:rsid w:val="007F5B61"/>
    <w:rsid w:val="00800B2E"/>
    <w:rsid w:val="00800BE5"/>
    <w:rsid w:val="008060E5"/>
    <w:rsid w:val="0081099E"/>
    <w:rsid w:val="0081277D"/>
    <w:rsid w:val="008133A6"/>
    <w:rsid w:val="00816E77"/>
    <w:rsid w:val="00821734"/>
    <w:rsid w:val="00822859"/>
    <w:rsid w:val="008255CD"/>
    <w:rsid w:val="00826ABC"/>
    <w:rsid w:val="00831263"/>
    <w:rsid w:val="00831DB7"/>
    <w:rsid w:val="00832EBF"/>
    <w:rsid w:val="00834655"/>
    <w:rsid w:val="00836107"/>
    <w:rsid w:val="008366CB"/>
    <w:rsid w:val="0083749E"/>
    <w:rsid w:val="00837F3A"/>
    <w:rsid w:val="00840A78"/>
    <w:rsid w:val="00841C7A"/>
    <w:rsid w:val="00841D55"/>
    <w:rsid w:val="00842CC3"/>
    <w:rsid w:val="008431CC"/>
    <w:rsid w:val="008432C0"/>
    <w:rsid w:val="00846A7D"/>
    <w:rsid w:val="00847D88"/>
    <w:rsid w:val="008620F3"/>
    <w:rsid w:val="00864B01"/>
    <w:rsid w:val="00864FBF"/>
    <w:rsid w:val="00866257"/>
    <w:rsid w:val="00867963"/>
    <w:rsid w:val="008702F6"/>
    <w:rsid w:val="008724EF"/>
    <w:rsid w:val="00873B50"/>
    <w:rsid w:val="00874F24"/>
    <w:rsid w:val="00875999"/>
    <w:rsid w:val="00876230"/>
    <w:rsid w:val="00877D5B"/>
    <w:rsid w:val="008800D7"/>
    <w:rsid w:val="00885ED2"/>
    <w:rsid w:val="00886B1E"/>
    <w:rsid w:val="0088795C"/>
    <w:rsid w:val="00890092"/>
    <w:rsid w:val="0089390C"/>
    <w:rsid w:val="008A066E"/>
    <w:rsid w:val="008A0E03"/>
    <w:rsid w:val="008A1A2D"/>
    <w:rsid w:val="008A1A9B"/>
    <w:rsid w:val="008A1D6E"/>
    <w:rsid w:val="008A2CAA"/>
    <w:rsid w:val="008A460D"/>
    <w:rsid w:val="008A4CD5"/>
    <w:rsid w:val="008A58E3"/>
    <w:rsid w:val="008A644A"/>
    <w:rsid w:val="008B05BD"/>
    <w:rsid w:val="008B0C03"/>
    <w:rsid w:val="008B0DD1"/>
    <w:rsid w:val="008B4256"/>
    <w:rsid w:val="008B427B"/>
    <w:rsid w:val="008B4BB5"/>
    <w:rsid w:val="008B6009"/>
    <w:rsid w:val="008B7EA2"/>
    <w:rsid w:val="008C147F"/>
    <w:rsid w:val="008C41F9"/>
    <w:rsid w:val="008D1205"/>
    <w:rsid w:val="008D15AA"/>
    <w:rsid w:val="008D3008"/>
    <w:rsid w:val="008D65D6"/>
    <w:rsid w:val="008D6968"/>
    <w:rsid w:val="008E23DB"/>
    <w:rsid w:val="008E3F07"/>
    <w:rsid w:val="008E5F36"/>
    <w:rsid w:val="008E6147"/>
    <w:rsid w:val="008F07F3"/>
    <w:rsid w:val="008F1275"/>
    <w:rsid w:val="008F12AC"/>
    <w:rsid w:val="008F2757"/>
    <w:rsid w:val="008F2E4F"/>
    <w:rsid w:val="008F3670"/>
    <w:rsid w:val="008F3785"/>
    <w:rsid w:val="008F3D5F"/>
    <w:rsid w:val="008F7436"/>
    <w:rsid w:val="00901765"/>
    <w:rsid w:val="00901D33"/>
    <w:rsid w:val="00902048"/>
    <w:rsid w:val="00902494"/>
    <w:rsid w:val="009055E4"/>
    <w:rsid w:val="00905E39"/>
    <w:rsid w:val="0090606A"/>
    <w:rsid w:val="00906758"/>
    <w:rsid w:val="00906BE6"/>
    <w:rsid w:val="00910C2C"/>
    <w:rsid w:val="00914335"/>
    <w:rsid w:val="0091522B"/>
    <w:rsid w:val="00917E9C"/>
    <w:rsid w:val="00921687"/>
    <w:rsid w:val="00925A8F"/>
    <w:rsid w:val="00925CAA"/>
    <w:rsid w:val="00926474"/>
    <w:rsid w:val="00933989"/>
    <w:rsid w:val="00936182"/>
    <w:rsid w:val="009420FE"/>
    <w:rsid w:val="00942317"/>
    <w:rsid w:val="00943D87"/>
    <w:rsid w:val="00944080"/>
    <w:rsid w:val="00944D5E"/>
    <w:rsid w:val="00945424"/>
    <w:rsid w:val="00946525"/>
    <w:rsid w:val="00951BF2"/>
    <w:rsid w:val="00951C56"/>
    <w:rsid w:val="00951CFD"/>
    <w:rsid w:val="0095412E"/>
    <w:rsid w:val="0095599F"/>
    <w:rsid w:val="009634E0"/>
    <w:rsid w:val="0096424B"/>
    <w:rsid w:val="00966846"/>
    <w:rsid w:val="009678D8"/>
    <w:rsid w:val="00970172"/>
    <w:rsid w:val="00970784"/>
    <w:rsid w:val="00973D04"/>
    <w:rsid w:val="00974111"/>
    <w:rsid w:val="00984740"/>
    <w:rsid w:val="00985297"/>
    <w:rsid w:val="0098619F"/>
    <w:rsid w:val="0099336E"/>
    <w:rsid w:val="00996A56"/>
    <w:rsid w:val="00997CC2"/>
    <w:rsid w:val="009A32B3"/>
    <w:rsid w:val="009A3B53"/>
    <w:rsid w:val="009A6507"/>
    <w:rsid w:val="009A7BD8"/>
    <w:rsid w:val="009B0D86"/>
    <w:rsid w:val="009B32FA"/>
    <w:rsid w:val="009B47CF"/>
    <w:rsid w:val="009B51DF"/>
    <w:rsid w:val="009C013B"/>
    <w:rsid w:val="009C0EAB"/>
    <w:rsid w:val="009C104C"/>
    <w:rsid w:val="009C4C97"/>
    <w:rsid w:val="009C56F8"/>
    <w:rsid w:val="009C5FA6"/>
    <w:rsid w:val="009C73CF"/>
    <w:rsid w:val="009D27B5"/>
    <w:rsid w:val="009D3F0C"/>
    <w:rsid w:val="009D6615"/>
    <w:rsid w:val="009D70DD"/>
    <w:rsid w:val="009E00AE"/>
    <w:rsid w:val="009E09D3"/>
    <w:rsid w:val="009E4BA3"/>
    <w:rsid w:val="009E6E74"/>
    <w:rsid w:val="009F0C85"/>
    <w:rsid w:val="009F4FB6"/>
    <w:rsid w:val="009F5733"/>
    <w:rsid w:val="00A04D1B"/>
    <w:rsid w:val="00A052D3"/>
    <w:rsid w:val="00A059FE"/>
    <w:rsid w:val="00A05D93"/>
    <w:rsid w:val="00A115F0"/>
    <w:rsid w:val="00A11DAD"/>
    <w:rsid w:val="00A14116"/>
    <w:rsid w:val="00A15569"/>
    <w:rsid w:val="00A16E43"/>
    <w:rsid w:val="00A20E74"/>
    <w:rsid w:val="00A25E48"/>
    <w:rsid w:val="00A30750"/>
    <w:rsid w:val="00A30BA1"/>
    <w:rsid w:val="00A37C4C"/>
    <w:rsid w:val="00A37DEE"/>
    <w:rsid w:val="00A406FA"/>
    <w:rsid w:val="00A4103C"/>
    <w:rsid w:val="00A433C3"/>
    <w:rsid w:val="00A445DA"/>
    <w:rsid w:val="00A46815"/>
    <w:rsid w:val="00A47737"/>
    <w:rsid w:val="00A50C65"/>
    <w:rsid w:val="00A54BB7"/>
    <w:rsid w:val="00A5643A"/>
    <w:rsid w:val="00A5723C"/>
    <w:rsid w:val="00A63357"/>
    <w:rsid w:val="00A67AA3"/>
    <w:rsid w:val="00A707A4"/>
    <w:rsid w:val="00A708ED"/>
    <w:rsid w:val="00A7274B"/>
    <w:rsid w:val="00A73FB8"/>
    <w:rsid w:val="00A75642"/>
    <w:rsid w:val="00A763CB"/>
    <w:rsid w:val="00A801D1"/>
    <w:rsid w:val="00A81F69"/>
    <w:rsid w:val="00A82561"/>
    <w:rsid w:val="00A82D0A"/>
    <w:rsid w:val="00A841E3"/>
    <w:rsid w:val="00A8544A"/>
    <w:rsid w:val="00A861A0"/>
    <w:rsid w:val="00A87D69"/>
    <w:rsid w:val="00A92813"/>
    <w:rsid w:val="00A936E2"/>
    <w:rsid w:val="00A95AF9"/>
    <w:rsid w:val="00AA0124"/>
    <w:rsid w:val="00AA32F2"/>
    <w:rsid w:val="00AA3484"/>
    <w:rsid w:val="00AA51AB"/>
    <w:rsid w:val="00AA65E7"/>
    <w:rsid w:val="00AA68E3"/>
    <w:rsid w:val="00AA7E1B"/>
    <w:rsid w:val="00AA7E7B"/>
    <w:rsid w:val="00AB2AEF"/>
    <w:rsid w:val="00AB341B"/>
    <w:rsid w:val="00AB4560"/>
    <w:rsid w:val="00AB6866"/>
    <w:rsid w:val="00AB6D0F"/>
    <w:rsid w:val="00AB7070"/>
    <w:rsid w:val="00AB7858"/>
    <w:rsid w:val="00AC0B0A"/>
    <w:rsid w:val="00AC26AE"/>
    <w:rsid w:val="00AC382B"/>
    <w:rsid w:val="00AC61A6"/>
    <w:rsid w:val="00AD0585"/>
    <w:rsid w:val="00AD0B18"/>
    <w:rsid w:val="00AD0C4B"/>
    <w:rsid w:val="00AD142D"/>
    <w:rsid w:val="00AD1DD2"/>
    <w:rsid w:val="00AD2062"/>
    <w:rsid w:val="00AD2251"/>
    <w:rsid w:val="00AD2F1D"/>
    <w:rsid w:val="00AD3D90"/>
    <w:rsid w:val="00AD4464"/>
    <w:rsid w:val="00AD74CD"/>
    <w:rsid w:val="00AE103B"/>
    <w:rsid w:val="00AE131C"/>
    <w:rsid w:val="00AE1E46"/>
    <w:rsid w:val="00AE65E2"/>
    <w:rsid w:val="00AE692A"/>
    <w:rsid w:val="00AE7CB6"/>
    <w:rsid w:val="00AF0989"/>
    <w:rsid w:val="00AF0BAF"/>
    <w:rsid w:val="00AF4F86"/>
    <w:rsid w:val="00AF60D9"/>
    <w:rsid w:val="00AF641D"/>
    <w:rsid w:val="00AF754A"/>
    <w:rsid w:val="00AF785C"/>
    <w:rsid w:val="00B0071F"/>
    <w:rsid w:val="00B01E41"/>
    <w:rsid w:val="00B02102"/>
    <w:rsid w:val="00B069F6"/>
    <w:rsid w:val="00B07078"/>
    <w:rsid w:val="00B07769"/>
    <w:rsid w:val="00B145D7"/>
    <w:rsid w:val="00B14842"/>
    <w:rsid w:val="00B17816"/>
    <w:rsid w:val="00B22324"/>
    <w:rsid w:val="00B25B08"/>
    <w:rsid w:val="00B26903"/>
    <w:rsid w:val="00B32FE1"/>
    <w:rsid w:val="00B3498C"/>
    <w:rsid w:val="00B3593F"/>
    <w:rsid w:val="00B35989"/>
    <w:rsid w:val="00B3638B"/>
    <w:rsid w:val="00B370C9"/>
    <w:rsid w:val="00B42BAF"/>
    <w:rsid w:val="00B43C48"/>
    <w:rsid w:val="00B43CAD"/>
    <w:rsid w:val="00B456D3"/>
    <w:rsid w:val="00B542EC"/>
    <w:rsid w:val="00B55A49"/>
    <w:rsid w:val="00B570E7"/>
    <w:rsid w:val="00B67F76"/>
    <w:rsid w:val="00B70EFF"/>
    <w:rsid w:val="00B71250"/>
    <w:rsid w:val="00B7224B"/>
    <w:rsid w:val="00B7558C"/>
    <w:rsid w:val="00B76153"/>
    <w:rsid w:val="00B76F4E"/>
    <w:rsid w:val="00B812E7"/>
    <w:rsid w:val="00B87E65"/>
    <w:rsid w:val="00B90D1B"/>
    <w:rsid w:val="00B90D62"/>
    <w:rsid w:val="00B9194F"/>
    <w:rsid w:val="00B91B06"/>
    <w:rsid w:val="00BA003B"/>
    <w:rsid w:val="00BA383E"/>
    <w:rsid w:val="00BA4B69"/>
    <w:rsid w:val="00BA5040"/>
    <w:rsid w:val="00BA66AA"/>
    <w:rsid w:val="00BB05E2"/>
    <w:rsid w:val="00BB176B"/>
    <w:rsid w:val="00BB2D9E"/>
    <w:rsid w:val="00BB3752"/>
    <w:rsid w:val="00BB5241"/>
    <w:rsid w:val="00BC1979"/>
    <w:rsid w:val="00BC19D6"/>
    <w:rsid w:val="00BC2422"/>
    <w:rsid w:val="00BC2676"/>
    <w:rsid w:val="00BC7D35"/>
    <w:rsid w:val="00BD1111"/>
    <w:rsid w:val="00BD26B6"/>
    <w:rsid w:val="00BD3859"/>
    <w:rsid w:val="00BD426E"/>
    <w:rsid w:val="00BD4CA1"/>
    <w:rsid w:val="00BD61D2"/>
    <w:rsid w:val="00BD6566"/>
    <w:rsid w:val="00BD6D6F"/>
    <w:rsid w:val="00BE01C6"/>
    <w:rsid w:val="00BE1866"/>
    <w:rsid w:val="00BE1A5A"/>
    <w:rsid w:val="00BE1B18"/>
    <w:rsid w:val="00BE201C"/>
    <w:rsid w:val="00BE4DAC"/>
    <w:rsid w:val="00BE7C25"/>
    <w:rsid w:val="00BF13F8"/>
    <w:rsid w:val="00BF60F1"/>
    <w:rsid w:val="00BF7B4A"/>
    <w:rsid w:val="00BF7C44"/>
    <w:rsid w:val="00C01C8F"/>
    <w:rsid w:val="00C01CFF"/>
    <w:rsid w:val="00C025B1"/>
    <w:rsid w:val="00C077CA"/>
    <w:rsid w:val="00C10540"/>
    <w:rsid w:val="00C106F4"/>
    <w:rsid w:val="00C1103E"/>
    <w:rsid w:val="00C13EF7"/>
    <w:rsid w:val="00C1445A"/>
    <w:rsid w:val="00C15B78"/>
    <w:rsid w:val="00C21BF2"/>
    <w:rsid w:val="00C2207B"/>
    <w:rsid w:val="00C23CDE"/>
    <w:rsid w:val="00C27AC1"/>
    <w:rsid w:val="00C341C6"/>
    <w:rsid w:val="00C34DD8"/>
    <w:rsid w:val="00C36D1C"/>
    <w:rsid w:val="00C37B26"/>
    <w:rsid w:val="00C42186"/>
    <w:rsid w:val="00C43CA4"/>
    <w:rsid w:val="00C46129"/>
    <w:rsid w:val="00C46DA8"/>
    <w:rsid w:val="00C5158E"/>
    <w:rsid w:val="00C51AA5"/>
    <w:rsid w:val="00C529E8"/>
    <w:rsid w:val="00C553FE"/>
    <w:rsid w:val="00C555ED"/>
    <w:rsid w:val="00C56184"/>
    <w:rsid w:val="00C6013F"/>
    <w:rsid w:val="00C6045E"/>
    <w:rsid w:val="00C63F95"/>
    <w:rsid w:val="00C67D31"/>
    <w:rsid w:val="00C67F0E"/>
    <w:rsid w:val="00C71561"/>
    <w:rsid w:val="00C72173"/>
    <w:rsid w:val="00C776C5"/>
    <w:rsid w:val="00C8124F"/>
    <w:rsid w:val="00C81513"/>
    <w:rsid w:val="00C83EA2"/>
    <w:rsid w:val="00C84637"/>
    <w:rsid w:val="00C8490B"/>
    <w:rsid w:val="00C91EBF"/>
    <w:rsid w:val="00C92AD3"/>
    <w:rsid w:val="00C93D33"/>
    <w:rsid w:val="00C94FB1"/>
    <w:rsid w:val="00C95508"/>
    <w:rsid w:val="00C9627F"/>
    <w:rsid w:val="00CA1009"/>
    <w:rsid w:val="00CA2515"/>
    <w:rsid w:val="00CA30B4"/>
    <w:rsid w:val="00CA40E5"/>
    <w:rsid w:val="00CA4AE4"/>
    <w:rsid w:val="00CA72FC"/>
    <w:rsid w:val="00CA7F52"/>
    <w:rsid w:val="00CB0E50"/>
    <w:rsid w:val="00CB22A6"/>
    <w:rsid w:val="00CB56F5"/>
    <w:rsid w:val="00CB6E04"/>
    <w:rsid w:val="00CC017D"/>
    <w:rsid w:val="00CC0A6F"/>
    <w:rsid w:val="00CC2512"/>
    <w:rsid w:val="00CC38BB"/>
    <w:rsid w:val="00CC52AF"/>
    <w:rsid w:val="00CC547F"/>
    <w:rsid w:val="00CD028F"/>
    <w:rsid w:val="00CD3C8D"/>
    <w:rsid w:val="00CD4368"/>
    <w:rsid w:val="00CD4454"/>
    <w:rsid w:val="00CD5D21"/>
    <w:rsid w:val="00CE65B0"/>
    <w:rsid w:val="00CE6C96"/>
    <w:rsid w:val="00CE7906"/>
    <w:rsid w:val="00CF0E19"/>
    <w:rsid w:val="00CF174C"/>
    <w:rsid w:val="00CF6C67"/>
    <w:rsid w:val="00D00D19"/>
    <w:rsid w:val="00D066C3"/>
    <w:rsid w:val="00D06FEC"/>
    <w:rsid w:val="00D07FFE"/>
    <w:rsid w:val="00D14EBC"/>
    <w:rsid w:val="00D225CB"/>
    <w:rsid w:val="00D232E4"/>
    <w:rsid w:val="00D23C31"/>
    <w:rsid w:val="00D243CA"/>
    <w:rsid w:val="00D2521C"/>
    <w:rsid w:val="00D25D49"/>
    <w:rsid w:val="00D27D9B"/>
    <w:rsid w:val="00D31CCF"/>
    <w:rsid w:val="00D31FBD"/>
    <w:rsid w:val="00D376DB"/>
    <w:rsid w:val="00D40DE9"/>
    <w:rsid w:val="00D41212"/>
    <w:rsid w:val="00D41A42"/>
    <w:rsid w:val="00D4209E"/>
    <w:rsid w:val="00D42B45"/>
    <w:rsid w:val="00D43628"/>
    <w:rsid w:val="00D50764"/>
    <w:rsid w:val="00D52E22"/>
    <w:rsid w:val="00D52FD9"/>
    <w:rsid w:val="00D53BD4"/>
    <w:rsid w:val="00D543DF"/>
    <w:rsid w:val="00D5537E"/>
    <w:rsid w:val="00D556A3"/>
    <w:rsid w:val="00D566BF"/>
    <w:rsid w:val="00D575E5"/>
    <w:rsid w:val="00D64701"/>
    <w:rsid w:val="00D660A1"/>
    <w:rsid w:val="00D66CD0"/>
    <w:rsid w:val="00D7205B"/>
    <w:rsid w:val="00D74137"/>
    <w:rsid w:val="00D74858"/>
    <w:rsid w:val="00D770C8"/>
    <w:rsid w:val="00D817AB"/>
    <w:rsid w:val="00D841C6"/>
    <w:rsid w:val="00D87553"/>
    <w:rsid w:val="00D92274"/>
    <w:rsid w:val="00D94339"/>
    <w:rsid w:val="00D95EDE"/>
    <w:rsid w:val="00D9707F"/>
    <w:rsid w:val="00D9789A"/>
    <w:rsid w:val="00DA1B91"/>
    <w:rsid w:val="00DA1F8E"/>
    <w:rsid w:val="00DA57A4"/>
    <w:rsid w:val="00DB0D07"/>
    <w:rsid w:val="00DB1564"/>
    <w:rsid w:val="00DB340B"/>
    <w:rsid w:val="00DB4E3C"/>
    <w:rsid w:val="00DC3387"/>
    <w:rsid w:val="00DC39E8"/>
    <w:rsid w:val="00DC3A9E"/>
    <w:rsid w:val="00DC72CB"/>
    <w:rsid w:val="00DD3054"/>
    <w:rsid w:val="00DD3A4E"/>
    <w:rsid w:val="00DD51B7"/>
    <w:rsid w:val="00DD5341"/>
    <w:rsid w:val="00DD5653"/>
    <w:rsid w:val="00DD6F4B"/>
    <w:rsid w:val="00DD788A"/>
    <w:rsid w:val="00DE0086"/>
    <w:rsid w:val="00DE2205"/>
    <w:rsid w:val="00DE22F9"/>
    <w:rsid w:val="00DE29FB"/>
    <w:rsid w:val="00DE3522"/>
    <w:rsid w:val="00DE3E8A"/>
    <w:rsid w:val="00DE5652"/>
    <w:rsid w:val="00DE6998"/>
    <w:rsid w:val="00DF0054"/>
    <w:rsid w:val="00DF1A5D"/>
    <w:rsid w:val="00DF3309"/>
    <w:rsid w:val="00DF4363"/>
    <w:rsid w:val="00DF5124"/>
    <w:rsid w:val="00DF7F39"/>
    <w:rsid w:val="00E0156F"/>
    <w:rsid w:val="00E01A92"/>
    <w:rsid w:val="00E01D12"/>
    <w:rsid w:val="00E04B2B"/>
    <w:rsid w:val="00E134E0"/>
    <w:rsid w:val="00E1702C"/>
    <w:rsid w:val="00E22EE8"/>
    <w:rsid w:val="00E23ABB"/>
    <w:rsid w:val="00E23E99"/>
    <w:rsid w:val="00E24490"/>
    <w:rsid w:val="00E25976"/>
    <w:rsid w:val="00E268E9"/>
    <w:rsid w:val="00E30640"/>
    <w:rsid w:val="00E3093A"/>
    <w:rsid w:val="00E322CC"/>
    <w:rsid w:val="00E32668"/>
    <w:rsid w:val="00E33078"/>
    <w:rsid w:val="00E335AB"/>
    <w:rsid w:val="00E33AB6"/>
    <w:rsid w:val="00E36677"/>
    <w:rsid w:val="00E3719B"/>
    <w:rsid w:val="00E4012C"/>
    <w:rsid w:val="00E4183D"/>
    <w:rsid w:val="00E42A8F"/>
    <w:rsid w:val="00E44040"/>
    <w:rsid w:val="00E45110"/>
    <w:rsid w:val="00E45D0F"/>
    <w:rsid w:val="00E535CF"/>
    <w:rsid w:val="00E56523"/>
    <w:rsid w:val="00E572D0"/>
    <w:rsid w:val="00E57CF3"/>
    <w:rsid w:val="00E63FCF"/>
    <w:rsid w:val="00E67778"/>
    <w:rsid w:val="00E70EED"/>
    <w:rsid w:val="00E71FD2"/>
    <w:rsid w:val="00E741D5"/>
    <w:rsid w:val="00E74474"/>
    <w:rsid w:val="00E803B5"/>
    <w:rsid w:val="00E83536"/>
    <w:rsid w:val="00E87A6A"/>
    <w:rsid w:val="00E906E8"/>
    <w:rsid w:val="00E9196B"/>
    <w:rsid w:val="00E91CA5"/>
    <w:rsid w:val="00E91D9E"/>
    <w:rsid w:val="00E9232A"/>
    <w:rsid w:val="00EA041B"/>
    <w:rsid w:val="00EA0958"/>
    <w:rsid w:val="00EA4D1B"/>
    <w:rsid w:val="00EA65A5"/>
    <w:rsid w:val="00EB1D11"/>
    <w:rsid w:val="00EB5764"/>
    <w:rsid w:val="00EC5F7B"/>
    <w:rsid w:val="00ED02E7"/>
    <w:rsid w:val="00ED3666"/>
    <w:rsid w:val="00ED3D05"/>
    <w:rsid w:val="00ED7149"/>
    <w:rsid w:val="00ED7FAC"/>
    <w:rsid w:val="00EE0B26"/>
    <w:rsid w:val="00EE2542"/>
    <w:rsid w:val="00EE4CB1"/>
    <w:rsid w:val="00EE6057"/>
    <w:rsid w:val="00EE64AE"/>
    <w:rsid w:val="00EE666C"/>
    <w:rsid w:val="00EF078F"/>
    <w:rsid w:val="00EF0C3F"/>
    <w:rsid w:val="00EF2CB7"/>
    <w:rsid w:val="00EF6868"/>
    <w:rsid w:val="00EF69AE"/>
    <w:rsid w:val="00F0112F"/>
    <w:rsid w:val="00F05467"/>
    <w:rsid w:val="00F06445"/>
    <w:rsid w:val="00F07114"/>
    <w:rsid w:val="00F13959"/>
    <w:rsid w:val="00F206A7"/>
    <w:rsid w:val="00F25F2B"/>
    <w:rsid w:val="00F26FC1"/>
    <w:rsid w:val="00F30846"/>
    <w:rsid w:val="00F3105E"/>
    <w:rsid w:val="00F31485"/>
    <w:rsid w:val="00F32451"/>
    <w:rsid w:val="00F32ADD"/>
    <w:rsid w:val="00F34422"/>
    <w:rsid w:val="00F4073E"/>
    <w:rsid w:val="00F410D5"/>
    <w:rsid w:val="00F41591"/>
    <w:rsid w:val="00F41A63"/>
    <w:rsid w:val="00F45BEB"/>
    <w:rsid w:val="00F46CED"/>
    <w:rsid w:val="00F54523"/>
    <w:rsid w:val="00F555FA"/>
    <w:rsid w:val="00F57076"/>
    <w:rsid w:val="00F618C0"/>
    <w:rsid w:val="00F63A3E"/>
    <w:rsid w:val="00F65EAB"/>
    <w:rsid w:val="00F66EB7"/>
    <w:rsid w:val="00F7037F"/>
    <w:rsid w:val="00F70C1D"/>
    <w:rsid w:val="00F7178E"/>
    <w:rsid w:val="00F7244E"/>
    <w:rsid w:val="00F72746"/>
    <w:rsid w:val="00F7797A"/>
    <w:rsid w:val="00F80314"/>
    <w:rsid w:val="00F81D39"/>
    <w:rsid w:val="00F83067"/>
    <w:rsid w:val="00F831AB"/>
    <w:rsid w:val="00F83A56"/>
    <w:rsid w:val="00F84544"/>
    <w:rsid w:val="00F846A9"/>
    <w:rsid w:val="00F86B2A"/>
    <w:rsid w:val="00F87F8C"/>
    <w:rsid w:val="00F954FA"/>
    <w:rsid w:val="00F95B1F"/>
    <w:rsid w:val="00F9670D"/>
    <w:rsid w:val="00F9707A"/>
    <w:rsid w:val="00FA05B2"/>
    <w:rsid w:val="00FA0B8D"/>
    <w:rsid w:val="00FA0CFA"/>
    <w:rsid w:val="00FA0F16"/>
    <w:rsid w:val="00FA3742"/>
    <w:rsid w:val="00FA68A7"/>
    <w:rsid w:val="00FA79E8"/>
    <w:rsid w:val="00FA7AB5"/>
    <w:rsid w:val="00FB1297"/>
    <w:rsid w:val="00FB26B4"/>
    <w:rsid w:val="00FB2B07"/>
    <w:rsid w:val="00FB4D6B"/>
    <w:rsid w:val="00FC0C51"/>
    <w:rsid w:val="00FC5E84"/>
    <w:rsid w:val="00FD1EE6"/>
    <w:rsid w:val="00FD4A07"/>
    <w:rsid w:val="00FD4A5F"/>
    <w:rsid w:val="00FD4ABC"/>
    <w:rsid w:val="00FD5F06"/>
    <w:rsid w:val="00FD6E5D"/>
    <w:rsid w:val="00FE1B88"/>
    <w:rsid w:val="00FE3CF2"/>
    <w:rsid w:val="00FE483C"/>
    <w:rsid w:val="00FF10D8"/>
    <w:rsid w:val="00FF347E"/>
    <w:rsid w:val="00FF56F7"/>
    <w:rsid w:val="00FF69A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B7F204"/>
  <w15:docId w15:val="{0A749A20-37FE-4E09-A876-E118B6B0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semiHidden="1" w:uiPriority="0"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582"/>
    <w:pPr>
      <w:spacing w:after="240" w:line="288" w:lineRule="auto"/>
    </w:pPr>
    <w:rPr>
      <w:sz w:val="24"/>
      <w:szCs w:val="24"/>
    </w:rPr>
  </w:style>
  <w:style w:type="paragraph" w:styleId="Heading1">
    <w:name w:val="heading 1"/>
    <w:basedOn w:val="Normal"/>
    <w:next w:val="Normal"/>
    <w:link w:val="Heading1Char"/>
    <w:uiPriority w:val="99"/>
    <w:qFormat/>
    <w:rsid w:val="00DF5124"/>
    <w:pPr>
      <w:pageBreakBefore/>
      <w:spacing w:line="240" w:lineRule="auto"/>
      <w:outlineLvl w:val="0"/>
    </w:pPr>
    <w:rPr>
      <w:b/>
      <w:color w:val="104F75"/>
      <w:sz w:val="36"/>
      <w:lang w:eastAsia="en-US"/>
    </w:rPr>
  </w:style>
  <w:style w:type="paragraph" w:styleId="Heading2">
    <w:name w:val="heading 2"/>
    <w:basedOn w:val="Normal"/>
    <w:next w:val="Normal"/>
    <w:link w:val="Heading2Char"/>
    <w:uiPriority w:val="99"/>
    <w:qFormat/>
    <w:rsid w:val="00966846"/>
    <w:pPr>
      <w:keepNext/>
      <w:spacing w:before="480" w:line="240" w:lineRule="auto"/>
      <w:outlineLvl w:val="1"/>
    </w:pPr>
    <w:rPr>
      <w:b/>
      <w:color w:val="104F75"/>
      <w:szCs w:val="32"/>
    </w:rPr>
  </w:style>
  <w:style w:type="paragraph" w:styleId="Heading3">
    <w:name w:val="heading 3"/>
    <w:basedOn w:val="Normal"/>
    <w:next w:val="Normal"/>
    <w:link w:val="Heading3Char"/>
    <w:uiPriority w:val="99"/>
    <w:qFormat/>
    <w:rsid w:val="00ED02E7"/>
    <w:pPr>
      <w:keepNext/>
      <w:spacing w:before="360" w:line="240" w:lineRule="auto"/>
      <w:outlineLvl w:val="2"/>
    </w:pPr>
    <w:rPr>
      <w:b/>
      <w:bCs/>
      <w:color w:val="104F75"/>
      <w:sz w:val="28"/>
      <w:szCs w:val="28"/>
    </w:rPr>
  </w:style>
  <w:style w:type="paragraph" w:styleId="Heading4">
    <w:name w:val="heading 4"/>
    <w:basedOn w:val="Heading2"/>
    <w:next w:val="Normal"/>
    <w:link w:val="Heading4Char"/>
    <w:uiPriority w:val="99"/>
    <w:qFormat/>
    <w:rsid w:val="00ED02E7"/>
    <w:pPr>
      <w:spacing w:before="240" w:after="120"/>
      <w:outlineLvl w:val="3"/>
    </w:pPr>
    <w:rPr>
      <w:bCs/>
      <w:color w:val="000000"/>
      <w:szCs w:val="28"/>
    </w:rPr>
  </w:style>
  <w:style w:type="paragraph" w:styleId="Heading5">
    <w:name w:val="heading 5"/>
    <w:basedOn w:val="Normal"/>
    <w:next w:val="Normal"/>
    <w:link w:val="Heading5Char"/>
    <w:uiPriority w:val="99"/>
    <w:qFormat/>
    <w:rsid w:val="008B427B"/>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8B427B"/>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8B427B"/>
    <w:pPr>
      <w:numPr>
        <w:ilvl w:val="6"/>
        <w:numId w:val="5"/>
      </w:numPr>
      <w:spacing w:before="240" w:after="60"/>
      <w:outlineLvl w:val="6"/>
    </w:pPr>
    <w:rPr>
      <w:rFonts w:ascii="Calibri" w:hAnsi="Calibri"/>
    </w:rPr>
  </w:style>
  <w:style w:type="paragraph" w:styleId="Heading8">
    <w:name w:val="heading 8"/>
    <w:basedOn w:val="Normal"/>
    <w:next w:val="Normal"/>
    <w:link w:val="Heading8Char"/>
    <w:uiPriority w:val="99"/>
    <w:qFormat/>
    <w:rsid w:val="008B427B"/>
    <w:pPr>
      <w:numPr>
        <w:ilvl w:val="7"/>
        <w:numId w:val="5"/>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8B427B"/>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1B88"/>
    <w:rPr>
      <w:rFonts w:ascii="Arial" w:hAnsi="Arial"/>
      <w:b/>
      <w:color w:val="104F75"/>
      <w:sz w:val="24"/>
      <w:lang w:eastAsia="en-US"/>
    </w:rPr>
  </w:style>
  <w:style w:type="character" w:customStyle="1" w:styleId="Heading2Char">
    <w:name w:val="Heading 2 Char"/>
    <w:basedOn w:val="DefaultParagraphFont"/>
    <w:link w:val="Heading2"/>
    <w:uiPriority w:val="99"/>
    <w:locked/>
    <w:rsid w:val="00966846"/>
    <w:rPr>
      <w:b/>
      <w:color w:val="104F75"/>
      <w:sz w:val="32"/>
    </w:rPr>
  </w:style>
  <w:style w:type="character" w:customStyle="1" w:styleId="Heading3Char">
    <w:name w:val="Heading 3 Char"/>
    <w:basedOn w:val="DefaultParagraphFont"/>
    <w:link w:val="Heading3"/>
    <w:uiPriority w:val="99"/>
    <w:locked/>
    <w:rsid w:val="00ED02E7"/>
    <w:rPr>
      <w:b/>
      <w:color w:val="104F75"/>
      <w:sz w:val="28"/>
    </w:rPr>
  </w:style>
  <w:style w:type="character" w:customStyle="1" w:styleId="Heading4Char">
    <w:name w:val="Heading 4 Char"/>
    <w:basedOn w:val="DefaultParagraphFont"/>
    <w:link w:val="Heading4"/>
    <w:uiPriority w:val="99"/>
    <w:locked/>
    <w:rsid w:val="00ED02E7"/>
    <w:rPr>
      <w:b/>
      <w:color w:val="000000"/>
      <w:sz w:val="28"/>
    </w:rPr>
  </w:style>
  <w:style w:type="character" w:customStyle="1" w:styleId="Heading5Char">
    <w:name w:val="Heading 5 Char"/>
    <w:basedOn w:val="DefaultParagraphFont"/>
    <w:link w:val="Heading5"/>
    <w:uiPriority w:val="99"/>
    <w:locked/>
    <w:rsid w:val="008B427B"/>
    <w:rPr>
      <w:rFonts w:ascii="Calibri" w:hAnsi="Calibri"/>
      <w:b/>
      <w:bCs/>
      <w:i/>
      <w:iCs/>
      <w:sz w:val="26"/>
      <w:szCs w:val="26"/>
    </w:rPr>
  </w:style>
  <w:style w:type="character" w:customStyle="1" w:styleId="Heading6Char">
    <w:name w:val="Heading 6 Char"/>
    <w:basedOn w:val="DefaultParagraphFont"/>
    <w:link w:val="Heading6"/>
    <w:uiPriority w:val="99"/>
    <w:locked/>
    <w:rsid w:val="008B427B"/>
    <w:rPr>
      <w:rFonts w:ascii="Calibri" w:hAnsi="Calibri"/>
      <w:b/>
      <w:bCs/>
    </w:rPr>
  </w:style>
  <w:style w:type="character" w:customStyle="1" w:styleId="Heading7Char">
    <w:name w:val="Heading 7 Char"/>
    <w:basedOn w:val="DefaultParagraphFont"/>
    <w:link w:val="Heading7"/>
    <w:uiPriority w:val="99"/>
    <w:locked/>
    <w:rsid w:val="008B427B"/>
    <w:rPr>
      <w:rFonts w:ascii="Calibri" w:hAnsi="Calibri"/>
      <w:sz w:val="24"/>
      <w:szCs w:val="24"/>
    </w:rPr>
  </w:style>
  <w:style w:type="character" w:customStyle="1" w:styleId="Heading8Char">
    <w:name w:val="Heading 8 Char"/>
    <w:basedOn w:val="DefaultParagraphFont"/>
    <w:link w:val="Heading8"/>
    <w:uiPriority w:val="99"/>
    <w:locked/>
    <w:rsid w:val="008B427B"/>
    <w:rPr>
      <w:rFonts w:ascii="Calibri" w:hAnsi="Calibri"/>
      <w:i/>
      <w:iCs/>
      <w:sz w:val="24"/>
      <w:szCs w:val="24"/>
    </w:rPr>
  </w:style>
  <w:style w:type="character" w:customStyle="1" w:styleId="Heading9Char">
    <w:name w:val="Heading 9 Char"/>
    <w:basedOn w:val="DefaultParagraphFont"/>
    <w:link w:val="Heading9"/>
    <w:uiPriority w:val="99"/>
    <w:locked/>
    <w:rsid w:val="008B427B"/>
    <w:rPr>
      <w:rFonts w:ascii="Cambria" w:hAnsi="Cambria"/>
    </w:rPr>
  </w:style>
  <w:style w:type="character" w:styleId="Hyperlink">
    <w:name w:val="Hyperlink"/>
    <w:basedOn w:val="DefaultParagraphFont"/>
    <w:uiPriority w:val="99"/>
    <w:rsid w:val="00FE1B88"/>
    <w:rPr>
      <w:rFonts w:ascii="Arial" w:hAnsi="Arial" w:cs="Times New Roman"/>
      <w:color w:val="0000FF"/>
      <w:sz w:val="24"/>
      <w:u w:val="single"/>
    </w:rPr>
  </w:style>
  <w:style w:type="paragraph" w:customStyle="1" w:styleId="default">
    <w:name w:val="default"/>
    <w:basedOn w:val="Normal"/>
    <w:uiPriority w:val="99"/>
    <w:rsid w:val="000E3350"/>
    <w:pPr>
      <w:autoSpaceDE w:val="0"/>
      <w:autoSpaceDN w:val="0"/>
    </w:pPr>
    <w:rPr>
      <w:rFonts w:cs="Arial"/>
      <w:color w:val="000000"/>
    </w:rPr>
  </w:style>
  <w:style w:type="paragraph" w:styleId="TOCHeading">
    <w:name w:val="TOC Heading"/>
    <w:basedOn w:val="Normal"/>
    <w:next w:val="Normal"/>
    <w:uiPriority w:val="99"/>
    <w:qFormat/>
    <w:rsid w:val="00780950"/>
    <w:pPr>
      <w:pageBreakBefore/>
    </w:pPr>
    <w:rPr>
      <w:rFonts w:cs="Arial"/>
      <w:b/>
      <w:color w:val="365F91"/>
      <w:sz w:val="36"/>
      <w:szCs w:val="28"/>
      <w:lang w:eastAsia="ja-JP"/>
    </w:rPr>
  </w:style>
  <w:style w:type="paragraph" w:customStyle="1" w:styleId="TitleText">
    <w:name w:val="TitleText"/>
    <w:basedOn w:val="Normal"/>
    <w:link w:val="TitleTextChar"/>
    <w:qFormat/>
    <w:rsid w:val="007F3D05"/>
    <w:pPr>
      <w:spacing w:before="3240" w:line="240" w:lineRule="auto"/>
    </w:pPr>
    <w:rPr>
      <w:b/>
      <w:color w:val="104F75"/>
      <w:sz w:val="96"/>
      <w:szCs w:val="120"/>
    </w:rPr>
  </w:style>
  <w:style w:type="character" w:customStyle="1" w:styleId="TitleTextChar">
    <w:name w:val="TitleText Char"/>
    <w:link w:val="TitleText"/>
    <w:locked/>
    <w:rsid w:val="007F3D05"/>
    <w:rPr>
      <w:b/>
      <w:color w:val="104F75"/>
      <w:sz w:val="120"/>
    </w:rPr>
  </w:style>
  <w:style w:type="paragraph" w:customStyle="1" w:styleId="SubtitleText">
    <w:name w:val="SubtitleText"/>
    <w:basedOn w:val="Normal"/>
    <w:link w:val="SubtitleTextChar"/>
    <w:uiPriority w:val="99"/>
    <w:rsid w:val="007F3D05"/>
    <w:pPr>
      <w:spacing w:after="960" w:line="240" w:lineRule="auto"/>
    </w:pPr>
    <w:rPr>
      <w:b/>
      <w:bCs/>
      <w:color w:val="104F75"/>
      <w:sz w:val="48"/>
      <w:szCs w:val="48"/>
    </w:rPr>
  </w:style>
  <w:style w:type="character" w:customStyle="1" w:styleId="SubtitleTextChar">
    <w:name w:val="SubtitleText Char"/>
    <w:link w:val="SubtitleText"/>
    <w:uiPriority w:val="99"/>
    <w:locked/>
    <w:rsid w:val="007F3D05"/>
    <w:rPr>
      <w:b/>
      <w:color w:val="104F75"/>
      <w:sz w:val="48"/>
    </w:rPr>
  </w:style>
  <w:style w:type="paragraph" w:styleId="ListParagraph">
    <w:name w:val="List Paragraph"/>
    <w:basedOn w:val="Normal"/>
    <w:link w:val="ListParagraphChar"/>
    <w:uiPriority w:val="34"/>
    <w:qFormat/>
    <w:rsid w:val="00816E77"/>
    <w:pPr>
      <w:numPr>
        <w:ilvl w:val="1"/>
        <w:numId w:val="1"/>
      </w:numPr>
      <w:spacing w:after="120"/>
    </w:pPr>
    <w:rPr>
      <w:rFonts w:cs="Arial"/>
      <w:lang w:eastAsia="en-US"/>
    </w:rPr>
  </w:style>
  <w:style w:type="paragraph" w:styleId="TOC1">
    <w:name w:val="toc 1"/>
    <w:basedOn w:val="Normal"/>
    <w:next w:val="Normal"/>
    <w:autoRedefine/>
    <w:uiPriority w:val="39"/>
    <w:rsid w:val="001540AB"/>
    <w:pPr>
      <w:tabs>
        <w:tab w:val="right" w:pos="9498"/>
      </w:tabs>
    </w:pPr>
    <w:rPr>
      <w:noProof/>
    </w:rPr>
  </w:style>
  <w:style w:type="paragraph" w:styleId="TOC2">
    <w:name w:val="toc 2"/>
    <w:basedOn w:val="Normal"/>
    <w:next w:val="Normal"/>
    <w:autoRedefine/>
    <w:uiPriority w:val="39"/>
    <w:rsid w:val="001540AB"/>
    <w:pPr>
      <w:tabs>
        <w:tab w:val="right" w:pos="9498"/>
      </w:tabs>
      <w:ind w:left="238"/>
    </w:pPr>
    <w:rPr>
      <w:noProof/>
    </w:rPr>
  </w:style>
  <w:style w:type="paragraph" w:styleId="TOC3">
    <w:name w:val="toc 3"/>
    <w:basedOn w:val="Normal"/>
    <w:next w:val="Normal"/>
    <w:autoRedefine/>
    <w:uiPriority w:val="99"/>
    <w:rsid w:val="001540AB"/>
    <w:pPr>
      <w:tabs>
        <w:tab w:val="right" w:pos="9498"/>
      </w:tabs>
      <w:ind w:left="480"/>
    </w:pPr>
    <w:rPr>
      <w:noProof/>
    </w:rPr>
  </w:style>
  <w:style w:type="paragraph" w:customStyle="1" w:styleId="CopyrightBox">
    <w:name w:val="CopyrightBox"/>
    <w:basedOn w:val="Normal"/>
    <w:link w:val="CopyrightBoxChar"/>
    <w:uiPriority w:val="99"/>
    <w:rsid w:val="00F3105E"/>
  </w:style>
  <w:style w:type="character" w:customStyle="1" w:styleId="CopyrightBoxChar">
    <w:name w:val="CopyrightBox Char"/>
    <w:link w:val="CopyrightBox"/>
    <w:uiPriority w:val="99"/>
    <w:locked/>
    <w:rsid w:val="00F3105E"/>
    <w:rPr>
      <w:sz w:val="24"/>
    </w:rPr>
  </w:style>
  <w:style w:type="paragraph" w:customStyle="1" w:styleId="CopyrightSpacing">
    <w:name w:val="CopyrightSpacing"/>
    <w:basedOn w:val="Normal"/>
    <w:link w:val="CopyrightSpacingChar"/>
    <w:uiPriority w:val="99"/>
    <w:semiHidden/>
    <w:rsid w:val="005C0B41"/>
    <w:pPr>
      <w:spacing w:before="7400"/>
    </w:pPr>
    <w:rPr>
      <w:lang w:eastAsia="en-US"/>
    </w:rPr>
  </w:style>
  <w:style w:type="character" w:customStyle="1" w:styleId="CopyrightSpacingChar">
    <w:name w:val="CopyrightSpacing Char"/>
    <w:link w:val="CopyrightSpacing"/>
    <w:uiPriority w:val="99"/>
    <w:semiHidden/>
    <w:locked/>
    <w:rsid w:val="00FE1B88"/>
    <w:rPr>
      <w:rFonts w:ascii="Arial" w:hAnsi="Arial"/>
      <w:sz w:val="24"/>
      <w:lang w:eastAsia="en-US"/>
    </w:rPr>
  </w:style>
  <w:style w:type="paragraph" w:customStyle="1" w:styleId="TitleSpacing">
    <w:name w:val="TitleSpacing"/>
    <w:basedOn w:val="Normal"/>
    <w:link w:val="TitleSpacingChar"/>
    <w:uiPriority w:val="99"/>
    <w:semiHidden/>
    <w:rsid w:val="005C0B41"/>
    <w:pPr>
      <w:spacing w:before="3600"/>
    </w:pPr>
    <w:rPr>
      <w:lang w:eastAsia="en-US"/>
    </w:rPr>
  </w:style>
  <w:style w:type="character" w:customStyle="1" w:styleId="TitleSpacingChar">
    <w:name w:val="TitleSpacing Char"/>
    <w:link w:val="TitleSpacing"/>
    <w:uiPriority w:val="99"/>
    <w:semiHidden/>
    <w:locked/>
    <w:rsid w:val="00FE1B88"/>
    <w:rPr>
      <w:rFonts w:ascii="Arial" w:hAnsi="Arial"/>
      <w:sz w:val="24"/>
      <w:lang w:eastAsia="en-US"/>
    </w:rPr>
  </w:style>
  <w:style w:type="paragraph" w:styleId="Title">
    <w:name w:val="Title"/>
    <w:basedOn w:val="Normal"/>
    <w:next w:val="Normal"/>
    <w:link w:val="TitleChar"/>
    <w:uiPriority w:val="99"/>
    <w:qFormat/>
    <w:rsid w:val="00780950"/>
    <w:pPr>
      <w:spacing w:before="240" w:line="240" w:lineRule="auto"/>
    </w:pPr>
    <w:rPr>
      <w:b/>
      <w:color w:val="104F75"/>
      <w:sz w:val="96"/>
      <w:szCs w:val="120"/>
      <w:lang w:eastAsia="en-US"/>
    </w:rPr>
  </w:style>
  <w:style w:type="character" w:customStyle="1" w:styleId="TitleChar">
    <w:name w:val="Title Char"/>
    <w:basedOn w:val="DefaultParagraphFont"/>
    <w:link w:val="Title"/>
    <w:uiPriority w:val="99"/>
    <w:semiHidden/>
    <w:locked/>
    <w:rsid w:val="00FE1B88"/>
    <w:rPr>
      <w:rFonts w:ascii="Arial" w:hAnsi="Arial"/>
      <w:b/>
      <w:color w:val="104F75"/>
      <w:sz w:val="120"/>
      <w:lang w:eastAsia="en-US"/>
    </w:rPr>
  </w:style>
  <w:style w:type="paragraph" w:styleId="TableofFigures">
    <w:name w:val="table of figures"/>
    <w:basedOn w:val="Normal"/>
    <w:next w:val="Normal"/>
    <w:uiPriority w:val="99"/>
    <w:rsid w:val="00780950"/>
  </w:style>
  <w:style w:type="paragraph" w:customStyle="1" w:styleId="TableOfContentsHeader">
    <w:name w:val="TableOfContentsHeader"/>
    <w:basedOn w:val="Normal"/>
    <w:link w:val="TableOfContentsHeaderChar"/>
    <w:uiPriority w:val="99"/>
    <w:rsid w:val="00780950"/>
    <w:rPr>
      <w:lang w:eastAsia="en-US"/>
    </w:rPr>
  </w:style>
  <w:style w:type="character" w:customStyle="1" w:styleId="TableOfContentsHeaderChar">
    <w:name w:val="TableOfContentsHeader Char"/>
    <w:link w:val="TableOfContentsHeader"/>
    <w:uiPriority w:val="99"/>
    <w:locked/>
    <w:rsid w:val="00FE1B88"/>
    <w:rPr>
      <w:rFonts w:ascii="Arial" w:hAnsi="Arial"/>
      <w:sz w:val="24"/>
      <w:lang w:eastAsia="en-US"/>
    </w:rPr>
  </w:style>
  <w:style w:type="paragraph" w:customStyle="1" w:styleId="ListBullet1">
    <w:name w:val="List Bullet 1"/>
    <w:basedOn w:val="ListBullet"/>
    <w:uiPriority w:val="99"/>
    <w:rsid w:val="00ED02E7"/>
    <w:pPr>
      <w:tabs>
        <w:tab w:val="clear" w:pos="360"/>
        <w:tab w:val="left" w:pos="709"/>
      </w:tabs>
      <w:spacing w:after="120"/>
      <w:ind w:left="709" w:hanging="357"/>
      <w:contextualSpacing w:val="0"/>
    </w:pPr>
  </w:style>
  <w:style w:type="paragraph" w:styleId="ListBullet2">
    <w:name w:val="List Bullet 2"/>
    <w:basedOn w:val="Normal"/>
    <w:uiPriority w:val="99"/>
    <w:rsid w:val="00ED02E7"/>
    <w:pPr>
      <w:numPr>
        <w:numId w:val="2"/>
      </w:numPr>
      <w:tabs>
        <w:tab w:val="left" w:pos="1134"/>
      </w:tabs>
      <w:spacing w:after="120"/>
      <w:ind w:hanging="357"/>
    </w:pPr>
  </w:style>
  <w:style w:type="paragraph" w:styleId="ListBullet3">
    <w:name w:val="List Bullet 3"/>
    <w:basedOn w:val="ListBullet"/>
    <w:link w:val="ListBullet3Char"/>
    <w:uiPriority w:val="99"/>
    <w:rsid w:val="00ED02E7"/>
    <w:pPr>
      <w:numPr>
        <w:numId w:val="3"/>
      </w:numPr>
      <w:tabs>
        <w:tab w:val="left" w:pos="1560"/>
      </w:tabs>
      <w:spacing w:after="60"/>
      <w:ind w:left="1559" w:hanging="425"/>
      <w:contextualSpacing w:val="0"/>
    </w:pPr>
  </w:style>
  <w:style w:type="paragraph" w:styleId="ListBullet4">
    <w:name w:val="List Bullet 4"/>
    <w:basedOn w:val="ListBullet"/>
    <w:link w:val="ListBullet4Char"/>
    <w:uiPriority w:val="99"/>
    <w:rsid w:val="00DD3A4E"/>
    <w:pPr>
      <w:numPr>
        <w:numId w:val="4"/>
      </w:numPr>
      <w:tabs>
        <w:tab w:val="left" w:pos="1985"/>
      </w:tabs>
      <w:spacing w:after="120"/>
      <w:ind w:left="1985" w:hanging="425"/>
    </w:pPr>
  </w:style>
  <w:style w:type="paragraph" w:styleId="Caption">
    <w:name w:val="caption"/>
    <w:basedOn w:val="Normal"/>
    <w:next w:val="Normal"/>
    <w:uiPriority w:val="99"/>
    <w:qFormat/>
    <w:rsid w:val="00E0156F"/>
    <w:pPr>
      <w:spacing w:before="120"/>
      <w:jc w:val="center"/>
    </w:pPr>
    <w:rPr>
      <w:b/>
      <w:bCs/>
      <w:color w:val="000000"/>
      <w:sz w:val="20"/>
      <w:szCs w:val="20"/>
    </w:rPr>
  </w:style>
  <w:style w:type="paragraph" w:styleId="ListBullet">
    <w:name w:val="List Bullet"/>
    <w:basedOn w:val="Normal"/>
    <w:uiPriority w:val="99"/>
    <w:rsid w:val="00876230"/>
    <w:pPr>
      <w:tabs>
        <w:tab w:val="num" w:pos="360"/>
      </w:tabs>
      <w:ind w:left="360" w:hanging="360"/>
      <w:contextualSpacing/>
    </w:pPr>
  </w:style>
  <w:style w:type="paragraph" w:customStyle="1" w:styleId="Lvl1bullet">
    <w:name w:val="Lvl 1 bullet"/>
    <w:basedOn w:val="ListParagraph"/>
    <w:autoRedefine/>
    <w:uiPriority w:val="99"/>
    <w:rsid w:val="00B17816"/>
    <w:pPr>
      <w:keepNext/>
      <w:keepLines/>
      <w:widowControl w:val="0"/>
      <w:numPr>
        <w:ilvl w:val="0"/>
        <w:numId w:val="0"/>
      </w:numPr>
      <w:overflowPunct w:val="0"/>
      <w:autoSpaceDE w:val="0"/>
      <w:autoSpaceDN w:val="0"/>
      <w:adjustRightInd w:val="0"/>
      <w:spacing w:before="240" w:after="0" w:line="240" w:lineRule="auto"/>
      <w:textAlignment w:val="baseline"/>
      <w:outlineLvl w:val="1"/>
    </w:pPr>
    <w:rPr>
      <w:sz w:val="23"/>
      <w:szCs w:val="23"/>
    </w:rPr>
  </w:style>
  <w:style w:type="character" w:customStyle="1" w:styleId="ListBullet3Char">
    <w:name w:val="List Bullet 3 Char"/>
    <w:link w:val="ListBullet3"/>
    <w:uiPriority w:val="99"/>
    <w:locked/>
    <w:rsid w:val="00ED02E7"/>
    <w:rPr>
      <w:sz w:val="24"/>
      <w:szCs w:val="24"/>
    </w:rPr>
  </w:style>
  <w:style w:type="paragraph" w:customStyle="1" w:styleId="Lvl2bullet">
    <w:name w:val="Lvl 2 bullet"/>
    <w:autoRedefine/>
    <w:uiPriority w:val="99"/>
    <w:rsid w:val="00DF5124"/>
    <w:pPr>
      <w:numPr>
        <w:ilvl w:val="1"/>
        <w:numId w:val="6"/>
      </w:numPr>
      <w:spacing w:after="120" w:line="288" w:lineRule="auto"/>
    </w:pPr>
    <w:rPr>
      <w:rFonts w:cs="Arial"/>
      <w:sz w:val="24"/>
      <w:szCs w:val="24"/>
      <w:lang w:eastAsia="en-US"/>
    </w:rPr>
  </w:style>
  <w:style w:type="paragraph" w:customStyle="1" w:styleId="Lvl4bullet">
    <w:name w:val="Lvl 4 bullet"/>
    <w:basedOn w:val="Normal"/>
    <w:autoRedefine/>
    <w:uiPriority w:val="99"/>
    <w:rsid w:val="00713414"/>
    <w:pPr>
      <w:numPr>
        <w:ilvl w:val="3"/>
        <w:numId w:val="6"/>
      </w:numPr>
      <w:tabs>
        <w:tab w:val="clear" w:pos="3240"/>
        <w:tab w:val="num" w:pos="2977"/>
      </w:tabs>
      <w:spacing w:after="120"/>
      <w:ind w:left="2977" w:hanging="851"/>
    </w:pPr>
  </w:style>
  <w:style w:type="character" w:customStyle="1" w:styleId="ListBullet4Char">
    <w:name w:val="List Bullet 4 Char"/>
    <w:link w:val="ListBullet4"/>
    <w:uiPriority w:val="99"/>
    <w:locked/>
    <w:rsid w:val="00FE1B88"/>
    <w:rPr>
      <w:sz w:val="24"/>
      <w:szCs w:val="24"/>
    </w:rPr>
  </w:style>
  <w:style w:type="paragraph" w:customStyle="1" w:styleId="Lvl3bullet">
    <w:name w:val="Lvl 3 bullet"/>
    <w:basedOn w:val="Normal"/>
    <w:link w:val="Lvl3bulletChar"/>
    <w:autoRedefine/>
    <w:uiPriority w:val="99"/>
    <w:rsid w:val="00A763CB"/>
    <w:pPr>
      <w:numPr>
        <w:ilvl w:val="2"/>
        <w:numId w:val="9"/>
      </w:numPr>
      <w:spacing w:after="120"/>
      <w:contextualSpacing/>
    </w:pPr>
  </w:style>
  <w:style w:type="paragraph" w:styleId="BodyText">
    <w:name w:val="Body Text"/>
    <w:basedOn w:val="Normal"/>
    <w:link w:val="BodyTextChar"/>
    <w:uiPriority w:val="99"/>
    <w:rsid w:val="00FE1B88"/>
    <w:pPr>
      <w:spacing w:after="120"/>
    </w:pPr>
  </w:style>
  <w:style w:type="character" w:customStyle="1" w:styleId="BodyTextChar">
    <w:name w:val="Body Text Char"/>
    <w:basedOn w:val="DefaultParagraphFont"/>
    <w:link w:val="BodyText"/>
    <w:uiPriority w:val="99"/>
    <w:locked/>
    <w:rsid w:val="00FE1B88"/>
    <w:rPr>
      <w:rFonts w:cs="Times New Roman"/>
    </w:rPr>
  </w:style>
  <w:style w:type="paragraph" w:customStyle="1" w:styleId="DfESOutNumbered">
    <w:name w:val="DfESOutNumbered"/>
    <w:basedOn w:val="Normal"/>
    <w:link w:val="DfESOutNumberedChar"/>
    <w:uiPriority w:val="99"/>
    <w:rsid w:val="00774F55"/>
    <w:pPr>
      <w:widowControl w:val="0"/>
      <w:numPr>
        <w:numId w:val="7"/>
      </w:numPr>
      <w:overflowPunct w:val="0"/>
      <w:autoSpaceDE w:val="0"/>
      <w:autoSpaceDN w:val="0"/>
      <w:adjustRightInd w:val="0"/>
      <w:spacing w:line="240" w:lineRule="auto"/>
      <w:textAlignment w:val="baseline"/>
    </w:pPr>
    <w:rPr>
      <w:sz w:val="22"/>
      <w:szCs w:val="20"/>
      <w:lang w:eastAsia="en-US"/>
    </w:rPr>
  </w:style>
  <w:style w:type="character" w:customStyle="1" w:styleId="DfESOutNumberedChar">
    <w:name w:val="DfESOutNumbered Char"/>
    <w:link w:val="DfESOutNumbered"/>
    <w:uiPriority w:val="99"/>
    <w:locked/>
    <w:rsid w:val="00774F55"/>
    <w:rPr>
      <w:szCs w:val="20"/>
      <w:lang w:eastAsia="en-US"/>
    </w:rPr>
  </w:style>
  <w:style w:type="paragraph" w:customStyle="1" w:styleId="DeptBullets">
    <w:name w:val="DeptBullets"/>
    <w:basedOn w:val="Normal"/>
    <w:link w:val="DeptBulletsChar"/>
    <w:uiPriority w:val="99"/>
    <w:rsid w:val="00774F55"/>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uiPriority w:val="99"/>
    <w:locked/>
    <w:rsid w:val="00774F55"/>
    <w:rPr>
      <w:sz w:val="24"/>
      <w:szCs w:val="20"/>
      <w:lang w:eastAsia="en-US"/>
    </w:rPr>
  </w:style>
  <w:style w:type="character" w:customStyle="1" w:styleId="Lvl3bulletChar">
    <w:name w:val="Lvl 3 bullet Char"/>
    <w:link w:val="Lvl3bullet"/>
    <w:uiPriority w:val="99"/>
    <w:locked/>
    <w:rsid w:val="00A763CB"/>
    <w:rPr>
      <w:sz w:val="24"/>
      <w:szCs w:val="24"/>
    </w:rPr>
  </w:style>
  <w:style w:type="paragraph" w:customStyle="1" w:styleId="Italics">
    <w:name w:val="Italics"/>
    <w:link w:val="ItalicsChar"/>
    <w:uiPriority w:val="99"/>
    <w:rsid w:val="00774F55"/>
    <w:rPr>
      <w:i/>
      <w:sz w:val="24"/>
      <w:szCs w:val="24"/>
    </w:rPr>
  </w:style>
  <w:style w:type="paragraph" w:customStyle="1" w:styleId="Bold">
    <w:name w:val="Bold"/>
    <w:basedOn w:val="default"/>
    <w:link w:val="BoldChar"/>
    <w:uiPriority w:val="99"/>
    <w:rsid w:val="00774F55"/>
    <w:rPr>
      <w:rFonts w:cs="Times New Roman"/>
      <w:b/>
    </w:rPr>
  </w:style>
  <w:style w:type="character" w:customStyle="1" w:styleId="BoldChar">
    <w:name w:val="Bold Char"/>
    <w:link w:val="Bold"/>
    <w:uiPriority w:val="99"/>
    <w:locked/>
    <w:rsid w:val="00774F55"/>
    <w:rPr>
      <w:b/>
      <w:color w:val="000000"/>
      <w:sz w:val="24"/>
    </w:rPr>
  </w:style>
  <w:style w:type="table" w:styleId="TableGrid">
    <w:name w:val="Table Grid"/>
    <w:basedOn w:val="TableNormal"/>
    <w:uiPriority w:val="99"/>
    <w:rsid w:val="00AA34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uiPriority w:val="99"/>
    <w:locked/>
    <w:rsid w:val="00774F55"/>
    <w:rPr>
      <w:i/>
      <w:sz w:val="24"/>
    </w:rPr>
  </w:style>
  <w:style w:type="paragraph" w:customStyle="1" w:styleId="TableHeader">
    <w:name w:val="TableHeader"/>
    <w:basedOn w:val="Normal"/>
    <w:uiPriority w:val="99"/>
    <w:rsid w:val="00AA3484"/>
    <w:pPr>
      <w:spacing w:after="0"/>
    </w:pPr>
    <w:rPr>
      <w:b/>
    </w:rPr>
  </w:style>
  <w:style w:type="paragraph" w:styleId="BalloonText">
    <w:name w:val="Balloon Text"/>
    <w:basedOn w:val="Normal"/>
    <w:link w:val="BalloonTextChar"/>
    <w:uiPriority w:val="99"/>
    <w:semiHidden/>
    <w:rsid w:val="00DA57A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A57A4"/>
    <w:rPr>
      <w:rFonts w:ascii="Tahoma" w:hAnsi="Tahoma"/>
      <w:sz w:val="16"/>
    </w:rPr>
  </w:style>
  <w:style w:type="paragraph" w:customStyle="1" w:styleId="TextBox">
    <w:name w:val="TextBox"/>
    <w:basedOn w:val="Normal"/>
    <w:link w:val="TextBoxChar"/>
    <w:uiPriority w:val="99"/>
    <w:rsid w:val="00DA57A4"/>
    <w:pPr>
      <w:spacing w:after="120"/>
    </w:pPr>
    <w:rPr>
      <w:b/>
    </w:rPr>
  </w:style>
  <w:style w:type="paragraph" w:customStyle="1" w:styleId="TableRow">
    <w:name w:val="TableRow"/>
    <w:basedOn w:val="Normal"/>
    <w:link w:val="TableRowChar"/>
    <w:uiPriority w:val="99"/>
    <w:rsid w:val="00DA57A4"/>
    <w:pPr>
      <w:spacing w:after="0"/>
    </w:pPr>
  </w:style>
  <w:style w:type="character" w:customStyle="1" w:styleId="TextBoxChar">
    <w:name w:val="TextBox Char"/>
    <w:link w:val="TextBox"/>
    <w:uiPriority w:val="99"/>
    <w:locked/>
    <w:rsid w:val="00DA57A4"/>
    <w:rPr>
      <w:b/>
      <w:sz w:val="24"/>
    </w:rPr>
  </w:style>
  <w:style w:type="character" w:customStyle="1" w:styleId="TableRowChar">
    <w:name w:val="TableRow Char"/>
    <w:link w:val="TableRow"/>
    <w:uiPriority w:val="99"/>
    <w:locked/>
    <w:rsid w:val="00DA57A4"/>
    <w:rPr>
      <w:sz w:val="24"/>
    </w:rPr>
  </w:style>
  <w:style w:type="paragraph" w:styleId="Header">
    <w:name w:val="header"/>
    <w:basedOn w:val="Normal"/>
    <w:link w:val="HeaderChar"/>
    <w:uiPriority w:val="99"/>
    <w:rsid w:val="005C657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C657D"/>
    <w:rPr>
      <w:rFonts w:cs="Times New Roman"/>
      <w:sz w:val="24"/>
      <w:szCs w:val="24"/>
    </w:rPr>
  </w:style>
  <w:style w:type="paragraph" w:styleId="Footer">
    <w:name w:val="footer"/>
    <w:basedOn w:val="Normal"/>
    <w:link w:val="FooterChar"/>
    <w:uiPriority w:val="99"/>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657D"/>
    <w:rPr>
      <w:rFonts w:cs="Times New Roman"/>
      <w:sz w:val="24"/>
      <w:szCs w:val="24"/>
    </w:rPr>
  </w:style>
  <w:style w:type="paragraph" w:customStyle="1" w:styleId="Default0">
    <w:name w:val="Default"/>
    <w:uiPriority w:val="99"/>
    <w:rsid w:val="0010573A"/>
    <w:pPr>
      <w:autoSpaceDE w:val="0"/>
      <w:autoSpaceDN w:val="0"/>
      <w:adjustRightInd w:val="0"/>
    </w:pPr>
    <w:rPr>
      <w:rFonts w:cs="Arial"/>
      <w:color w:val="000000"/>
      <w:sz w:val="24"/>
      <w:szCs w:val="24"/>
    </w:rPr>
  </w:style>
  <w:style w:type="character" w:styleId="CommentReference">
    <w:name w:val="annotation reference"/>
    <w:basedOn w:val="DefaultParagraphFont"/>
    <w:uiPriority w:val="99"/>
    <w:semiHidden/>
    <w:rsid w:val="002464C0"/>
    <w:rPr>
      <w:rFonts w:cs="Times New Roman"/>
      <w:sz w:val="16"/>
    </w:rPr>
  </w:style>
  <w:style w:type="paragraph" w:styleId="CommentText">
    <w:name w:val="annotation text"/>
    <w:basedOn w:val="Normal"/>
    <w:link w:val="CommentTextChar"/>
    <w:uiPriority w:val="99"/>
    <w:semiHidden/>
    <w:rsid w:val="002464C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CommentTextChar">
    <w:name w:val="Comment Text Char"/>
    <w:basedOn w:val="DefaultParagraphFont"/>
    <w:link w:val="CommentText"/>
    <w:uiPriority w:val="99"/>
    <w:semiHidden/>
    <w:locked/>
    <w:rsid w:val="002464C0"/>
    <w:rPr>
      <w:rFonts w:cs="Times New Roman"/>
      <w:lang w:eastAsia="en-US"/>
    </w:rPr>
  </w:style>
  <w:style w:type="paragraph" w:styleId="CommentSubject">
    <w:name w:val="annotation subject"/>
    <w:basedOn w:val="CommentText"/>
    <w:next w:val="CommentText"/>
    <w:link w:val="CommentSubjectChar"/>
    <w:uiPriority w:val="99"/>
    <w:semiHidden/>
    <w:rsid w:val="00437F55"/>
    <w:pPr>
      <w:widowControl/>
      <w:overflowPunct/>
      <w:autoSpaceDE/>
      <w:autoSpaceDN/>
      <w:adjustRightInd/>
      <w:spacing w:after="240"/>
      <w:textAlignment w:val="auto"/>
    </w:pPr>
    <w:rPr>
      <w:b/>
      <w:bCs/>
      <w:lang w:eastAsia="en-GB"/>
    </w:rPr>
  </w:style>
  <w:style w:type="character" w:customStyle="1" w:styleId="CommentSubjectChar">
    <w:name w:val="Comment Subject Char"/>
    <w:basedOn w:val="CommentTextChar"/>
    <w:link w:val="CommentSubject"/>
    <w:uiPriority w:val="99"/>
    <w:semiHidden/>
    <w:locked/>
    <w:rsid w:val="00437F55"/>
    <w:rPr>
      <w:rFonts w:cs="Times New Roman"/>
      <w:b/>
      <w:bCs/>
      <w:lang w:eastAsia="en-US"/>
    </w:rPr>
  </w:style>
  <w:style w:type="paragraph" w:styleId="EndnoteText">
    <w:name w:val="endnote text"/>
    <w:basedOn w:val="Normal"/>
    <w:link w:val="EndnoteTextChar"/>
    <w:uiPriority w:val="99"/>
    <w:semiHidden/>
    <w:rsid w:val="0033595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35957"/>
    <w:rPr>
      <w:rFonts w:cs="Times New Roman"/>
    </w:rPr>
  </w:style>
  <w:style w:type="character" w:styleId="EndnoteReference">
    <w:name w:val="endnote reference"/>
    <w:basedOn w:val="DefaultParagraphFont"/>
    <w:uiPriority w:val="99"/>
    <w:semiHidden/>
    <w:rsid w:val="00335957"/>
    <w:rPr>
      <w:rFonts w:cs="Times New Roman"/>
      <w:vertAlign w:val="superscript"/>
    </w:rPr>
  </w:style>
  <w:style w:type="paragraph" w:styleId="FootnoteText">
    <w:name w:val="footnote text"/>
    <w:basedOn w:val="Normal"/>
    <w:link w:val="FootnoteTextChar"/>
    <w:uiPriority w:val="99"/>
    <w:semiHidden/>
    <w:rsid w:val="00335957"/>
    <w:pPr>
      <w:spacing w:after="60" w:line="240" w:lineRule="auto"/>
    </w:pPr>
    <w:rPr>
      <w:sz w:val="20"/>
      <w:szCs w:val="20"/>
    </w:rPr>
  </w:style>
  <w:style w:type="character" w:customStyle="1" w:styleId="FootnoteTextChar">
    <w:name w:val="Footnote Text Char"/>
    <w:basedOn w:val="DefaultParagraphFont"/>
    <w:link w:val="FootnoteText"/>
    <w:uiPriority w:val="99"/>
    <w:semiHidden/>
    <w:locked/>
    <w:rsid w:val="00335957"/>
    <w:rPr>
      <w:rFonts w:cs="Times New Roman"/>
    </w:rPr>
  </w:style>
  <w:style w:type="character" w:styleId="FootnoteReference">
    <w:name w:val="footnote reference"/>
    <w:basedOn w:val="DefaultParagraphFont"/>
    <w:uiPriority w:val="99"/>
    <w:semiHidden/>
    <w:rsid w:val="00335957"/>
    <w:rPr>
      <w:rFonts w:cs="Times New Roman"/>
      <w:vertAlign w:val="superscript"/>
    </w:rPr>
  </w:style>
  <w:style w:type="paragraph" w:customStyle="1" w:styleId="StyleTableOfContentsHeaderBlack">
    <w:name w:val="Style TableOfContentsHeader + Black"/>
    <w:basedOn w:val="TableOfContentsHeader"/>
    <w:uiPriority w:val="99"/>
    <w:rsid w:val="007F3D05"/>
    <w:rPr>
      <w:b/>
      <w:color w:val="1F497D"/>
      <w:sz w:val="32"/>
    </w:rPr>
  </w:style>
  <w:style w:type="paragraph" w:customStyle="1" w:styleId="Titlepagedate">
    <w:name w:val="Title page date"/>
    <w:basedOn w:val="SubtitleText"/>
    <w:link w:val="TitlepagedateChar"/>
    <w:uiPriority w:val="99"/>
    <w:rsid w:val="007F3D05"/>
    <w:pPr>
      <w:spacing w:after="0"/>
    </w:pPr>
    <w:rPr>
      <w:sz w:val="44"/>
      <w:szCs w:val="44"/>
    </w:rPr>
  </w:style>
  <w:style w:type="paragraph" w:customStyle="1" w:styleId="StyleTitleTextBefore0pt">
    <w:name w:val="Style TitleText + Before:  0 pt"/>
    <w:basedOn w:val="TitleText"/>
    <w:uiPriority w:val="99"/>
    <w:rsid w:val="007F3D05"/>
    <w:rPr>
      <w:bCs/>
      <w:szCs w:val="20"/>
    </w:rPr>
  </w:style>
  <w:style w:type="character" w:customStyle="1" w:styleId="TitlepagedateChar">
    <w:name w:val="Title page date Char"/>
    <w:basedOn w:val="SubtitleTextChar"/>
    <w:link w:val="Titlepagedate"/>
    <w:uiPriority w:val="99"/>
    <w:locked/>
    <w:rsid w:val="007F3D05"/>
    <w:rPr>
      <w:rFonts w:cs="Arial"/>
      <w:b/>
      <w:bCs/>
      <w:color w:val="104F75"/>
      <w:sz w:val="44"/>
      <w:szCs w:val="44"/>
    </w:rPr>
  </w:style>
  <w:style w:type="character" w:customStyle="1" w:styleId="ListParagraphChar">
    <w:name w:val="List Paragraph Char"/>
    <w:basedOn w:val="DefaultParagraphFont"/>
    <w:link w:val="ListParagraph"/>
    <w:uiPriority w:val="34"/>
    <w:locked/>
    <w:rsid w:val="00353B87"/>
    <w:rPr>
      <w:rFonts w:cs="Arial"/>
      <w:sz w:val="24"/>
      <w:szCs w:val="24"/>
      <w:lang w:eastAsia="en-US"/>
    </w:rPr>
  </w:style>
  <w:style w:type="paragraph" w:customStyle="1" w:styleId="Headling1">
    <w:name w:val="Headling 1"/>
    <w:basedOn w:val="Normal"/>
    <w:link w:val="Headling1Char"/>
    <w:uiPriority w:val="99"/>
    <w:rsid w:val="0015279A"/>
    <w:pPr>
      <w:spacing w:before="100" w:beforeAutospacing="1" w:after="100" w:afterAutospacing="1" w:line="276" w:lineRule="auto"/>
      <w:outlineLvl w:val="1"/>
    </w:pPr>
    <w:rPr>
      <w:b/>
      <w:sz w:val="28"/>
      <w:szCs w:val="28"/>
      <w:lang w:eastAsia="en-US"/>
    </w:rPr>
  </w:style>
  <w:style w:type="character" w:customStyle="1" w:styleId="Headling1Char">
    <w:name w:val="Headling 1 Char"/>
    <w:link w:val="Headling1"/>
    <w:uiPriority w:val="99"/>
    <w:locked/>
    <w:rsid w:val="0015279A"/>
    <w:rPr>
      <w:b/>
      <w:sz w:val="28"/>
      <w:lang w:eastAsia="en-US"/>
    </w:rPr>
  </w:style>
  <w:style w:type="paragraph" w:styleId="NormalWeb">
    <w:name w:val="Normal (Web)"/>
    <w:basedOn w:val="Normal"/>
    <w:uiPriority w:val="99"/>
    <w:rsid w:val="00A87D69"/>
    <w:pPr>
      <w:spacing w:before="100" w:beforeAutospacing="1" w:after="100" w:afterAutospacing="1" w:line="240" w:lineRule="auto"/>
    </w:pPr>
    <w:rPr>
      <w:rFonts w:cs="Arial"/>
    </w:rPr>
  </w:style>
  <w:style w:type="character" w:styleId="FollowedHyperlink">
    <w:name w:val="FollowedHyperlink"/>
    <w:basedOn w:val="DefaultParagraphFont"/>
    <w:uiPriority w:val="99"/>
    <w:semiHidden/>
    <w:rsid w:val="00DE5652"/>
    <w:rPr>
      <w:rFonts w:cs="Times New Roman"/>
      <w:color w:val="800080"/>
      <w:u w:val="single"/>
    </w:rPr>
  </w:style>
  <w:style w:type="paragraph" w:styleId="Revision">
    <w:name w:val="Revision"/>
    <w:hidden/>
    <w:uiPriority w:val="99"/>
    <w:semiHidden/>
    <w:rsid w:val="00151C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5192">
      <w:bodyDiv w:val="1"/>
      <w:marLeft w:val="0"/>
      <w:marRight w:val="0"/>
      <w:marTop w:val="0"/>
      <w:marBottom w:val="0"/>
      <w:divBdr>
        <w:top w:val="none" w:sz="0" w:space="0" w:color="auto"/>
        <w:left w:val="none" w:sz="0" w:space="0" w:color="auto"/>
        <w:bottom w:val="none" w:sz="0" w:space="0" w:color="auto"/>
        <w:right w:val="none" w:sz="0" w:space="0" w:color="auto"/>
      </w:divBdr>
    </w:div>
    <w:div w:id="972100930">
      <w:bodyDiv w:val="1"/>
      <w:marLeft w:val="0"/>
      <w:marRight w:val="0"/>
      <w:marTop w:val="0"/>
      <w:marBottom w:val="0"/>
      <w:divBdr>
        <w:top w:val="none" w:sz="0" w:space="0" w:color="auto"/>
        <w:left w:val="none" w:sz="0" w:space="0" w:color="auto"/>
        <w:bottom w:val="none" w:sz="0" w:space="0" w:color="auto"/>
        <w:right w:val="none" w:sz="0" w:space="0" w:color="auto"/>
      </w:divBdr>
    </w:div>
    <w:div w:id="993801207">
      <w:bodyDiv w:val="1"/>
      <w:marLeft w:val="0"/>
      <w:marRight w:val="0"/>
      <w:marTop w:val="0"/>
      <w:marBottom w:val="0"/>
      <w:divBdr>
        <w:top w:val="none" w:sz="0" w:space="0" w:color="auto"/>
        <w:left w:val="none" w:sz="0" w:space="0" w:color="auto"/>
        <w:bottom w:val="none" w:sz="0" w:space="0" w:color="auto"/>
        <w:right w:val="none" w:sz="0" w:space="0" w:color="auto"/>
      </w:divBdr>
    </w:div>
    <w:div w:id="1254439733">
      <w:marLeft w:val="0"/>
      <w:marRight w:val="0"/>
      <w:marTop w:val="0"/>
      <w:marBottom w:val="0"/>
      <w:divBdr>
        <w:top w:val="none" w:sz="0" w:space="0" w:color="auto"/>
        <w:left w:val="none" w:sz="0" w:space="0" w:color="auto"/>
        <w:bottom w:val="none" w:sz="0" w:space="0" w:color="auto"/>
        <w:right w:val="none" w:sz="0" w:space="0" w:color="auto"/>
      </w:divBdr>
    </w:div>
    <w:div w:id="1254439734">
      <w:marLeft w:val="0"/>
      <w:marRight w:val="0"/>
      <w:marTop w:val="0"/>
      <w:marBottom w:val="0"/>
      <w:divBdr>
        <w:top w:val="none" w:sz="0" w:space="0" w:color="auto"/>
        <w:left w:val="none" w:sz="0" w:space="0" w:color="auto"/>
        <w:bottom w:val="none" w:sz="0" w:space="0" w:color="auto"/>
        <w:right w:val="none" w:sz="0" w:space="0" w:color="auto"/>
      </w:divBdr>
      <w:divsChild>
        <w:div w:id="1254439732">
          <w:marLeft w:val="0"/>
          <w:marRight w:val="0"/>
          <w:marTop w:val="0"/>
          <w:marBottom w:val="0"/>
          <w:divBdr>
            <w:top w:val="none" w:sz="0" w:space="0" w:color="auto"/>
            <w:left w:val="none" w:sz="0" w:space="0" w:color="auto"/>
            <w:bottom w:val="none" w:sz="0" w:space="0" w:color="auto"/>
            <w:right w:val="none" w:sz="0" w:space="0" w:color="auto"/>
          </w:divBdr>
        </w:div>
        <w:div w:id="1254439737">
          <w:marLeft w:val="0"/>
          <w:marRight w:val="0"/>
          <w:marTop w:val="0"/>
          <w:marBottom w:val="0"/>
          <w:divBdr>
            <w:top w:val="none" w:sz="0" w:space="0" w:color="auto"/>
            <w:left w:val="none" w:sz="0" w:space="0" w:color="auto"/>
            <w:bottom w:val="none" w:sz="0" w:space="0" w:color="auto"/>
            <w:right w:val="none" w:sz="0" w:space="0" w:color="auto"/>
          </w:divBdr>
        </w:div>
        <w:div w:id="1254439740">
          <w:marLeft w:val="0"/>
          <w:marRight w:val="0"/>
          <w:marTop w:val="0"/>
          <w:marBottom w:val="0"/>
          <w:divBdr>
            <w:top w:val="none" w:sz="0" w:space="0" w:color="auto"/>
            <w:left w:val="none" w:sz="0" w:space="0" w:color="auto"/>
            <w:bottom w:val="none" w:sz="0" w:space="0" w:color="auto"/>
            <w:right w:val="none" w:sz="0" w:space="0" w:color="auto"/>
          </w:divBdr>
        </w:div>
        <w:div w:id="1254439743">
          <w:marLeft w:val="0"/>
          <w:marRight w:val="0"/>
          <w:marTop w:val="0"/>
          <w:marBottom w:val="0"/>
          <w:divBdr>
            <w:top w:val="none" w:sz="0" w:space="0" w:color="auto"/>
            <w:left w:val="none" w:sz="0" w:space="0" w:color="auto"/>
            <w:bottom w:val="none" w:sz="0" w:space="0" w:color="auto"/>
            <w:right w:val="none" w:sz="0" w:space="0" w:color="auto"/>
          </w:divBdr>
        </w:div>
        <w:div w:id="1254439744">
          <w:marLeft w:val="0"/>
          <w:marRight w:val="0"/>
          <w:marTop w:val="0"/>
          <w:marBottom w:val="0"/>
          <w:divBdr>
            <w:top w:val="none" w:sz="0" w:space="0" w:color="auto"/>
            <w:left w:val="none" w:sz="0" w:space="0" w:color="auto"/>
            <w:bottom w:val="none" w:sz="0" w:space="0" w:color="auto"/>
            <w:right w:val="none" w:sz="0" w:space="0" w:color="auto"/>
          </w:divBdr>
        </w:div>
        <w:div w:id="1254439746">
          <w:marLeft w:val="0"/>
          <w:marRight w:val="0"/>
          <w:marTop w:val="0"/>
          <w:marBottom w:val="0"/>
          <w:divBdr>
            <w:top w:val="none" w:sz="0" w:space="0" w:color="auto"/>
            <w:left w:val="none" w:sz="0" w:space="0" w:color="auto"/>
            <w:bottom w:val="none" w:sz="0" w:space="0" w:color="auto"/>
            <w:right w:val="none" w:sz="0" w:space="0" w:color="auto"/>
          </w:divBdr>
        </w:div>
        <w:div w:id="1254439748">
          <w:marLeft w:val="0"/>
          <w:marRight w:val="0"/>
          <w:marTop w:val="0"/>
          <w:marBottom w:val="0"/>
          <w:divBdr>
            <w:top w:val="none" w:sz="0" w:space="0" w:color="auto"/>
            <w:left w:val="none" w:sz="0" w:space="0" w:color="auto"/>
            <w:bottom w:val="none" w:sz="0" w:space="0" w:color="auto"/>
            <w:right w:val="none" w:sz="0" w:space="0" w:color="auto"/>
          </w:divBdr>
        </w:div>
        <w:div w:id="1254439749">
          <w:marLeft w:val="0"/>
          <w:marRight w:val="0"/>
          <w:marTop w:val="0"/>
          <w:marBottom w:val="0"/>
          <w:divBdr>
            <w:top w:val="none" w:sz="0" w:space="0" w:color="auto"/>
            <w:left w:val="none" w:sz="0" w:space="0" w:color="auto"/>
            <w:bottom w:val="none" w:sz="0" w:space="0" w:color="auto"/>
            <w:right w:val="none" w:sz="0" w:space="0" w:color="auto"/>
          </w:divBdr>
        </w:div>
        <w:div w:id="1254439750">
          <w:marLeft w:val="0"/>
          <w:marRight w:val="0"/>
          <w:marTop w:val="0"/>
          <w:marBottom w:val="0"/>
          <w:divBdr>
            <w:top w:val="none" w:sz="0" w:space="0" w:color="auto"/>
            <w:left w:val="none" w:sz="0" w:space="0" w:color="auto"/>
            <w:bottom w:val="none" w:sz="0" w:space="0" w:color="auto"/>
            <w:right w:val="none" w:sz="0" w:space="0" w:color="auto"/>
          </w:divBdr>
        </w:div>
        <w:div w:id="1254439751">
          <w:marLeft w:val="0"/>
          <w:marRight w:val="0"/>
          <w:marTop w:val="0"/>
          <w:marBottom w:val="0"/>
          <w:divBdr>
            <w:top w:val="none" w:sz="0" w:space="0" w:color="auto"/>
            <w:left w:val="none" w:sz="0" w:space="0" w:color="auto"/>
            <w:bottom w:val="none" w:sz="0" w:space="0" w:color="auto"/>
            <w:right w:val="none" w:sz="0" w:space="0" w:color="auto"/>
          </w:divBdr>
        </w:div>
      </w:divsChild>
    </w:div>
    <w:div w:id="1254439739">
      <w:marLeft w:val="0"/>
      <w:marRight w:val="0"/>
      <w:marTop w:val="0"/>
      <w:marBottom w:val="0"/>
      <w:divBdr>
        <w:top w:val="none" w:sz="0" w:space="0" w:color="auto"/>
        <w:left w:val="none" w:sz="0" w:space="0" w:color="auto"/>
        <w:bottom w:val="none" w:sz="0" w:space="0" w:color="auto"/>
        <w:right w:val="none" w:sz="0" w:space="0" w:color="auto"/>
      </w:divBdr>
    </w:div>
    <w:div w:id="1254439741">
      <w:marLeft w:val="0"/>
      <w:marRight w:val="0"/>
      <w:marTop w:val="0"/>
      <w:marBottom w:val="0"/>
      <w:divBdr>
        <w:top w:val="none" w:sz="0" w:space="0" w:color="auto"/>
        <w:left w:val="none" w:sz="0" w:space="0" w:color="auto"/>
        <w:bottom w:val="none" w:sz="0" w:space="0" w:color="auto"/>
        <w:right w:val="none" w:sz="0" w:space="0" w:color="auto"/>
      </w:divBdr>
      <w:divsChild>
        <w:div w:id="1254439735">
          <w:marLeft w:val="0"/>
          <w:marRight w:val="0"/>
          <w:marTop w:val="0"/>
          <w:marBottom w:val="0"/>
          <w:divBdr>
            <w:top w:val="none" w:sz="0" w:space="0" w:color="auto"/>
            <w:left w:val="none" w:sz="0" w:space="0" w:color="auto"/>
            <w:bottom w:val="none" w:sz="0" w:space="0" w:color="auto"/>
            <w:right w:val="none" w:sz="0" w:space="0" w:color="auto"/>
          </w:divBdr>
          <w:divsChild>
            <w:div w:id="125443973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54439742">
      <w:marLeft w:val="0"/>
      <w:marRight w:val="0"/>
      <w:marTop w:val="0"/>
      <w:marBottom w:val="0"/>
      <w:divBdr>
        <w:top w:val="none" w:sz="0" w:space="0" w:color="auto"/>
        <w:left w:val="none" w:sz="0" w:space="0" w:color="auto"/>
        <w:bottom w:val="none" w:sz="0" w:space="0" w:color="auto"/>
        <w:right w:val="none" w:sz="0" w:space="0" w:color="auto"/>
      </w:divBdr>
    </w:div>
    <w:div w:id="1254439745">
      <w:marLeft w:val="0"/>
      <w:marRight w:val="0"/>
      <w:marTop w:val="0"/>
      <w:marBottom w:val="0"/>
      <w:divBdr>
        <w:top w:val="none" w:sz="0" w:space="0" w:color="auto"/>
        <w:left w:val="none" w:sz="0" w:space="0" w:color="auto"/>
        <w:bottom w:val="none" w:sz="0" w:space="0" w:color="auto"/>
        <w:right w:val="none" w:sz="0" w:space="0" w:color="auto"/>
      </w:divBdr>
    </w:div>
    <w:div w:id="1254439753">
      <w:marLeft w:val="0"/>
      <w:marRight w:val="0"/>
      <w:marTop w:val="0"/>
      <w:marBottom w:val="0"/>
      <w:divBdr>
        <w:top w:val="none" w:sz="0" w:space="0" w:color="auto"/>
        <w:left w:val="none" w:sz="0" w:space="0" w:color="auto"/>
        <w:bottom w:val="none" w:sz="0" w:space="0" w:color="auto"/>
        <w:right w:val="none" w:sz="0" w:space="0" w:color="auto"/>
      </w:divBdr>
      <w:divsChild>
        <w:div w:id="1254439738">
          <w:marLeft w:val="0"/>
          <w:marRight w:val="0"/>
          <w:marTop w:val="0"/>
          <w:marBottom w:val="0"/>
          <w:divBdr>
            <w:top w:val="none" w:sz="0" w:space="0" w:color="auto"/>
            <w:left w:val="none" w:sz="0" w:space="0" w:color="auto"/>
            <w:bottom w:val="none" w:sz="0" w:space="0" w:color="auto"/>
            <w:right w:val="none" w:sz="0" w:space="0" w:color="auto"/>
          </w:divBdr>
          <w:divsChild>
            <w:div w:id="1254439752">
              <w:marLeft w:val="0"/>
              <w:marRight w:val="0"/>
              <w:marTop w:val="0"/>
              <w:marBottom w:val="0"/>
              <w:divBdr>
                <w:top w:val="none" w:sz="0" w:space="0" w:color="auto"/>
                <w:left w:val="none" w:sz="0" w:space="0" w:color="auto"/>
                <w:bottom w:val="none" w:sz="0" w:space="0" w:color="auto"/>
                <w:right w:val="none" w:sz="0" w:space="0" w:color="auto"/>
              </w:divBdr>
              <w:divsChild>
                <w:div w:id="12544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439754">
      <w:marLeft w:val="0"/>
      <w:marRight w:val="0"/>
      <w:marTop w:val="0"/>
      <w:marBottom w:val="0"/>
      <w:divBdr>
        <w:top w:val="none" w:sz="0" w:space="0" w:color="auto"/>
        <w:left w:val="none" w:sz="0" w:space="0" w:color="auto"/>
        <w:bottom w:val="none" w:sz="0" w:space="0" w:color="auto"/>
        <w:right w:val="none" w:sz="0" w:space="0" w:color="auto"/>
      </w:divBdr>
    </w:div>
    <w:div w:id="1400588954">
      <w:bodyDiv w:val="1"/>
      <w:marLeft w:val="0"/>
      <w:marRight w:val="0"/>
      <w:marTop w:val="0"/>
      <w:marBottom w:val="0"/>
      <w:divBdr>
        <w:top w:val="none" w:sz="0" w:space="0" w:color="auto"/>
        <w:left w:val="none" w:sz="0" w:space="0" w:color="auto"/>
        <w:bottom w:val="none" w:sz="0" w:space="0" w:color="auto"/>
        <w:right w:val="none" w:sz="0" w:space="0" w:color="auto"/>
      </w:divBdr>
    </w:div>
    <w:div w:id="1771580151">
      <w:bodyDiv w:val="1"/>
      <w:marLeft w:val="0"/>
      <w:marRight w:val="0"/>
      <w:marTop w:val="0"/>
      <w:marBottom w:val="0"/>
      <w:divBdr>
        <w:top w:val="none" w:sz="0" w:space="0" w:color="auto"/>
        <w:left w:val="none" w:sz="0" w:space="0" w:color="auto"/>
        <w:bottom w:val="none" w:sz="0" w:space="0" w:color="auto"/>
        <w:right w:val="none" w:sz="0" w:space="0" w:color="auto"/>
      </w:divBdr>
    </w:div>
    <w:div w:id="198504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IWPContributor xmlns="01d2705b-266c-471f-bbad-ca9cc3733704">
      <UserInfo>
        <DisplayName/>
        <AccountId xsi:nil="true"/>
        <AccountType/>
      </UserInfo>
    </IWPContributor>
    <Comments xmlns="http://schemas.microsoft.com/sharepoint/v3" xsi:nil="true"/>
    <_dlc_DocId xmlns="4259d123-e6a2-4a39-9cc4-e247171b8278">HKPH4XM4QHZ4-1883831546-53136</_dlc_DocId>
    <_dlc_DocIdUrl xmlns="4259d123-e6a2-4a39-9cc4-e247171b8278">
      <Url>https://educationgovuk.sharepoint.com/sites/ttg/d/_layouts/15/DocIdRedir.aspx?ID=HKPH4XM4QHZ4-1883831546-53136</Url>
      <Description>HKPH4XM4QHZ4-1883831546-53136</Description>
    </_dlc_DocIdUrl>
    <fcfa2e3a102f492eb9989c5396408ed9 xmlns="4259d123-e6a2-4a39-9cc4-e247171b8278">
      <Terms xmlns="http://schemas.microsoft.com/office/infopath/2007/PartnerControls"/>
    </fcfa2e3a102f492eb9989c5396408ed9>
    <ce5af11cf85042fda4c4f1f7f633f15b xmlns="4259d123-e6a2-4a39-9cc4-e247171b827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e5af11cf85042fda4c4f1f7f633f15b>
    <ba8d4f2c4b764194bae6c355bbdcc1eb xmlns="4259d123-e6a2-4a39-9cc4-e247171b827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ba8d4f2c4b764194bae6c355bbdcc1eb>
    <_vti_ItemDeclaredRecord xmlns="http://schemas.microsoft.com/sharepoint/v3" xsi:nil="true"/>
    <b11dec6ce0c448c0844aaa6ccb665a34 xmlns="4259d123-e6a2-4a39-9cc4-e247171b8278">
      <Terms xmlns="http://schemas.microsoft.com/office/infopath/2007/PartnerControls"/>
    </b11dec6ce0c448c0844aaa6ccb665a34>
    <h5181134883947a99a38d116ffff0102 xmlns="9f3f92a8-473c-4608-bac3-6eb86d93519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9f3f92a8-473c-4608-bac3-6eb86d935198">
      <Terms xmlns="http://schemas.microsoft.com/office/infopath/2007/PartnerControls"/>
    </h5181134883947a99a38d116ffff0006>
    <TaxCatchAll xmlns="8c566321-f672-4e06-a901-b5e72b4c4357">
      <Value>3</Value>
      <Value>2</Value>
      <Value>1</Value>
    </TaxCatchAll>
    <TaxCatchAllLabel xmlns="8c566321-f672-4e06-a901-b5e72b4c4357"/>
  </documentManagement>
</p:propertie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3D8DE97B5F6A5E4385284C1FFBEDADD60A0074FC6A40DEF49A42854E2B8AB62CDEE6" ma:contentTypeVersion="33" ma:contentTypeDescription="For programme or project documents. Records retained for 10 years." ma:contentTypeScope="" ma:versionID="229e081fe4d47f2452a6551b563b655e">
  <xsd:schema xmlns:xsd="http://www.w3.org/2001/XMLSchema" xmlns:xs="http://www.w3.org/2001/XMLSchema" xmlns:p="http://schemas.microsoft.com/office/2006/metadata/properties" xmlns:ns1="http://schemas.microsoft.com/sharepoint/v3" xmlns:ns2="4259d123-e6a2-4a39-9cc4-e247171b8278" xmlns:ns3="8c566321-f672-4e06-a901-b5e72b4c4357" xmlns:ns4="01d2705b-266c-471f-bbad-ca9cc3733704" xmlns:ns5="9f3f92a8-473c-4608-bac3-6eb86d935198" targetNamespace="http://schemas.microsoft.com/office/2006/metadata/properties" ma:root="true" ma:fieldsID="c8e3babc807120f7d3d7e721a41ed48b" ns1:_="" ns2:_="" ns3:_="" ns4:_="" ns5:_="">
    <xsd:import namespace="http://schemas.microsoft.com/sharepoint/v3"/>
    <xsd:import namespace="4259d123-e6a2-4a39-9cc4-e247171b8278"/>
    <xsd:import namespace="8c566321-f672-4e06-a901-b5e72b4c4357"/>
    <xsd:import namespace="01d2705b-266c-471f-bbad-ca9cc3733704"/>
    <xsd:import namespace="9f3f92a8-473c-4608-bac3-6eb86d935198"/>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b11dec6ce0c448c0844aaa6ccb665a34" minOccurs="0"/>
                <xsd:element ref="ns2:ce5af11cf85042fda4c4f1f7f633f15b" minOccurs="0"/>
                <xsd:element ref="ns2:fcfa2e3a102f492eb9989c5396408ed9" minOccurs="0"/>
                <xsd:element ref="ns2:ba8d4f2c4b764194bae6c355bbdcc1eb" minOccurs="0"/>
                <xsd:element ref="ns4:IWPContributor" minOccurs="0"/>
                <xsd:element ref="ns5:h5181134883947a99a38d116ffff0102"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11dec6ce0c448c0844aaa6ccb665a34" ma:index="22" nillable="true" ma:taxonomy="true" ma:internalName="b11dec6ce0c448c0844aaa6ccb665a34" ma:taxonomyFieldName="IWPFunction" ma:displayName="Function" ma:readOnly="false" ma:fieldId="{b11dec6c-e0c4-48c0-844a-aa6ccb665a34}"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ce5af11cf85042fda4c4f1f7f633f15b" ma:index="23" ma:taxonomy="true" ma:internalName="ce5af11cf85042fda4c4f1f7f633f15b" ma:taxonomyFieldName="IWPRightsProtectiveMarking" ma:displayName="Rights: Protective Marking" ma:readOnly="false" ma:default="1;#Official|0884c477-2e62-47ea-b19c-5af6e91124c5" ma:fieldId="{ce5af11c-f850-42fd-a4c4-f1f7f633f15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fcfa2e3a102f492eb9989c5396408ed9" ma:index="24" nillable="true" ma:taxonomy="true" ma:internalName="fcfa2e3a102f492eb9989c5396408ed9" ma:taxonomyFieldName="IWPSiteType" ma:displayName="Site Type" ma:readOnly="false" ma:fieldId="{fcfa2e3a-102f-492e-b998-9c5396408ed9}"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ba8d4f2c4b764194bae6c355bbdcc1eb" ma:index="25" ma:taxonomy="true" ma:internalName="ba8d4f2c4b764194bae6c355bbdcc1eb" ma:taxonomyFieldName="IWPOrganisationalUnit" ma:displayName="Organisational Unit" ma:readOnly="false" ma:default="2;#DfE|cc08a6d4-dfde-4d0f-bd85-069ebcef80d5" ma:fieldId="{ba8d4f2c-4b76-4194-bae6-c355bbdcc1e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a1b62f6-7c55-4857-80e2-86b00f747f63}" ma:internalName="TaxCatchAll" ma:readOnly="false"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da1b62f6-7c55-4857-80e2-86b00f747f63}" ma:internalName="TaxCatchAllLabel" ma:readOnly="false" ma:showField="CatchAllDataLabel" ma:web="4259d123-e6a2-4a39-9cc4-e247171b82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3f92a8-473c-4608-bac3-6eb86d935198"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264DF-3BF3-44EC-8231-EC1BF6313761}">
  <ds:schemaRefs>
    <ds:schemaRef ds:uri="http://schemas.openxmlformats.org/package/2006/metadata/core-properties"/>
    <ds:schemaRef ds:uri="9f3f92a8-473c-4608-bac3-6eb86d935198"/>
    <ds:schemaRef ds:uri="http://schemas.microsoft.com/office/2006/documentManagement/types"/>
    <ds:schemaRef ds:uri="http://schemas.microsoft.com/office/infopath/2007/PartnerControls"/>
    <ds:schemaRef ds:uri="http://purl.org/dc/elements/1.1/"/>
    <ds:schemaRef ds:uri="http://schemas.microsoft.com/office/2006/metadata/properties"/>
    <ds:schemaRef ds:uri="4259d123-e6a2-4a39-9cc4-e247171b8278"/>
    <ds:schemaRef ds:uri="http://schemas.microsoft.com/sharepoint/v3"/>
    <ds:schemaRef ds:uri="01d2705b-266c-471f-bbad-ca9cc3733704"/>
    <ds:schemaRef ds:uri="http://purl.org/dc/terms/"/>
    <ds:schemaRef ds:uri="8c566321-f672-4e06-a901-b5e72b4c4357"/>
    <ds:schemaRef ds:uri="http://www.w3.org/XML/1998/namespace"/>
    <ds:schemaRef ds:uri="http://purl.org/dc/dcmitype/"/>
  </ds:schemaRefs>
</ds:datastoreItem>
</file>

<file path=customXml/itemProps2.xml><?xml version="1.0" encoding="utf-8"?>
<ds:datastoreItem xmlns:ds="http://schemas.openxmlformats.org/officeDocument/2006/customXml" ds:itemID="{2E8A2EC0-CB05-4B63-8085-D6A8394D9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59d123-e6a2-4a39-9cc4-e247171b8278"/>
    <ds:schemaRef ds:uri="8c566321-f672-4e06-a901-b5e72b4c4357"/>
    <ds:schemaRef ds:uri="01d2705b-266c-471f-bbad-ca9cc3733704"/>
    <ds:schemaRef ds:uri="9f3f92a8-473c-4608-bac3-6eb86d935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EAD679-E39D-4E8B-B375-858A34B51576}">
  <ds:schemaRefs>
    <ds:schemaRef ds:uri="http://schemas.microsoft.com/sharepoint/v3/contenttype/forms"/>
  </ds:schemaRefs>
</ds:datastoreItem>
</file>

<file path=customXml/itemProps4.xml><?xml version="1.0" encoding="utf-8"?>
<ds:datastoreItem xmlns:ds="http://schemas.openxmlformats.org/officeDocument/2006/customXml" ds:itemID="{A9C47F2F-3FFB-4B44-B63B-E8CD22D473C2}">
  <ds:schemaRefs>
    <ds:schemaRef ds:uri="http://schemas.microsoft.com/sharepoint/events"/>
  </ds:schemaRefs>
</ds:datastoreItem>
</file>

<file path=customXml/itemProps5.xml><?xml version="1.0" encoding="utf-8"?>
<ds:datastoreItem xmlns:ds="http://schemas.openxmlformats.org/officeDocument/2006/customXml" ds:itemID="{7C11684E-26B5-41EB-A948-0F2AED55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2199</Words>
  <Characters>11776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TPSPB Pension Board Legal Requirements</vt:lpstr>
    </vt:vector>
  </TitlesOfParts>
  <Company>Department for Education</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TPSPB Pension Board Legal Requirements</dc:title>
  <dc:creator>ICHANDA</dc:creator>
  <cp:lastModifiedBy>CAMMACK, Karen</cp:lastModifiedBy>
  <cp:revision>2</cp:revision>
  <cp:lastPrinted>2014-06-04T10:33:00Z</cp:lastPrinted>
  <dcterms:created xsi:type="dcterms:W3CDTF">2019-02-21T14:46:00Z</dcterms:created>
  <dcterms:modified xsi:type="dcterms:W3CDTF">2019-02-21T14:46:00Z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0x0101003D8DE97B5F6A5E4385284C1FFBEDADD60A0074FC6A40DEF49A42854E2B8AB62CDEE6</vt:lpwstr>
  </property>
  <property fmtid="{D5CDD505-2E9C-101B-9397-08002B2CF9AE}" pid="4" name="IWPGroupOOB">
    <vt:lpwstr>Communications Directorate</vt:lpwstr>
  </property>
  <property fmtid="{D5CDD505-2E9C-101B-9397-08002B2CF9AE}" pid="5" name="SecurityClassification">
    <vt:lpwstr/>
  </property>
  <property fmtid="{D5CDD505-2E9C-101B-9397-08002B2CF9AE}" pid="6" name="Function2">
    <vt:lpwstr/>
  </property>
  <property fmtid="{D5CDD505-2E9C-101B-9397-08002B2CF9AE}" pid="7" name="DocumentStatus">
    <vt:lpwstr/>
  </property>
  <property fmtid="{D5CDD505-2E9C-101B-9397-08002B2CF9AE}" pid="8" name="Function2OOB">
    <vt:lpwstr/>
  </property>
  <property fmtid="{D5CDD505-2E9C-101B-9397-08002B2CF9AE}" pid="9" name="OwnerOOB">
    <vt:lpwstr>Marketing</vt:lpwstr>
  </property>
  <property fmtid="{D5CDD505-2E9C-101B-9397-08002B2CF9AE}" pid="10" name="DCSFContributor">
    <vt:lpwstr/>
  </property>
  <property fmtid="{D5CDD505-2E9C-101B-9397-08002B2CF9AE}" pid="11" name="SiteTypeOOB">
    <vt:lpwstr>Directorate</vt:lpwstr>
  </property>
  <property fmtid="{D5CDD505-2E9C-101B-9397-08002B2CF9AE}" pid="12" name="DocumentStatusOOB">
    <vt:lpwstr>draft</vt:lpwstr>
  </property>
  <property fmtid="{D5CDD505-2E9C-101B-9397-08002B2CF9AE}" pid="13" name="Owner">
    <vt:lpwstr/>
  </property>
  <property fmtid="{D5CDD505-2E9C-101B-9397-08002B2CF9AE}" pid="14" name="SecurityClassificationOOB">
    <vt:lpwstr>unclassified</vt:lpwstr>
  </property>
  <property fmtid="{D5CDD505-2E9C-101B-9397-08002B2CF9AE}" pid="15" name="DocumentSubject">
    <vt:lpwstr/>
  </property>
  <property fmtid="{D5CDD505-2E9C-101B-9397-08002B2CF9AE}" pid="16" name="Description">
    <vt:lpwstr/>
  </property>
  <property fmtid="{D5CDD505-2E9C-101B-9397-08002B2CF9AE}" pid="17" name="SiteType">
    <vt:lpwstr/>
  </property>
  <property fmtid="{D5CDD505-2E9C-101B-9397-08002B2CF9AE}" pid="18" name="DocumentSubjectOOB">
    <vt:lpwstr>;#Regulations;#</vt:lpwstr>
  </property>
  <property fmtid="{D5CDD505-2E9C-101B-9397-08002B2CF9AE}" pid="19" name="_dlc_DocIdItemGuid">
    <vt:lpwstr>8e8eeb09-eb17-41c4-a789-7b3fc8253090</vt:lpwstr>
  </property>
  <property fmtid="{D5CDD505-2E9C-101B-9397-08002B2CF9AE}" pid="20" name="IWPOrganisationalUnit">
    <vt:lpwstr>2;#DfE|cc08a6d4-dfde-4d0f-bd85-069ebcef80d5</vt:lpwstr>
  </property>
  <property fmtid="{D5CDD505-2E9C-101B-9397-08002B2CF9AE}" pid="21" name="IWPOwner">
    <vt:lpwstr>3;#DfE|a484111e-5b24-4ad9-9778-c536c8c88985</vt:lpwstr>
  </property>
  <property fmtid="{D5CDD505-2E9C-101B-9397-08002B2CF9AE}" pid="22" name="IWPSubject">
    <vt:lpwstr/>
  </property>
  <property fmtid="{D5CDD505-2E9C-101B-9397-08002B2CF9AE}" pid="23" name="IWPFunction">
    <vt:lpwstr/>
  </property>
  <property fmtid="{D5CDD505-2E9C-101B-9397-08002B2CF9AE}" pid="24" name="IWPSiteType">
    <vt:lpwstr/>
  </property>
  <property fmtid="{D5CDD505-2E9C-101B-9397-08002B2CF9AE}" pid="25" name="IWPRightsProtectiveMarking">
    <vt:lpwstr>1;#Official|0884c477-2e62-47ea-b19c-5af6e91124c5</vt:lpwstr>
  </property>
  <property fmtid="{D5CDD505-2E9C-101B-9397-08002B2CF9AE}" pid="26" name="AuthorIds_UIVersion_3">
    <vt:lpwstr>954</vt:lpwstr>
  </property>
</Properties>
</file>