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26B0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  <w:r w:rsidRPr="00102E53">
        <w:rPr>
          <w:rFonts w:ascii="Arial" w:eastAsia="Times New Roman" w:hAnsi="Arial" w:cs="Arial"/>
          <w:b/>
          <w:kern w:val="0"/>
          <w14:ligatures w14:val="none"/>
        </w:rPr>
        <w:t>Teachers’ Pension Scheme Pension Board (TPSPB)</w:t>
      </w:r>
    </w:p>
    <w:p w14:paraId="7B1F1749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  <w:r w:rsidRPr="00102E53">
        <w:rPr>
          <w:rFonts w:ascii="Arial" w:eastAsia="Times New Roman" w:hAnsi="Arial" w:cs="Arial"/>
          <w:b/>
          <w:kern w:val="0"/>
          <w14:ligatures w14:val="none"/>
        </w:rPr>
        <w:t>Managing Risk &amp; Internal Controls Sub-Committee</w:t>
      </w:r>
    </w:p>
    <w:p w14:paraId="72CD3431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p w14:paraId="45583290" w14:textId="70561566" w:rsidR="00102E53" w:rsidRPr="00102E53" w:rsidRDefault="0049557F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>1</w:t>
      </w:r>
      <w:r w:rsidR="007B113C">
        <w:rPr>
          <w:rFonts w:ascii="Arial" w:eastAsia="Times New Roman" w:hAnsi="Arial" w:cs="Arial"/>
          <w:b/>
          <w:kern w:val="0"/>
          <w14:ligatures w14:val="none"/>
        </w:rPr>
        <w:t>1 December</w:t>
      </w:r>
      <w:r w:rsidR="00102E53" w:rsidRPr="00102E53">
        <w:rPr>
          <w:rFonts w:ascii="Arial" w:eastAsia="Times New Roman" w:hAnsi="Arial" w:cs="Arial"/>
          <w:b/>
          <w:kern w:val="0"/>
          <w14:ligatures w14:val="none"/>
        </w:rPr>
        <w:t xml:space="preserve"> 2024 </w:t>
      </w:r>
      <w:r w:rsidR="00BC2503">
        <w:rPr>
          <w:rFonts w:ascii="Arial" w:eastAsia="Times New Roman" w:hAnsi="Arial" w:cs="Arial"/>
          <w:b/>
          <w:kern w:val="0"/>
          <w14:ligatures w14:val="none"/>
        </w:rPr>
        <w:t>- Via Teams</w:t>
      </w:r>
    </w:p>
    <w:p w14:paraId="63989467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tbl>
      <w:tblPr>
        <w:tblStyle w:val="TableGrid"/>
        <w:tblW w:w="9666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3287"/>
        <w:gridCol w:w="6379"/>
      </w:tblGrid>
      <w:tr w:rsidR="00267177" w:rsidRPr="00102E53" w14:paraId="4A190708" w14:textId="77777777" w:rsidTr="009A6A38">
        <w:tc>
          <w:tcPr>
            <w:tcW w:w="3287" w:type="dxa"/>
            <w:shd w:val="clear" w:color="auto" w:fill="D9D9D9"/>
          </w:tcPr>
          <w:p w14:paraId="6F82284E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102E53">
              <w:rPr>
                <w:rFonts w:ascii="Arial" w:hAnsi="Arial" w:cs="Arial"/>
                <w:b/>
              </w:rPr>
              <w:t>Present: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</w:tcPr>
          <w:p w14:paraId="6F511FF6" w14:textId="77777777" w:rsidR="00267177" w:rsidRPr="00102E53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267177" w:rsidRPr="00102E53" w14:paraId="7CD49555" w14:textId="77777777" w:rsidTr="009A6A38">
        <w:tc>
          <w:tcPr>
            <w:tcW w:w="3287" w:type="dxa"/>
          </w:tcPr>
          <w:p w14:paraId="3D2FAD8D" w14:textId="77777777" w:rsidR="00267177" w:rsidRPr="00486CF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Susan Anyan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C66C" w14:textId="77777777" w:rsidR="00267177" w:rsidRPr="00486CF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Independent Pension Specialist - Chair</w:t>
            </w:r>
          </w:p>
        </w:tc>
      </w:tr>
      <w:tr w:rsidR="00267177" w:rsidRPr="00102E53" w14:paraId="348A0C7B" w14:textId="77777777" w:rsidTr="009A6A38">
        <w:tc>
          <w:tcPr>
            <w:tcW w:w="3287" w:type="dxa"/>
          </w:tcPr>
          <w:p w14:paraId="0271DB03" w14:textId="77777777" w:rsidR="00267177" w:rsidRPr="00486CF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Susan Fielden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2C0" w14:textId="77777777" w:rsidR="00267177" w:rsidRPr="00486CF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Employer Representative</w:t>
            </w:r>
          </w:p>
        </w:tc>
      </w:tr>
      <w:tr w:rsidR="00267177" w:rsidRPr="00102E53" w14:paraId="7BD8F4DE" w14:textId="77777777" w:rsidTr="009A6A38">
        <w:tc>
          <w:tcPr>
            <w:tcW w:w="3287" w:type="dxa"/>
          </w:tcPr>
          <w:p w14:paraId="2F0DAB6B" w14:textId="77777777" w:rsidR="00267177" w:rsidRPr="00486CF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Maria Chondrogianni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E74" w14:textId="079D45C0" w:rsidR="00267177" w:rsidRPr="00486CF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Member Representative </w:t>
            </w:r>
          </w:p>
        </w:tc>
      </w:tr>
      <w:tr w:rsidR="00267177" w:rsidRPr="00102E53" w14:paraId="0CBC9538" w14:textId="77777777" w:rsidTr="009A6A38">
        <w:tc>
          <w:tcPr>
            <w:tcW w:w="3287" w:type="dxa"/>
          </w:tcPr>
          <w:p w14:paraId="4D36F00B" w14:textId="77777777" w:rsidR="00267177" w:rsidRPr="00486CF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Lisa Sproats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887" w14:textId="77777777" w:rsidR="00267177" w:rsidRPr="00486CF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Employer Representative</w:t>
            </w:r>
          </w:p>
        </w:tc>
      </w:tr>
      <w:tr w:rsidR="00267177" w:rsidRPr="00102E53" w14:paraId="19422637" w14:textId="77777777" w:rsidTr="009A6A38">
        <w:tc>
          <w:tcPr>
            <w:tcW w:w="3287" w:type="dxa"/>
          </w:tcPr>
          <w:p w14:paraId="39B5324D" w14:textId="77777777" w:rsidR="00267177" w:rsidRPr="00486CF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John McGill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D36" w14:textId="77777777" w:rsidR="00267177" w:rsidRPr="00486CF9" w:rsidRDefault="0026717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Member Representative</w:t>
            </w:r>
          </w:p>
        </w:tc>
      </w:tr>
      <w:tr w:rsidR="00267177" w:rsidRPr="00102E53" w14:paraId="25ABA9EA" w14:textId="77777777" w:rsidTr="009A6A38">
        <w:tc>
          <w:tcPr>
            <w:tcW w:w="3287" w:type="dxa"/>
            <w:shd w:val="clear" w:color="auto" w:fill="auto"/>
          </w:tcPr>
          <w:p w14:paraId="2D3C012B" w14:textId="1F636B52" w:rsidR="00267177" w:rsidRPr="00486CF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Michael Collier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9679" w14:textId="0C5E537B" w:rsidR="00267177" w:rsidRPr="00486CF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Member Representative</w:t>
            </w:r>
          </w:p>
        </w:tc>
      </w:tr>
      <w:tr w:rsidR="00267177" w:rsidRPr="00102E53" w14:paraId="5579C27B" w14:textId="77777777" w:rsidTr="009A6A38">
        <w:tc>
          <w:tcPr>
            <w:tcW w:w="3287" w:type="dxa"/>
          </w:tcPr>
          <w:p w14:paraId="2F3228F9" w14:textId="09C7402C" w:rsidR="00267177" w:rsidRPr="00486CF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Andrew Carter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F9A" w14:textId="3BF5888A" w:rsidR="00267177" w:rsidRPr="00486CF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TP Governance Manager</w:t>
            </w:r>
          </w:p>
        </w:tc>
      </w:tr>
      <w:tr w:rsidR="00267177" w:rsidRPr="00102E53" w14:paraId="1B90DF44" w14:textId="77777777" w:rsidTr="009A6A38">
        <w:tc>
          <w:tcPr>
            <w:tcW w:w="3287" w:type="dxa"/>
          </w:tcPr>
          <w:p w14:paraId="19C0BEDC" w14:textId="77777777" w:rsidR="00267177" w:rsidRPr="00486CF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Anna-Marie Alderson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E37" w14:textId="77777777" w:rsidR="00267177" w:rsidRPr="00486CF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DfE TPS Senior Contract Manager</w:t>
            </w:r>
          </w:p>
        </w:tc>
      </w:tr>
      <w:tr w:rsidR="00267177" w:rsidRPr="00102E53" w14:paraId="10D7959F" w14:textId="77777777" w:rsidTr="009A6A38">
        <w:tc>
          <w:tcPr>
            <w:tcW w:w="3287" w:type="dxa"/>
          </w:tcPr>
          <w:p w14:paraId="1FD1F545" w14:textId="77777777" w:rsidR="00267177" w:rsidRPr="00486CF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Richard Lees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912" w14:textId="5948DC4C" w:rsidR="00267177" w:rsidRPr="00486CF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DfE TPS </w:t>
            </w:r>
            <w:r w:rsidR="00C37A49" w:rsidRPr="00486CF9">
              <w:rPr>
                <w:rFonts w:ascii="Arial" w:hAnsi="Arial" w:cs="Arial"/>
                <w:sz w:val="22"/>
                <w:szCs w:val="22"/>
              </w:rPr>
              <w:t xml:space="preserve">Senior </w:t>
            </w:r>
            <w:r w:rsidRPr="00486CF9">
              <w:rPr>
                <w:rFonts w:ascii="Arial" w:hAnsi="Arial" w:cs="Arial"/>
                <w:sz w:val="22"/>
                <w:szCs w:val="22"/>
              </w:rPr>
              <w:t>Contract Manager</w:t>
            </w:r>
          </w:p>
        </w:tc>
      </w:tr>
      <w:tr w:rsidR="00267177" w:rsidRPr="00102E53" w14:paraId="510253CC" w14:textId="77777777" w:rsidTr="009A6A38">
        <w:tc>
          <w:tcPr>
            <w:tcW w:w="3287" w:type="dxa"/>
          </w:tcPr>
          <w:p w14:paraId="3993B6A0" w14:textId="77777777" w:rsidR="00267177" w:rsidRPr="00486CF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Matthew McNaughton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500" w14:textId="77777777" w:rsidR="00267177" w:rsidRPr="00486CF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DfE Head of Programme Management</w:t>
            </w:r>
          </w:p>
        </w:tc>
      </w:tr>
      <w:tr w:rsidR="00267177" w:rsidRPr="00102E53" w14:paraId="1D598A91" w14:textId="77777777" w:rsidTr="009A6A38">
        <w:tc>
          <w:tcPr>
            <w:tcW w:w="3287" w:type="dxa"/>
          </w:tcPr>
          <w:p w14:paraId="2FE42F70" w14:textId="3505D6FB" w:rsidR="00267177" w:rsidRPr="00486CF9" w:rsidRDefault="00EF0338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Charlotte Wilson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3EB" w14:textId="77777777" w:rsidR="00267177" w:rsidRPr="00486CF9" w:rsidRDefault="00267177" w:rsidP="007D56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DfE Secretariat Team Leader</w:t>
            </w:r>
          </w:p>
        </w:tc>
      </w:tr>
      <w:tr w:rsidR="00267177" w:rsidRPr="00102E53" w14:paraId="4CADAE89" w14:textId="77777777" w:rsidTr="009A6A38">
        <w:tc>
          <w:tcPr>
            <w:tcW w:w="3287" w:type="dxa"/>
          </w:tcPr>
          <w:p w14:paraId="0F259FBD" w14:textId="7CE16791" w:rsidR="00267177" w:rsidRPr="00486CF9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Abbie Myles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EF1" w14:textId="2D666CBC" w:rsidR="00267177" w:rsidRPr="00486CF9" w:rsidRDefault="00267177" w:rsidP="008520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DfE Secretariat</w:t>
            </w:r>
          </w:p>
        </w:tc>
      </w:tr>
      <w:tr w:rsidR="00EF0338" w:rsidRPr="00102E53" w14:paraId="12AD7C00" w14:textId="77777777" w:rsidTr="009A6A38">
        <w:tc>
          <w:tcPr>
            <w:tcW w:w="3287" w:type="dxa"/>
          </w:tcPr>
          <w:p w14:paraId="469F40B0" w14:textId="20F3EDBD" w:rsidR="00EF0338" w:rsidRPr="00486CF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Loraine Dodds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A8F" w14:textId="48F4237B" w:rsidR="00EF0338" w:rsidRPr="00486CF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DfE Secretariat </w:t>
            </w:r>
          </w:p>
        </w:tc>
      </w:tr>
      <w:tr w:rsidR="00EF0338" w:rsidRPr="00102E53" w14:paraId="480399DF" w14:textId="77777777" w:rsidTr="009A6A38">
        <w:tc>
          <w:tcPr>
            <w:tcW w:w="3287" w:type="dxa"/>
            <w:shd w:val="clear" w:color="auto" w:fill="D9D9D9"/>
          </w:tcPr>
          <w:p w14:paraId="48550AE6" w14:textId="77777777" w:rsidR="00EF0338" w:rsidRPr="00486CF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bCs/>
                <w:sz w:val="22"/>
                <w:szCs w:val="22"/>
              </w:rPr>
              <w:t>Observers: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9002AF" w14:textId="77777777" w:rsidR="00EF0338" w:rsidRPr="00486CF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338" w:rsidRPr="00102E53" w14:paraId="4FC4DECC" w14:textId="77777777" w:rsidTr="009A6A38">
        <w:tc>
          <w:tcPr>
            <w:tcW w:w="3287" w:type="dxa"/>
            <w:shd w:val="clear" w:color="auto" w:fill="auto"/>
          </w:tcPr>
          <w:p w14:paraId="4D32D970" w14:textId="30DEC339" w:rsidR="00EF0338" w:rsidRPr="00486CF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Alan Taylor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28B" w14:textId="20EED90A" w:rsidR="00EF0338" w:rsidRPr="00486CF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TPSPB Chair</w:t>
            </w:r>
          </w:p>
        </w:tc>
      </w:tr>
      <w:tr w:rsidR="00EF0338" w:rsidRPr="00102E53" w14:paraId="1CF5BB23" w14:textId="77777777" w:rsidTr="009A6A38">
        <w:tc>
          <w:tcPr>
            <w:tcW w:w="3287" w:type="dxa"/>
          </w:tcPr>
          <w:p w14:paraId="4EA4170B" w14:textId="6AEE1503" w:rsidR="00EF0338" w:rsidRPr="00486CF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Zaheer Patel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029" w14:textId="76C6B093" w:rsidR="00EF0338" w:rsidRPr="00486CF9" w:rsidRDefault="00EF03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DfE Contract Management Team</w:t>
            </w:r>
          </w:p>
        </w:tc>
      </w:tr>
      <w:tr w:rsidR="00EF0338" w:rsidRPr="00102E53" w14:paraId="3032FAC7" w14:textId="77777777" w:rsidTr="009A6A38">
        <w:tc>
          <w:tcPr>
            <w:tcW w:w="3287" w:type="dxa"/>
          </w:tcPr>
          <w:p w14:paraId="79876504" w14:textId="0E554C80" w:rsidR="00EF0338" w:rsidRPr="00486CF9" w:rsidRDefault="00930A63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Jackie Garside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E2D" w14:textId="76DB2EC5" w:rsidR="00EF0338" w:rsidRPr="00486CF9" w:rsidRDefault="00AF7072" w:rsidP="00AF707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DfE Senior Finance Manager</w:t>
            </w:r>
          </w:p>
        </w:tc>
      </w:tr>
      <w:tr w:rsidR="00EF0338" w:rsidRPr="00102E53" w14:paraId="68AC4682" w14:textId="77777777" w:rsidTr="009A6A38">
        <w:tc>
          <w:tcPr>
            <w:tcW w:w="3287" w:type="dxa"/>
          </w:tcPr>
          <w:p w14:paraId="32D165FF" w14:textId="199C6EF9" w:rsidR="00EF0338" w:rsidRPr="00486CF9" w:rsidRDefault="00930A63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Judith Kirby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B87C" w14:textId="1F8EBF3C" w:rsidR="00EF0338" w:rsidRPr="00486CF9" w:rsidRDefault="009A6A38" w:rsidP="00EF03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DfE </w:t>
            </w:r>
            <w:r w:rsidR="00AF7072" w:rsidRPr="00486CF9">
              <w:rPr>
                <w:rFonts w:ascii="Arial" w:hAnsi="Arial" w:cs="Arial"/>
                <w:sz w:val="22"/>
                <w:szCs w:val="22"/>
              </w:rPr>
              <w:t>Contract Management Team</w:t>
            </w:r>
          </w:p>
        </w:tc>
      </w:tr>
    </w:tbl>
    <w:p w14:paraId="7587207F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p w14:paraId="5BF6B0A8" w14:textId="77777777" w:rsidR="00102E53" w:rsidRPr="00102E53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7088"/>
        <w:gridCol w:w="1559"/>
      </w:tblGrid>
      <w:tr w:rsidR="00102E53" w:rsidRPr="00102E53" w14:paraId="3724C117" w14:textId="77777777" w:rsidTr="0E6467FF">
        <w:tc>
          <w:tcPr>
            <w:tcW w:w="1135" w:type="dxa"/>
            <w:shd w:val="clear" w:color="auto" w:fill="F2F2F2" w:themeFill="background1" w:themeFillShade="F2"/>
          </w:tcPr>
          <w:p w14:paraId="21E3F513" w14:textId="77777777" w:rsidR="00102E53" w:rsidRPr="00102E53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14:paraId="413D9DCA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3DB1796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102E53" w:rsidRPr="00486CF9" w14:paraId="751E4A27" w14:textId="77777777" w:rsidTr="0E6467FF">
        <w:trPr>
          <w:trHeight w:val="786"/>
        </w:trPr>
        <w:tc>
          <w:tcPr>
            <w:tcW w:w="1135" w:type="dxa"/>
          </w:tcPr>
          <w:p w14:paraId="181062E7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Agenda Item 1</w:t>
            </w:r>
          </w:p>
        </w:tc>
        <w:tc>
          <w:tcPr>
            <w:tcW w:w="7088" w:type="dxa"/>
          </w:tcPr>
          <w:p w14:paraId="47AEFFB3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Welcome and apologies:</w:t>
            </w:r>
          </w:p>
          <w:p w14:paraId="1F945051" w14:textId="4BD02244" w:rsidR="00102E53" w:rsidRPr="00486CF9" w:rsidRDefault="00102E53" w:rsidP="00E23B5B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SA welcomed the attendees, </w:t>
            </w:r>
            <w:r w:rsidR="00C3208D" w:rsidRPr="00486CF9">
              <w:rPr>
                <w:rFonts w:ascii="Arial" w:hAnsi="Arial" w:cs="Arial"/>
                <w:bCs/>
                <w:sz w:val="22"/>
                <w:szCs w:val="22"/>
              </w:rPr>
              <w:t xml:space="preserve">including </w:t>
            </w:r>
            <w:r w:rsidR="00DB03F6" w:rsidRPr="00486CF9">
              <w:rPr>
                <w:rFonts w:ascii="Arial" w:hAnsi="Arial" w:cs="Arial"/>
                <w:bCs/>
                <w:sz w:val="22"/>
                <w:szCs w:val="22"/>
              </w:rPr>
              <w:t>Alan Taylor</w:t>
            </w:r>
            <w:r w:rsidR="0002724E" w:rsidRPr="00486CF9">
              <w:rPr>
                <w:rFonts w:ascii="Arial" w:hAnsi="Arial" w:cs="Arial"/>
                <w:bCs/>
                <w:sz w:val="22"/>
                <w:szCs w:val="22"/>
              </w:rPr>
              <w:t xml:space="preserve">, Charlotte Wilson, </w:t>
            </w:r>
            <w:r w:rsidR="00BB4C02" w:rsidRPr="00486CF9">
              <w:rPr>
                <w:rFonts w:ascii="Arial" w:hAnsi="Arial" w:cs="Arial"/>
                <w:bCs/>
                <w:sz w:val="22"/>
                <w:szCs w:val="22"/>
              </w:rPr>
              <w:t>Zaheer Patel</w:t>
            </w:r>
            <w:r w:rsidR="00930A63" w:rsidRPr="00486CF9">
              <w:rPr>
                <w:rFonts w:ascii="Arial" w:hAnsi="Arial" w:cs="Arial"/>
                <w:bCs/>
                <w:sz w:val="22"/>
                <w:szCs w:val="22"/>
              </w:rPr>
              <w:t xml:space="preserve">, Jackie Garside and </w:t>
            </w:r>
            <w:r w:rsidR="0002724E" w:rsidRPr="00486CF9">
              <w:rPr>
                <w:rFonts w:ascii="Arial" w:hAnsi="Arial" w:cs="Arial"/>
                <w:bCs/>
                <w:sz w:val="22"/>
                <w:szCs w:val="22"/>
              </w:rPr>
              <w:t>Judith Kirby</w:t>
            </w:r>
            <w:r w:rsidR="00BB4C02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8451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who were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observing the meeting.</w:t>
            </w:r>
          </w:p>
          <w:p w14:paraId="66F41FE3" w14:textId="5713ADB7" w:rsidR="0002724E" w:rsidRPr="00486CF9" w:rsidRDefault="0002724E" w:rsidP="00E23B5B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No apologies were noted.</w:t>
            </w:r>
          </w:p>
          <w:p w14:paraId="12455463" w14:textId="77777777" w:rsidR="00102E53" w:rsidRDefault="00893667" w:rsidP="00893667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The minutes from September 18 were reviewed and approved without changes.</w:t>
            </w:r>
          </w:p>
          <w:p w14:paraId="2286A386" w14:textId="4229EADC" w:rsidR="009F1C12" w:rsidRPr="00486CF9" w:rsidRDefault="009F1C12" w:rsidP="009F1C1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3C1C28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710E127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D9A7EF7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B05B5DB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486CF9" w14:paraId="4F2DE408" w14:textId="77777777" w:rsidTr="0E6467FF">
        <w:trPr>
          <w:trHeight w:val="786"/>
        </w:trPr>
        <w:tc>
          <w:tcPr>
            <w:tcW w:w="1135" w:type="dxa"/>
          </w:tcPr>
          <w:p w14:paraId="260FB1D5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Agenda Item 2</w:t>
            </w:r>
          </w:p>
        </w:tc>
        <w:tc>
          <w:tcPr>
            <w:tcW w:w="7088" w:type="dxa"/>
          </w:tcPr>
          <w:p w14:paraId="4325EF00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 xml:space="preserve">Actions from the previous meeting: </w:t>
            </w:r>
          </w:p>
          <w:p w14:paraId="191B20C9" w14:textId="7CE7393B" w:rsidR="009D25ED" w:rsidRPr="00486CF9" w:rsidRDefault="00D331E6" w:rsidP="009D25ED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MR2/180924 – End of Year Certificates</w:t>
            </w:r>
            <w:r w:rsidR="005B3551" w:rsidRPr="00486CF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(EOYC)</w:t>
            </w:r>
            <w:r w:rsidRPr="00486CF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9D25ED" w:rsidRPr="00486CF9">
              <w:rPr>
                <w:rFonts w:ascii="Arial" w:hAnsi="Arial" w:cs="Arial"/>
                <w:bCs/>
                <w:sz w:val="22"/>
                <w:szCs w:val="22"/>
              </w:rPr>
              <w:t>The only action remaining open from the previous meeting is MR2, concerning the deadline for the 2023/24 exercise.</w:t>
            </w:r>
          </w:p>
          <w:p w14:paraId="220CA680" w14:textId="4D35531B" w:rsidR="009D25ED" w:rsidRPr="00486CF9" w:rsidRDefault="009D25ED" w:rsidP="009D25ED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Guidance regarding </w:t>
            </w:r>
            <w:r w:rsidR="006472C3"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EOYC process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has </w:t>
            </w:r>
            <w:r w:rsidR="007919D9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also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been shared with members since the last meeting.</w:t>
            </w:r>
          </w:p>
          <w:p w14:paraId="4A01A196" w14:textId="557CCAA8" w:rsidR="009D25ED" w:rsidRPr="00486CF9" w:rsidRDefault="0041656E" w:rsidP="009D25ED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r w:rsidR="009D25ED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table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has been updated</w:t>
            </w:r>
            <w:r w:rsidR="009D25ED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to provide clarity around some of the statistics.</w:t>
            </w:r>
          </w:p>
          <w:p w14:paraId="64988FFB" w14:textId="1350890A" w:rsidR="009D25ED" w:rsidRPr="00486CF9" w:rsidRDefault="009D25ED" w:rsidP="00DC6C75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2023/24 exercise has split deadlines for local authorities and other parties </w:t>
            </w:r>
            <w:r w:rsidR="00036B26" w:rsidRPr="00486CF9">
              <w:rPr>
                <w:rFonts w:ascii="Arial" w:hAnsi="Arial" w:cs="Arial"/>
                <w:bCs/>
                <w:sz w:val="22"/>
                <w:szCs w:val="22"/>
              </w:rPr>
              <w:t>and a</w:t>
            </w:r>
            <w:r w:rsidR="00DC6C75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brief line has been included </w:t>
            </w:r>
            <w:r w:rsidR="006A4BCA" w:rsidRPr="00486CF9">
              <w:rPr>
                <w:rFonts w:ascii="Arial" w:hAnsi="Arial" w:cs="Arial"/>
                <w:bCs/>
                <w:sz w:val="22"/>
                <w:szCs w:val="22"/>
              </w:rPr>
              <w:t xml:space="preserve">in the QR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to explain </w:t>
            </w:r>
            <w:r w:rsidR="006A4BCA" w:rsidRPr="00486CF9">
              <w:rPr>
                <w:rFonts w:ascii="Arial" w:hAnsi="Arial" w:cs="Arial"/>
                <w:bCs/>
                <w:sz w:val="22"/>
                <w:szCs w:val="22"/>
              </w:rPr>
              <w:t>that the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first exercise deadline fell midway through the reporting period.</w:t>
            </w:r>
            <w:r w:rsidR="000042E8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The second exercise deadline was in November.</w:t>
            </w:r>
            <w:r w:rsidR="000042E8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As a result, figures consistent with those in the table could not be provided.</w:t>
            </w:r>
          </w:p>
          <w:p w14:paraId="2B4D1CE6" w14:textId="7F3C403D" w:rsidR="00C22BB0" w:rsidRPr="00486CF9" w:rsidRDefault="00D0285A" w:rsidP="009D25ED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A fuller update will be provided in the next </w:t>
            </w:r>
            <w:r w:rsidR="00AC4D63" w:rsidRPr="00486CF9">
              <w:rPr>
                <w:rFonts w:ascii="Arial" w:hAnsi="Arial" w:cs="Arial"/>
                <w:bCs/>
                <w:sz w:val="22"/>
                <w:szCs w:val="22"/>
              </w:rPr>
              <w:t>quarte</w:t>
            </w:r>
            <w:r w:rsidR="00DC3366" w:rsidRPr="00486CF9">
              <w:rPr>
                <w:rFonts w:ascii="Arial" w:hAnsi="Arial" w:cs="Arial"/>
                <w:bCs/>
                <w:sz w:val="22"/>
                <w:szCs w:val="22"/>
              </w:rPr>
              <w:t>rly report</w:t>
            </w:r>
            <w:r w:rsidR="00AC4D63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following the conclusion of the EOYC exercise.</w:t>
            </w:r>
          </w:p>
        </w:tc>
        <w:tc>
          <w:tcPr>
            <w:tcW w:w="1559" w:type="dxa"/>
          </w:tcPr>
          <w:p w14:paraId="2B3980B9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5E11E8" w14:textId="77777777" w:rsidR="005372B8" w:rsidRPr="00486CF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7BE4479" w14:textId="77777777" w:rsidR="005372B8" w:rsidRPr="00486CF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A11B695" w14:textId="77777777" w:rsidR="005372B8" w:rsidRPr="00486CF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8F0D14" w14:textId="77777777" w:rsidR="005372B8" w:rsidRPr="00486CF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2E89893" w14:textId="77777777" w:rsidR="005372B8" w:rsidRPr="00486CF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52FFB26" w14:textId="77777777" w:rsidR="005372B8" w:rsidRPr="00486CF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85A66FD" w14:textId="71EF7E37" w:rsidR="005372B8" w:rsidRPr="00486CF9" w:rsidRDefault="005372B8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486CF9" w14:paraId="4E130E6A" w14:textId="77777777" w:rsidTr="0E6467FF">
        <w:trPr>
          <w:trHeight w:val="1147"/>
        </w:trPr>
        <w:tc>
          <w:tcPr>
            <w:tcW w:w="1135" w:type="dxa"/>
          </w:tcPr>
          <w:p w14:paraId="2E91E4DE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lastRenderedPageBreak/>
              <w:t>Agenda Item 3</w:t>
            </w:r>
          </w:p>
          <w:p w14:paraId="2E05E9F2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33ECC5D4" w14:textId="77777777" w:rsidR="00102E53" w:rsidRPr="00486CF9" w:rsidRDefault="00102E53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Finance Update:</w:t>
            </w:r>
          </w:p>
          <w:p w14:paraId="06509CC3" w14:textId="28564387" w:rsidR="00857140" w:rsidRPr="00486CF9" w:rsidRDefault="00FA1806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End of Year Certificates (EOYC)</w:t>
            </w:r>
          </w:p>
          <w:p w14:paraId="788852F6" w14:textId="2C1C3D61" w:rsidR="00230124" w:rsidRPr="00486CF9" w:rsidRDefault="00230124" w:rsidP="00230124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B7464E" w:rsidRPr="00486CF9">
              <w:rPr>
                <w:rFonts w:ascii="Arial" w:hAnsi="Arial" w:cs="Arial"/>
                <w:bCs/>
                <w:sz w:val="22"/>
                <w:szCs w:val="22"/>
              </w:rPr>
              <w:t xml:space="preserve">Chair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referred committee members to paragraph 117 on page 26 of the quarterly report (Paper 5), which outlines the audit trail for points raised previously.</w:t>
            </w:r>
          </w:p>
          <w:p w14:paraId="30FD80F5" w14:textId="4C1E81B3" w:rsidR="00230124" w:rsidRPr="00486CF9" w:rsidRDefault="00B7464E" w:rsidP="00B7464E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DfE 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provided an update on </w:t>
            </w:r>
            <w:r w:rsidR="0004212E" w:rsidRPr="00486CF9">
              <w:rPr>
                <w:rFonts w:ascii="Arial" w:hAnsi="Arial" w:cs="Arial"/>
                <w:bCs/>
                <w:sz w:val="22"/>
                <w:szCs w:val="22"/>
              </w:rPr>
              <w:t>EOYCs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noting that work is nearing completion for the 2018/19 and 2019/20 exercises. </w:t>
            </w:r>
            <w:r w:rsidR="00D80B3B" w:rsidRPr="00486CF9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>fforts are focused on finali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ing returns from </w:t>
            </w:r>
            <w:r w:rsidR="003A5CCA" w:rsidRPr="00486CF9"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>employers. Once processed, the 2020/21 exercise will be prioriti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>ed.</w:t>
            </w:r>
          </w:p>
          <w:p w14:paraId="62C7F856" w14:textId="2281309E" w:rsidR="0082290A" w:rsidRPr="00486CF9" w:rsidRDefault="00230124" w:rsidP="00B7464E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wording in the report has been updated to reflect that the information is "validated," ensuring that the </w:t>
            </w:r>
            <w:r w:rsidR="003A5CCA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assurance provided by employers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in the </w:t>
            </w:r>
            <w:r w:rsidR="003A5CCA" w:rsidRPr="00486CF9">
              <w:rPr>
                <w:rFonts w:ascii="Arial" w:hAnsi="Arial" w:cs="Arial"/>
                <w:bCs/>
                <w:sz w:val="22"/>
                <w:szCs w:val="22"/>
              </w:rPr>
              <w:t>EOYC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matches the records in the TP systems. </w:t>
            </w:r>
          </w:p>
          <w:p w14:paraId="46D7E3B0" w14:textId="0FD14E21" w:rsidR="00230124" w:rsidRPr="00486CF9" w:rsidRDefault="0082290A" w:rsidP="00B7464E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sub-committee was 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>reassured that this is a reconciliation exercise with no significant exposure or risk</w:t>
            </w:r>
            <w:r w:rsidR="00C83B18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and that contributions had been received from </w:t>
            </w:r>
            <w:r w:rsidR="002E2652" w:rsidRPr="00486CF9">
              <w:rPr>
                <w:rFonts w:ascii="Arial" w:hAnsi="Arial" w:cs="Arial"/>
                <w:bCs/>
                <w:sz w:val="22"/>
                <w:szCs w:val="22"/>
              </w:rPr>
              <w:t>employers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7339CB10" w14:textId="210DEE42" w:rsidR="00230124" w:rsidRPr="00486CF9" w:rsidRDefault="009C2407" w:rsidP="009C2407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Concerns were raised </w:t>
            </w:r>
            <w:r w:rsidR="009F757B" w:rsidRPr="00486CF9">
              <w:rPr>
                <w:rFonts w:ascii="Arial" w:hAnsi="Arial" w:cs="Arial"/>
                <w:bCs/>
                <w:sz w:val="22"/>
                <w:szCs w:val="22"/>
              </w:rPr>
              <w:t xml:space="preserve">by one committee member 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about the costs </w:t>
            </w:r>
            <w:r w:rsidR="009F757B" w:rsidRPr="00486CF9">
              <w:rPr>
                <w:rFonts w:ascii="Arial" w:hAnsi="Arial" w:cs="Arial"/>
                <w:bCs/>
                <w:sz w:val="22"/>
                <w:szCs w:val="22"/>
              </w:rPr>
              <w:t xml:space="preserve">incurred by employers in relation to </w:t>
            </w:r>
            <w:r w:rsidR="001157E8" w:rsidRPr="00486CF9">
              <w:rPr>
                <w:rFonts w:ascii="Arial" w:hAnsi="Arial" w:cs="Arial"/>
                <w:bCs/>
                <w:sz w:val="22"/>
                <w:szCs w:val="22"/>
              </w:rPr>
              <w:t>EOYC</w:t>
            </w:r>
            <w:r w:rsidR="009F757B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audits</w:t>
            </w:r>
            <w:r w:rsidR="001157E8" w:rsidRPr="00486CF9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1633B21" w14:textId="52B9CD55" w:rsidR="000042E8" w:rsidRPr="00486CF9" w:rsidRDefault="009C2407" w:rsidP="009C2407">
            <w:pPr>
              <w:pStyle w:val="ListParagraph"/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DfE 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acknowledged </w:t>
            </w:r>
            <w:r w:rsidR="00F457BB" w:rsidRPr="00486CF9">
              <w:rPr>
                <w:rFonts w:ascii="Arial" w:hAnsi="Arial" w:cs="Arial"/>
                <w:bCs/>
                <w:sz w:val="22"/>
                <w:szCs w:val="22"/>
              </w:rPr>
              <w:t>this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but emphasi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ed that the audit provides essential assurance for the </w:t>
            </w:r>
            <w:r w:rsidR="00042B6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TPS and the </w:t>
            </w:r>
            <w:r w:rsidR="00037EB7" w:rsidRPr="00486CF9">
              <w:rPr>
                <w:rFonts w:ascii="Arial" w:hAnsi="Arial" w:cs="Arial"/>
                <w:bCs/>
                <w:sz w:val="22"/>
                <w:szCs w:val="22"/>
              </w:rPr>
              <w:t>scheme</w:t>
            </w:r>
            <w:r w:rsidR="0023012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audit team. </w:t>
            </w:r>
          </w:p>
          <w:p w14:paraId="564BE4E9" w14:textId="77777777" w:rsidR="00E25768" w:rsidRPr="00486CF9" w:rsidRDefault="00E25768" w:rsidP="00E2576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4AD63D" w14:textId="0346CABE" w:rsidR="00857140" w:rsidRPr="00486CF9" w:rsidRDefault="00102E53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Annual Reports and Accounts (ARA)</w:t>
            </w:r>
          </w:p>
          <w:p w14:paraId="55476E98" w14:textId="0EF153A9" w:rsidR="00D4576A" w:rsidRPr="00486CF9" w:rsidRDefault="008C7A8E" w:rsidP="008C7A8E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DfE </w:t>
            </w:r>
            <w:r w:rsidR="009E1FE6" w:rsidRPr="00486CF9">
              <w:rPr>
                <w:rFonts w:ascii="Arial" w:hAnsi="Arial" w:cs="Arial"/>
                <w:bCs/>
                <w:sz w:val="22"/>
                <w:szCs w:val="22"/>
              </w:rPr>
              <w:t xml:space="preserve">had circulated the results of the </w:t>
            </w:r>
            <w:r w:rsidR="00FB2BDC" w:rsidRPr="00486CF9">
              <w:rPr>
                <w:rFonts w:ascii="Arial" w:hAnsi="Arial" w:cs="Arial"/>
                <w:bCs/>
                <w:sz w:val="22"/>
                <w:szCs w:val="22"/>
              </w:rPr>
              <w:t xml:space="preserve">2023/24 audit report to sub-committee members and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provided an update on audit planning </w:t>
            </w:r>
            <w:r w:rsidR="00FB2BDC" w:rsidRPr="00486CF9">
              <w:rPr>
                <w:rFonts w:ascii="Arial" w:hAnsi="Arial" w:cs="Arial"/>
                <w:bCs/>
                <w:sz w:val="22"/>
                <w:szCs w:val="22"/>
              </w:rPr>
              <w:t>for 2024/25</w:t>
            </w:r>
            <w:r w:rsidR="00037EB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(Page 25, Paper 5). </w:t>
            </w:r>
            <w:r w:rsidR="00CB349B" w:rsidRPr="00486CF9">
              <w:rPr>
                <w:rFonts w:ascii="Arial" w:hAnsi="Arial" w:cs="Arial"/>
                <w:bCs/>
                <w:sz w:val="22"/>
                <w:szCs w:val="22"/>
              </w:rPr>
              <w:t>As part of t</w:t>
            </w:r>
            <w:r w:rsidR="00C11B0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he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planning phase</w:t>
            </w:r>
            <w:r w:rsidR="00C11B0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="00CB349B" w:rsidRPr="00486CF9">
              <w:rPr>
                <w:rFonts w:ascii="Arial" w:hAnsi="Arial" w:cs="Arial"/>
                <w:bCs/>
                <w:sz w:val="22"/>
                <w:szCs w:val="22"/>
              </w:rPr>
              <w:t>a number of</w:t>
            </w:r>
            <w:proofErr w:type="gramEnd"/>
            <w:r w:rsidR="00CB349B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employers </w:t>
            </w:r>
            <w:r w:rsidR="0004651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had been identified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for contribution testing. These employers will be contacted soon</w:t>
            </w:r>
            <w:r w:rsidR="00DB116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to ‘warm them up’ to the audit requests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F251B4C" w14:textId="0D541D46" w:rsidR="006057CC" w:rsidRPr="00486CF9" w:rsidRDefault="006057CC" w:rsidP="006057C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governance structure is in place, with a </w:t>
            </w:r>
            <w:r w:rsidR="00046517"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teering </w:t>
            </w:r>
            <w:r w:rsidR="00046517" w:rsidRPr="00486CF9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oard </w:t>
            </w:r>
            <w:r w:rsidR="00EC2620" w:rsidRPr="00486CF9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="00DB116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including </w:t>
            </w:r>
            <w:r w:rsidR="00EC2620" w:rsidRPr="00486CF9">
              <w:rPr>
                <w:rFonts w:ascii="Arial" w:hAnsi="Arial" w:cs="Arial"/>
                <w:bCs/>
                <w:sz w:val="22"/>
                <w:szCs w:val="22"/>
              </w:rPr>
              <w:t xml:space="preserve">Peter </w:t>
            </w:r>
            <w:proofErr w:type="spellStart"/>
            <w:r w:rsidR="00EC2620" w:rsidRPr="00486CF9">
              <w:rPr>
                <w:rFonts w:ascii="Arial" w:hAnsi="Arial" w:cs="Arial"/>
                <w:bCs/>
                <w:sz w:val="22"/>
                <w:szCs w:val="22"/>
              </w:rPr>
              <w:t>Springhall</w:t>
            </w:r>
            <w:proofErr w:type="spellEnd"/>
            <w:r w:rsidR="00EC2620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as SRO -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and monthly </w:t>
            </w:r>
            <w:r w:rsidR="00046517" w:rsidRPr="00486CF9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orking </w:t>
            </w:r>
            <w:r w:rsidR="00046517" w:rsidRPr="00486CF9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roup meetings. Key documents, such as terms of reference and risk registers, are being finalised</w:t>
            </w:r>
            <w:r w:rsidR="00AD5F4A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and the expectation is that the project will</w:t>
            </w:r>
            <w:r w:rsidR="00D83201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(as usual)</w:t>
            </w:r>
            <w:r w:rsidR="00AD5F4A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deliver the accounts prior to </w:t>
            </w:r>
            <w:proofErr w:type="gramStart"/>
            <w:r w:rsidR="00D83201"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EC2620" w:rsidRPr="00486CF9">
              <w:rPr>
                <w:rFonts w:ascii="Arial" w:hAnsi="Arial" w:cs="Arial"/>
                <w:bCs/>
                <w:sz w:val="22"/>
                <w:szCs w:val="22"/>
              </w:rPr>
              <w:t>ummer</w:t>
            </w:r>
            <w:proofErr w:type="gramEnd"/>
            <w:r w:rsidR="00AD5F4A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recess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CDBAE90" w14:textId="26E009B8" w:rsidR="00CC70F7" w:rsidRPr="00486CF9" w:rsidRDefault="00AD5F4A" w:rsidP="00FA3197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6057CC" w:rsidRPr="00486CF9">
              <w:rPr>
                <w:rFonts w:ascii="Arial" w:hAnsi="Arial" w:cs="Arial"/>
                <w:bCs/>
                <w:sz w:val="22"/>
                <w:szCs w:val="22"/>
              </w:rPr>
              <w:t>he addition of a new audit lead and audit manager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was noted</w:t>
            </w:r>
            <w:r w:rsidR="006057CC" w:rsidRPr="00486CF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1D38073A" w14:textId="77777777" w:rsidR="00CC70F7" w:rsidRPr="00486CF9" w:rsidRDefault="00CC70F7" w:rsidP="00CC70F7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2B44EA" w14:textId="7536A461" w:rsidR="00102E53" w:rsidRPr="00486CF9" w:rsidRDefault="00102E53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Office for Budgetary Responsibility (OBR)</w:t>
            </w:r>
          </w:p>
          <w:p w14:paraId="76737832" w14:textId="7243755B" w:rsidR="00F30DAE" w:rsidRPr="00486CF9" w:rsidRDefault="00F30DAE" w:rsidP="00F30DAE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DfE updated on the October OBR submission, which was completed on time and </w:t>
            </w:r>
            <w:r w:rsidR="00105A0A" w:rsidRPr="00486CF9">
              <w:rPr>
                <w:rFonts w:ascii="Arial" w:hAnsi="Arial" w:cs="Arial"/>
                <w:bCs/>
                <w:sz w:val="22"/>
                <w:szCs w:val="22"/>
              </w:rPr>
              <w:t>published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with</w:t>
            </w:r>
            <w:r w:rsidR="00105A0A" w:rsidRPr="00486CF9">
              <w:rPr>
                <w:rFonts w:ascii="Arial" w:hAnsi="Arial" w:cs="Arial"/>
                <w:bCs/>
                <w:sz w:val="22"/>
                <w:szCs w:val="22"/>
              </w:rPr>
              <w:t>out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challenge</w:t>
            </w:r>
            <w:r w:rsidR="00105A0A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from OBR/HMT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. The team is preparing for the winter exercise, though OBR may take a lighter approach this year. Focus will shift to </w:t>
            </w:r>
            <w:r w:rsidR="007E188B"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upplementary and </w:t>
            </w:r>
            <w:r w:rsidR="007E188B" w:rsidRPr="00486CF9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ain </w:t>
            </w:r>
            <w:r w:rsidR="007E188B" w:rsidRPr="00486CF9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stimate exercises </w:t>
            </w:r>
            <w:r w:rsidR="007E188B" w:rsidRPr="00486CF9">
              <w:rPr>
                <w:rFonts w:ascii="Arial" w:hAnsi="Arial" w:cs="Arial"/>
                <w:bCs/>
                <w:sz w:val="22"/>
                <w:szCs w:val="22"/>
              </w:rPr>
              <w:t xml:space="preserve">which will determine the Parliamentary ‘Vote’ </w:t>
            </w:r>
            <w:r w:rsidR="00CF757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to meet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scheme costs for the </w:t>
            </w:r>
            <w:r w:rsidR="00105A0A" w:rsidRPr="00486CF9">
              <w:rPr>
                <w:rFonts w:ascii="Arial" w:hAnsi="Arial" w:cs="Arial"/>
                <w:bCs/>
                <w:sz w:val="22"/>
                <w:szCs w:val="22"/>
              </w:rPr>
              <w:t xml:space="preserve">current and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upcoming financial year</w:t>
            </w:r>
            <w:r w:rsidR="00105A0A"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8E2B805" w14:textId="666919AE" w:rsidR="00F30DAE" w:rsidRPr="00486CF9" w:rsidRDefault="002E054D" w:rsidP="002267B8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It was noted that there had been a</w:t>
            </w:r>
            <w:r w:rsidR="00BB6E5E" w:rsidRPr="00486CF9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B6E5E" w:rsidRPr="00486CF9">
              <w:rPr>
                <w:rFonts w:ascii="Arial" w:hAnsi="Arial" w:cs="Arial"/>
                <w:bCs/>
                <w:sz w:val="22"/>
                <w:szCs w:val="22"/>
              </w:rPr>
              <w:t>a-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F30DAE" w:rsidRPr="00486CF9">
              <w:rPr>
                <w:rFonts w:ascii="Arial" w:hAnsi="Arial" w:cs="Arial"/>
                <w:bCs/>
                <w:sz w:val="22"/>
                <w:szCs w:val="22"/>
              </w:rPr>
              <w:t>ypical increase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in retirement volumes in September</w:t>
            </w:r>
            <w:r w:rsidR="00F30DAE" w:rsidRPr="00486CF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CBA649E" w14:textId="60A208D3" w:rsidR="00F30DAE" w:rsidRPr="00486CF9" w:rsidRDefault="00F30DAE" w:rsidP="00F30DAE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Recent Variances: Higher lump sum payments and commutation</w:t>
            </w:r>
            <w:r w:rsidR="00E427D6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rate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EA7ECC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than </w:t>
            </w:r>
            <w:r w:rsidR="00B24163" w:rsidRPr="00486CF9">
              <w:rPr>
                <w:rFonts w:ascii="Arial" w:hAnsi="Arial" w:cs="Arial"/>
                <w:bCs/>
                <w:sz w:val="22"/>
                <w:szCs w:val="22"/>
              </w:rPr>
              <w:t>previ</w:t>
            </w:r>
            <w:r w:rsidR="00A3149A" w:rsidRPr="00486CF9">
              <w:rPr>
                <w:rFonts w:ascii="Arial" w:hAnsi="Arial" w:cs="Arial"/>
                <w:bCs/>
                <w:sz w:val="22"/>
                <w:szCs w:val="22"/>
              </w:rPr>
              <w:t>ou</w:t>
            </w:r>
            <w:r w:rsidR="00B24163" w:rsidRPr="00486CF9">
              <w:rPr>
                <w:rFonts w:ascii="Arial" w:hAnsi="Arial" w:cs="Arial"/>
                <w:bCs/>
                <w:sz w:val="22"/>
                <w:szCs w:val="22"/>
              </w:rPr>
              <w:t>sly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, leading to increased expenditure.</w:t>
            </w:r>
          </w:p>
          <w:p w14:paraId="55B2E234" w14:textId="33384D5C" w:rsidR="00F30DAE" w:rsidRPr="00486CF9" w:rsidRDefault="00F30DAE" w:rsidP="00F30DAE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Income Variance: Delay in p</w:t>
            </w:r>
            <w:r w:rsidR="00123B5F" w:rsidRPr="00486CF9">
              <w:rPr>
                <w:rFonts w:ascii="Arial" w:hAnsi="Arial" w:cs="Arial"/>
                <w:bCs/>
                <w:sz w:val="22"/>
                <w:szCs w:val="22"/>
              </w:rPr>
              <w:t>ay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23B5F" w:rsidRPr="00486CF9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wards</w:t>
            </w:r>
            <w:r w:rsidR="00123B5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appears to be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causing lower-than-expected income</w:t>
            </w:r>
            <w:r w:rsidR="00103982" w:rsidRPr="00486CF9">
              <w:rPr>
                <w:rFonts w:ascii="Arial" w:hAnsi="Arial" w:cs="Arial"/>
                <w:bCs/>
                <w:sz w:val="22"/>
                <w:szCs w:val="22"/>
              </w:rPr>
              <w:t>, but it is anticipated that this is a timing issue which will self-correct in the following months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A9CD8CE" w14:textId="77777777" w:rsidR="00F30DAE" w:rsidRDefault="00F30DAE" w:rsidP="00F30DAE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The supplementary exercise will address these variances.</w:t>
            </w:r>
          </w:p>
          <w:p w14:paraId="3E7FD2DE" w14:textId="77777777" w:rsidR="009F1C12" w:rsidRPr="00486CF9" w:rsidRDefault="009F1C12" w:rsidP="009F1C1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08885A" w14:textId="55192E56" w:rsidR="00F30DAE" w:rsidRPr="00486CF9" w:rsidRDefault="00061FDD" w:rsidP="00061FDD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The committee </w:t>
            </w:r>
            <w:r w:rsidR="00F30DAE" w:rsidRPr="00486CF9">
              <w:rPr>
                <w:rFonts w:ascii="Arial" w:hAnsi="Arial" w:cs="Arial"/>
                <w:bCs/>
                <w:sz w:val="22"/>
                <w:szCs w:val="22"/>
              </w:rPr>
              <w:t xml:space="preserve">suggested adding prior years' data to graphs for better trend analysis.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DfE </w:t>
            </w:r>
            <w:r w:rsidR="00F30DAE" w:rsidRPr="00486CF9">
              <w:rPr>
                <w:rFonts w:ascii="Arial" w:hAnsi="Arial" w:cs="Arial"/>
                <w:bCs/>
                <w:sz w:val="22"/>
                <w:szCs w:val="22"/>
              </w:rPr>
              <w:t>agreed to explore this.</w:t>
            </w:r>
          </w:p>
          <w:p w14:paraId="12581982" w14:textId="4C00E2DE" w:rsidR="008830F7" w:rsidRPr="00486CF9" w:rsidRDefault="008830F7" w:rsidP="00061FDD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In addition, the committee </w:t>
            </w:r>
            <w:r w:rsidR="00DC3502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asked for </w:t>
            </w:r>
            <w:r w:rsidR="00B0006E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an updated </w:t>
            </w:r>
            <w:r w:rsidR="00DC3502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assurance regarding the </w:t>
            </w:r>
            <w:r w:rsidR="00B0006E" w:rsidRPr="00486CF9">
              <w:rPr>
                <w:rFonts w:ascii="Arial" w:hAnsi="Arial" w:cs="Arial"/>
                <w:bCs/>
                <w:sz w:val="22"/>
                <w:szCs w:val="22"/>
              </w:rPr>
              <w:t xml:space="preserve">transition of </w:t>
            </w:r>
            <w:r w:rsidR="00DC3502" w:rsidRPr="00486CF9">
              <w:rPr>
                <w:rFonts w:ascii="Arial" w:hAnsi="Arial" w:cs="Arial"/>
                <w:bCs/>
                <w:sz w:val="22"/>
                <w:szCs w:val="22"/>
              </w:rPr>
              <w:t>OBR activity</w:t>
            </w:r>
            <w:r w:rsidR="008823F0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to TCS</w:t>
            </w:r>
            <w:r w:rsidR="00DC3502" w:rsidRPr="00486CF9">
              <w:rPr>
                <w:rFonts w:ascii="Arial" w:hAnsi="Arial" w:cs="Arial"/>
                <w:bCs/>
                <w:sz w:val="22"/>
                <w:szCs w:val="22"/>
              </w:rPr>
              <w:t>, with a particular focus on critical paths.</w:t>
            </w:r>
          </w:p>
          <w:p w14:paraId="3D4CAEC7" w14:textId="5DCD32AE" w:rsidR="0057513A" w:rsidRPr="00486CF9" w:rsidRDefault="0057513A" w:rsidP="00F25829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D9CB0E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B4FC2DB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11CE755" w14:textId="77777777" w:rsidR="00613671" w:rsidRPr="00486CF9" w:rsidRDefault="0061367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B3CCC53" w14:textId="77777777" w:rsidR="00613671" w:rsidRPr="00486CF9" w:rsidRDefault="0061367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30A3178" w14:textId="5D305B06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9189C23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02AD8DC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6CE4A5C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3078E79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3F1BD1C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BF0861A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55596B9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427FDBA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D3DA628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87F8BEC" w14:textId="77777777" w:rsidR="00F22880" w:rsidRPr="00486CF9" w:rsidRDefault="00F22880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7ECC179" w14:textId="77777777" w:rsidR="00092804" w:rsidRPr="00486CF9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1FACF6" w14:textId="77777777" w:rsidR="00092804" w:rsidRPr="00486CF9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F7D8C9A" w14:textId="77777777" w:rsidR="00092804" w:rsidRPr="00486CF9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4791680" w14:textId="77777777" w:rsidR="00092804" w:rsidRPr="00486CF9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634EC33" w14:textId="77777777" w:rsidR="00092804" w:rsidRPr="00486CF9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C3EBC8E" w14:textId="77777777" w:rsidR="00092804" w:rsidRPr="00486CF9" w:rsidRDefault="0009280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160EF78" w14:textId="77777777" w:rsidR="0057513A" w:rsidRPr="00486CF9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A56175B" w14:textId="77777777" w:rsidR="0057513A" w:rsidRPr="00486CF9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B38FCBB" w14:textId="77777777" w:rsidR="0057513A" w:rsidRPr="00486CF9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BDF6B08" w14:textId="77777777" w:rsidR="0057513A" w:rsidRPr="00486CF9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BE38DAD" w14:textId="77777777" w:rsidR="0057513A" w:rsidRPr="00486CF9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F054FE6" w14:textId="77777777" w:rsidR="0057513A" w:rsidRPr="00486CF9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6D39F40" w14:textId="77777777" w:rsidR="0057513A" w:rsidRPr="00486CF9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64AC5AE" w14:textId="77777777" w:rsidR="0057513A" w:rsidRPr="00486CF9" w:rsidRDefault="0057513A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F76C116" w14:textId="54329C33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DA3830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3AA896A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0668AA4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C511B31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E8D31F1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9C1D03B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B5E2D91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706EE1E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FE9B197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34ECCA4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374E244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1788DC1" w14:textId="77777777" w:rsidR="00623951" w:rsidRPr="00486CF9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9ABA1B" w14:textId="77777777" w:rsidR="00623951" w:rsidRPr="00486CF9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78A70CE" w14:textId="77777777" w:rsidR="00623951" w:rsidRPr="00486CF9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6BAB208" w14:textId="77777777" w:rsidR="00623951" w:rsidRPr="00486CF9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E738CEF" w14:textId="77777777" w:rsidR="00623951" w:rsidRPr="00486CF9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02BD7E" w14:textId="77777777" w:rsidR="00623951" w:rsidRPr="00486CF9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09204F3" w14:textId="77777777" w:rsidR="00623951" w:rsidRPr="00486CF9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823C302" w14:textId="77777777" w:rsidR="00623951" w:rsidRPr="00486CF9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7DC6752" w14:textId="15A629A1" w:rsidR="00623951" w:rsidRPr="00486CF9" w:rsidRDefault="00623951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F33210" w14:textId="77777777" w:rsidR="005A5F2B" w:rsidRPr="00486CF9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350E7F7" w14:textId="77777777" w:rsidR="005A5F2B" w:rsidRPr="00486CF9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C954FFA" w14:textId="77777777" w:rsidR="00061FDD" w:rsidRPr="00486CF9" w:rsidRDefault="00061FD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6C11559" w14:textId="77777777" w:rsidR="005A5F2B" w:rsidRPr="00486CF9" w:rsidRDefault="005A5F2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7B825DD" w14:textId="77777777" w:rsidR="00DC3502" w:rsidRPr="00486CF9" w:rsidRDefault="00DC3502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36C618D" w14:textId="77777777" w:rsidR="009F1C12" w:rsidRDefault="009F1C12" w:rsidP="0070030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AC05D15" w14:textId="48C973CD" w:rsidR="00DC3502" w:rsidRPr="00486CF9" w:rsidRDefault="00DC3502" w:rsidP="0070030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lastRenderedPageBreak/>
              <w:t>MR1/111224</w:t>
            </w:r>
          </w:p>
          <w:p w14:paraId="110D80CE" w14:textId="6250EA7D" w:rsidR="00DC3502" w:rsidRPr="00486CF9" w:rsidRDefault="00DC3502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486CF9" w14:paraId="5E4FEC3C" w14:textId="77777777" w:rsidTr="0E6467FF">
        <w:trPr>
          <w:trHeight w:val="1005"/>
        </w:trPr>
        <w:tc>
          <w:tcPr>
            <w:tcW w:w="1135" w:type="dxa"/>
          </w:tcPr>
          <w:p w14:paraId="4C1CDF75" w14:textId="3857A6A9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lastRenderedPageBreak/>
              <w:t>Agenda Item 4</w:t>
            </w:r>
          </w:p>
        </w:tc>
        <w:tc>
          <w:tcPr>
            <w:tcW w:w="7088" w:type="dxa"/>
          </w:tcPr>
          <w:p w14:paraId="013B9E37" w14:textId="32053848" w:rsidR="004D548D" w:rsidRPr="00486CF9" w:rsidRDefault="00D4576A" w:rsidP="00D457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Group Internal Audit (GIA)</w:t>
            </w:r>
            <w:r w:rsidR="00CF4805" w:rsidRPr="00486C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30DE" w:rsidRPr="00486CF9">
              <w:rPr>
                <w:rFonts w:ascii="Arial" w:hAnsi="Arial" w:cs="Arial"/>
                <w:b/>
                <w:sz w:val="22"/>
                <w:szCs w:val="22"/>
              </w:rPr>
              <w:t xml:space="preserve">– Paper </w:t>
            </w:r>
            <w:r w:rsidR="00F53F9B" w:rsidRPr="00486CF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14:paraId="3620735C" w14:textId="27C8A807" w:rsidR="00096A17" w:rsidRPr="00486CF9" w:rsidRDefault="00096A17" w:rsidP="00096A17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latest audit is focused on Capita's exit management plan, with a green rating and no findings. It specifically looks at Capita’s contractual obligations and governance over the </w:t>
            </w:r>
            <w:r w:rsidR="008830F7" w:rsidRPr="00486CF9">
              <w:rPr>
                <w:rFonts w:ascii="Arial" w:hAnsi="Arial" w:cs="Arial"/>
                <w:bCs/>
                <w:sz w:val="22"/>
                <w:szCs w:val="22"/>
              </w:rPr>
              <w:t>period since the transition began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5F66B3D" w14:textId="7B0D1090" w:rsidR="00096A17" w:rsidRPr="00486CF9" w:rsidRDefault="002221A4" w:rsidP="00096A17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committee </w:t>
            </w:r>
            <w:r w:rsidR="00096A1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raised concerns about the narrow scope, questioning the usefulness of the audit given the broader project issues. It was agreed to discuss further </w:t>
            </w:r>
            <w:r w:rsidR="00FA48BB" w:rsidRPr="00486CF9">
              <w:rPr>
                <w:rFonts w:ascii="Arial" w:hAnsi="Arial" w:cs="Arial"/>
                <w:bCs/>
                <w:sz w:val="22"/>
                <w:szCs w:val="22"/>
              </w:rPr>
              <w:t>offline</w:t>
            </w:r>
            <w:r w:rsidR="00096A1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and consider the wider transition context.</w:t>
            </w:r>
          </w:p>
          <w:p w14:paraId="338EDF3C" w14:textId="66CE9A73" w:rsidR="00124FD4" w:rsidRPr="00486CF9" w:rsidRDefault="00124FD4" w:rsidP="00096A17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Board was reminded that the scope of the audit was to consider the contractual processes </w:t>
            </w:r>
            <w:r w:rsidR="009D6822" w:rsidRPr="00486CF9">
              <w:rPr>
                <w:rFonts w:ascii="Arial" w:hAnsi="Arial" w:cs="Arial"/>
                <w:bCs/>
                <w:sz w:val="22"/>
                <w:szCs w:val="22"/>
              </w:rPr>
              <w:t>and governance of exit against Schedule 8.5 and the Exit plan, therefore the audit scope sat within those parameters.</w:t>
            </w:r>
          </w:p>
          <w:p w14:paraId="3151D30F" w14:textId="6077174F" w:rsidR="00096A17" w:rsidRPr="00486CF9" w:rsidRDefault="00096A17" w:rsidP="00096A17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The data security audit, mentioned on page 28 of the paper, is in its final stages and expected to be completed before the next round of subcommittees.</w:t>
            </w:r>
          </w:p>
          <w:p w14:paraId="2B1AB98C" w14:textId="54430CD0" w:rsidR="00096A17" w:rsidRPr="00486CF9" w:rsidRDefault="00096A17" w:rsidP="00096A17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The audit covers controls like training, guidance, data storage, access controls, encryption, and backup.</w:t>
            </w:r>
          </w:p>
          <w:p w14:paraId="7F630059" w14:textId="77777777" w:rsidR="00B81768" w:rsidRPr="00486CF9" w:rsidRDefault="00D43799" w:rsidP="009F22CF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It was </w:t>
            </w:r>
            <w:r w:rsidR="00096A1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suggested providing a live update at the next </w:t>
            </w:r>
            <w:r w:rsidR="00B22FB6" w:rsidRPr="00486CF9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096A1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oard meeting if the report is ready, with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the chair</w:t>
            </w:r>
            <w:r w:rsidR="00096A1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agreeing to lead the update.</w:t>
            </w:r>
          </w:p>
          <w:p w14:paraId="2398B2D3" w14:textId="07824211" w:rsidR="009F22CF" w:rsidRPr="00486CF9" w:rsidRDefault="009F22CF" w:rsidP="009F22C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111202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5358EAA" w14:textId="77777777" w:rsidR="0000738F" w:rsidRPr="00486CF9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F6ED447" w14:textId="77777777" w:rsidR="0000738F" w:rsidRPr="00486CF9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6CAA5D2" w14:textId="77777777" w:rsidR="0000738F" w:rsidRPr="00486CF9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6788660" w14:textId="77777777" w:rsidR="0000738F" w:rsidRPr="00486CF9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4796EB6" w14:textId="77777777" w:rsidR="0000738F" w:rsidRPr="00486CF9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6F8002E" w14:textId="77777777" w:rsidR="0000738F" w:rsidRPr="00486CF9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E628E1B" w14:textId="77777777" w:rsidR="0000738F" w:rsidRPr="00486CF9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039BB1B" w14:textId="77777777" w:rsidR="0000738F" w:rsidRPr="00486CF9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C1E0CE3" w14:textId="77777777" w:rsidR="0000738F" w:rsidRPr="00486CF9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3F171C1" w14:textId="77777777" w:rsidR="0000738F" w:rsidRPr="00486CF9" w:rsidRDefault="0000738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DECA9E6" w14:textId="4581E417" w:rsidR="00102E53" w:rsidRPr="00486CF9" w:rsidRDefault="00380326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br/>
            </w:r>
          </w:p>
          <w:p w14:paraId="6ACD5B6C" w14:textId="2A1E031C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25D0BA2" w14:textId="77777777" w:rsidR="00214E02" w:rsidRPr="00486CF9" w:rsidRDefault="00214E02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618B9F4" w14:textId="77777777" w:rsidR="00214E02" w:rsidRPr="00486CF9" w:rsidRDefault="00214E02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6867212" w14:textId="77777777" w:rsidR="008823F0" w:rsidRPr="00486CF9" w:rsidRDefault="008823F0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650BD8" w14:textId="77777777" w:rsidR="008823F0" w:rsidRPr="00486CF9" w:rsidRDefault="008823F0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BD677F9" w14:textId="77777777" w:rsidR="008823F0" w:rsidRPr="00486CF9" w:rsidRDefault="008823F0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3B91463" w14:textId="128462FE" w:rsidR="00214E02" w:rsidRPr="00486CF9" w:rsidRDefault="00214E02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- Sec to note</w:t>
            </w:r>
          </w:p>
        </w:tc>
      </w:tr>
      <w:tr w:rsidR="00102E53" w:rsidRPr="00486CF9" w14:paraId="64B2D0B2" w14:textId="77777777" w:rsidTr="0E6467FF">
        <w:trPr>
          <w:trHeight w:val="786"/>
        </w:trPr>
        <w:tc>
          <w:tcPr>
            <w:tcW w:w="1135" w:type="dxa"/>
          </w:tcPr>
          <w:p w14:paraId="3B26A492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Agenda Item 5</w:t>
            </w:r>
          </w:p>
        </w:tc>
        <w:tc>
          <w:tcPr>
            <w:tcW w:w="7088" w:type="dxa"/>
          </w:tcPr>
          <w:p w14:paraId="5F27A63D" w14:textId="090C046F" w:rsidR="00310FB7" w:rsidRPr="00486CF9" w:rsidRDefault="00F61132" w:rsidP="00F611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Group Internal Audit – 2025 audit plan – Paper 9</w:t>
            </w:r>
          </w:p>
          <w:p w14:paraId="3E0DA5F9" w14:textId="0D551002" w:rsidR="00B624BA" w:rsidRPr="00486CF9" w:rsidRDefault="00B624BA" w:rsidP="00B624BA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The internal audit plan for the next year is outlined in Paper 9</w:t>
            </w:r>
          </w:p>
          <w:p w14:paraId="6B88C7A8" w14:textId="3AC7E80A" w:rsidR="00B624BA" w:rsidRPr="00486CF9" w:rsidRDefault="00E4296F" w:rsidP="00B624BA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Due to the contract expiry date</w:t>
            </w:r>
            <w:r w:rsidR="00093555" w:rsidRPr="00486CF9">
              <w:rPr>
                <w:rFonts w:ascii="Arial" w:hAnsi="Arial" w:cs="Arial"/>
                <w:bCs/>
                <w:sz w:val="22"/>
                <w:szCs w:val="22"/>
              </w:rPr>
              <w:t xml:space="preserve">, there are </w:t>
            </w:r>
            <w:r w:rsidR="00E86E8B" w:rsidRPr="00486CF9">
              <w:rPr>
                <w:rFonts w:ascii="Arial" w:hAnsi="Arial" w:cs="Arial"/>
                <w:bCs/>
                <w:sz w:val="22"/>
                <w:szCs w:val="22"/>
              </w:rPr>
              <w:t xml:space="preserve">just </w:t>
            </w:r>
            <w:r w:rsidR="0093401D" w:rsidRPr="00486CF9">
              <w:rPr>
                <w:rFonts w:ascii="Arial" w:hAnsi="Arial" w:cs="Arial"/>
                <w:bCs/>
                <w:sz w:val="22"/>
                <w:szCs w:val="22"/>
              </w:rPr>
              <w:t>two</w:t>
            </w:r>
            <w:r w:rsidR="00093555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specific audits planned.</w:t>
            </w:r>
          </w:p>
          <w:p w14:paraId="6046EAAF" w14:textId="7ED3DD95" w:rsidR="00B624BA" w:rsidRPr="00486CF9" w:rsidRDefault="00B624BA" w:rsidP="00FC16B2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internal audit </w:t>
            </w:r>
            <w:r w:rsidR="00564E6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function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will undergo a</w:t>
            </w:r>
            <w:r w:rsidR="00564E6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third-</w:t>
            </w:r>
            <w:r w:rsidR="00C930D4" w:rsidRPr="00486CF9">
              <w:rPr>
                <w:rFonts w:ascii="Arial" w:hAnsi="Arial" w:cs="Arial"/>
                <w:bCs/>
                <w:sz w:val="22"/>
                <w:szCs w:val="22"/>
              </w:rPr>
              <w:t>party quality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assurance </w:t>
            </w:r>
            <w:r w:rsidR="00564E6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assessment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early next year.</w:t>
            </w:r>
            <w:r w:rsidR="00FC16B2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output from this exercise will be shared </w:t>
            </w:r>
            <w:r w:rsidR="00A478A9" w:rsidRPr="00486CF9">
              <w:rPr>
                <w:rFonts w:ascii="Arial" w:hAnsi="Arial" w:cs="Arial"/>
                <w:bCs/>
                <w:sz w:val="22"/>
                <w:szCs w:val="22"/>
              </w:rPr>
              <w:t xml:space="preserve">with the MRIC sub-committee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to provide additional reassurance on the GIA</w:t>
            </w:r>
            <w:r w:rsidR="00D251C1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operations.</w:t>
            </w:r>
          </w:p>
          <w:p w14:paraId="713B2A9C" w14:textId="77777777" w:rsidR="0046381D" w:rsidRPr="00486CF9" w:rsidRDefault="00B624BA" w:rsidP="0046381D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The results will be available for the Quarter 2 subcommittee meetings next year.</w:t>
            </w:r>
          </w:p>
          <w:p w14:paraId="09D21F61" w14:textId="77777777" w:rsidR="00B33062" w:rsidRDefault="0046381D" w:rsidP="003E0F56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E86E8B" w:rsidRPr="00486CF9">
              <w:rPr>
                <w:rFonts w:ascii="Arial" w:hAnsi="Arial" w:cs="Arial"/>
                <w:bCs/>
                <w:sz w:val="22"/>
                <w:szCs w:val="22"/>
              </w:rPr>
              <w:t>committee noted that resource constraints might be an issue, recognising the significant activity involved in the transition project.</w:t>
            </w:r>
          </w:p>
          <w:p w14:paraId="7267E970" w14:textId="0CC3D3E6" w:rsidR="00A562CA" w:rsidRPr="00486CF9" w:rsidRDefault="00A562CA" w:rsidP="00A562C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BC49FD" w14:textId="104D267A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6F521E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AE0F42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FFE3A2" w14:textId="77777777" w:rsidR="00310FB7" w:rsidRPr="00486CF9" w:rsidRDefault="00310FB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42430E0" w14:textId="77777777" w:rsidR="00310FB7" w:rsidRPr="00486CF9" w:rsidRDefault="00310FB7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19A591C" w14:textId="77777777" w:rsidR="00504D9C" w:rsidRPr="00486CF9" w:rsidRDefault="00504D9C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24AE006" w14:textId="77777777" w:rsidR="00504D9C" w:rsidRPr="00486CF9" w:rsidRDefault="00504D9C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E6E2935" w14:textId="77777777" w:rsidR="00504D9C" w:rsidRPr="00486CF9" w:rsidRDefault="00504D9C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DE9D0C0" w14:textId="77777777" w:rsidR="00504D9C" w:rsidRPr="00486CF9" w:rsidRDefault="00504D9C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1A7698A" w14:textId="77777777" w:rsidR="00504D9C" w:rsidRPr="00486CF9" w:rsidRDefault="00504D9C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8756B44" w14:textId="77777777" w:rsidR="00504D9C" w:rsidRPr="00486CF9" w:rsidRDefault="00504D9C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28C1FF5" w14:textId="0DC01DB9" w:rsidR="00112955" w:rsidRPr="00486CF9" w:rsidRDefault="00112955" w:rsidP="00310FB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E43" w:rsidRPr="00486CF9" w14:paraId="4ECBE3D5" w14:textId="77777777" w:rsidTr="0E6467FF">
        <w:trPr>
          <w:trHeight w:val="786"/>
        </w:trPr>
        <w:tc>
          <w:tcPr>
            <w:tcW w:w="1135" w:type="dxa"/>
          </w:tcPr>
          <w:p w14:paraId="54DFCC94" w14:textId="77777777" w:rsidR="00951E43" w:rsidRPr="00486CF9" w:rsidRDefault="00951E4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Agenda </w:t>
            </w:r>
          </w:p>
          <w:p w14:paraId="1BB87408" w14:textId="739525BC" w:rsidR="00951E43" w:rsidRPr="00486CF9" w:rsidRDefault="00951E4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Item 6</w:t>
            </w:r>
          </w:p>
        </w:tc>
        <w:tc>
          <w:tcPr>
            <w:tcW w:w="7088" w:type="dxa"/>
          </w:tcPr>
          <w:p w14:paraId="6023B637" w14:textId="77777777" w:rsidR="00951E43" w:rsidRPr="00486CF9" w:rsidRDefault="00951E43" w:rsidP="00F6113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Forward Workplan Topics 2025</w:t>
            </w:r>
          </w:p>
          <w:p w14:paraId="6F4333F4" w14:textId="63309443" w:rsidR="00F20027" w:rsidRPr="00486CF9" w:rsidRDefault="00F20027" w:rsidP="00025275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chair sought input from </w:t>
            </w:r>
            <w:r w:rsidR="004B2F03" w:rsidRPr="00486CF9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oard members on topics for the next year’s forward work plan. The focus will be on risks, particularly around CETV delivery and the impact on member experience.</w:t>
            </w:r>
          </w:p>
          <w:p w14:paraId="336F71BE" w14:textId="1B65AB5C" w:rsidR="00BD01A3" w:rsidRPr="00486CF9" w:rsidRDefault="00025275" w:rsidP="00025275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Concerns were highlighted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about increasing volumes, especially related to retirement applications. A significant rise in </w:t>
            </w:r>
            <w:r w:rsidR="006240E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retirement volumes </w:t>
            </w:r>
            <w:r w:rsidR="00C36D4B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at </w:t>
            </w:r>
            <w:r w:rsidR="009A523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recent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>winter and Easter retirement exercises is observed.</w:t>
            </w:r>
          </w:p>
          <w:p w14:paraId="5D1B09AA" w14:textId="2DFC6D6B" w:rsidR="00F20027" w:rsidRPr="00486CF9" w:rsidRDefault="00025275" w:rsidP="00025275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Capita </w:t>
            </w:r>
            <w:r w:rsidR="00012B22" w:rsidRPr="00486CF9">
              <w:rPr>
                <w:rFonts w:ascii="Arial" w:hAnsi="Arial" w:cs="Arial"/>
                <w:bCs/>
                <w:sz w:val="22"/>
                <w:szCs w:val="22"/>
              </w:rPr>
              <w:t xml:space="preserve">reported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that these </w:t>
            </w:r>
            <w:r w:rsidR="00F13488" w:rsidRPr="00486CF9">
              <w:rPr>
                <w:rFonts w:ascii="Arial" w:hAnsi="Arial" w:cs="Arial"/>
                <w:bCs/>
                <w:sz w:val="22"/>
                <w:szCs w:val="22"/>
              </w:rPr>
              <w:t xml:space="preserve">higher volumes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are linked to </w:t>
            </w:r>
            <w:r w:rsidR="00F13488"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effect of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>transitional protection</w:t>
            </w:r>
            <w:r w:rsidR="00B35E38" w:rsidRPr="00486CF9">
              <w:rPr>
                <w:rFonts w:ascii="Arial" w:hAnsi="Arial" w:cs="Arial"/>
                <w:bCs/>
                <w:sz w:val="22"/>
                <w:szCs w:val="22"/>
              </w:rPr>
              <w:t xml:space="preserve">, as well as broader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member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behaviour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>, not solely cost of living.</w:t>
            </w:r>
          </w:p>
          <w:p w14:paraId="3603E64C" w14:textId="0ADCBE89" w:rsidR="00F20027" w:rsidRPr="00486CF9" w:rsidRDefault="001B1E80" w:rsidP="00E42C46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Sub-committee m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>embers agreed t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hey want to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explore what is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lastRenderedPageBreak/>
              <w:t>driving volume increases and the financial and operational impacts on the scheme.</w:t>
            </w:r>
          </w:p>
          <w:p w14:paraId="4EA6CB5F" w14:textId="5AF4C358" w:rsidR="00F20027" w:rsidRPr="00486CF9" w:rsidRDefault="00BD01A3" w:rsidP="00F20027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A sub-committee member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raised concerns about employer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behaviour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BC0C83" w:rsidRPr="00486CF9">
              <w:rPr>
                <w:rFonts w:ascii="Arial" w:hAnsi="Arial" w:cs="Arial"/>
                <w:bCs/>
                <w:sz w:val="22"/>
                <w:szCs w:val="22"/>
              </w:rPr>
              <w:t xml:space="preserve">obvious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affordability challenges in schools and other employers, </w:t>
            </w:r>
            <w:r w:rsidR="00BC0C83" w:rsidRPr="00486CF9">
              <w:rPr>
                <w:rFonts w:ascii="Arial" w:hAnsi="Arial" w:cs="Arial"/>
                <w:bCs/>
                <w:sz w:val="22"/>
                <w:szCs w:val="22"/>
              </w:rPr>
              <w:t xml:space="preserve">linked to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BC0C83" w:rsidRPr="00486CF9">
              <w:rPr>
                <w:rFonts w:ascii="Arial" w:hAnsi="Arial" w:cs="Arial"/>
                <w:bCs/>
                <w:sz w:val="22"/>
                <w:szCs w:val="22"/>
              </w:rPr>
              <w:t xml:space="preserve">effect of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>increased pension contributions.</w:t>
            </w:r>
          </w:p>
          <w:p w14:paraId="5B9AD537" w14:textId="2786D9E4" w:rsidR="00F20027" w:rsidRPr="00486CF9" w:rsidRDefault="008055E0" w:rsidP="00F20027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It was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suggested considering the </w:t>
            </w:r>
            <w:r w:rsidR="003D0CCC" w:rsidRPr="00486CF9">
              <w:rPr>
                <w:rFonts w:ascii="Arial" w:hAnsi="Arial" w:cs="Arial"/>
                <w:bCs/>
                <w:sz w:val="22"/>
                <w:szCs w:val="22"/>
              </w:rPr>
              <w:t xml:space="preserve">impact of the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ongoing consultation on increased member contributions and on the </w:t>
            </w:r>
            <w:r w:rsidR="00BC0C83"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>cheme’s finances and risks.</w:t>
            </w:r>
          </w:p>
          <w:p w14:paraId="1FD7ADEB" w14:textId="3377C3E1" w:rsidR="00F20027" w:rsidRPr="00486CF9" w:rsidRDefault="008055E0" w:rsidP="00F53520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DfE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>confirmed the Scheme Advisory Board (SAB) is leading on the consultation, and any resulting risks will be managed through th</w:t>
            </w:r>
            <w:r w:rsidR="003720B7" w:rsidRPr="00486CF9">
              <w:rPr>
                <w:rFonts w:ascii="Arial" w:hAnsi="Arial" w:cs="Arial"/>
                <w:bCs/>
                <w:sz w:val="22"/>
                <w:szCs w:val="22"/>
              </w:rPr>
              <w:t>at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6C86" w:rsidRPr="00486CF9">
              <w:rPr>
                <w:rFonts w:ascii="Arial" w:hAnsi="Arial" w:cs="Arial"/>
                <w:bCs/>
                <w:sz w:val="22"/>
                <w:szCs w:val="22"/>
              </w:rPr>
              <w:t>forum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037D9F4" w14:textId="6C036910" w:rsidR="00F20027" w:rsidRPr="00486CF9" w:rsidRDefault="00F53520" w:rsidP="00F20027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It was 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questioned whether the </w:t>
            </w:r>
            <w:r w:rsidR="00866C86"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>cheme collects data on why members opt out or retire early.</w:t>
            </w:r>
          </w:p>
          <w:p w14:paraId="3D1102A8" w14:textId="530CB56F" w:rsidR="00F20027" w:rsidRPr="00486CF9" w:rsidRDefault="00F53520" w:rsidP="00F53520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Capita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clarified that while reasons for opting out are recorded, early retirement reasons are not currently tracked, citing data privacy</w:t>
            </w:r>
            <w:r w:rsidR="00866C86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constraints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509FAFB6" w14:textId="663BC370" w:rsidR="00F20027" w:rsidRPr="00486CF9" w:rsidRDefault="00866C86" w:rsidP="00F20027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It was agreed that t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he forward work plan will include discussions on volume increases, member </w:t>
            </w:r>
            <w:r w:rsidR="00F53520" w:rsidRPr="00486CF9">
              <w:rPr>
                <w:rFonts w:ascii="Arial" w:hAnsi="Arial" w:cs="Arial"/>
                <w:bCs/>
                <w:sz w:val="22"/>
                <w:szCs w:val="22"/>
              </w:rPr>
              <w:t>behaviour</w:t>
            </w:r>
            <w:r w:rsidR="00F20027" w:rsidRPr="00486CF9">
              <w:rPr>
                <w:rFonts w:ascii="Arial" w:hAnsi="Arial" w:cs="Arial"/>
                <w:bCs/>
                <w:sz w:val="22"/>
                <w:szCs w:val="22"/>
              </w:rPr>
              <w:t>, and associated risks.</w:t>
            </w:r>
          </w:p>
          <w:p w14:paraId="76CF8147" w14:textId="77777777" w:rsidR="00951E43" w:rsidRDefault="00F20027" w:rsidP="00F6461C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Further exploration of employer </w:t>
            </w:r>
            <w:r w:rsidR="00F53520" w:rsidRPr="00486CF9">
              <w:rPr>
                <w:rFonts w:ascii="Arial" w:hAnsi="Arial" w:cs="Arial"/>
                <w:bCs/>
                <w:sz w:val="22"/>
                <w:szCs w:val="22"/>
              </w:rPr>
              <w:t>behaviour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, affordability issues, and external factors affecting the </w:t>
            </w:r>
            <w:r w:rsidR="00F44308"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cheme will continue.</w:t>
            </w:r>
          </w:p>
          <w:p w14:paraId="0E482728" w14:textId="4C59FC61" w:rsidR="00A562CA" w:rsidRPr="00486CF9" w:rsidRDefault="00A562CA" w:rsidP="00A562C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1F038B1" w14:textId="77777777" w:rsidR="00951E43" w:rsidRPr="00486CF9" w:rsidRDefault="00951E4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B96D12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4006F0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09441D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F52C5D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D2006F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0D3DAD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C0BA11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A57CC1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848F74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E390DE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502C22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FB3A06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5C6771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39CD20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139222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3FA5E6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FCA6CE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F1393F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5E3358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A8F402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5970E1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96D24B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813139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332FD5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15128C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8F1D78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3A2B10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2B7113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2CD002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D9DB08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E78A26" w14:textId="77777777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12F19E" w14:textId="7572EEDB" w:rsidR="00B81707" w:rsidRPr="00486CF9" w:rsidRDefault="00B81707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2E53" w:rsidRPr="00486CF9" w14:paraId="21E5F285" w14:textId="77777777" w:rsidTr="0E6467FF">
        <w:trPr>
          <w:trHeight w:val="1124"/>
        </w:trPr>
        <w:tc>
          <w:tcPr>
            <w:tcW w:w="1135" w:type="dxa"/>
          </w:tcPr>
          <w:p w14:paraId="3AFD1C93" w14:textId="098CF15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lastRenderedPageBreak/>
              <w:t xml:space="preserve">Agenda Item </w:t>
            </w:r>
            <w:r w:rsidR="00951E43" w:rsidRPr="00486CF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14:paraId="44D85647" w14:textId="62B8025C" w:rsidR="00610C69" w:rsidRPr="00486CF9" w:rsidRDefault="004B20F0" w:rsidP="001C5A8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Review Dashboard and supporting papers</w:t>
            </w:r>
          </w:p>
          <w:p w14:paraId="44C0E37B" w14:textId="278B6C31" w:rsidR="007A654F" w:rsidRPr="00486CF9" w:rsidRDefault="007A654F" w:rsidP="007A654F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The DfE highlight</w:t>
            </w:r>
            <w:r w:rsidR="00F44308" w:rsidRPr="00486CF9">
              <w:rPr>
                <w:rFonts w:ascii="Arial" w:hAnsi="Arial" w:cs="Arial"/>
                <w:bCs/>
                <w:sz w:val="22"/>
                <w:szCs w:val="22"/>
              </w:rPr>
              <w:t>ed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an ongoing issue with C</w:t>
            </w:r>
            <w:r w:rsidR="007D1A84" w:rsidRPr="00486CF9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TVS, which will be </w:t>
            </w:r>
            <w:r w:rsidR="00367AB1" w:rsidRPr="00486CF9">
              <w:rPr>
                <w:rFonts w:ascii="Arial" w:hAnsi="Arial" w:cs="Arial"/>
                <w:bCs/>
                <w:sz w:val="22"/>
                <w:szCs w:val="22"/>
              </w:rPr>
              <w:t xml:space="preserve">mitigated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in the next issues log. </w:t>
            </w:r>
          </w:p>
          <w:p w14:paraId="76223CC7" w14:textId="5C5D431B" w:rsidR="007A654F" w:rsidRPr="00486CF9" w:rsidRDefault="007A654F" w:rsidP="007A654F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Handling times and call handling are under pressure due to increased volumes, particularly related to transitional protection </w:t>
            </w:r>
            <w:r w:rsidR="00DD52F7" w:rsidRPr="00486CF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="00DD52F7" w:rsidRPr="00486CF9">
              <w:rPr>
                <w:rFonts w:ascii="Arial" w:hAnsi="Arial" w:cs="Arial"/>
                <w:bCs/>
                <w:sz w:val="22"/>
                <w:szCs w:val="22"/>
              </w:rPr>
              <w:t>TrP</w:t>
            </w:r>
            <w:proofErr w:type="spellEnd"/>
            <w:r w:rsidR="00DD52F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and retirement cases. These issues were discussed in the Service Delivery Committee, and actions are being taken to address them.</w:t>
            </w:r>
          </w:p>
          <w:p w14:paraId="536BFCF9" w14:textId="6373042F" w:rsidR="007A654F" w:rsidRPr="00486CF9" w:rsidRDefault="007A654F" w:rsidP="002A78E3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proofErr w:type="spellStart"/>
            <w:r w:rsidRPr="00486CF9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033769" w:rsidRPr="00486CF9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P</w:t>
            </w:r>
            <w:proofErr w:type="spellEnd"/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programme is issuing </w:t>
            </w:r>
            <w:r w:rsidR="00073137" w:rsidRPr="00486CF9">
              <w:rPr>
                <w:rFonts w:ascii="Arial" w:hAnsi="Arial" w:cs="Arial"/>
                <w:bCs/>
                <w:sz w:val="22"/>
                <w:szCs w:val="22"/>
              </w:rPr>
              <w:t>Remedial Service Statements (</w:t>
            </w:r>
            <w:r w:rsidR="002A78E3" w:rsidRPr="00486CF9">
              <w:rPr>
                <w:rFonts w:ascii="Arial" w:hAnsi="Arial" w:cs="Arial"/>
                <w:bCs/>
                <w:sz w:val="22"/>
                <w:szCs w:val="22"/>
              </w:rPr>
              <w:t>RSS</w:t>
            </w:r>
            <w:r w:rsidR="00073137" w:rsidRPr="00486CF9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2A78E3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and implementing a revised plan for the remaining project. Commercial negotiations for additional resources to support the programme are ongoing.</w:t>
            </w:r>
          </w:p>
          <w:p w14:paraId="567C6674" w14:textId="368A0308" w:rsidR="007A654F" w:rsidRPr="00486CF9" w:rsidRDefault="000127EC" w:rsidP="007A654F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The committee was reminded that a</w:t>
            </w:r>
            <w:r w:rsidR="007A654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recent policy update from HMT requires</w:t>
            </w:r>
            <w:r w:rsidR="00DD52F7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Local Government Pension Service (LGPS)</w:t>
            </w:r>
            <w:r w:rsidR="007A654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service under two years old to be returned to TPS for </w:t>
            </w:r>
            <w:r w:rsidR="00F6461C" w:rsidRPr="00486CF9">
              <w:rPr>
                <w:rFonts w:ascii="Arial" w:hAnsi="Arial" w:cs="Arial"/>
                <w:bCs/>
                <w:sz w:val="22"/>
                <w:szCs w:val="22"/>
              </w:rPr>
              <w:t>rectification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, leading to additional workload</w:t>
            </w:r>
            <w:r w:rsidR="00F6461C" w:rsidRPr="00486CF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95FE084" w14:textId="67A31FD9" w:rsidR="007A654F" w:rsidRPr="00486CF9" w:rsidRDefault="00E62134" w:rsidP="00E62134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It was </w:t>
            </w:r>
            <w:r w:rsidR="007A654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suggested sharing the Service Delivery </w:t>
            </w:r>
            <w:r w:rsidR="001C0884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and Information to Members </w:t>
            </w:r>
            <w:r w:rsidR="008E66B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and Communication </w:t>
            </w:r>
            <w:r w:rsidR="000D7B37" w:rsidRPr="00486CF9">
              <w:rPr>
                <w:rFonts w:ascii="Arial" w:hAnsi="Arial" w:cs="Arial"/>
                <w:bCs/>
                <w:sz w:val="22"/>
                <w:szCs w:val="22"/>
              </w:rPr>
              <w:t>sub-</w:t>
            </w:r>
            <w:r w:rsidR="00896AE2" w:rsidRPr="00486CF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7A654F" w:rsidRPr="00486CF9">
              <w:rPr>
                <w:rFonts w:ascii="Arial" w:hAnsi="Arial" w:cs="Arial"/>
                <w:bCs/>
                <w:sz w:val="22"/>
                <w:szCs w:val="22"/>
              </w:rPr>
              <w:t>ommittees</w:t>
            </w:r>
            <w:r w:rsidR="001C0884" w:rsidRPr="00486CF9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 w:rsidR="007A654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agenda</w:t>
            </w:r>
            <w:r w:rsidR="001C0884" w:rsidRPr="00486CF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7A654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with all </w:t>
            </w:r>
            <w:r w:rsidR="008E66B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board </w:t>
            </w:r>
            <w:r w:rsidR="007A654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members for better cross-committee awareness. It was agreed that this would be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considered</w:t>
            </w:r>
            <w:r w:rsidR="007A654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moving forward.</w:t>
            </w:r>
          </w:p>
          <w:p w14:paraId="42AA3C59" w14:textId="77777777" w:rsidR="004F384F" w:rsidRDefault="007A654F" w:rsidP="00676A7E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8E66BF" w:rsidRPr="00486CF9">
              <w:rPr>
                <w:rFonts w:ascii="Arial" w:hAnsi="Arial" w:cs="Arial"/>
                <w:bCs/>
                <w:sz w:val="22"/>
                <w:szCs w:val="22"/>
              </w:rPr>
              <w:t xml:space="preserve">committee noted that the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dashboard now has a new format, incorporating feedback from the Board</w:t>
            </w:r>
            <w:r w:rsidR="00676A7E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Chair. Six key risks, highlighted by Teachers</w:t>
            </w:r>
            <w:r w:rsidR="00896AE2" w:rsidRPr="00486CF9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Pensions, are being monitored closely.</w:t>
            </w:r>
          </w:p>
          <w:p w14:paraId="42054973" w14:textId="59CD51A8" w:rsidR="00A562CA" w:rsidRPr="00486CF9" w:rsidRDefault="00A562CA" w:rsidP="00A562C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DFA9AD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27D3714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8B6BCF4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57BA971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42034DD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298A979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5AA60B9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44D63E9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7FEBF27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2F82F62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63E91DF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96F1EF5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037C17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BBC4516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0B348D1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8FD3C16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5F700BF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643EDFC" w14:textId="77777777" w:rsidR="008E66BF" w:rsidRPr="00486CF9" w:rsidRDefault="008E66BF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6A4AA70" w14:textId="015D5488" w:rsidR="00102E53" w:rsidRPr="00486CF9" w:rsidRDefault="00E62134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MR</w:t>
            </w:r>
            <w:r w:rsidR="008E66BF" w:rsidRPr="00486CF9">
              <w:rPr>
                <w:rFonts w:ascii="Arial" w:hAnsi="Arial" w:cs="Arial"/>
                <w:sz w:val="22"/>
                <w:szCs w:val="22"/>
              </w:rPr>
              <w:t>2</w:t>
            </w:r>
            <w:r w:rsidRPr="00486CF9">
              <w:rPr>
                <w:rFonts w:ascii="Arial" w:hAnsi="Arial" w:cs="Arial"/>
                <w:sz w:val="22"/>
                <w:szCs w:val="22"/>
              </w:rPr>
              <w:t>/111</w:t>
            </w:r>
            <w:r w:rsidR="00676A7E" w:rsidRPr="00486CF9">
              <w:rPr>
                <w:rFonts w:ascii="Arial" w:hAnsi="Arial" w:cs="Arial"/>
                <w:sz w:val="22"/>
                <w:szCs w:val="22"/>
              </w:rPr>
              <w:t>224</w:t>
            </w:r>
          </w:p>
          <w:p w14:paraId="362B6846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A4C1A40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27AB088" w14:textId="39C231F5" w:rsidR="00856EFD" w:rsidRPr="00486CF9" w:rsidRDefault="00856EF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27FF9BD" w14:textId="77777777" w:rsidR="0040348D" w:rsidRPr="00486CF9" w:rsidRDefault="0040348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EC18A5D" w14:textId="722B5DAC" w:rsidR="002D14BD" w:rsidRPr="00486CF9" w:rsidRDefault="002D14BD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486CF9" w14:paraId="532A60E6" w14:textId="77777777" w:rsidTr="0E6467FF">
        <w:trPr>
          <w:trHeight w:val="786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14:paraId="48222171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69BAA6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bCs/>
                <w:sz w:val="22"/>
                <w:szCs w:val="22"/>
              </w:rPr>
              <w:t>TP colleagues left the meeting</w:t>
            </w:r>
          </w:p>
        </w:tc>
      </w:tr>
      <w:tr w:rsidR="00102E53" w:rsidRPr="00486CF9" w14:paraId="499CABC5" w14:textId="77777777" w:rsidTr="0E6467FF">
        <w:trPr>
          <w:trHeight w:val="338"/>
        </w:trPr>
        <w:tc>
          <w:tcPr>
            <w:tcW w:w="1135" w:type="dxa"/>
            <w:shd w:val="clear" w:color="auto" w:fill="BFBFBF" w:themeFill="background1" w:themeFillShade="BF"/>
          </w:tcPr>
          <w:p w14:paraId="1BD4354B" w14:textId="1D7C6AFB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bookmarkStart w:id="0" w:name="_Hlk163117180"/>
            <w:r w:rsidRPr="00486CF9">
              <w:rPr>
                <w:rFonts w:ascii="Arial" w:hAnsi="Arial" w:cs="Arial"/>
                <w:sz w:val="22"/>
                <w:szCs w:val="22"/>
              </w:rPr>
              <w:t xml:space="preserve">Agenda Item </w:t>
            </w:r>
            <w:r w:rsidR="00FD7281" w:rsidRPr="00486CF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6F9FA009" w14:textId="77F225C4" w:rsidR="00E0128C" w:rsidRPr="00486CF9" w:rsidRDefault="00ED4B27" w:rsidP="00E0128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Portfolio Management Executive Overview with risk update – Paper </w:t>
            </w:r>
            <w:r w:rsidR="00FD7281" w:rsidRPr="00486CF9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  <w:p w14:paraId="774476F8" w14:textId="77777777" w:rsidR="00E0128C" w:rsidRPr="00486CF9" w:rsidRDefault="00E0128C" w:rsidP="00E0128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F1D6C2" w14:textId="54A16211" w:rsidR="008272F3" w:rsidRPr="00BA69AF" w:rsidRDefault="008272F3" w:rsidP="008272F3">
            <w:pPr>
              <w:pStyle w:val="DeptBullets"/>
              <w:numPr>
                <w:ilvl w:val="0"/>
                <w:numId w:val="15"/>
              </w:numPr>
              <w:spacing w:after="0"/>
              <w:textAlignment w:val="auto"/>
              <w:rPr>
                <w:i/>
                <w:iCs/>
              </w:rPr>
            </w:pPr>
            <w:r w:rsidRPr="00BA69AF">
              <w:rPr>
                <w:rStyle w:val="Emphasis"/>
                <w:rFonts w:eastAsia="Arial" w:cs="Arial"/>
                <w:i w:val="0"/>
                <w:iCs w:val="0"/>
                <w:color w:val="000000" w:themeColor="text1"/>
                <w:sz w:val="22"/>
                <w:szCs w:val="22"/>
              </w:rPr>
              <w:t xml:space="preserve">The remainder of this section has been removed to ensure </w:t>
            </w:r>
            <w:r w:rsidRPr="00BA69AF">
              <w:rPr>
                <w:rStyle w:val="Emphasis"/>
                <w:rFonts w:eastAsia="Arial" w:cs="Arial"/>
                <w:i w:val="0"/>
                <w:iCs w:val="0"/>
                <w:color w:val="000000" w:themeColor="text1"/>
                <w:sz w:val="22"/>
                <w:szCs w:val="22"/>
              </w:rPr>
              <w:lastRenderedPageBreak/>
              <w:t>commercial sensitivities are maintained. A full set of minutes (and actions) will be produced from the sub-committee meeting, which took place on the morning of 11 December 2024 and will be shared with the Board Members.</w:t>
            </w:r>
          </w:p>
          <w:p w14:paraId="774B87C8" w14:textId="5D12BA12" w:rsidR="009C13FD" w:rsidRPr="00BA69AF" w:rsidRDefault="009C13FD" w:rsidP="00BA69AF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7A4FDDE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FABEB03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163C93B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804D4D4" w14:textId="77777777" w:rsidR="00304EB5" w:rsidRPr="00486CF9" w:rsidRDefault="00304EB5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20B9E65" w14:textId="77777777" w:rsidR="00304EB5" w:rsidRPr="00486CF9" w:rsidRDefault="00304EB5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C36B00D" w14:textId="77777777" w:rsidR="00304EB5" w:rsidRPr="00486CF9" w:rsidRDefault="00304EB5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B4E33BE" w14:textId="77777777" w:rsidR="00304EB5" w:rsidRPr="00486CF9" w:rsidRDefault="00304EB5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244D4DA" w14:textId="77777777" w:rsidR="000D55CB" w:rsidRPr="00486CF9" w:rsidRDefault="000D55CB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EB6E5D9" w14:textId="2134CCBF" w:rsidR="007515AE" w:rsidRPr="00486CF9" w:rsidRDefault="007515AE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102E53" w:rsidRPr="00486CF9" w14:paraId="7E938D23" w14:textId="77777777" w:rsidTr="0E6467FF">
        <w:trPr>
          <w:trHeight w:val="995"/>
        </w:trPr>
        <w:tc>
          <w:tcPr>
            <w:tcW w:w="1135" w:type="dxa"/>
            <w:shd w:val="clear" w:color="auto" w:fill="BFBFBF" w:themeFill="background1" w:themeFillShade="BF"/>
          </w:tcPr>
          <w:p w14:paraId="1A767AD0" w14:textId="081B2708" w:rsidR="00102E53" w:rsidRPr="00486CF9" w:rsidRDefault="004B20F0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lastRenderedPageBreak/>
              <w:t>Agenda I</w:t>
            </w:r>
            <w:r w:rsidR="00102E53" w:rsidRPr="00486CF9">
              <w:rPr>
                <w:rFonts w:ascii="Arial" w:hAnsi="Arial" w:cs="Arial"/>
                <w:sz w:val="22"/>
                <w:szCs w:val="22"/>
              </w:rPr>
              <w:t xml:space="preserve">tem </w:t>
            </w:r>
            <w:r w:rsidR="00EC33AA" w:rsidRPr="00486CF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3E867914" w14:textId="0D0568D8" w:rsidR="00ED4B27" w:rsidRPr="00486CF9" w:rsidRDefault="00ED4B27" w:rsidP="00ED4B27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Transition sub-committee update from </w:t>
            </w:r>
            <w:r w:rsidR="00EC33AA" w:rsidRPr="00486CF9">
              <w:rPr>
                <w:rFonts w:ascii="Arial" w:hAnsi="Arial" w:cs="Arial"/>
                <w:b/>
                <w:bCs/>
                <w:sz w:val="22"/>
                <w:szCs w:val="22"/>
              </w:rPr>
              <w:t>3 December 2024</w:t>
            </w:r>
          </w:p>
          <w:p w14:paraId="3C3B23F2" w14:textId="77777777" w:rsidR="00BA69AF" w:rsidRPr="00BA69AF" w:rsidRDefault="00BA69AF" w:rsidP="00BA69AF">
            <w:pPr>
              <w:pStyle w:val="DeptBullets"/>
              <w:numPr>
                <w:ilvl w:val="0"/>
                <w:numId w:val="7"/>
              </w:numPr>
              <w:spacing w:after="0"/>
              <w:textAlignment w:val="auto"/>
              <w:rPr>
                <w:i/>
                <w:iCs/>
              </w:rPr>
            </w:pPr>
            <w:r w:rsidRPr="00BA69AF">
              <w:rPr>
                <w:rStyle w:val="Emphasis"/>
                <w:rFonts w:eastAsia="Arial" w:cs="Arial"/>
                <w:i w:val="0"/>
                <w:iCs w:val="0"/>
                <w:color w:val="000000" w:themeColor="text1"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the morning of 11 December 2024 and will be shared with the Board Members.</w:t>
            </w:r>
          </w:p>
          <w:p w14:paraId="26E2256E" w14:textId="0AA377E4" w:rsidR="00FE72AF" w:rsidRPr="00486CF9" w:rsidRDefault="00FE72AF" w:rsidP="00BA69A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CC2C11B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E7DA32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18983DC" w14:textId="77777777" w:rsidR="00430A65" w:rsidRPr="00486CF9" w:rsidRDefault="00430A65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67701F9" w14:textId="75A66823" w:rsidR="00430A65" w:rsidRPr="00486CF9" w:rsidRDefault="00430A65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486CF9" w14:paraId="50E3FFD6" w14:textId="77777777" w:rsidTr="0E6467FF">
        <w:trPr>
          <w:trHeight w:val="580"/>
        </w:trPr>
        <w:tc>
          <w:tcPr>
            <w:tcW w:w="1135" w:type="dxa"/>
          </w:tcPr>
          <w:p w14:paraId="7D9A7631" w14:textId="5374B2F1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Items </w:t>
            </w:r>
            <w:r w:rsidR="0047699D" w:rsidRPr="00486CF9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486CF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C63E47" w:rsidRPr="00486CF9">
              <w:rPr>
                <w:rFonts w:ascii="Arial" w:hAnsi="Arial" w:cs="Arial"/>
                <w:sz w:val="22"/>
                <w:szCs w:val="22"/>
              </w:rPr>
              <w:t>1</w:t>
            </w:r>
            <w:r w:rsidR="0047699D" w:rsidRPr="00486CF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14:paraId="29B52705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 xml:space="preserve">Highlights to report to the Board: </w:t>
            </w:r>
          </w:p>
          <w:p w14:paraId="6C304B37" w14:textId="596D25CF" w:rsidR="00A622A6" w:rsidRPr="00486CF9" w:rsidRDefault="00020006" w:rsidP="00A622A6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Group </w:t>
            </w:r>
            <w:r w:rsidR="00130617" w:rsidRPr="00486CF9">
              <w:rPr>
                <w:rFonts w:ascii="Arial" w:hAnsi="Arial" w:cs="Arial"/>
                <w:sz w:val="22"/>
                <w:szCs w:val="22"/>
              </w:rPr>
              <w:t xml:space="preserve">Internal Audits </w:t>
            </w:r>
            <w:r w:rsidR="00D64E58" w:rsidRPr="00486CF9">
              <w:rPr>
                <w:rFonts w:ascii="Arial" w:hAnsi="Arial" w:cs="Arial"/>
                <w:sz w:val="22"/>
                <w:szCs w:val="22"/>
              </w:rPr>
              <w:t>(GIA)</w:t>
            </w:r>
          </w:p>
          <w:p w14:paraId="38902006" w14:textId="75C89647" w:rsidR="00E62ECA" w:rsidRPr="00486CF9" w:rsidRDefault="00E62ECA" w:rsidP="00E62ECA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Forward Workplan </w:t>
            </w:r>
            <w:r w:rsidR="0020258D" w:rsidRPr="00486CF9">
              <w:rPr>
                <w:rFonts w:ascii="Arial" w:hAnsi="Arial" w:cs="Arial"/>
                <w:sz w:val="22"/>
                <w:szCs w:val="22"/>
              </w:rPr>
              <w:t>2025</w:t>
            </w:r>
          </w:p>
          <w:p w14:paraId="255DF0C7" w14:textId="43D0A57A" w:rsidR="00425DC9" w:rsidRPr="00486CF9" w:rsidRDefault="00425DC9" w:rsidP="00425DC9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CETVs</w:t>
            </w:r>
          </w:p>
          <w:p w14:paraId="0BD94F06" w14:textId="477CD20A" w:rsidR="00497BD0" w:rsidRPr="00486CF9" w:rsidRDefault="00497BD0" w:rsidP="00E62ECA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Volume increases</w:t>
            </w:r>
          </w:p>
          <w:p w14:paraId="6AAB6B3A" w14:textId="69469D09" w:rsidR="00497BD0" w:rsidRPr="00486CF9" w:rsidRDefault="00497BD0" w:rsidP="00E62ECA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Transition risks</w:t>
            </w:r>
          </w:p>
          <w:p w14:paraId="3D0A15B7" w14:textId="77777777" w:rsidR="00E62ECA" w:rsidRPr="00486CF9" w:rsidRDefault="00E62ECA" w:rsidP="00E62EC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7373B0D" w14:textId="77777777" w:rsidR="00AB6C80" w:rsidRDefault="005475CB" w:rsidP="005475C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>Papers to be shared: Portfolio Management Executive Overview with risk update – Paper 8</w:t>
            </w:r>
          </w:p>
          <w:p w14:paraId="7A324202" w14:textId="412D8E86" w:rsidR="00CE490D" w:rsidRPr="00486CF9" w:rsidRDefault="00CE490D" w:rsidP="005475C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1B425B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1CD922C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66D783A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0AA2589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A6EB1CA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3A774FD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A3FE940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486CF9" w14:paraId="735876EE" w14:textId="77777777" w:rsidTr="0E6467FF">
        <w:trPr>
          <w:trHeight w:val="580"/>
        </w:trPr>
        <w:tc>
          <w:tcPr>
            <w:tcW w:w="1135" w:type="dxa"/>
          </w:tcPr>
          <w:p w14:paraId="55DA8870" w14:textId="746BC05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86CF9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47699D" w:rsidRPr="00486CF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88" w:type="dxa"/>
          </w:tcPr>
          <w:p w14:paraId="06BA137E" w14:textId="77777777" w:rsidR="00AD04DD" w:rsidRPr="00486CF9" w:rsidRDefault="00102E53" w:rsidP="00AD04DD">
            <w:pPr>
              <w:widowControl w:val="0"/>
              <w:overflowPunct w:val="0"/>
              <w:autoSpaceDE w:val="0"/>
              <w:autoSpaceDN w:val="0"/>
              <w:adjustRightInd w:val="0"/>
              <w:ind w:left="-38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sz w:val="22"/>
                <w:szCs w:val="22"/>
              </w:rPr>
              <w:t>AOB</w:t>
            </w:r>
          </w:p>
          <w:p w14:paraId="601A66E5" w14:textId="4EE36093" w:rsidR="0083598D" w:rsidRPr="00486CF9" w:rsidRDefault="0083598D" w:rsidP="004E7B15">
            <w:pPr>
              <w:pStyle w:val="ListParagraph"/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Cs/>
                <w:sz w:val="22"/>
                <w:szCs w:val="22"/>
              </w:rPr>
              <w:t>The meeting concluded with a thank you from DfE for the Chair’s invaluable support</w:t>
            </w:r>
            <w:r w:rsidR="0020258D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hard work</w:t>
            </w:r>
            <w:r w:rsidR="0020258D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C4E98" w:rsidRPr="00486CF9">
              <w:rPr>
                <w:rFonts w:ascii="Arial" w:hAnsi="Arial" w:cs="Arial"/>
                <w:bCs/>
                <w:sz w:val="22"/>
                <w:szCs w:val="22"/>
              </w:rPr>
              <w:t xml:space="preserve">within her role as the IPS.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The team expressed deep appreciation for </w:t>
            </w:r>
            <w:r w:rsidR="009159DC" w:rsidRPr="00486CF9">
              <w:rPr>
                <w:rFonts w:ascii="Arial" w:hAnsi="Arial" w:cs="Arial"/>
                <w:bCs/>
                <w:sz w:val="22"/>
                <w:szCs w:val="22"/>
              </w:rPr>
              <w:t xml:space="preserve">her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contributions and acknowledged that </w:t>
            </w:r>
            <w:r w:rsidR="009159DC" w:rsidRPr="00486CF9">
              <w:rPr>
                <w:rFonts w:ascii="Arial" w:hAnsi="Arial" w:cs="Arial"/>
                <w:bCs/>
                <w:sz w:val="22"/>
                <w:szCs w:val="22"/>
              </w:rPr>
              <w:t xml:space="preserve">her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guidance has been crucial in keeping the team on track.</w:t>
            </w:r>
            <w:r w:rsidR="0079230D" w:rsidRPr="00486C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>The individual was recogni</w:t>
            </w:r>
            <w:r w:rsidR="0079230D" w:rsidRPr="00486CF9">
              <w:rPr>
                <w:rFonts w:ascii="Arial" w:hAnsi="Arial" w:cs="Arial"/>
                <w:bCs/>
                <w:sz w:val="22"/>
                <w:szCs w:val="22"/>
              </w:rPr>
              <w:t>sed</w:t>
            </w:r>
            <w:r w:rsidRPr="00486CF9">
              <w:rPr>
                <w:rFonts w:ascii="Arial" w:hAnsi="Arial" w:cs="Arial"/>
                <w:bCs/>
                <w:sz w:val="22"/>
                <w:szCs w:val="22"/>
              </w:rPr>
              <w:t xml:space="preserve"> as being a great asset, and their presence will be greatly missed.</w:t>
            </w:r>
          </w:p>
          <w:p w14:paraId="66EBF29E" w14:textId="70321A9F" w:rsidR="00102E53" w:rsidRPr="00486CF9" w:rsidRDefault="00102E53" w:rsidP="0079230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682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C77823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E53" w:rsidRPr="00486CF9" w14:paraId="28A50BC3" w14:textId="77777777" w:rsidTr="0E6467FF">
        <w:tc>
          <w:tcPr>
            <w:tcW w:w="1135" w:type="dxa"/>
          </w:tcPr>
          <w:p w14:paraId="23D78CB6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bCs/>
                <w:sz w:val="22"/>
                <w:szCs w:val="22"/>
              </w:rPr>
              <w:t>Next meeting</w:t>
            </w:r>
          </w:p>
        </w:tc>
        <w:tc>
          <w:tcPr>
            <w:tcW w:w="7088" w:type="dxa"/>
          </w:tcPr>
          <w:p w14:paraId="1F3DEC86" w14:textId="32FB7042" w:rsidR="00102E53" w:rsidRPr="00486CF9" w:rsidRDefault="00102E53" w:rsidP="00102E5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C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475CB" w:rsidRPr="00486CF9">
              <w:rPr>
                <w:rFonts w:ascii="Arial" w:hAnsi="Arial" w:cs="Arial"/>
                <w:b/>
                <w:bCs/>
                <w:sz w:val="22"/>
                <w:szCs w:val="22"/>
              </w:rPr>
              <w:t>19 March 2025 in Darlington.</w:t>
            </w:r>
          </w:p>
        </w:tc>
        <w:tc>
          <w:tcPr>
            <w:tcW w:w="1559" w:type="dxa"/>
          </w:tcPr>
          <w:p w14:paraId="25A79252" w14:textId="77777777" w:rsidR="00102E53" w:rsidRPr="00486CF9" w:rsidRDefault="00102E53" w:rsidP="00102E5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C1059D" w14:textId="77777777" w:rsidR="00102E53" w:rsidRPr="00486CF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7C8BCB9" w14:textId="06B826EC" w:rsidR="00240642" w:rsidRPr="00486CF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486CF9">
        <w:rPr>
          <w:rFonts w:ascii="Arial" w:eastAsia="Times New Roman" w:hAnsi="Arial" w:cs="Arial"/>
          <w:kern w:val="0"/>
          <w14:ligatures w14:val="none"/>
        </w:rPr>
        <w:t xml:space="preserve">Minutes agreed by Chair: </w:t>
      </w:r>
      <w:r w:rsidR="00A8002B" w:rsidRPr="005528AF">
        <w:rPr>
          <w:rFonts w:ascii="Freestyle Script" w:eastAsia="Times New Roman" w:hAnsi="Freestyle Script" w:cs="Arial"/>
          <w:kern w:val="0"/>
          <w:sz w:val="40"/>
          <w:szCs w:val="40"/>
          <w14:ligatures w14:val="none"/>
        </w:rPr>
        <w:t>Susan Anyan</w:t>
      </w:r>
      <w:r w:rsidR="009E5029" w:rsidRPr="00486CF9">
        <w:rPr>
          <w:rFonts w:ascii="Arial" w:eastAsia="Times New Roman" w:hAnsi="Arial" w:cs="Arial"/>
          <w:kern w:val="0"/>
          <w14:ligatures w14:val="none"/>
        </w:rPr>
        <w:t xml:space="preserve">                </w:t>
      </w:r>
      <w:r w:rsidR="00CA5EAD" w:rsidRPr="00486CF9">
        <w:rPr>
          <w:rFonts w:ascii="Arial" w:eastAsia="Times New Roman" w:hAnsi="Arial" w:cs="Arial"/>
          <w:kern w:val="0"/>
          <w14:ligatures w14:val="none"/>
        </w:rPr>
        <w:t xml:space="preserve">Date: </w:t>
      </w:r>
      <w:r w:rsidR="00062CD2" w:rsidRPr="00486CF9">
        <w:rPr>
          <w:rFonts w:ascii="Arial" w:eastAsia="Times New Roman" w:hAnsi="Arial" w:cs="Arial"/>
          <w:kern w:val="0"/>
          <w14:ligatures w14:val="none"/>
        </w:rPr>
        <w:t>07/01/2025</w:t>
      </w:r>
    </w:p>
    <w:p w14:paraId="02024C19" w14:textId="77777777" w:rsidR="00102E53" w:rsidRPr="00486CF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486CF9">
        <w:rPr>
          <w:rFonts w:ascii="Arial" w:eastAsia="Times New Roman" w:hAnsi="Arial" w:cs="Arial"/>
          <w:kern w:val="0"/>
          <w14:ligatures w14:val="none"/>
        </w:rPr>
        <w:t xml:space="preserve">       </w:t>
      </w:r>
    </w:p>
    <w:p w14:paraId="2D2E135B" w14:textId="1AC7CBE3" w:rsidR="00102E53" w:rsidRPr="00486CF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486CF9">
        <w:rPr>
          <w:rFonts w:ascii="Arial" w:eastAsia="Times New Roman" w:hAnsi="Arial" w:cs="Arial"/>
          <w:kern w:val="0"/>
          <w14:ligatures w14:val="none"/>
        </w:rPr>
        <w:t xml:space="preserve">Confirmed by circulation to </w:t>
      </w:r>
      <w:r w:rsidR="00811AB9" w:rsidRPr="00486CF9">
        <w:rPr>
          <w:rFonts w:ascii="Arial" w:eastAsia="Times New Roman" w:hAnsi="Arial" w:cs="Arial"/>
          <w:kern w:val="0"/>
          <w14:ligatures w14:val="none"/>
        </w:rPr>
        <w:t>MRIC</w:t>
      </w:r>
      <w:r w:rsidRPr="00486CF9">
        <w:rPr>
          <w:rFonts w:ascii="Arial" w:eastAsia="Times New Roman" w:hAnsi="Arial" w:cs="Arial"/>
          <w:kern w:val="0"/>
          <w14:ligatures w14:val="none"/>
        </w:rPr>
        <w:t xml:space="preserve"> members on</w:t>
      </w:r>
      <w:r w:rsidR="6D56EB24" w:rsidRPr="00486CF9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062CD2" w:rsidRPr="00486CF9">
        <w:rPr>
          <w:rFonts w:ascii="Arial" w:eastAsia="Times New Roman" w:hAnsi="Arial" w:cs="Arial"/>
          <w:kern w:val="0"/>
          <w14:ligatures w14:val="none"/>
        </w:rPr>
        <w:t>07/01/2025.</w:t>
      </w:r>
    </w:p>
    <w:p w14:paraId="5BA94D58" w14:textId="77777777" w:rsidR="00102E53" w:rsidRPr="00486CF9" w:rsidRDefault="00102E53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09091E29" w14:textId="53A824A2" w:rsidR="00102E53" w:rsidRPr="00486CF9" w:rsidRDefault="009F1C12" w:rsidP="00102E5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R</w:t>
      </w:r>
      <w:r w:rsidR="00102E53" w:rsidRPr="00486CF9">
        <w:rPr>
          <w:rFonts w:ascii="Arial" w:eastAsia="Times New Roman" w:hAnsi="Arial" w:cs="Arial"/>
          <w:kern w:val="0"/>
          <w14:ligatures w14:val="none"/>
        </w:rPr>
        <w:t xml:space="preserve">atified at </w:t>
      </w:r>
      <w:r w:rsidR="00811AB9" w:rsidRPr="00486CF9">
        <w:rPr>
          <w:rFonts w:ascii="Arial" w:eastAsia="Times New Roman" w:hAnsi="Arial" w:cs="Arial"/>
          <w:kern w:val="0"/>
          <w14:ligatures w14:val="none"/>
        </w:rPr>
        <w:t>MRIC</w:t>
      </w:r>
      <w:r w:rsidR="00102E53" w:rsidRPr="00486CF9">
        <w:rPr>
          <w:rFonts w:ascii="Arial" w:eastAsia="Times New Roman" w:hAnsi="Arial" w:cs="Arial"/>
          <w:kern w:val="0"/>
          <w14:ligatures w14:val="none"/>
        </w:rPr>
        <w:t xml:space="preserve"> meeting on </w:t>
      </w:r>
      <w:r w:rsidR="009E5029" w:rsidRPr="00486CF9">
        <w:rPr>
          <w:rFonts w:ascii="Arial" w:eastAsia="Times New Roman" w:hAnsi="Arial" w:cs="Arial"/>
          <w:kern w:val="0"/>
          <w14:ligatures w14:val="none"/>
        </w:rPr>
        <w:t>1</w:t>
      </w:r>
      <w:r w:rsidR="005475CB" w:rsidRPr="00486CF9">
        <w:rPr>
          <w:rFonts w:ascii="Arial" w:eastAsia="Times New Roman" w:hAnsi="Arial" w:cs="Arial"/>
          <w:kern w:val="0"/>
          <w14:ligatures w14:val="none"/>
        </w:rPr>
        <w:t>9 March 2025.</w:t>
      </w:r>
    </w:p>
    <w:p w14:paraId="1596D5BE" w14:textId="77777777" w:rsidR="00D623B0" w:rsidRPr="00486CF9" w:rsidRDefault="00D623B0">
      <w:pPr>
        <w:rPr>
          <w:rFonts w:ascii="Arial" w:hAnsi="Arial" w:cs="Arial"/>
        </w:rPr>
      </w:pPr>
    </w:p>
    <w:sectPr w:rsidR="00D623B0" w:rsidRPr="00486CF9" w:rsidSect="009F1C12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281B" w14:textId="77777777" w:rsidR="003B04B3" w:rsidRDefault="003B04B3" w:rsidP="00102E53">
      <w:pPr>
        <w:spacing w:after="0" w:line="240" w:lineRule="auto"/>
      </w:pPr>
      <w:r>
        <w:separator/>
      </w:r>
    </w:p>
  </w:endnote>
  <w:endnote w:type="continuationSeparator" w:id="0">
    <w:p w14:paraId="10323D5C" w14:textId="77777777" w:rsidR="003B04B3" w:rsidRDefault="003B04B3" w:rsidP="0010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3F474" w14:textId="77777777" w:rsidR="00026FD1" w:rsidRDefault="00026F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45D75E" w14:textId="77777777" w:rsidR="00026FD1" w:rsidRDefault="00026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47397" w14:textId="77777777" w:rsidR="003B04B3" w:rsidRDefault="003B04B3" w:rsidP="00102E53">
      <w:pPr>
        <w:spacing w:after="0" w:line="240" w:lineRule="auto"/>
      </w:pPr>
      <w:r>
        <w:separator/>
      </w:r>
    </w:p>
  </w:footnote>
  <w:footnote w:type="continuationSeparator" w:id="0">
    <w:p w14:paraId="7F6B8866" w14:textId="77777777" w:rsidR="003B04B3" w:rsidRDefault="003B04B3" w:rsidP="0010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1EF48" w14:textId="17B70CDB" w:rsidR="00C30327" w:rsidRDefault="00C30327">
    <w:pPr>
      <w:pStyle w:val="Header"/>
    </w:pPr>
    <w:r>
      <w:t>Paper 1                                                                               MRIC sub-committee 1</w:t>
    </w:r>
    <w:r w:rsidR="007B113C">
      <w:t>9</w:t>
    </w:r>
    <w:r w:rsidR="00BC2503">
      <w:t xml:space="preserve"> </w:t>
    </w:r>
    <w:r w:rsidR="007B113C">
      <w:t>March 2025</w:t>
    </w:r>
  </w:p>
  <w:p w14:paraId="5CAFACAF" w14:textId="77777777" w:rsidR="00C30327" w:rsidRDefault="00C30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0A57"/>
    <w:multiLevelType w:val="hybridMultilevel"/>
    <w:tmpl w:val="CB44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DC1"/>
    <w:multiLevelType w:val="hybridMultilevel"/>
    <w:tmpl w:val="9FC2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4968"/>
    <w:multiLevelType w:val="hybridMultilevel"/>
    <w:tmpl w:val="CBA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EB0"/>
    <w:multiLevelType w:val="hybridMultilevel"/>
    <w:tmpl w:val="679E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03BC9"/>
    <w:multiLevelType w:val="hybridMultilevel"/>
    <w:tmpl w:val="7F68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2F64"/>
    <w:multiLevelType w:val="hybridMultilevel"/>
    <w:tmpl w:val="8F24F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E7C2F"/>
    <w:multiLevelType w:val="hybridMultilevel"/>
    <w:tmpl w:val="C86A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617F4"/>
    <w:multiLevelType w:val="hybridMultilevel"/>
    <w:tmpl w:val="6212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50186"/>
    <w:multiLevelType w:val="hybridMultilevel"/>
    <w:tmpl w:val="33A25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89F2FBD"/>
    <w:multiLevelType w:val="hybridMultilevel"/>
    <w:tmpl w:val="44FC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69FE"/>
    <w:multiLevelType w:val="hybridMultilevel"/>
    <w:tmpl w:val="1D86F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6282"/>
    <w:multiLevelType w:val="hybridMultilevel"/>
    <w:tmpl w:val="C03E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545FE"/>
    <w:multiLevelType w:val="hybridMultilevel"/>
    <w:tmpl w:val="E93E8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B0A50"/>
    <w:multiLevelType w:val="hybridMultilevel"/>
    <w:tmpl w:val="13BC707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6258237F"/>
    <w:multiLevelType w:val="hybridMultilevel"/>
    <w:tmpl w:val="E8EE9102"/>
    <w:lvl w:ilvl="0" w:tplc="08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6DBA4EEB"/>
    <w:multiLevelType w:val="hybridMultilevel"/>
    <w:tmpl w:val="9AFAD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03121"/>
    <w:multiLevelType w:val="hybridMultilevel"/>
    <w:tmpl w:val="B0A4F862"/>
    <w:lvl w:ilvl="0" w:tplc="95544F7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2341053">
    <w:abstractNumId w:val="14"/>
  </w:num>
  <w:num w:numId="2" w16cid:durableId="833691027">
    <w:abstractNumId w:val="8"/>
  </w:num>
  <w:num w:numId="3" w16cid:durableId="295337407">
    <w:abstractNumId w:val="16"/>
  </w:num>
  <w:num w:numId="4" w16cid:durableId="858201700">
    <w:abstractNumId w:val="5"/>
  </w:num>
  <w:num w:numId="5" w16cid:durableId="1721708772">
    <w:abstractNumId w:val="11"/>
  </w:num>
  <w:num w:numId="6" w16cid:durableId="2098285192">
    <w:abstractNumId w:val="1"/>
  </w:num>
  <w:num w:numId="7" w16cid:durableId="616378929">
    <w:abstractNumId w:val="6"/>
  </w:num>
  <w:num w:numId="8" w16cid:durableId="871961526">
    <w:abstractNumId w:val="4"/>
  </w:num>
  <w:num w:numId="9" w16cid:durableId="1844931218">
    <w:abstractNumId w:val="9"/>
  </w:num>
  <w:num w:numId="10" w16cid:durableId="536160448">
    <w:abstractNumId w:val="2"/>
  </w:num>
  <w:num w:numId="11" w16cid:durableId="426390814">
    <w:abstractNumId w:val="0"/>
  </w:num>
  <w:num w:numId="12" w16cid:durableId="1214196497">
    <w:abstractNumId w:val="12"/>
  </w:num>
  <w:num w:numId="13" w16cid:durableId="821045077">
    <w:abstractNumId w:val="7"/>
  </w:num>
  <w:num w:numId="14" w16cid:durableId="856652548">
    <w:abstractNumId w:val="3"/>
  </w:num>
  <w:num w:numId="15" w16cid:durableId="1996567867">
    <w:abstractNumId w:val="10"/>
  </w:num>
  <w:num w:numId="16" w16cid:durableId="836533078">
    <w:abstractNumId w:val="15"/>
  </w:num>
  <w:num w:numId="17" w16cid:durableId="1739477339">
    <w:abstractNumId w:val="17"/>
  </w:num>
  <w:num w:numId="18" w16cid:durableId="87990523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53"/>
    <w:rsid w:val="00000A00"/>
    <w:rsid w:val="00003965"/>
    <w:rsid w:val="000042E8"/>
    <w:rsid w:val="00004C8F"/>
    <w:rsid w:val="000065A5"/>
    <w:rsid w:val="00006806"/>
    <w:rsid w:val="000069A0"/>
    <w:rsid w:val="0000738F"/>
    <w:rsid w:val="000127EC"/>
    <w:rsid w:val="00012B22"/>
    <w:rsid w:val="00013167"/>
    <w:rsid w:val="00020006"/>
    <w:rsid w:val="00021500"/>
    <w:rsid w:val="0002329F"/>
    <w:rsid w:val="00025275"/>
    <w:rsid w:val="00025D57"/>
    <w:rsid w:val="000263B9"/>
    <w:rsid w:val="00026E89"/>
    <w:rsid w:val="00026FD1"/>
    <w:rsid w:val="0002724E"/>
    <w:rsid w:val="000272D0"/>
    <w:rsid w:val="00027D78"/>
    <w:rsid w:val="0003330D"/>
    <w:rsid w:val="00033769"/>
    <w:rsid w:val="0003619E"/>
    <w:rsid w:val="00036B26"/>
    <w:rsid w:val="00037EB7"/>
    <w:rsid w:val="00041722"/>
    <w:rsid w:val="0004212E"/>
    <w:rsid w:val="00042B64"/>
    <w:rsid w:val="00045E80"/>
    <w:rsid w:val="00045FF0"/>
    <w:rsid w:val="00046517"/>
    <w:rsid w:val="00054188"/>
    <w:rsid w:val="000549D0"/>
    <w:rsid w:val="00057FFC"/>
    <w:rsid w:val="00061FDD"/>
    <w:rsid w:val="00062230"/>
    <w:rsid w:val="000629CB"/>
    <w:rsid w:val="00062CD2"/>
    <w:rsid w:val="00073137"/>
    <w:rsid w:val="0007344D"/>
    <w:rsid w:val="00073A2E"/>
    <w:rsid w:val="0008352B"/>
    <w:rsid w:val="000836C4"/>
    <w:rsid w:val="000844DE"/>
    <w:rsid w:val="000853DE"/>
    <w:rsid w:val="0008784C"/>
    <w:rsid w:val="000927E4"/>
    <w:rsid w:val="00092804"/>
    <w:rsid w:val="00093555"/>
    <w:rsid w:val="00096A17"/>
    <w:rsid w:val="000A0F73"/>
    <w:rsid w:val="000A49E3"/>
    <w:rsid w:val="000A52E4"/>
    <w:rsid w:val="000A682C"/>
    <w:rsid w:val="000A6849"/>
    <w:rsid w:val="000B20EA"/>
    <w:rsid w:val="000B2A3F"/>
    <w:rsid w:val="000B5F0D"/>
    <w:rsid w:val="000C0138"/>
    <w:rsid w:val="000C7237"/>
    <w:rsid w:val="000D55CB"/>
    <w:rsid w:val="000D6184"/>
    <w:rsid w:val="000D7B37"/>
    <w:rsid w:val="000E0ED4"/>
    <w:rsid w:val="000E28EC"/>
    <w:rsid w:val="000F41B7"/>
    <w:rsid w:val="000F5843"/>
    <w:rsid w:val="00100D4C"/>
    <w:rsid w:val="00102E53"/>
    <w:rsid w:val="00103982"/>
    <w:rsid w:val="001040F5"/>
    <w:rsid w:val="00105A0A"/>
    <w:rsid w:val="00110F99"/>
    <w:rsid w:val="00112955"/>
    <w:rsid w:val="0011497F"/>
    <w:rsid w:val="001157E8"/>
    <w:rsid w:val="00120CF8"/>
    <w:rsid w:val="00123B5F"/>
    <w:rsid w:val="00124FD4"/>
    <w:rsid w:val="00130617"/>
    <w:rsid w:val="00132D2B"/>
    <w:rsid w:val="00133DE9"/>
    <w:rsid w:val="00137E8F"/>
    <w:rsid w:val="00140C30"/>
    <w:rsid w:val="00143D82"/>
    <w:rsid w:val="00144D08"/>
    <w:rsid w:val="001461FC"/>
    <w:rsid w:val="001525F9"/>
    <w:rsid w:val="00152EA2"/>
    <w:rsid w:val="001535AE"/>
    <w:rsid w:val="00153855"/>
    <w:rsid w:val="00154860"/>
    <w:rsid w:val="001566DC"/>
    <w:rsid w:val="00173715"/>
    <w:rsid w:val="00176E6B"/>
    <w:rsid w:val="0017773E"/>
    <w:rsid w:val="00180C37"/>
    <w:rsid w:val="00181F61"/>
    <w:rsid w:val="001824FE"/>
    <w:rsid w:val="00182DFF"/>
    <w:rsid w:val="001843E8"/>
    <w:rsid w:val="001857BE"/>
    <w:rsid w:val="00186391"/>
    <w:rsid w:val="00187A6C"/>
    <w:rsid w:val="0019102C"/>
    <w:rsid w:val="00195492"/>
    <w:rsid w:val="001959C9"/>
    <w:rsid w:val="001977E4"/>
    <w:rsid w:val="001A2AF3"/>
    <w:rsid w:val="001B0CFC"/>
    <w:rsid w:val="001B1E80"/>
    <w:rsid w:val="001B2CD5"/>
    <w:rsid w:val="001B6C48"/>
    <w:rsid w:val="001B7AD1"/>
    <w:rsid w:val="001C0884"/>
    <w:rsid w:val="001C340B"/>
    <w:rsid w:val="001C4EF1"/>
    <w:rsid w:val="001C5573"/>
    <w:rsid w:val="001C5A87"/>
    <w:rsid w:val="001D1DEA"/>
    <w:rsid w:val="001D217B"/>
    <w:rsid w:val="001E4625"/>
    <w:rsid w:val="001E5072"/>
    <w:rsid w:val="001E5982"/>
    <w:rsid w:val="001E6860"/>
    <w:rsid w:val="001F0FC2"/>
    <w:rsid w:val="001F2EA0"/>
    <w:rsid w:val="001F4D2B"/>
    <w:rsid w:val="001F71BF"/>
    <w:rsid w:val="00200B9E"/>
    <w:rsid w:val="0020258D"/>
    <w:rsid w:val="00204628"/>
    <w:rsid w:val="00204A86"/>
    <w:rsid w:val="00206D10"/>
    <w:rsid w:val="0020708E"/>
    <w:rsid w:val="00207CFB"/>
    <w:rsid w:val="00212988"/>
    <w:rsid w:val="00213E01"/>
    <w:rsid w:val="0021469F"/>
    <w:rsid w:val="00214E02"/>
    <w:rsid w:val="002161BF"/>
    <w:rsid w:val="00222191"/>
    <w:rsid w:val="002221A4"/>
    <w:rsid w:val="002267B8"/>
    <w:rsid w:val="00230124"/>
    <w:rsid w:val="00231D78"/>
    <w:rsid w:val="00232074"/>
    <w:rsid w:val="00233052"/>
    <w:rsid w:val="00233ED0"/>
    <w:rsid w:val="002360CB"/>
    <w:rsid w:val="00240642"/>
    <w:rsid w:val="002425FD"/>
    <w:rsid w:val="00243170"/>
    <w:rsid w:val="002441DB"/>
    <w:rsid w:val="00253101"/>
    <w:rsid w:val="0025592B"/>
    <w:rsid w:val="0025726C"/>
    <w:rsid w:val="00257A3E"/>
    <w:rsid w:val="00260903"/>
    <w:rsid w:val="00265049"/>
    <w:rsid w:val="00267177"/>
    <w:rsid w:val="0026736E"/>
    <w:rsid w:val="002707D8"/>
    <w:rsid w:val="00270E96"/>
    <w:rsid w:val="00272171"/>
    <w:rsid w:val="00285604"/>
    <w:rsid w:val="002867C3"/>
    <w:rsid w:val="00292C4C"/>
    <w:rsid w:val="00293F8C"/>
    <w:rsid w:val="002958CE"/>
    <w:rsid w:val="002958E4"/>
    <w:rsid w:val="00297B68"/>
    <w:rsid w:val="002A1F35"/>
    <w:rsid w:val="002A3B74"/>
    <w:rsid w:val="002A4A91"/>
    <w:rsid w:val="002A5BFA"/>
    <w:rsid w:val="002A6679"/>
    <w:rsid w:val="002A78E3"/>
    <w:rsid w:val="002B0D6F"/>
    <w:rsid w:val="002C0785"/>
    <w:rsid w:val="002C1434"/>
    <w:rsid w:val="002C218A"/>
    <w:rsid w:val="002C46BA"/>
    <w:rsid w:val="002C569B"/>
    <w:rsid w:val="002D0DA3"/>
    <w:rsid w:val="002D14BD"/>
    <w:rsid w:val="002D189A"/>
    <w:rsid w:val="002D5210"/>
    <w:rsid w:val="002E054D"/>
    <w:rsid w:val="002E17C7"/>
    <w:rsid w:val="002E224F"/>
    <w:rsid w:val="002E2652"/>
    <w:rsid w:val="002E2D05"/>
    <w:rsid w:val="002E2F48"/>
    <w:rsid w:val="002F12CF"/>
    <w:rsid w:val="002F2385"/>
    <w:rsid w:val="002F772C"/>
    <w:rsid w:val="0030014A"/>
    <w:rsid w:val="00301920"/>
    <w:rsid w:val="00302F87"/>
    <w:rsid w:val="0030387F"/>
    <w:rsid w:val="00303A0D"/>
    <w:rsid w:val="00304EB5"/>
    <w:rsid w:val="00305165"/>
    <w:rsid w:val="0030621F"/>
    <w:rsid w:val="00310FB7"/>
    <w:rsid w:val="00312CE6"/>
    <w:rsid w:val="00313EF9"/>
    <w:rsid w:val="0031454C"/>
    <w:rsid w:val="00314970"/>
    <w:rsid w:val="0031499F"/>
    <w:rsid w:val="00321F67"/>
    <w:rsid w:val="003230D5"/>
    <w:rsid w:val="003230DE"/>
    <w:rsid w:val="00332128"/>
    <w:rsid w:val="00332183"/>
    <w:rsid w:val="003367F8"/>
    <w:rsid w:val="003433BA"/>
    <w:rsid w:val="00343AF1"/>
    <w:rsid w:val="00343CDE"/>
    <w:rsid w:val="00346FB8"/>
    <w:rsid w:val="00347743"/>
    <w:rsid w:val="003542CF"/>
    <w:rsid w:val="0036282F"/>
    <w:rsid w:val="00364200"/>
    <w:rsid w:val="00367AB1"/>
    <w:rsid w:val="003720B7"/>
    <w:rsid w:val="003753DE"/>
    <w:rsid w:val="00375B18"/>
    <w:rsid w:val="00376F53"/>
    <w:rsid w:val="00380326"/>
    <w:rsid w:val="00387EAD"/>
    <w:rsid w:val="00390AF7"/>
    <w:rsid w:val="0039762E"/>
    <w:rsid w:val="003A198C"/>
    <w:rsid w:val="003A1AC5"/>
    <w:rsid w:val="003A4553"/>
    <w:rsid w:val="003A55D4"/>
    <w:rsid w:val="003A5CCA"/>
    <w:rsid w:val="003A61D6"/>
    <w:rsid w:val="003A688B"/>
    <w:rsid w:val="003A7D6C"/>
    <w:rsid w:val="003B04B3"/>
    <w:rsid w:val="003B1909"/>
    <w:rsid w:val="003B4AC4"/>
    <w:rsid w:val="003B58DA"/>
    <w:rsid w:val="003B6D90"/>
    <w:rsid w:val="003C1576"/>
    <w:rsid w:val="003C17D1"/>
    <w:rsid w:val="003D0CCC"/>
    <w:rsid w:val="003D20D5"/>
    <w:rsid w:val="003E0F56"/>
    <w:rsid w:val="003E597B"/>
    <w:rsid w:val="003F0723"/>
    <w:rsid w:val="003F135B"/>
    <w:rsid w:val="003F1F53"/>
    <w:rsid w:val="003F716D"/>
    <w:rsid w:val="003F76CD"/>
    <w:rsid w:val="0040348D"/>
    <w:rsid w:val="004035BB"/>
    <w:rsid w:val="00404BB0"/>
    <w:rsid w:val="00406AEE"/>
    <w:rsid w:val="00410E05"/>
    <w:rsid w:val="00414F99"/>
    <w:rsid w:val="0041656E"/>
    <w:rsid w:val="00416AA4"/>
    <w:rsid w:val="00421417"/>
    <w:rsid w:val="004224B5"/>
    <w:rsid w:val="00423A94"/>
    <w:rsid w:val="00425DC9"/>
    <w:rsid w:val="00427F8C"/>
    <w:rsid w:val="00430A65"/>
    <w:rsid w:val="00430DF6"/>
    <w:rsid w:val="00434287"/>
    <w:rsid w:val="0043444B"/>
    <w:rsid w:val="0043617E"/>
    <w:rsid w:val="004427FC"/>
    <w:rsid w:val="00444B4E"/>
    <w:rsid w:val="00447555"/>
    <w:rsid w:val="00455E2A"/>
    <w:rsid w:val="0045624B"/>
    <w:rsid w:val="00457A1A"/>
    <w:rsid w:val="00461D3B"/>
    <w:rsid w:val="00462082"/>
    <w:rsid w:val="00462636"/>
    <w:rsid w:val="0046381D"/>
    <w:rsid w:val="00465F54"/>
    <w:rsid w:val="00467411"/>
    <w:rsid w:val="00467AC7"/>
    <w:rsid w:val="00467D8F"/>
    <w:rsid w:val="004756D5"/>
    <w:rsid w:val="0047699D"/>
    <w:rsid w:val="00481F14"/>
    <w:rsid w:val="00486CF9"/>
    <w:rsid w:val="00487DC5"/>
    <w:rsid w:val="0049557F"/>
    <w:rsid w:val="004968E8"/>
    <w:rsid w:val="00497BD0"/>
    <w:rsid w:val="00497F7A"/>
    <w:rsid w:val="004B01E6"/>
    <w:rsid w:val="004B20ED"/>
    <w:rsid w:val="004B20F0"/>
    <w:rsid w:val="004B2F03"/>
    <w:rsid w:val="004B4730"/>
    <w:rsid w:val="004B47D7"/>
    <w:rsid w:val="004B7B82"/>
    <w:rsid w:val="004C16C3"/>
    <w:rsid w:val="004C5C6A"/>
    <w:rsid w:val="004C7B66"/>
    <w:rsid w:val="004D192A"/>
    <w:rsid w:val="004D356F"/>
    <w:rsid w:val="004D548D"/>
    <w:rsid w:val="004D5741"/>
    <w:rsid w:val="004E1CEE"/>
    <w:rsid w:val="004E60C3"/>
    <w:rsid w:val="004E6916"/>
    <w:rsid w:val="004E7291"/>
    <w:rsid w:val="004F384F"/>
    <w:rsid w:val="004F763F"/>
    <w:rsid w:val="0050244C"/>
    <w:rsid w:val="00502787"/>
    <w:rsid w:val="00504A0D"/>
    <w:rsid w:val="00504B4C"/>
    <w:rsid w:val="00504D9C"/>
    <w:rsid w:val="0051024A"/>
    <w:rsid w:val="005111D3"/>
    <w:rsid w:val="005122A7"/>
    <w:rsid w:val="00523348"/>
    <w:rsid w:val="005262D7"/>
    <w:rsid w:val="005309F2"/>
    <w:rsid w:val="005312A2"/>
    <w:rsid w:val="00536CB9"/>
    <w:rsid w:val="005372B8"/>
    <w:rsid w:val="00537F15"/>
    <w:rsid w:val="00544AE5"/>
    <w:rsid w:val="005475CB"/>
    <w:rsid w:val="005528AF"/>
    <w:rsid w:val="005553A3"/>
    <w:rsid w:val="00563EAE"/>
    <w:rsid w:val="00564E64"/>
    <w:rsid w:val="00565515"/>
    <w:rsid w:val="0057513A"/>
    <w:rsid w:val="005802A3"/>
    <w:rsid w:val="00581924"/>
    <w:rsid w:val="00584278"/>
    <w:rsid w:val="00595FEB"/>
    <w:rsid w:val="005A02C1"/>
    <w:rsid w:val="005A5D68"/>
    <w:rsid w:val="005A5F2B"/>
    <w:rsid w:val="005B24A7"/>
    <w:rsid w:val="005B24F6"/>
    <w:rsid w:val="005B3551"/>
    <w:rsid w:val="005C194B"/>
    <w:rsid w:val="005C45B2"/>
    <w:rsid w:val="005D0E10"/>
    <w:rsid w:val="005D1F1B"/>
    <w:rsid w:val="005D5DC7"/>
    <w:rsid w:val="005E04A6"/>
    <w:rsid w:val="005E3FB0"/>
    <w:rsid w:val="005E45B6"/>
    <w:rsid w:val="005F1341"/>
    <w:rsid w:val="005F1997"/>
    <w:rsid w:val="005F54CE"/>
    <w:rsid w:val="005F7C83"/>
    <w:rsid w:val="00601505"/>
    <w:rsid w:val="006018F4"/>
    <w:rsid w:val="006057CC"/>
    <w:rsid w:val="00610C69"/>
    <w:rsid w:val="00613671"/>
    <w:rsid w:val="00614449"/>
    <w:rsid w:val="006144B3"/>
    <w:rsid w:val="00620BF9"/>
    <w:rsid w:val="006213A9"/>
    <w:rsid w:val="00622BED"/>
    <w:rsid w:val="00623951"/>
    <w:rsid w:val="006239A5"/>
    <w:rsid w:val="006240EF"/>
    <w:rsid w:val="00625590"/>
    <w:rsid w:val="00625D63"/>
    <w:rsid w:val="006353BB"/>
    <w:rsid w:val="0063724E"/>
    <w:rsid w:val="00641127"/>
    <w:rsid w:val="00641417"/>
    <w:rsid w:val="006415B8"/>
    <w:rsid w:val="00641623"/>
    <w:rsid w:val="006472C3"/>
    <w:rsid w:val="00647BF7"/>
    <w:rsid w:val="0065210D"/>
    <w:rsid w:val="006577C5"/>
    <w:rsid w:val="0066015E"/>
    <w:rsid w:val="006603B6"/>
    <w:rsid w:val="00662EC9"/>
    <w:rsid w:val="00666870"/>
    <w:rsid w:val="00674A0E"/>
    <w:rsid w:val="00675125"/>
    <w:rsid w:val="00676A7E"/>
    <w:rsid w:val="00677C2F"/>
    <w:rsid w:val="0068096F"/>
    <w:rsid w:val="00684892"/>
    <w:rsid w:val="00684FD7"/>
    <w:rsid w:val="00685D6D"/>
    <w:rsid w:val="006870AB"/>
    <w:rsid w:val="0069790E"/>
    <w:rsid w:val="006A2C05"/>
    <w:rsid w:val="006A4BCA"/>
    <w:rsid w:val="006A6C0A"/>
    <w:rsid w:val="006A762E"/>
    <w:rsid w:val="006B10C4"/>
    <w:rsid w:val="006B26BA"/>
    <w:rsid w:val="006B2CCD"/>
    <w:rsid w:val="006B75C1"/>
    <w:rsid w:val="006B790E"/>
    <w:rsid w:val="006C0A90"/>
    <w:rsid w:val="006C2B7D"/>
    <w:rsid w:val="006D1375"/>
    <w:rsid w:val="006E6473"/>
    <w:rsid w:val="006E6991"/>
    <w:rsid w:val="006F0B9F"/>
    <w:rsid w:val="006F0CCF"/>
    <w:rsid w:val="006F442C"/>
    <w:rsid w:val="006F76C4"/>
    <w:rsid w:val="00700869"/>
    <w:rsid w:val="007044CF"/>
    <w:rsid w:val="007073F0"/>
    <w:rsid w:val="007103C7"/>
    <w:rsid w:val="00711D68"/>
    <w:rsid w:val="0072186C"/>
    <w:rsid w:val="007241FA"/>
    <w:rsid w:val="00724D7D"/>
    <w:rsid w:val="0072504A"/>
    <w:rsid w:val="00743A85"/>
    <w:rsid w:val="0074761A"/>
    <w:rsid w:val="00747D94"/>
    <w:rsid w:val="007515AE"/>
    <w:rsid w:val="00754B9E"/>
    <w:rsid w:val="00754E53"/>
    <w:rsid w:val="007563E8"/>
    <w:rsid w:val="00756D02"/>
    <w:rsid w:val="00756D37"/>
    <w:rsid w:val="007570B2"/>
    <w:rsid w:val="0076153B"/>
    <w:rsid w:val="00763F24"/>
    <w:rsid w:val="00764361"/>
    <w:rsid w:val="007645CE"/>
    <w:rsid w:val="00773A3B"/>
    <w:rsid w:val="0078429C"/>
    <w:rsid w:val="0078731F"/>
    <w:rsid w:val="007910C7"/>
    <w:rsid w:val="007911CF"/>
    <w:rsid w:val="007919D9"/>
    <w:rsid w:val="0079230D"/>
    <w:rsid w:val="007936AE"/>
    <w:rsid w:val="007946BF"/>
    <w:rsid w:val="00797533"/>
    <w:rsid w:val="007A2472"/>
    <w:rsid w:val="007A31D4"/>
    <w:rsid w:val="007A35D9"/>
    <w:rsid w:val="007A52EC"/>
    <w:rsid w:val="007A654F"/>
    <w:rsid w:val="007B113C"/>
    <w:rsid w:val="007B1253"/>
    <w:rsid w:val="007B19B9"/>
    <w:rsid w:val="007B6916"/>
    <w:rsid w:val="007B6B7F"/>
    <w:rsid w:val="007C43DF"/>
    <w:rsid w:val="007C4E98"/>
    <w:rsid w:val="007C59C8"/>
    <w:rsid w:val="007C699D"/>
    <w:rsid w:val="007C7C13"/>
    <w:rsid w:val="007D1A84"/>
    <w:rsid w:val="007D4801"/>
    <w:rsid w:val="007D56D4"/>
    <w:rsid w:val="007E09BE"/>
    <w:rsid w:val="007E188B"/>
    <w:rsid w:val="007E34BA"/>
    <w:rsid w:val="007E41E4"/>
    <w:rsid w:val="007E580C"/>
    <w:rsid w:val="007F1017"/>
    <w:rsid w:val="007F5139"/>
    <w:rsid w:val="007F5B11"/>
    <w:rsid w:val="00800787"/>
    <w:rsid w:val="008007C4"/>
    <w:rsid w:val="008020B8"/>
    <w:rsid w:val="008055E0"/>
    <w:rsid w:val="00810A99"/>
    <w:rsid w:val="00810F16"/>
    <w:rsid w:val="00811AB9"/>
    <w:rsid w:val="00814A24"/>
    <w:rsid w:val="008151C7"/>
    <w:rsid w:val="00816571"/>
    <w:rsid w:val="0082290A"/>
    <w:rsid w:val="0082680C"/>
    <w:rsid w:val="008272F3"/>
    <w:rsid w:val="00832296"/>
    <w:rsid w:val="008332F2"/>
    <w:rsid w:val="008335CF"/>
    <w:rsid w:val="0083598D"/>
    <w:rsid w:val="00836560"/>
    <w:rsid w:val="00844788"/>
    <w:rsid w:val="008520D8"/>
    <w:rsid w:val="0085530E"/>
    <w:rsid w:val="00856EFD"/>
    <w:rsid w:val="00857140"/>
    <w:rsid w:val="00862766"/>
    <w:rsid w:val="00863D7D"/>
    <w:rsid w:val="00864E4A"/>
    <w:rsid w:val="00866C86"/>
    <w:rsid w:val="00872C67"/>
    <w:rsid w:val="00875E3C"/>
    <w:rsid w:val="008804FC"/>
    <w:rsid w:val="00880A58"/>
    <w:rsid w:val="008815D1"/>
    <w:rsid w:val="008823F0"/>
    <w:rsid w:val="008830F7"/>
    <w:rsid w:val="0089017C"/>
    <w:rsid w:val="00893667"/>
    <w:rsid w:val="008943E6"/>
    <w:rsid w:val="0089664B"/>
    <w:rsid w:val="00896740"/>
    <w:rsid w:val="00896AE2"/>
    <w:rsid w:val="008A2B8A"/>
    <w:rsid w:val="008A5EF8"/>
    <w:rsid w:val="008A6699"/>
    <w:rsid w:val="008B071E"/>
    <w:rsid w:val="008B7E5C"/>
    <w:rsid w:val="008C03E8"/>
    <w:rsid w:val="008C7A8E"/>
    <w:rsid w:val="008C7DD6"/>
    <w:rsid w:val="008C7FBA"/>
    <w:rsid w:val="008D177E"/>
    <w:rsid w:val="008D1E3E"/>
    <w:rsid w:val="008D4FFD"/>
    <w:rsid w:val="008D6D44"/>
    <w:rsid w:val="008E0541"/>
    <w:rsid w:val="008E4088"/>
    <w:rsid w:val="008E66BF"/>
    <w:rsid w:val="008F5792"/>
    <w:rsid w:val="00900724"/>
    <w:rsid w:val="009009A2"/>
    <w:rsid w:val="00900CD0"/>
    <w:rsid w:val="00910A21"/>
    <w:rsid w:val="0091311E"/>
    <w:rsid w:val="009159DC"/>
    <w:rsid w:val="009206EE"/>
    <w:rsid w:val="00920F0A"/>
    <w:rsid w:val="00921C90"/>
    <w:rsid w:val="00921D91"/>
    <w:rsid w:val="0092255C"/>
    <w:rsid w:val="00923D71"/>
    <w:rsid w:val="00930A63"/>
    <w:rsid w:val="0093401D"/>
    <w:rsid w:val="00934965"/>
    <w:rsid w:val="009367E3"/>
    <w:rsid w:val="009409D6"/>
    <w:rsid w:val="00940C36"/>
    <w:rsid w:val="00942469"/>
    <w:rsid w:val="00945690"/>
    <w:rsid w:val="00951E43"/>
    <w:rsid w:val="0095267D"/>
    <w:rsid w:val="00952922"/>
    <w:rsid w:val="00955818"/>
    <w:rsid w:val="00970254"/>
    <w:rsid w:val="00972114"/>
    <w:rsid w:val="009737AA"/>
    <w:rsid w:val="00974D38"/>
    <w:rsid w:val="00981559"/>
    <w:rsid w:val="00990210"/>
    <w:rsid w:val="00995925"/>
    <w:rsid w:val="009A13F1"/>
    <w:rsid w:val="009A2667"/>
    <w:rsid w:val="009A4C5F"/>
    <w:rsid w:val="009A523F"/>
    <w:rsid w:val="009A58AC"/>
    <w:rsid w:val="009A6A38"/>
    <w:rsid w:val="009B03C8"/>
    <w:rsid w:val="009B3ED7"/>
    <w:rsid w:val="009B43FE"/>
    <w:rsid w:val="009B59F2"/>
    <w:rsid w:val="009B77D2"/>
    <w:rsid w:val="009C1291"/>
    <w:rsid w:val="009C13FD"/>
    <w:rsid w:val="009C2211"/>
    <w:rsid w:val="009C2407"/>
    <w:rsid w:val="009C3A6E"/>
    <w:rsid w:val="009C5B7D"/>
    <w:rsid w:val="009C7FB6"/>
    <w:rsid w:val="009D1747"/>
    <w:rsid w:val="009D25ED"/>
    <w:rsid w:val="009D27FC"/>
    <w:rsid w:val="009D3647"/>
    <w:rsid w:val="009D6822"/>
    <w:rsid w:val="009D6F33"/>
    <w:rsid w:val="009E1FE6"/>
    <w:rsid w:val="009E3BAB"/>
    <w:rsid w:val="009E4BFD"/>
    <w:rsid w:val="009E5029"/>
    <w:rsid w:val="009E6C90"/>
    <w:rsid w:val="009E75CC"/>
    <w:rsid w:val="009F1C12"/>
    <w:rsid w:val="009F2002"/>
    <w:rsid w:val="009F22CF"/>
    <w:rsid w:val="009F60CC"/>
    <w:rsid w:val="009F6F68"/>
    <w:rsid w:val="009F757B"/>
    <w:rsid w:val="00A01C24"/>
    <w:rsid w:val="00A03358"/>
    <w:rsid w:val="00A0636E"/>
    <w:rsid w:val="00A1385D"/>
    <w:rsid w:val="00A171FC"/>
    <w:rsid w:val="00A2390D"/>
    <w:rsid w:val="00A23D05"/>
    <w:rsid w:val="00A3149A"/>
    <w:rsid w:val="00A33DFC"/>
    <w:rsid w:val="00A34313"/>
    <w:rsid w:val="00A40B5B"/>
    <w:rsid w:val="00A4680C"/>
    <w:rsid w:val="00A478A9"/>
    <w:rsid w:val="00A562CA"/>
    <w:rsid w:val="00A56499"/>
    <w:rsid w:val="00A57C00"/>
    <w:rsid w:val="00A6036E"/>
    <w:rsid w:val="00A622A6"/>
    <w:rsid w:val="00A624E0"/>
    <w:rsid w:val="00A6455C"/>
    <w:rsid w:val="00A66FAA"/>
    <w:rsid w:val="00A73638"/>
    <w:rsid w:val="00A73D5C"/>
    <w:rsid w:val="00A74591"/>
    <w:rsid w:val="00A76F1F"/>
    <w:rsid w:val="00A8002B"/>
    <w:rsid w:val="00A802FE"/>
    <w:rsid w:val="00A815D1"/>
    <w:rsid w:val="00A8380A"/>
    <w:rsid w:val="00A86ADA"/>
    <w:rsid w:val="00A921F4"/>
    <w:rsid w:val="00A924C8"/>
    <w:rsid w:val="00A96EE9"/>
    <w:rsid w:val="00AA07EE"/>
    <w:rsid w:val="00AA2A81"/>
    <w:rsid w:val="00AA3C0D"/>
    <w:rsid w:val="00AB0D71"/>
    <w:rsid w:val="00AB1795"/>
    <w:rsid w:val="00AB6C80"/>
    <w:rsid w:val="00AC38A3"/>
    <w:rsid w:val="00AC4D63"/>
    <w:rsid w:val="00AC6C4B"/>
    <w:rsid w:val="00AD04DD"/>
    <w:rsid w:val="00AD211E"/>
    <w:rsid w:val="00AD4209"/>
    <w:rsid w:val="00AD5F4A"/>
    <w:rsid w:val="00AD6445"/>
    <w:rsid w:val="00AE310A"/>
    <w:rsid w:val="00AF1820"/>
    <w:rsid w:val="00AF19C9"/>
    <w:rsid w:val="00AF25EE"/>
    <w:rsid w:val="00AF2E00"/>
    <w:rsid w:val="00AF3CB5"/>
    <w:rsid w:val="00AF561E"/>
    <w:rsid w:val="00AF7072"/>
    <w:rsid w:val="00B0006E"/>
    <w:rsid w:val="00B008DA"/>
    <w:rsid w:val="00B05F09"/>
    <w:rsid w:val="00B066AD"/>
    <w:rsid w:val="00B066D3"/>
    <w:rsid w:val="00B06E00"/>
    <w:rsid w:val="00B16ED9"/>
    <w:rsid w:val="00B22FB6"/>
    <w:rsid w:val="00B23229"/>
    <w:rsid w:val="00B24163"/>
    <w:rsid w:val="00B2735C"/>
    <w:rsid w:val="00B3025D"/>
    <w:rsid w:val="00B302EC"/>
    <w:rsid w:val="00B32AEA"/>
    <w:rsid w:val="00B33062"/>
    <w:rsid w:val="00B355DD"/>
    <w:rsid w:val="00B35E38"/>
    <w:rsid w:val="00B431B9"/>
    <w:rsid w:val="00B45D2F"/>
    <w:rsid w:val="00B468DE"/>
    <w:rsid w:val="00B4706E"/>
    <w:rsid w:val="00B624BA"/>
    <w:rsid w:val="00B62AC6"/>
    <w:rsid w:val="00B62D41"/>
    <w:rsid w:val="00B635BA"/>
    <w:rsid w:val="00B63FBF"/>
    <w:rsid w:val="00B64536"/>
    <w:rsid w:val="00B65498"/>
    <w:rsid w:val="00B666A5"/>
    <w:rsid w:val="00B705F9"/>
    <w:rsid w:val="00B73F2A"/>
    <w:rsid w:val="00B7464E"/>
    <w:rsid w:val="00B80B2D"/>
    <w:rsid w:val="00B81685"/>
    <w:rsid w:val="00B81707"/>
    <w:rsid w:val="00B81768"/>
    <w:rsid w:val="00B81D6B"/>
    <w:rsid w:val="00B8451F"/>
    <w:rsid w:val="00B84C07"/>
    <w:rsid w:val="00B84C1D"/>
    <w:rsid w:val="00B850CD"/>
    <w:rsid w:val="00B90A49"/>
    <w:rsid w:val="00B92FC1"/>
    <w:rsid w:val="00B938CC"/>
    <w:rsid w:val="00B9693B"/>
    <w:rsid w:val="00BA1AF9"/>
    <w:rsid w:val="00BA2DB8"/>
    <w:rsid w:val="00BA69AF"/>
    <w:rsid w:val="00BB3461"/>
    <w:rsid w:val="00BB4A84"/>
    <w:rsid w:val="00BB4C02"/>
    <w:rsid w:val="00BB6544"/>
    <w:rsid w:val="00BB6D7A"/>
    <w:rsid w:val="00BB6E5E"/>
    <w:rsid w:val="00BB7518"/>
    <w:rsid w:val="00BC0C83"/>
    <w:rsid w:val="00BC2503"/>
    <w:rsid w:val="00BC3112"/>
    <w:rsid w:val="00BC401C"/>
    <w:rsid w:val="00BC7D87"/>
    <w:rsid w:val="00BD01A3"/>
    <w:rsid w:val="00BD41BB"/>
    <w:rsid w:val="00BD4F07"/>
    <w:rsid w:val="00BD6202"/>
    <w:rsid w:val="00BE240B"/>
    <w:rsid w:val="00BE25EE"/>
    <w:rsid w:val="00BE55D2"/>
    <w:rsid w:val="00BE7E1F"/>
    <w:rsid w:val="00BF0101"/>
    <w:rsid w:val="00BF2BD4"/>
    <w:rsid w:val="00BF57B6"/>
    <w:rsid w:val="00C01226"/>
    <w:rsid w:val="00C051DA"/>
    <w:rsid w:val="00C06C95"/>
    <w:rsid w:val="00C11B07"/>
    <w:rsid w:val="00C161D8"/>
    <w:rsid w:val="00C16E86"/>
    <w:rsid w:val="00C22BB0"/>
    <w:rsid w:val="00C30327"/>
    <w:rsid w:val="00C3172E"/>
    <w:rsid w:val="00C31F6B"/>
    <w:rsid w:val="00C3208D"/>
    <w:rsid w:val="00C36D4B"/>
    <w:rsid w:val="00C3758D"/>
    <w:rsid w:val="00C377F5"/>
    <w:rsid w:val="00C37A49"/>
    <w:rsid w:val="00C42CEF"/>
    <w:rsid w:val="00C5066A"/>
    <w:rsid w:val="00C523AB"/>
    <w:rsid w:val="00C54216"/>
    <w:rsid w:val="00C544F5"/>
    <w:rsid w:val="00C627D3"/>
    <w:rsid w:val="00C63E47"/>
    <w:rsid w:val="00C7053B"/>
    <w:rsid w:val="00C70FBF"/>
    <w:rsid w:val="00C71338"/>
    <w:rsid w:val="00C7522D"/>
    <w:rsid w:val="00C75324"/>
    <w:rsid w:val="00C75F43"/>
    <w:rsid w:val="00C81997"/>
    <w:rsid w:val="00C8350A"/>
    <w:rsid w:val="00C83990"/>
    <w:rsid w:val="00C83B18"/>
    <w:rsid w:val="00C84C8E"/>
    <w:rsid w:val="00C908DB"/>
    <w:rsid w:val="00C930D4"/>
    <w:rsid w:val="00CA2033"/>
    <w:rsid w:val="00CA275D"/>
    <w:rsid w:val="00CA3B04"/>
    <w:rsid w:val="00CA5EAD"/>
    <w:rsid w:val="00CB0EB7"/>
    <w:rsid w:val="00CB1E18"/>
    <w:rsid w:val="00CB349B"/>
    <w:rsid w:val="00CB4DEE"/>
    <w:rsid w:val="00CB5853"/>
    <w:rsid w:val="00CB640F"/>
    <w:rsid w:val="00CB6510"/>
    <w:rsid w:val="00CC02BB"/>
    <w:rsid w:val="00CC31CB"/>
    <w:rsid w:val="00CC70F7"/>
    <w:rsid w:val="00CC7782"/>
    <w:rsid w:val="00CD30EA"/>
    <w:rsid w:val="00CD3C00"/>
    <w:rsid w:val="00CD3DFE"/>
    <w:rsid w:val="00CD4079"/>
    <w:rsid w:val="00CD6278"/>
    <w:rsid w:val="00CE1748"/>
    <w:rsid w:val="00CE490D"/>
    <w:rsid w:val="00CE581E"/>
    <w:rsid w:val="00CE5975"/>
    <w:rsid w:val="00CE5AB0"/>
    <w:rsid w:val="00CE7C43"/>
    <w:rsid w:val="00CF28CE"/>
    <w:rsid w:val="00CF4805"/>
    <w:rsid w:val="00CF49CC"/>
    <w:rsid w:val="00CF5640"/>
    <w:rsid w:val="00CF63BF"/>
    <w:rsid w:val="00CF6E3A"/>
    <w:rsid w:val="00CF7574"/>
    <w:rsid w:val="00D0285A"/>
    <w:rsid w:val="00D03737"/>
    <w:rsid w:val="00D10239"/>
    <w:rsid w:val="00D1264F"/>
    <w:rsid w:val="00D251C1"/>
    <w:rsid w:val="00D27774"/>
    <w:rsid w:val="00D331E6"/>
    <w:rsid w:val="00D404BF"/>
    <w:rsid w:val="00D42348"/>
    <w:rsid w:val="00D434F0"/>
    <w:rsid w:val="00D43799"/>
    <w:rsid w:val="00D45087"/>
    <w:rsid w:val="00D4576A"/>
    <w:rsid w:val="00D47FD6"/>
    <w:rsid w:val="00D502F5"/>
    <w:rsid w:val="00D53934"/>
    <w:rsid w:val="00D542D7"/>
    <w:rsid w:val="00D547AF"/>
    <w:rsid w:val="00D54B1D"/>
    <w:rsid w:val="00D54B72"/>
    <w:rsid w:val="00D56697"/>
    <w:rsid w:val="00D60E18"/>
    <w:rsid w:val="00D623B0"/>
    <w:rsid w:val="00D64E58"/>
    <w:rsid w:val="00D67045"/>
    <w:rsid w:val="00D67C8F"/>
    <w:rsid w:val="00D70CEE"/>
    <w:rsid w:val="00D753EF"/>
    <w:rsid w:val="00D80B3B"/>
    <w:rsid w:val="00D8244A"/>
    <w:rsid w:val="00D82B93"/>
    <w:rsid w:val="00D83201"/>
    <w:rsid w:val="00D8757E"/>
    <w:rsid w:val="00D90A9C"/>
    <w:rsid w:val="00D92BB8"/>
    <w:rsid w:val="00D93477"/>
    <w:rsid w:val="00DA5A37"/>
    <w:rsid w:val="00DA5FED"/>
    <w:rsid w:val="00DA759D"/>
    <w:rsid w:val="00DB03F6"/>
    <w:rsid w:val="00DB062D"/>
    <w:rsid w:val="00DB116F"/>
    <w:rsid w:val="00DB3B71"/>
    <w:rsid w:val="00DB442B"/>
    <w:rsid w:val="00DC0DDF"/>
    <w:rsid w:val="00DC1A48"/>
    <w:rsid w:val="00DC3366"/>
    <w:rsid w:val="00DC3502"/>
    <w:rsid w:val="00DC4B1C"/>
    <w:rsid w:val="00DC6C75"/>
    <w:rsid w:val="00DD0553"/>
    <w:rsid w:val="00DD055E"/>
    <w:rsid w:val="00DD30AE"/>
    <w:rsid w:val="00DD52F7"/>
    <w:rsid w:val="00DD5311"/>
    <w:rsid w:val="00DD79DE"/>
    <w:rsid w:val="00DE5C66"/>
    <w:rsid w:val="00DE5F4C"/>
    <w:rsid w:val="00DE5F90"/>
    <w:rsid w:val="00DE6114"/>
    <w:rsid w:val="00DF3066"/>
    <w:rsid w:val="00DF61CD"/>
    <w:rsid w:val="00E0000B"/>
    <w:rsid w:val="00E00BB6"/>
    <w:rsid w:val="00E0128C"/>
    <w:rsid w:val="00E025C3"/>
    <w:rsid w:val="00E03CE4"/>
    <w:rsid w:val="00E04F10"/>
    <w:rsid w:val="00E11D09"/>
    <w:rsid w:val="00E12659"/>
    <w:rsid w:val="00E128A9"/>
    <w:rsid w:val="00E14808"/>
    <w:rsid w:val="00E153B9"/>
    <w:rsid w:val="00E165EA"/>
    <w:rsid w:val="00E227A5"/>
    <w:rsid w:val="00E239CA"/>
    <w:rsid w:val="00E23B5B"/>
    <w:rsid w:val="00E23EB5"/>
    <w:rsid w:val="00E25768"/>
    <w:rsid w:val="00E427D6"/>
    <w:rsid w:val="00E4296F"/>
    <w:rsid w:val="00E42C46"/>
    <w:rsid w:val="00E44FE7"/>
    <w:rsid w:val="00E46A4F"/>
    <w:rsid w:val="00E46B16"/>
    <w:rsid w:val="00E47051"/>
    <w:rsid w:val="00E62134"/>
    <w:rsid w:val="00E62ECA"/>
    <w:rsid w:val="00E636A2"/>
    <w:rsid w:val="00E656E1"/>
    <w:rsid w:val="00E6652F"/>
    <w:rsid w:val="00E6694A"/>
    <w:rsid w:val="00E71F11"/>
    <w:rsid w:val="00E74688"/>
    <w:rsid w:val="00E758ED"/>
    <w:rsid w:val="00E75BFB"/>
    <w:rsid w:val="00E777EF"/>
    <w:rsid w:val="00E826E3"/>
    <w:rsid w:val="00E82F8B"/>
    <w:rsid w:val="00E85972"/>
    <w:rsid w:val="00E86E8B"/>
    <w:rsid w:val="00E9178C"/>
    <w:rsid w:val="00E934F6"/>
    <w:rsid w:val="00E93686"/>
    <w:rsid w:val="00E93C50"/>
    <w:rsid w:val="00E965B7"/>
    <w:rsid w:val="00E96880"/>
    <w:rsid w:val="00E96C62"/>
    <w:rsid w:val="00E96E5C"/>
    <w:rsid w:val="00EA0276"/>
    <w:rsid w:val="00EA26F4"/>
    <w:rsid w:val="00EA31B4"/>
    <w:rsid w:val="00EA349B"/>
    <w:rsid w:val="00EA496B"/>
    <w:rsid w:val="00EA60A1"/>
    <w:rsid w:val="00EA71AF"/>
    <w:rsid w:val="00EA73CA"/>
    <w:rsid w:val="00EA7ECC"/>
    <w:rsid w:val="00EB024A"/>
    <w:rsid w:val="00EB199F"/>
    <w:rsid w:val="00EB73A1"/>
    <w:rsid w:val="00EB7408"/>
    <w:rsid w:val="00EC08BC"/>
    <w:rsid w:val="00EC0CE5"/>
    <w:rsid w:val="00EC2620"/>
    <w:rsid w:val="00EC33AA"/>
    <w:rsid w:val="00EC4699"/>
    <w:rsid w:val="00EC77E9"/>
    <w:rsid w:val="00ED212A"/>
    <w:rsid w:val="00ED327D"/>
    <w:rsid w:val="00ED35E9"/>
    <w:rsid w:val="00ED4B27"/>
    <w:rsid w:val="00ED5517"/>
    <w:rsid w:val="00ED5B6D"/>
    <w:rsid w:val="00ED79C3"/>
    <w:rsid w:val="00EE3861"/>
    <w:rsid w:val="00EE3D8A"/>
    <w:rsid w:val="00EE5BE8"/>
    <w:rsid w:val="00EE6CF8"/>
    <w:rsid w:val="00EE6D62"/>
    <w:rsid w:val="00EE7437"/>
    <w:rsid w:val="00EF0338"/>
    <w:rsid w:val="00EF542D"/>
    <w:rsid w:val="00EF7531"/>
    <w:rsid w:val="00F02B80"/>
    <w:rsid w:val="00F04C9B"/>
    <w:rsid w:val="00F0640E"/>
    <w:rsid w:val="00F06B76"/>
    <w:rsid w:val="00F07BC0"/>
    <w:rsid w:val="00F1217B"/>
    <w:rsid w:val="00F13488"/>
    <w:rsid w:val="00F20027"/>
    <w:rsid w:val="00F22880"/>
    <w:rsid w:val="00F25829"/>
    <w:rsid w:val="00F266BA"/>
    <w:rsid w:val="00F267AE"/>
    <w:rsid w:val="00F27475"/>
    <w:rsid w:val="00F3000D"/>
    <w:rsid w:val="00F30DAE"/>
    <w:rsid w:val="00F320B8"/>
    <w:rsid w:val="00F44308"/>
    <w:rsid w:val="00F457BB"/>
    <w:rsid w:val="00F45BB9"/>
    <w:rsid w:val="00F47FCA"/>
    <w:rsid w:val="00F508C5"/>
    <w:rsid w:val="00F51CFF"/>
    <w:rsid w:val="00F53520"/>
    <w:rsid w:val="00F53F9B"/>
    <w:rsid w:val="00F5639E"/>
    <w:rsid w:val="00F603E0"/>
    <w:rsid w:val="00F61132"/>
    <w:rsid w:val="00F61EAA"/>
    <w:rsid w:val="00F6461C"/>
    <w:rsid w:val="00F646B0"/>
    <w:rsid w:val="00F675D0"/>
    <w:rsid w:val="00F72CC9"/>
    <w:rsid w:val="00F75EEF"/>
    <w:rsid w:val="00F831B7"/>
    <w:rsid w:val="00F84080"/>
    <w:rsid w:val="00F84DB7"/>
    <w:rsid w:val="00F84F7C"/>
    <w:rsid w:val="00F857B7"/>
    <w:rsid w:val="00F936D8"/>
    <w:rsid w:val="00F96400"/>
    <w:rsid w:val="00FA143E"/>
    <w:rsid w:val="00FA1806"/>
    <w:rsid w:val="00FA3370"/>
    <w:rsid w:val="00FA48BB"/>
    <w:rsid w:val="00FA5586"/>
    <w:rsid w:val="00FA5A1F"/>
    <w:rsid w:val="00FA79BB"/>
    <w:rsid w:val="00FB0024"/>
    <w:rsid w:val="00FB2BDC"/>
    <w:rsid w:val="00FB4FDA"/>
    <w:rsid w:val="00FB6A9F"/>
    <w:rsid w:val="00FC0B68"/>
    <w:rsid w:val="00FC0EF8"/>
    <w:rsid w:val="00FC16B2"/>
    <w:rsid w:val="00FC25AA"/>
    <w:rsid w:val="00FC374B"/>
    <w:rsid w:val="00FC4A18"/>
    <w:rsid w:val="00FD7281"/>
    <w:rsid w:val="00FD7A0C"/>
    <w:rsid w:val="00FE43FB"/>
    <w:rsid w:val="00FE5614"/>
    <w:rsid w:val="00FE63B4"/>
    <w:rsid w:val="00FE657C"/>
    <w:rsid w:val="00FE72AF"/>
    <w:rsid w:val="00FE74C2"/>
    <w:rsid w:val="00FE7EAA"/>
    <w:rsid w:val="00FF16F5"/>
    <w:rsid w:val="00FF3B57"/>
    <w:rsid w:val="0B8BF13B"/>
    <w:rsid w:val="0E4195E6"/>
    <w:rsid w:val="0E6467FF"/>
    <w:rsid w:val="212C6B4D"/>
    <w:rsid w:val="424276F2"/>
    <w:rsid w:val="482DCD21"/>
    <w:rsid w:val="6D56E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8371"/>
  <w15:chartTrackingRefBased/>
  <w15:docId w15:val="{D1B1DA76-5F8C-4FD8-B2CD-9E9C7309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502"/>
  </w:style>
  <w:style w:type="paragraph" w:styleId="Heading1">
    <w:name w:val="heading 1"/>
    <w:basedOn w:val="Normal"/>
    <w:next w:val="Normal"/>
    <w:link w:val="Heading1Char"/>
    <w:uiPriority w:val="9"/>
    <w:qFormat/>
    <w:rsid w:val="00102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E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E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E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E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E53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0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53"/>
  </w:style>
  <w:style w:type="paragraph" w:styleId="Header">
    <w:name w:val="header"/>
    <w:basedOn w:val="Normal"/>
    <w:link w:val="HeaderChar"/>
    <w:uiPriority w:val="99"/>
    <w:unhideWhenUsed/>
    <w:rsid w:val="0010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53"/>
  </w:style>
  <w:style w:type="table" w:styleId="TableGrid">
    <w:name w:val="Table Grid"/>
    <w:basedOn w:val="TableNormal"/>
    <w:rsid w:val="00102E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0B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5C3"/>
    <w:rPr>
      <w:b/>
      <w:bCs/>
      <w:sz w:val="20"/>
      <w:szCs w:val="20"/>
    </w:rPr>
  </w:style>
  <w:style w:type="paragraph" w:customStyle="1" w:styleId="DeptBullets">
    <w:name w:val="DeptBullets"/>
    <w:basedOn w:val="Normal"/>
    <w:link w:val="DeptBulletsChar"/>
    <w:rsid w:val="00A6036E"/>
    <w:pPr>
      <w:widowControl w:val="0"/>
      <w:numPr>
        <w:numId w:val="9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DeptBulletsChar">
    <w:name w:val="DeptBullets Char"/>
    <w:basedOn w:val="DefaultParagraphFont"/>
    <w:link w:val="DeptBullets"/>
    <w:rsid w:val="00A6036E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827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242A5-A087-4CF8-9F4A-3A4D7C2F3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E29AE-6554-406F-B7C6-A1D53DBC940B}">
  <ds:schemaRefs>
    <ds:schemaRef ds:uri="http://schemas.microsoft.com/office/2006/metadata/properties"/>
    <ds:schemaRef ds:uri="http://www.w3.org/2000/xmlns/"/>
    <ds:schemaRef ds:uri="8c566321-f672-4e06-a901-b5e72b4c4357"/>
    <ds:schemaRef ds:uri="http://www.w3.org/2001/XMLSchema-instance"/>
    <ds:schemaRef ds:uri="edeaa573-51a5-4374-bb63-b6a82edec0a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C99B65-7AD2-4B3F-AA07-8D6EC869D73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eaa573-51a5-4374-bb63-b6a82edec0af"/>
    <ds:schemaRef ds:uri="250b43f0-ab28-479d-8085-57949f7f2a6a"/>
    <ds:schemaRef ds:uri="8c566321-f672-4e06-a901-b5e72b4c435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a8c627-88ae-4044-bd73-e0933ca500e0}" enabled="0" method="" siteId="{cba8c627-88ae-4044-bd73-e0933ca500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MYLES, Abbie</dc:creator>
  <cp:keywords/>
  <dc:description/>
  <cp:lastModifiedBy>DODDS, Loraine</cp:lastModifiedBy>
  <cp:revision>16</cp:revision>
  <dcterms:created xsi:type="dcterms:W3CDTF">2025-01-07T14:38:00Z</dcterms:created>
  <dcterms:modified xsi:type="dcterms:W3CDTF">2025-03-20T10:04:00Z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-GalaxkeyClassification">
    <vt:lpwstr>Official – External</vt:lpwstr>
  </property>
  <property fmtid="{D5CDD505-2E9C-101B-9397-08002B2CF9AE}" pid="3" name="ContentTypeId">
    <vt:lpwstr>0x0101009263BDA5C377B543A5FEE4227FBA7951</vt:lpwstr>
  </property>
  <property fmtid="{D5CDD505-2E9C-101B-9397-08002B2CF9AE}" pid="4" name="MediaServiceImageTags">
    <vt:lpwstr/>
  </property>
  <property fmtid="{D5CDD505-2E9C-101B-9397-08002B2CF9AE}" pid="5" name="XGalaxkeyClassification">
    <vt:lpwstr>Official – External</vt:lpwstr>
  </property>
</Properties>
</file>