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8C054" w14:textId="77777777" w:rsidR="00F24CA1" w:rsidRPr="00A60331" w:rsidRDefault="00F24CA1" w:rsidP="00F24CA1">
      <w:pPr>
        <w:pStyle w:val="DeptBullets"/>
        <w:numPr>
          <w:ilvl w:val="0"/>
          <w:numId w:val="0"/>
        </w:numPr>
        <w:spacing w:after="0"/>
        <w:ind w:right="-99"/>
        <w:rPr>
          <w:rFonts w:cs="Arial"/>
          <w:b/>
          <w:sz w:val="22"/>
          <w:szCs w:val="22"/>
        </w:rPr>
      </w:pPr>
      <w:r w:rsidRPr="00A60331">
        <w:rPr>
          <w:rFonts w:cs="Arial"/>
          <w:b/>
          <w:sz w:val="22"/>
          <w:szCs w:val="22"/>
        </w:rPr>
        <w:t xml:space="preserve">Teachers’ Pension Scheme Pension Board </w:t>
      </w:r>
      <w:r w:rsidR="00D93A69" w:rsidRPr="00A60331">
        <w:rPr>
          <w:rFonts w:cs="Arial"/>
          <w:b/>
          <w:sz w:val="22"/>
          <w:szCs w:val="22"/>
        </w:rPr>
        <w:t xml:space="preserve">- </w:t>
      </w:r>
      <w:r w:rsidRPr="00A60331">
        <w:rPr>
          <w:rFonts w:cs="Arial"/>
          <w:b/>
          <w:sz w:val="22"/>
          <w:szCs w:val="22"/>
        </w:rPr>
        <w:t>Finance, Risk and Audit Report.</w:t>
      </w:r>
    </w:p>
    <w:p w14:paraId="6F571D3F" w14:textId="77777777" w:rsidR="00F24CA1" w:rsidRPr="00A60331" w:rsidRDefault="00F24CA1" w:rsidP="00F24CA1">
      <w:pPr>
        <w:pStyle w:val="DeptBullets"/>
        <w:numPr>
          <w:ilvl w:val="0"/>
          <w:numId w:val="0"/>
        </w:numPr>
        <w:spacing w:after="0"/>
        <w:ind w:right="-99"/>
        <w:rPr>
          <w:rFonts w:cs="Arial"/>
          <w:b/>
          <w:sz w:val="22"/>
          <w:szCs w:val="22"/>
        </w:rPr>
      </w:pPr>
    </w:p>
    <w:p w14:paraId="7C09E5B5" w14:textId="77777777" w:rsidR="00F24CA1" w:rsidRDefault="00F24CA1" w:rsidP="00F16943">
      <w:pPr>
        <w:pStyle w:val="Default"/>
        <w:rPr>
          <w:rFonts w:ascii="Arial" w:hAnsi="Arial" w:cs="Arial"/>
          <w:sz w:val="22"/>
          <w:szCs w:val="22"/>
        </w:rPr>
      </w:pPr>
      <w:r w:rsidRPr="00091B2C">
        <w:rPr>
          <w:rFonts w:ascii="Arial" w:hAnsi="Arial" w:cs="Arial"/>
          <w:sz w:val="22"/>
          <w:szCs w:val="22"/>
        </w:rPr>
        <w:t>The purpose of this document is to advis</w:t>
      </w:r>
      <w:r w:rsidR="003D5EA3" w:rsidRPr="00091B2C">
        <w:rPr>
          <w:rFonts w:ascii="Arial" w:hAnsi="Arial" w:cs="Arial"/>
          <w:sz w:val="22"/>
          <w:szCs w:val="22"/>
        </w:rPr>
        <w:t>e the Managing Risk and Internal Controls Sub-</w:t>
      </w:r>
      <w:r w:rsidR="0036338C" w:rsidRPr="00091B2C">
        <w:rPr>
          <w:rFonts w:ascii="Arial" w:hAnsi="Arial" w:cs="Arial"/>
          <w:sz w:val="22"/>
          <w:szCs w:val="22"/>
        </w:rPr>
        <w:t>Committee</w:t>
      </w:r>
      <w:r w:rsidR="003D5EA3" w:rsidRPr="00091B2C">
        <w:rPr>
          <w:rFonts w:ascii="Arial" w:hAnsi="Arial" w:cs="Arial"/>
          <w:sz w:val="22"/>
          <w:szCs w:val="22"/>
        </w:rPr>
        <w:t xml:space="preserve"> and </w:t>
      </w:r>
      <w:r w:rsidRPr="00091B2C">
        <w:rPr>
          <w:rFonts w:ascii="Arial" w:hAnsi="Arial" w:cs="Arial"/>
          <w:sz w:val="22"/>
          <w:szCs w:val="22"/>
        </w:rPr>
        <w:t>the Board of recent key events relating to the financial management, risk and auditing of the scheme</w:t>
      </w:r>
      <w:r w:rsidR="00685E40" w:rsidRPr="00091B2C">
        <w:rPr>
          <w:rFonts w:ascii="Arial" w:hAnsi="Arial" w:cs="Arial"/>
          <w:sz w:val="22"/>
          <w:szCs w:val="22"/>
        </w:rPr>
        <w:t xml:space="preserve"> so as to assist it in its assurance role - in particular in the areas </w:t>
      </w:r>
      <w:r w:rsidR="00685E40" w:rsidRPr="003D5EA3">
        <w:rPr>
          <w:rFonts w:ascii="Arial" w:hAnsi="Arial" w:cs="Arial"/>
          <w:sz w:val="22"/>
          <w:szCs w:val="22"/>
        </w:rPr>
        <w:t>of risk management</w:t>
      </w:r>
      <w:r w:rsidR="008C4705" w:rsidRPr="003D5EA3">
        <w:rPr>
          <w:rFonts w:ascii="Arial" w:hAnsi="Arial" w:cs="Arial"/>
          <w:sz w:val="22"/>
          <w:szCs w:val="22"/>
        </w:rPr>
        <w:t xml:space="preserve"> </w:t>
      </w:r>
      <w:r w:rsidR="00685E40" w:rsidRPr="003D5EA3">
        <w:rPr>
          <w:rFonts w:ascii="Arial" w:hAnsi="Arial" w:cs="Arial"/>
          <w:sz w:val="22"/>
          <w:szCs w:val="22"/>
        </w:rPr>
        <w:t>/</w:t>
      </w:r>
      <w:r w:rsidR="008C4705" w:rsidRPr="003D5EA3">
        <w:rPr>
          <w:rFonts w:ascii="Arial" w:hAnsi="Arial" w:cs="Arial"/>
          <w:sz w:val="22"/>
          <w:szCs w:val="22"/>
        </w:rPr>
        <w:t xml:space="preserve"> </w:t>
      </w:r>
      <w:r w:rsidR="00685E40" w:rsidRPr="003D5EA3">
        <w:rPr>
          <w:rFonts w:ascii="Arial" w:hAnsi="Arial" w:cs="Arial"/>
          <w:sz w:val="22"/>
          <w:szCs w:val="22"/>
        </w:rPr>
        <w:t>arrangements for maintaining control over the business and collecting contributions to the scheme.</w:t>
      </w:r>
      <w:r w:rsidR="00685E40" w:rsidRPr="00091B2C">
        <w:rPr>
          <w:rFonts w:ascii="Arial" w:hAnsi="Arial" w:cs="Arial"/>
          <w:sz w:val="22"/>
          <w:szCs w:val="22"/>
        </w:rPr>
        <w:t xml:space="preserve"> The report also aims to assist the Board in its strategic role by providing information on specific actions and projects that aim to ensure the administration continues to improve and best serve all stakeholders’ needs</w:t>
      </w:r>
      <w:r w:rsidR="00F16943" w:rsidRPr="00091B2C">
        <w:rPr>
          <w:rFonts w:ascii="Arial" w:hAnsi="Arial" w:cs="Arial"/>
          <w:sz w:val="22"/>
          <w:szCs w:val="22"/>
        </w:rPr>
        <w:t>.</w:t>
      </w:r>
    </w:p>
    <w:p w14:paraId="22BE3948" w14:textId="77777777" w:rsidR="0086103A" w:rsidRDefault="0086103A" w:rsidP="00F16943">
      <w:pPr>
        <w:pStyle w:val="Default"/>
        <w:rPr>
          <w:rFonts w:ascii="Arial" w:hAnsi="Arial" w:cs="Arial"/>
          <w:sz w:val="22"/>
          <w:szCs w:val="22"/>
        </w:rPr>
      </w:pPr>
    </w:p>
    <w:p w14:paraId="76A8419D" w14:textId="77777777" w:rsidR="0086103A" w:rsidRDefault="00EF0FF7" w:rsidP="00EF0FF7">
      <w:pPr>
        <w:pStyle w:val="DeptBullets"/>
        <w:numPr>
          <w:ilvl w:val="0"/>
          <w:numId w:val="0"/>
        </w:numPr>
        <w:tabs>
          <w:tab w:val="left" w:pos="6105"/>
        </w:tabs>
        <w:spacing w:after="0"/>
        <w:rPr>
          <w:rFonts w:cs="Arial"/>
          <w:sz w:val="22"/>
          <w:szCs w:val="22"/>
        </w:rPr>
      </w:pPr>
      <w:r>
        <w:rPr>
          <w:rFonts w:cs="Arial"/>
          <w:sz w:val="22"/>
          <w:szCs w:val="22"/>
        </w:rPr>
        <w:t xml:space="preserve">Through this Sub-Committee the </w:t>
      </w:r>
      <w:r w:rsidRPr="00EF0FF7">
        <w:rPr>
          <w:rFonts w:cs="Arial"/>
          <w:sz w:val="22"/>
          <w:szCs w:val="22"/>
        </w:rPr>
        <w:t>Teachers’ Pension Scheme Pension</w:t>
      </w:r>
      <w:r w:rsidR="00623DFC">
        <w:rPr>
          <w:rFonts w:cs="Arial"/>
          <w:sz w:val="22"/>
          <w:szCs w:val="22"/>
        </w:rPr>
        <w:t xml:space="preserve"> Board</w:t>
      </w:r>
      <w:r>
        <w:rPr>
          <w:rFonts w:cs="Arial"/>
          <w:sz w:val="22"/>
          <w:szCs w:val="22"/>
        </w:rPr>
        <w:t xml:space="preserve"> can gain </w:t>
      </w:r>
      <w:r w:rsidR="00623DFC">
        <w:rPr>
          <w:rFonts w:cs="Arial"/>
          <w:sz w:val="22"/>
          <w:szCs w:val="22"/>
        </w:rPr>
        <w:t xml:space="preserve">insight and hence </w:t>
      </w:r>
      <w:r>
        <w:rPr>
          <w:rFonts w:cs="Arial"/>
          <w:sz w:val="22"/>
          <w:szCs w:val="22"/>
        </w:rPr>
        <w:t xml:space="preserve">assurance over the </w:t>
      </w:r>
      <w:r w:rsidR="00623DFC">
        <w:rPr>
          <w:rFonts w:cs="Arial"/>
          <w:sz w:val="22"/>
          <w:szCs w:val="22"/>
        </w:rPr>
        <w:t xml:space="preserve">financial administration </w:t>
      </w:r>
      <w:r>
        <w:rPr>
          <w:rFonts w:cs="Arial"/>
          <w:sz w:val="22"/>
          <w:szCs w:val="22"/>
        </w:rPr>
        <w:t xml:space="preserve">of the scheme </w:t>
      </w:r>
      <w:r w:rsidR="00623DFC">
        <w:rPr>
          <w:rFonts w:cs="Arial"/>
          <w:sz w:val="22"/>
          <w:szCs w:val="22"/>
        </w:rPr>
        <w:t xml:space="preserve">with a focus on </w:t>
      </w:r>
      <w:r>
        <w:rPr>
          <w:rFonts w:cs="Arial"/>
          <w:sz w:val="22"/>
          <w:szCs w:val="22"/>
        </w:rPr>
        <w:t xml:space="preserve">how wider </w:t>
      </w:r>
      <w:r w:rsidR="0040779E">
        <w:rPr>
          <w:rFonts w:cs="Arial"/>
          <w:sz w:val="22"/>
          <w:szCs w:val="22"/>
        </w:rPr>
        <w:t xml:space="preserve">strategic </w:t>
      </w:r>
      <w:r>
        <w:rPr>
          <w:rFonts w:cs="Arial"/>
          <w:sz w:val="22"/>
          <w:szCs w:val="22"/>
        </w:rPr>
        <w:t>risk</w:t>
      </w:r>
      <w:r w:rsidR="0040779E">
        <w:rPr>
          <w:rFonts w:cs="Arial"/>
          <w:sz w:val="22"/>
          <w:szCs w:val="22"/>
        </w:rPr>
        <w:t xml:space="preserve">s are </w:t>
      </w:r>
      <w:r w:rsidR="00623DFC">
        <w:rPr>
          <w:rFonts w:cs="Arial"/>
          <w:sz w:val="22"/>
          <w:szCs w:val="22"/>
        </w:rPr>
        <w:t>managed.  Particular focus is given on:</w:t>
      </w:r>
    </w:p>
    <w:p w14:paraId="2FEA28A9" w14:textId="77777777" w:rsidR="00623DFC" w:rsidRDefault="00623DFC" w:rsidP="00EF0FF7">
      <w:pPr>
        <w:pStyle w:val="DeptBullets"/>
        <w:numPr>
          <w:ilvl w:val="0"/>
          <w:numId w:val="0"/>
        </w:numPr>
        <w:tabs>
          <w:tab w:val="left" w:pos="6105"/>
        </w:tabs>
        <w:spacing w:after="0"/>
        <w:rPr>
          <w:rFonts w:cs="Arial"/>
          <w:sz w:val="22"/>
          <w:szCs w:val="22"/>
        </w:rPr>
      </w:pPr>
    </w:p>
    <w:p w14:paraId="4526A25A" w14:textId="77777777" w:rsidR="0086103A" w:rsidRDefault="0086103A" w:rsidP="0040779E">
      <w:pPr>
        <w:pStyle w:val="DeptBullets"/>
        <w:numPr>
          <w:ilvl w:val="1"/>
          <w:numId w:val="8"/>
        </w:numPr>
        <w:tabs>
          <w:tab w:val="left" w:pos="6105"/>
        </w:tabs>
        <w:spacing w:after="0"/>
        <w:ind w:left="870"/>
        <w:rPr>
          <w:rFonts w:cs="Arial"/>
          <w:sz w:val="22"/>
          <w:szCs w:val="22"/>
        </w:rPr>
      </w:pPr>
      <w:r>
        <w:rPr>
          <w:rFonts w:cs="Arial"/>
          <w:sz w:val="22"/>
          <w:szCs w:val="22"/>
        </w:rPr>
        <w:t>how we ensure finances are properly accounted for in the annual accounts;</w:t>
      </w:r>
    </w:p>
    <w:p w14:paraId="762F310E" w14:textId="77777777" w:rsidR="0086103A" w:rsidRDefault="0086103A" w:rsidP="0040779E">
      <w:pPr>
        <w:pStyle w:val="DeptBullets"/>
        <w:numPr>
          <w:ilvl w:val="1"/>
          <w:numId w:val="8"/>
        </w:numPr>
        <w:tabs>
          <w:tab w:val="left" w:pos="6105"/>
        </w:tabs>
        <w:spacing w:after="0"/>
        <w:ind w:left="870"/>
        <w:rPr>
          <w:rFonts w:cs="Arial"/>
          <w:sz w:val="22"/>
          <w:szCs w:val="22"/>
        </w:rPr>
      </w:pPr>
      <w:r>
        <w:rPr>
          <w:rFonts w:cs="Arial"/>
          <w:sz w:val="22"/>
          <w:szCs w:val="22"/>
        </w:rPr>
        <w:t>how we oversee budgets/spending, including the OBR estimating process;</w:t>
      </w:r>
    </w:p>
    <w:p w14:paraId="0B79E88A" w14:textId="77777777" w:rsidR="0086103A" w:rsidRDefault="0086103A" w:rsidP="0040779E">
      <w:pPr>
        <w:pStyle w:val="DeptBullets"/>
        <w:numPr>
          <w:ilvl w:val="1"/>
          <w:numId w:val="8"/>
        </w:numPr>
        <w:tabs>
          <w:tab w:val="left" w:pos="6105"/>
        </w:tabs>
        <w:spacing w:after="0"/>
        <w:ind w:left="870"/>
        <w:rPr>
          <w:rFonts w:cs="Arial"/>
          <w:sz w:val="22"/>
          <w:szCs w:val="22"/>
        </w:rPr>
      </w:pPr>
      <w:r>
        <w:rPr>
          <w:rFonts w:cs="Arial"/>
          <w:sz w:val="22"/>
          <w:szCs w:val="22"/>
        </w:rPr>
        <w:t>how we monitor contributions collection;</w:t>
      </w:r>
    </w:p>
    <w:p w14:paraId="5EDAB2C0" w14:textId="77777777" w:rsidR="0086103A" w:rsidRDefault="0086103A" w:rsidP="0040779E">
      <w:pPr>
        <w:pStyle w:val="DeptBullets"/>
        <w:numPr>
          <w:ilvl w:val="1"/>
          <w:numId w:val="8"/>
        </w:numPr>
        <w:tabs>
          <w:tab w:val="left" w:pos="6105"/>
        </w:tabs>
        <w:spacing w:after="0"/>
        <w:ind w:left="870"/>
        <w:rPr>
          <w:rFonts w:cs="Arial"/>
          <w:sz w:val="22"/>
          <w:szCs w:val="22"/>
        </w:rPr>
      </w:pPr>
      <w:r>
        <w:rPr>
          <w:rFonts w:cs="Arial"/>
          <w:sz w:val="22"/>
          <w:szCs w:val="22"/>
        </w:rPr>
        <w:t>how we monitor debt management</w:t>
      </w:r>
    </w:p>
    <w:p w14:paraId="07084792" w14:textId="77777777" w:rsidR="0086103A" w:rsidRDefault="0086103A" w:rsidP="0040779E">
      <w:pPr>
        <w:pStyle w:val="DeptBullets"/>
        <w:numPr>
          <w:ilvl w:val="1"/>
          <w:numId w:val="8"/>
        </w:numPr>
        <w:tabs>
          <w:tab w:val="left" w:pos="6105"/>
        </w:tabs>
        <w:spacing w:after="0"/>
        <w:ind w:left="870"/>
        <w:rPr>
          <w:rFonts w:cs="Arial"/>
          <w:sz w:val="22"/>
          <w:szCs w:val="22"/>
        </w:rPr>
      </w:pPr>
      <w:r>
        <w:rPr>
          <w:rFonts w:cs="Arial"/>
          <w:sz w:val="22"/>
          <w:szCs w:val="22"/>
        </w:rPr>
        <w:t>the risk management process, including how we set the audit plan and monitor actions/follow up;</w:t>
      </w:r>
      <w:r w:rsidR="00623DFC">
        <w:rPr>
          <w:rFonts w:cs="Arial"/>
          <w:sz w:val="22"/>
          <w:szCs w:val="22"/>
        </w:rPr>
        <w:t xml:space="preserve"> and</w:t>
      </w:r>
      <w:r>
        <w:rPr>
          <w:rFonts w:cs="Arial"/>
          <w:sz w:val="22"/>
          <w:szCs w:val="22"/>
        </w:rPr>
        <w:t xml:space="preserve">  </w:t>
      </w:r>
    </w:p>
    <w:p w14:paraId="63AE5B04" w14:textId="77777777" w:rsidR="00623DFC" w:rsidRDefault="0086103A" w:rsidP="0040779E">
      <w:pPr>
        <w:pStyle w:val="DeptBullets"/>
        <w:numPr>
          <w:ilvl w:val="1"/>
          <w:numId w:val="8"/>
        </w:numPr>
        <w:tabs>
          <w:tab w:val="left" w:pos="6105"/>
        </w:tabs>
        <w:spacing w:after="0"/>
        <w:ind w:left="870"/>
        <w:rPr>
          <w:rFonts w:cs="Arial"/>
          <w:sz w:val="22"/>
          <w:szCs w:val="22"/>
        </w:rPr>
      </w:pPr>
      <w:r>
        <w:rPr>
          <w:rFonts w:cs="Arial"/>
          <w:sz w:val="22"/>
          <w:szCs w:val="22"/>
        </w:rPr>
        <w:t>any specific projects</w:t>
      </w:r>
      <w:r w:rsidR="00623DFC">
        <w:rPr>
          <w:rFonts w:cs="Arial"/>
          <w:sz w:val="22"/>
          <w:szCs w:val="22"/>
        </w:rPr>
        <w:t>.</w:t>
      </w:r>
    </w:p>
    <w:p w14:paraId="32E6A463" w14:textId="77777777" w:rsidR="00F24CA1" w:rsidRPr="00DF7A7D" w:rsidRDefault="00F24CA1" w:rsidP="00F16943">
      <w:pPr>
        <w:rPr>
          <w:rFonts w:cs="Arial"/>
          <w:b/>
          <w:sz w:val="22"/>
          <w:szCs w:val="22"/>
          <w:u w:val="single"/>
        </w:rPr>
      </w:pPr>
    </w:p>
    <w:p w14:paraId="553D2E13" w14:textId="77777777" w:rsidR="00F24CA1" w:rsidRPr="00DF7A7D" w:rsidRDefault="00F24CA1" w:rsidP="00F24CA1">
      <w:pPr>
        <w:jc w:val="center"/>
        <w:rPr>
          <w:rFonts w:cs="Arial"/>
          <w:b/>
          <w:sz w:val="28"/>
          <w:szCs w:val="28"/>
        </w:rPr>
      </w:pPr>
      <w:r w:rsidRPr="00DF7A7D">
        <w:rPr>
          <w:rFonts w:cs="Arial"/>
          <w:b/>
          <w:sz w:val="28"/>
          <w:szCs w:val="28"/>
        </w:rPr>
        <w:t xml:space="preserve">Finance </w:t>
      </w:r>
    </w:p>
    <w:p w14:paraId="271D6D04" w14:textId="77777777" w:rsidR="00F24CA1" w:rsidRPr="00DF7A7D" w:rsidRDefault="00F24CA1" w:rsidP="00F24CA1">
      <w:pPr>
        <w:jc w:val="center"/>
        <w:rPr>
          <w:rFonts w:cs="Arial"/>
          <w:b/>
          <w:sz w:val="28"/>
          <w:szCs w:val="28"/>
        </w:rPr>
      </w:pPr>
    </w:p>
    <w:tbl>
      <w:tblPr>
        <w:tblStyle w:val="TableGrid"/>
        <w:tblW w:w="0" w:type="auto"/>
        <w:tblInd w:w="108" w:type="dxa"/>
        <w:tblLook w:val="04A0" w:firstRow="1" w:lastRow="0" w:firstColumn="1" w:lastColumn="0" w:noHBand="0" w:noVBand="1"/>
      </w:tblPr>
      <w:tblGrid>
        <w:gridCol w:w="7230"/>
        <w:gridCol w:w="1134"/>
      </w:tblGrid>
      <w:tr w:rsidR="00F24CA1" w:rsidRPr="00363983" w14:paraId="1D216B9B" w14:textId="77777777" w:rsidTr="00077322">
        <w:tc>
          <w:tcPr>
            <w:tcW w:w="7230" w:type="dxa"/>
          </w:tcPr>
          <w:p w14:paraId="2EEBEB53" w14:textId="77777777" w:rsidR="00F24CA1" w:rsidRPr="00DF7A7D" w:rsidRDefault="00F24CA1" w:rsidP="00077322">
            <w:pPr>
              <w:rPr>
                <w:rFonts w:cs="Arial"/>
                <w:b/>
                <w:color w:val="000000"/>
                <w:sz w:val="22"/>
                <w:szCs w:val="22"/>
                <w:lang w:eastAsia="en-GB"/>
              </w:rPr>
            </w:pPr>
          </w:p>
          <w:p w14:paraId="2BAFA3D3" w14:textId="77777777" w:rsidR="00F24CA1" w:rsidRPr="00DF7A7D" w:rsidRDefault="00F24CA1" w:rsidP="00077322">
            <w:pPr>
              <w:rPr>
                <w:rFonts w:cs="Arial"/>
                <w:b/>
                <w:color w:val="000000"/>
                <w:sz w:val="22"/>
                <w:szCs w:val="22"/>
                <w:lang w:eastAsia="en-GB"/>
              </w:rPr>
            </w:pPr>
            <w:r w:rsidRPr="00DF7A7D">
              <w:rPr>
                <w:rFonts w:cs="Arial"/>
                <w:b/>
                <w:color w:val="000000"/>
                <w:sz w:val="22"/>
                <w:szCs w:val="22"/>
                <w:lang w:eastAsia="en-GB"/>
              </w:rPr>
              <w:t>Cash Income and Expenditure</w:t>
            </w:r>
          </w:p>
          <w:p w14:paraId="0C2C92DF" w14:textId="77777777" w:rsidR="00F24CA1" w:rsidRPr="00DF7A7D" w:rsidRDefault="00F24CA1" w:rsidP="00077322">
            <w:pPr>
              <w:rPr>
                <w:rFonts w:cs="Arial"/>
                <w:b/>
                <w:sz w:val="22"/>
                <w:szCs w:val="22"/>
              </w:rPr>
            </w:pPr>
          </w:p>
        </w:tc>
        <w:tc>
          <w:tcPr>
            <w:tcW w:w="1134" w:type="dxa"/>
            <w:shd w:val="clear" w:color="auto" w:fill="00B050"/>
          </w:tcPr>
          <w:p w14:paraId="250B37DA" w14:textId="77777777" w:rsidR="00F24CA1" w:rsidRPr="00DF7A7D" w:rsidRDefault="00F24CA1" w:rsidP="00077322">
            <w:pPr>
              <w:rPr>
                <w:rFonts w:cs="Arial"/>
                <w:color w:val="00B050"/>
                <w:sz w:val="22"/>
                <w:szCs w:val="22"/>
              </w:rPr>
            </w:pPr>
          </w:p>
          <w:p w14:paraId="3A6A5A92" w14:textId="77777777" w:rsidR="00F24CA1" w:rsidRPr="00363983" w:rsidRDefault="00F24CA1" w:rsidP="00077322">
            <w:pPr>
              <w:rPr>
                <w:rFonts w:cs="Arial"/>
                <w:color w:val="00B050"/>
                <w:sz w:val="22"/>
                <w:szCs w:val="22"/>
              </w:rPr>
            </w:pPr>
            <w:r>
              <w:rPr>
                <w:rFonts w:cs="Arial"/>
                <w:noProof/>
                <w:color w:val="00B050"/>
                <w:szCs w:val="24"/>
                <w:lang w:eastAsia="en-GB"/>
              </w:rPr>
              <mc:AlternateContent>
                <mc:Choice Requires="wps">
                  <w:drawing>
                    <wp:anchor distT="4294967294" distB="4294967294" distL="114300" distR="114300" simplePos="0" relativeHeight="251687936" behindDoc="0" locked="0" layoutInCell="1" allowOverlap="1" wp14:anchorId="73300175" wp14:editId="13B4D945">
                      <wp:simplePos x="0" y="0"/>
                      <wp:positionH relativeFrom="column">
                        <wp:posOffset>118110</wp:posOffset>
                      </wp:positionH>
                      <wp:positionV relativeFrom="paragraph">
                        <wp:posOffset>91439</wp:posOffset>
                      </wp:positionV>
                      <wp:extent cx="350520" cy="0"/>
                      <wp:effectExtent l="0" t="76200" r="30480" b="15240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6D615188" id="_x0000_t32" coordsize="21600,21600" o:spt="32" o:oned="t" path="m,l21600,21600e" filled="f">
                      <v:path arrowok="t" fillok="f" o:connecttype="none"/>
                      <o:lock v:ext="edit" shapetype="t"/>
                    </v:shapetype>
                    <v:shape id="Straight Arrow Connector 2" o:spid="_x0000_s1026" type="#_x0000_t32" style="position:absolute;margin-left:9.3pt;margin-top:7.2pt;width:27.6pt;height:0;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" strokecolor="windowText" strokeweight="2pt">
                      <v:stroke endarrow="open"/>
                      <v:shadow on="t" color="black" opacity="24903f" origin=",.5" offset="0,.55556mm"/>
                      <o:lock v:ext="edit" shapetype="f"/>
                    </v:shape>
                  </w:pict>
                </mc:Fallback>
              </mc:AlternateContent>
            </w:r>
          </w:p>
        </w:tc>
      </w:tr>
    </w:tbl>
    <w:p w14:paraId="2629E79C" w14:textId="77777777" w:rsidR="00F24CA1" w:rsidRPr="00D96604" w:rsidRDefault="00F24CA1" w:rsidP="00F24CA1">
      <w:pPr>
        <w:pStyle w:val="ListParagraph"/>
        <w:widowControl/>
        <w:tabs>
          <w:tab w:val="left" w:pos="8222"/>
        </w:tabs>
        <w:overflowPunct/>
        <w:autoSpaceDE/>
        <w:autoSpaceDN/>
        <w:adjustRightInd/>
        <w:spacing w:line="276" w:lineRule="auto"/>
        <w:ind w:right="-58"/>
        <w:textAlignment w:val="auto"/>
        <w:rPr>
          <w:rFonts w:asciiTheme="minorHAnsi" w:hAnsiTheme="minorHAnsi" w:cs="Arial"/>
          <w:sz w:val="22"/>
          <w:szCs w:val="22"/>
        </w:rPr>
      </w:pPr>
    </w:p>
    <w:p w14:paraId="30A71E65" w14:textId="77777777" w:rsidR="003047BC" w:rsidRPr="003047BC" w:rsidRDefault="000D749C" w:rsidP="007E6DC7">
      <w:pPr>
        <w:pStyle w:val="ListParagraph"/>
        <w:widowControl/>
        <w:numPr>
          <w:ilvl w:val="0"/>
          <w:numId w:val="5"/>
        </w:numPr>
        <w:tabs>
          <w:tab w:val="left" w:pos="8222"/>
        </w:tabs>
        <w:overflowPunct/>
        <w:autoSpaceDE/>
        <w:autoSpaceDN/>
        <w:adjustRightInd/>
        <w:ind w:left="360" w:right="-57"/>
        <w:textAlignment w:val="auto"/>
        <w:rPr>
          <w:rFonts w:cs="Arial"/>
          <w:sz w:val="22"/>
          <w:szCs w:val="22"/>
        </w:rPr>
      </w:pPr>
      <w:r>
        <w:rPr>
          <w:rFonts w:cs="Arial"/>
          <w:color w:val="000000" w:themeColor="text1"/>
          <w:sz w:val="22"/>
          <w:szCs w:val="22"/>
        </w:rPr>
        <w:t xml:space="preserve">September </w:t>
      </w:r>
      <w:r w:rsidR="00F628BD">
        <w:rPr>
          <w:rFonts w:cs="Arial"/>
          <w:color w:val="000000" w:themeColor="text1"/>
          <w:sz w:val="22"/>
          <w:szCs w:val="22"/>
        </w:rPr>
        <w:t xml:space="preserve">showed </w:t>
      </w:r>
      <w:r w:rsidR="003047BC" w:rsidRPr="003047BC">
        <w:rPr>
          <w:rFonts w:cs="Arial"/>
          <w:color w:val="000000" w:themeColor="text1"/>
          <w:sz w:val="22"/>
          <w:szCs w:val="22"/>
        </w:rPr>
        <w:t>income</w:t>
      </w:r>
      <w:r>
        <w:rPr>
          <w:rFonts w:cs="Arial"/>
          <w:color w:val="000000" w:themeColor="text1"/>
          <w:sz w:val="22"/>
          <w:szCs w:val="22"/>
        </w:rPr>
        <w:t xml:space="preserve"> </w:t>
      </w:r>
      <w:r w:rsidR="00F628BD">
        <w:rPr>
          <w:rFonts w:cs="Arial"/>
          <w:color w:val="000000" w:themeColor="text1"/>
          <w:sz w:val="22"/>
          <w:szCs w:val="22"/>
        </w:rPr>
        <w:t xml:space="preserve">was </w:t>
      </w:r>
      <w:r w:rsidR="008C2030">
        <w:rPr>
          <w:rFonts w:cs="Arial"/>
          <w:color w:val="000000" w:themeColor="text1"/>
          <w:sz w:val="22"/>
          <w:szCs w:val="22"/>
        </w:rPr>
        <w:t>£2.4</w:t>
      </w:r>
      <w:r w:rsidR="003047BC" w:rsidRPr="003047BC">
        <w:rPr>
          <w:rFonts w:cs="Arial"/>
          <w:color w:val="000000" w:themeColor="text1"/>
          <w:sz w:val="22"/>
          <w:szCs w:val="22"/>
        </w:rPr>
        <w:t xml:space="preserve">m </w:t>
      </w:r>
      <w:r w:rsidR="00F628BD">
        <w:rPr>
          <w:rFonts w:cs="Arial"/>
          <w:color w:val="000000" w:themeColor="text1"/>
          <w:sz w:val="22"/>
          <w:szCs w:val="22"/>
        </w:rPr>
        <w:t xml:space="preserve">below estimate, </w:t>
      </w:r>
      <w:r w:rsidR="003047BC" w:rsidRPr="003047BC">
        <w:rPr>
          <w:rFonts w:cs="Arial"/>
          <w:color w:val="000000" w:themeColor="text1"/>
          <w:sz w:val="22"/>
          <w:szCs w:val="22"/>
        </w:rPr>
        <w:t>a</w:t>
      </w:r>
      <w:r w:rsidR="00F628BD">
        <w:rPr>
          <w:rFonts w:cs="Arial"/>
          <w:color w:val="000000" w:themeColor="text1"/>
          <w:sz w:val="22"/>
          <w:szCs w:val="22"/>
        </w:rPr>
        <w:t xml:space="preserve"> </w:t>
      </w:r>
      <w:r w:rsidR="008C2030">
        <w:rPr>
          <w:rFonts w:cs="Arial"/>
          <w:color w:val="000000" w:themeColor="text1"/>
          <w:sz w:val="22"/>
          <w:szCs w:val="22"/>
        </w:rPr>
        <w:t>variance of 0</w:t>
      </w:r>
      <w:r w:rsidR="003047BC" w:rsidRPr="003047BC">
        <w:rPr>
          <w:rFonts w:cs="Arial"/>
          <w:color w:val="000000" w:themeColor="text1"/>
          <w:sz w:val="22"/>
          <w:szCs w:val="22"/>
        </w:rPr>
        <w:t>.</w:t>
      </w:r>
      <w:r w:rsidR="008C2030">
        <w:rPr>
          <w:rFonts w:cs="Arial"/>
          <w:color w:val="000000" w:themeColor="text1"/>
          <w:sz w:val="22"/>
          <w:szCs w:val="22"/>
        </w:rPr>
        <w:t>45</w:t>
      </w:r>
      <w:r w:rsidR="003047BC" w:rsidRPr="003047BC">
        <w:rPr>
          <w:rFonts w:cs="Arial"/>
          <w:color w:val="000000" w:themeColor="text1"/>
          <w:sz w:val="22"/>
          <w:szCs w:val="22"/>
        </w:rPr>
        <w:t>%</w:t>
      </w:r>
      <w:r w:rsidR="008C2030">
        <w:rPr>
          <w:rFonts w:cs="Arial"/>
          <w:color w:val="000000" w:themeColor="text1"/>
          <w:sz w:val="22"/>
          <w:szCs w:val="22"/>
        </w:rPr>
        <w:t xml:space="preserve"> following the inputting of the Autumn OBR estimate.</w:t>
      </w:r>
      <w:r w:rsidR="003047BC" w:rsidRPr="003047BC">
        <w:rPr>
          <w:rFonts w:cs="Arial"/>
          <w:color w:val="000000" w:themeColor="text1"/>
          <w:sz w:val="22"/>
          <w:szCs w:val="22"/>
        </w:rPr>
        <w:t xml:space="preserve"> </w:t>
      </w:r>
      <w:r w:rsidR="008C2030">
        <w:rPr>
          <w:rFonts w:cs="Arial"/>
          <w:color w:val="000000" w:themeColor="text1"/>
          <w:sz w:val="22"/>
          <w:szCs w:val="22"/>
        </w:rPr>
        <w:t xml:space="preserve">This </w:t>
      </w:r>
      <w:r w:rsidR="003047BC" w:rsidRPr="003047BC">
        <w:rPr>
          <w:rFonts w:cs="Arial"/>
          <w:color w:val="000000" w:themeColor="text1"/>
          <w:sz w:val="22"/>
          <w:szCs w:val="22"/>
        </w:rPr>
        <w:t>result</w:t>
      </w:r>
      <w:r w:rsidR="008C2030">
        <w:rPr>
          <w:rFonts w:cs="Arial"/>
          <w:color w:val="000000" w:themeColor="text1"/>
          <w:sz w:val="22"/>
          <w:szCs w:val="22"/>
        </w:rPr>
        <w:t>ing in the year to date variance being 0.08</w:t>
      </w:r>
      <w:r w:rsidR="003047BC" w:rsidRPr="003047BC">
        <w:rPr>
          <w:rFonts w:cs="Arial"/>
          <w:color w:val="000000" w:themeColor="text1"/>
          <w:sz w:val="22"/>
          <w:szCs w:val="22"/>
        </w:rPr>
        <w:t>%</w:t>
      </w:r>
      <w:r w:rsidR="003047BC">
        <w:rPr>
          <w:rFonts w:cs="Arial"/>
          <w:color w:val="000000" w:themeColor="text1"/>
          <w:sz w:val="22"/>
          <w:szCs w:val="22"/>
        </w:rPr>
        <w:t xml:space="preserve">. </w:t>
      </w:r>
      <w:r w:rsidR="00F628BD">
        <w:rPr>
          <w:rFonts w:cs="Arial"/>
          <w:color w:val="000000" w:themeColor="text1"/>
          <w:sz w:val="22"/>
          <w:szCs w:val="22"/>
        </w:rPr>
        <w:t>For the y</w:t>
      </w:r>
      <w:r w:rsidR="003047BC">
        <w:rPr>
          <w:rFonts w:cs="Arial"/>
          <w:color w:val="000000" w:themeColor="text1"/>
          <w:sz w:val="22"/>
          <w:szCs w:val="22"/>
        </w:rPr>
        <w:t>ear to</w:t>
      </w:r>
      <w:r w:rsidR="008C2030">
        <w:rPr>
          <w:rFonts w:cs="Arial"/>
          <w:color w:val="000000" w:themeColor="text1"/>
          <w:sz w:val="22"/>
          <w:szCs w:val="22"/>
        </w:rPr>
        <w:t xml:space="preserve"> date £3,139</w:t>
      </w:r>
      <w:r w:rsidR="003047BC" w:rsidRPr="003047BC">
        <w:rPr>
          <w:rFonts w:cs="Arial"/>
          <w:color w:val="000000" w:themeColor="text1"/>
          <w:sz w:val="22"/>
          <w:szCs w:val="22"/>
        </w:rPr>
        <w:t>m has been receive</w:t>
      </w:r>
      <w:r w:rsidR="008C2030">
        <w:rPr>
          <w:rFonts w:cs="Arial"/>
          <w:color w:val="000000" w:themeColor="text1"/>
          <w:sz w:val="22"/>
          <w:szCs w:val="22"/>
        </w:rPr>
        <w:t>d against the estimate of £3,136</w:t>
      </w:r>
      <w:r w:rsidR="003047BC" w:rsidRPr="003047BC">
        <w:rPr>
          <w:rFonts w:cs="Arial"/>
          <w:color w:val="000000" w:themeColor="text1"/>
          <w:sz w:val="22"/>
          <w:szCs w:val="22"/>
        </w:rPr>
        <w:t>m.</w:t>
      </w:r>
      <w:r w:rsidR="003047BC">
        <w:rPr>
          <w:rFonts w:ascii="Calibri" w:hAnsi="Calibri" w:cs="Calibri"/>
          <w:color w:val="000000" w:themeColor="text1"/>
        </w:rPr>
        <w:t xml:space="preserve"> </w:t>
      </w:r>
    </w:p>
    <w:p w14:paraId="1645D08D" w14:textId="77777777" w:rsidR="003047BC" w:rsidRPr="003047BC" w:rsidRDefault="003047BC" w:rsidP="003047BC">
      <w:pPr>
        <w:widowControl/>
        <w:tabs>
          <w:tab w:val="left" w:pos="8222"/>
        </w:tabs>
        <w:overflowPunct/>
        <w:autoSpaceDE/>
        <w:autoSpaceDN/>
        <w:adjustRightInd/>
        <w:ind w:right="-57"/>
        <w:textAlignment w:val="auto"/>
        <w:rPr>
          <w:rFonts w:cs="Arial"/>
          <w:sz w:val="22"/>
          <w:szCs w:val="22"/>
        </w:rPr>
      </w:pPr>
    </w:p>
    <w:p w14:paraId="0F5E6C1F" w14:textId="77777777" w:rsidR="00282909" w:rsidRPr="00282909" w:rsidRDefault="003047BC" w:rsidP="007E6DC7">
      <w:pPr>
        <w:pStyle w:val="ListParagraph"/>
        <w:widowControl/>
        <w:numPr>
          <w:ilvl w:val="0"/>
          <w:numId w:val="5"/>
        </w:numPr>
        <w:tabs>
          <w:tab w:val="left" w:pos="8222"/>
        </w:tabs>
        <w:overflowPunct/>
        <w:autoSpaceDE/>
        <w:autoSpaceDN/>
        <w:adjustRightInd/>
        <w:ind w:left="360" w:right="-57"/>
        <w:textAlignment w:val="auto"/>
        <w:rPr>
          <w:sz w:val="22"/>
          <w:szCs w:val="22"/>
        </w:rPr>
      </w:pPr>
      <w:r w:rsidRPr="00282909">
        <w:rPr>
          <w:rFonts w:cs="Arial"/>
          <w:color w:val="000000" w:themeColor="text1"/>
          <w:sz w:val="22"/>
          <w:szCs w:val="22"/>
        </w:rPr>
        <w:t>Monthly expend</w:t>
      </w:r>
      <w:r w:rsidR="008C2030">
        <w:rPr>
          <w:rFonts w:cs="Arial"/>
          <w:color w:val="000000" w:themeColor="text1"/>
          <w:sz w:val="22"/>
          <w:szCs w:val="22"/>
        </w:rPr>
        <w:t>iture reported a variance of 5.8% (£78m) with £1,269</w:t>
      </w:r>
      <w:r w:rsidRPr="00282909">
        <w:rPr>
          <w:rFonts w:cs="Arial"/>
          <w:color w:val="000000" w:themeColor="text1"/>
          <w:sz w:val="22"/>
          <w:szCs w:val="22"/>
        </w:rPr>
        <w:t>m pa</w:t>
      </w:r>
      <w:r w:rsidR="008C2030">
        <w:rPr>
          <w:rFonts w:cs="Arial"/>
          <w:color w:val="000000" w:themeColor="text1"/>
          <w:sz w:val="22"/>
          <w:szCs w:val="22"/>
        </w:rPr>
        <w:t>id out against the forecast £1,347</w:t>
      </w:r>
      <w:r w:rsidRPr="00282909">
        <w:rPr>
          <w:rFonts w:cs="Arial"/>
          <w:color w:val="000000" w:themeColor="text1"/>
          <w:sz w:val="22"/>
          <w:szCs w:val="22"/>
        </w:rPr>
        <w:t xml:space="preserve">m. </w:t>
      </w:r>
      <w:r w:rsidR="008C2030">
        <w:rPr>
          <w:rFonts w:cs="Arial"/>
          <w:color w:val="000000" w:themeColor="text1"/>
          <w:sz w:val="22"/>
          <w:szCs w:val="22"/>
        </w:rPr>
        <w:t xml:space="preserve">This was predominately due to </w:t>
      </w:r>
      <w:r w:rsidRPr="00282909">
        <w:rPr>
          <w:rFonts w:cs="Arial"/>
          <w:color w:val="000000" w:themeColor="text1"/>
          <w:sz w:val="22"/>
          <w:szCs w:val="22"/>
        </w:rPr>
        <w:t xml:space="preserve">Age </w:t>
      </w:r>
      <w:r w:rsidR="008C2030">
        <w:rPr>
          <w:rFonts w:cs="Arial"/>
          <w:color w:val="000000" w:themeColor="text1"/>
          <w:sz w:val="22"/>
          <w:szCs w:val="22"/>
        </w:rPr>
        <w:t xml:space="preserve">and AAB </w:t>
      </w:r>
      <w:r w:rsidRPr="00282909">
        <w:rPr>
          <w:rFonts w:cs="Arial"/>
          <w:color w:val="000000" w:themeColor="text1"/>
          <w:sz w:val="22"/>
          <w:szCs w:val="22"/>
        </w:rPr>
        <w:t xml:space="preserve">lump sums </w:t>
      </w:r>
      <w:r w:rsidR="008C2030">
        <w:rPr>
          <w:rFonts w:cs="Arial"/>
          <w:color w:val="000000" w:themeColor="text1"/>
          <w:sz w:val="22"/>
          <w:szCs w:val="22"/>
        </w:rPr>
        <w:t>which were significantly under the revised forecast by £39.7m (11.5%) and £37.5m ((14.2%) respectively as a result of 1,500 less cases than anticipated.</w:t>
      </w:r>
      <w:r w:rsidR="00282909" w:rsidRPr="00282909">
        <w:rPr>
          <w:rFonts w:cs="Arial"/>
          <w:color w:val="000000" w:themeColor="text1"/>
          <w:sz w:val="22"/>
          <w:szCs w:val="22"/>
        </w:rPr>
        <w:t xml:space="preserve"> </w:t>
      </w:r>
      <w:r w:rsidR="00282909" w:rsidRPr="00282909">
        <w:rPr>
          <w:sz w:val="22"/>
          <w:szCs w:val="22"/>
        </w:rPr>
        <w:t>As a result the year to date pos</w:t>
      </w:r>
      <w:r w:rsidR="008C2030">
        <w:rPr>
          <w:sz w:val="22"/>
          <w:szCs w:val="22"/>
        </w:rPr>
        <w:t>ition is an underspend of 1.53% with £5,010</w:t>
      </w:r>
      <w:r w:rsidR="00282909" w:rsidRPr="00282909">
        <w:rPr>
          <w:sz w:val="22"/>
          <w:szCs w:val="22"/>
        </w:rPr>
        <w:t>m having been paid ou</w:t>
      </w:r>
      <w:r w:rsidR="008C2030">
        <w:rPr>
          <w:sz w:val="22"/>
          <w:szCs w:val="22"/>
        </w:rPr>
        <w:t>t against the estimate of £5,088</w:t>
      </w:r>
      <w:r w:rsidR="00282909" w:rsidRPr="00282909">
        <w:rPr>
          <w:sz w:val="22"/>
          <w:szCs w:val="22"/>
        </w:rPr>
        <w:t>m.</w:t>
      </w:r>
    </w:p>
    <w:p w14:paraId="34668BE6" w14:textId="77777777" w:rsidR="003047BC" w:rsidRPr="003047BC" w:rsidRDefault="003047BC" w:rsidP="003047BC">
      <w:pPr>
        <w:pStyle w:val="ListParagraph"/>
        <w:rPr>
          <w:rFonts w:cs="Arial"/>
          <w:color w:val="000000" w:themeColor="text1"/>
          <w:sz w:val="22"/>
          <w:szCs w:val="22"/>
        </w:rPr>
      </w:pPr>
    </w:p>
    <w:p w14:paraId="5D11B797" w14:textId="77777777" w:rsidR="00F24CA1" w:rsidRPr="003047BC" w:rsidRDefault="008C2030" w:rsidP="007E6DC7">
      <w:pPr>
        <w:pStyle w:val="ListParagraph"/>
        <w:widowControl/>
        <w:numPr>
          <w:ilvl w:val="0"/>
          <w:numId w:val="5"/>
        </w:numPr>
        <w:tabs>
          <w:tab w:val="left" w:pos="8222"/>
        </w:tabs>
        <w:overflowPunct/>
        <w:autoSpaceDE/>
        <w:autoSpaceDN/>
        <w:adjustRightInd/>
        <w:ind w:left="360" w:right="-57"/>
        <w:textAlignment w:val="auto"/>
        <w:rPr>
          <w:rFonts w:cs="Arial"/>
          <w:sz w:val="22"/>
          <w:szCs w:val="22"/>
        </w:rPr>
      </w:pPr>
      <w:r>
        <w:rPr>
          <w:rFonts w:cs="Arial"/>
          <w:color w:val="000000" w:themeColor="text1"/>
          <w:sz w:val="22"/>
          <w:szCs w:val="22"/>
        </w:rPr>
        <w:t>Given the expenditure variance seen</w:t>
      </w:r>
      <w:r w:rsidR="00306E91">
        <w:rPr>
          <w:rFonts w:cs="Arial"/>
          <w:color w:val="000000" w:themeColor="text1"/>
          <w:sz w:val="22"/>
          <w:szCs w:val="22"/>
        </w:rPr>
        <w:t>,</w:t>
      </w:r>
      <w:r>
        <w:rPr>
          <w:rFonts w:cs="Arial"/>
          <w:color w:val="000000" w:themeColor="text1"/>
          <w:sz w:val="22"/>
          <w:szCs w:val="22"/>
        </w:rPr>
        <w:t xml:space="preserve"> TP will resubmit the Autumn OBR submission to take into account the actual September result</w:t>
      </w:r>
      <w:r w:rsidR="003047BC">
        <w:rPr>
          <w:rFonts w:cs="Arial"/>
          <w:color w:val="000000" w:themeColor="text1"/>
          <w:sz w:val="22"/>
          <w:szCs w:val="22"/>
        </w:rPr>
        <w:t xml:space="preserve">. </w:t>
      </w:r>
    </w:p>
    <w:p w14:paraId="0BBD0F2C" w14:textId="77777777" w:rsidR="00F24CA1" w:rsidRPr="00363983" w:rsidRDefault="00F24CA1" w:rsidP="00F24CA1">
      <w:pPr>
        <w:ind w:right="-58"/>
        <w:rPr>
          <w:rFonts w:cs="Arial"/>
          <w:sz w:val="22"/>
          <w:szCs w:val="22"/>
        </w:rPr>
      </w:pPr>
    </w:p>
    <w:tbl>
      <w:tblPr>
        <w:tblStyle w:val="TableGrid"/>
        <w:tblW w:w="0" w:type="auto"/>
        <w:tblInd w:w="108" w:type="dxa"/>
        <w:tblLook w:val="04A0" w:firstRow="1" w:lastRow="0" w:firstColumn="1" w:lastColumn="0" w:noHBand="0" w:noVBand="1"/>
      </w:tblPr>
      <w:tblGrid>
        <w:gridCol w:w="7230"/>
        <w:gridCol w:w="1134"/>
      </w:tblGrid>
      <w:tr w:rsidR="00F24CA1" w:rsidRPr="00363983" w14:paraId="513D2B59" w14:textId="77777777" w:rsidTr="00077322">
        <w:tc>
          <w:tcPr>
            <w:tcW w:w="7230" w:type="dxa"/>
          </w:tcPr>
          <w:p w14:paraId="6EFBD35D" w14:textId="77777777" w:rsidR="00F24CA1" w:rsidRPr="00363983" w:rsidRDefault="00F24CA1" w:rsidP="00077322">
            <w:pPr>
              <w:rPr>
                <w:rFonts w:cs="Arial"/>
                <w:b/>
                <w:color w:val="000000"/>
                <w:sz w:val="22"/>
                <w:szCs w:val="22"/>
                <w:lang w:eastAsia="en-GB"/>
              </w:rPr>
            </w:pPr>
          </w:p>
          <w:p w14:paraId="4DE88275" w14:textId="77777777" w:rsidR="00F24CA1" w:rsidRPr="00363983" w:rsidRDefault="00F24CA1" w:rsidP="00077322">
            <w:pPr>
              <w:rPr>
                <w:rFonts w:cs="Arial"/>
                <w:b/>
                <w:color w:val="000000"/>
                <w:sz w:val="22"/>
                <w:szCs w:val="22"/>
                <w:lang w:eastAsia="en-GB"/>
              </w:rPr>
            </w:pPr>
            <w:r w:rsidRPr="00363983">
              <w:rPr>
                <w:rFonts w:cs="Arial"/>
                <w:b/>
                <w:color w:val="000000"/>
                <w:sz w:val="22"/>
                <w:szCs w:val="22"/>
                <w:lang w:eastAsia="en-GB"/>
              </w:rPr>
              <w:t xml:space="preserve">TPS Forecasting Exercises </w:t>
            </w:r>
          </w:p>
          <w:p w14:paraId="6BE19D17" w14:textId="77777777" w:rsidR="00F24CA1" w:rsidRPr="00363983" w:rsidRDefault="00F24CA1" w:rsidP="00077322">
            <w:pPr>
              <w:rPr>
                <w:rFonts w:cs="Arial"/>
                <w:b/>
                <w:sz w:val="22"/>
                <w:szCs w:val="22"/>
              </w:rPr>
            </w:pPr>
          </w:p>
        </w:tc>
        <w:tc>
          <w:tcPr>
            <w:tcW w:w="1134" w:type="dxa"/>
            <w:shd w:val="clear" w:color="auto" w:fill="00B050"/>
          </w:tcPr>
          <w:p w14:paraId="49546C59" w14:textId="77777777" w:rsidR="00F24CA1" w:rsidRPr="00363983" w:rsidRDefault="00F24CA1" w:rsidP="00077322">
            <w:pPr>
              <w:rPr>
                <w:rFonts w:cs="Arial"/>
                <w:sz w:val="22"/>
                <w:szCs w:val="22"/>
              </w:rPr>
            </w:pPr>
          </w:p>
          <w:p w14:paraId="46CD68E0" w14:textId="77777777" w:rsidR="00F24CA1" w:rsidRPr="00363983" w:rsidRDefault="00F24CA1" w:rsidP="00077322">
            <w:pPr>
              <w:rPr>
                <w:rFonts w:cs="Arial"/>
                <w:sz w:val="22"/>
                <w:szCs w:val="22"/>
              </w:rPr>
            </w:pPr>
            <w:r>
              <w:rPr>
                <w:rFonts w:cs="Arial"/>
                <w:noProof/>
                <w:color w:val="00B050"/>
                <w:szCs w:val="24"/>
                <w:lang w:eastAsia="en-GB"/>
              </w:rPr>
              <mc:AlternateContent>
                <mc:Choice Requires="wps">
                  <w:drawing>
                    <wp:anchor distT="4294967294" distB="4294967294" distL="114300" distR="114300" simplePos="0" relativeHeight="251683840" behindDoc="0" locked="0" layoutInCell="1" allowOverlap="1" wp14:anchorId="1BFFF7F9" wp14:editId="45D8BF02">
                      <wp:simplePos x="0" y="0"/>
                      <wp:positionH relativeFrom="column">
                        <wp:posOffset>118110</wp:posOffset>
                      </wp:positionH>
                      <wp:positionV relativeFrom="paragraph">
                        <wp:posOffset>80644</wp:posOffset>
                      </wp:positionV>
                      <wp:extent cx="350520" cy="0"/>
                      <wp:effectExtent l="0" t="76200" r="30480" b="1524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08AD639" id="Straight Arrow Connector 2" o:spid="_x0000_s1026" type="#_x0000_t32" style="position:absolute;margin-left:9.3pt;margin-top:6.35pt;width:27.6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" strokecolor="windowText" strokeweight="2pt">
                      <v:stroke endarrow="open"/>
                      <v:shadow on="t" color="black" opacity="24903f" origin=",.5" offset="0,.55556mm"/>
                      <o:lock v:ext="edit" shapetype="f"/>
                    </v:shape>
                  </w:pict>
                </mc:Fallback>
              </mc:AlternateContent>
            </w:r>
          </w:p>
        </w:tc>
      </w:tr>
    </w:tbl>
    <w:p w14:paraId="32B4C43C" w14:textId="77777777" w:rsidR="00F24CA1" w:rsidRPr="00D96604" w:rsidRDefault="00F24CA1" w:rsidP="00F24CA1">
      <w:pPr>
        <w:pStyle w:val="ListParagraph"/>
        <w:ind w:left="360" w:right="-58"/>
        <w:rPr>
          <w:rFonts w:ascii="Calibri" w:hAnsi="Calibri" w:cs="Calibri"/>
          <w:sz w:val="22"/>
          <w:szCs w:val="22"/>
        </w:rPr>
      </w:pPr>
    </w:p>
    <w:p w14:paraId="5BD8EF89" w14:textId="77777777" w:rsidR="00F24CA1" w:rsidRPr="00EA4CE6" w:rsidRDefault="00F24CA1" w:rsidP="007E6DC7">
      <w:pPr>
        <w:pStyle w:val="ListParagraph"/>
        <w:numPr>
          <w:ilvl w:val="0"/>
          <w:numId w:val="5"/>
        </w:numPr>
        <w:ind w:left="360" w:right="-58"/>
        <w:rPr>
          <w:rFonts w:cs="Arial"/>
          <w:sz w:val="22"/>
          <w:szCs w:val="22"/>
        </w:rPr>
      </w:pPr>
      <w:r w:rsidRPr="00EA4CE6">
        <w:rPr>
          <w:rFonts w:cs="Arial"/>
          <w:sz w:val="22"/>
          <w:szCs w:val="22"/>
        </w:rPr>
        <w:t xml:space="preserve">The </w:t>
      </w:r>
      <w:r>
        <w:rPr>
          <w:rFonts w:cs="Arial"/>
          <w:sz w:val="22"/>
          <w:szCs w:val="22"/>
        </w:rPr>
        <w:t>Autumn</w:t>
      </w:r>
      <w:r w:rsidRPr="00EA4CE6">
        <w:rPr>
          <w:rFonts w:cs="Arial"/>
          <w:sz w:val="22"/>
          <w:szCs w:val="22"/>
        </w:rPr>
        <w:t xml:space="preserve"> OBR exercise </w:t>
      </w:r>
      <w:r w:rsidR="002E3A5F">
        <w:rPr>
          <w:rFonts w:cs="Arial"/>
          <w:sz w:val="22"/>
          <w:szCs w:val="22"/>
        </w:rPr>
        <w:t xml:space="preserve">submission (return and associated narrative) was completed on time. Ahead of this TP had agreed with the OBR that given the significance of September expenditure on the Scheme (accounting for circa 40% of annual expenditure) TP </w:t>
      </w:r>
      <w:r w:rsidR="00071F99">
        <w:rPr>
          <w:rFonts w:cs="Arial"/>
          <w:sz w:val="22"/>
          <w:szCs w:val="22"/>
        </w:rPr>
        <w:t>would potentially re</w:t>
      </w:r>
      <w:r w:rsidR="008C4705">
        <w:rPr>
          <w:rFonts w:cs="Arial"/>
          <w:sz w:val="22"/>
          <w:szCs w:val="22"/>
        </w:rPr>
        <w:t>-</w:t>
      </w:r>
      <w:r w:rsidR="00071F99">
        <w:rPr>
          <w:rFonts w:cs="Arial"/>
          <w:sz w:val="22"/>
          <w:szCs w:val="22"/>
        </w:rPr>
        <w:t>submit if results dictated and timescales permitted. This was realised and re</w:t>
      </w:r>
      <w:r w:rsidR="008C4705">
        <w:rPr>
          <w:rFonts w:cs="Arial"/>
          <w:sz w:val="22"/>
          <w:szCs w:val="22"/>
        </w:rPr>
        <w:t>-</w:t>
      </w:r>
      <w:r w:rsidR="00071F99">
        <w:rPr>
          <w:rFonts w:cs="Arial"/>
          <w:sz w:val="22"/>
          <w:szCs w:val="22"/>
        </w:rPr>
        <w:t xml:space="preserve">submission agreed. As part of the post exercise review it was agreed that a standing OBR tracker would be maintained to provide </w:t>
      </w:r>
      <w:r w:rsidR="00071F99">
        <w:rPr>
          <w:rFonts w:cs="Arial"/>
          <w:sz w:val="22"/>
          <w:szCs w:val="22"/>
        </w:rPr>
        <w:lastRenderedPageBreak/>
        <w:t>oversight of those areas TP/DfE wished to consider for future exercises due to potential impacts. One significant area being the need to revisit lump sum unit costs and commutation rates across the difference schemes (i.e. 80</w:t>
      </w:r>
      <w:r w:rsidR="00071F99" w:rsidRPr="00071F99">
        <w:rPr>
          <w:rFonts w:cs="Arial"/>
          <w:sz w:val="22"/>
          <w:szCs w:val="22"/>
          <w:vertAlign w:val="superscript"/>
        </w:rPr>
        <w:t>th</w:t>
      </w:r>
      <w:r w:rsidR="00071F99">
        <w:rPr>
          <w:rFonts w:cs="Arial"/>
          <w:sz w:val="22"/>
          <w:szCs w:val="22"/>
        </w:rPr>
        <w:t xml:space="preserve"> v 60</w:t>
      </w:r>
      <w:r w:rsidR="00071F99" w:rsidRPr="00071F99">
        <w:rPr>
          <w:rFonts w:cs="Arial"/>
          <w:sz w:val="22"/>
          <w:szCs w:val="22"/>
          <w:vertAlign w:val="superscript"/>
        </w:rPr>
        <w:t>th</w:t>
      </w:r>
      <w:r w:rsidR="00071F99">
        <w:rPr>
          <w:rFonts w:cs="Arial"/>
          <w:sz w:val="22"/>
          <w:szCs w:val="22"/>
        </w:rPr>
        <w:t>) to take into account this emerging degree of complexity. This will involve producing new system reports to inform the decision making process.</w:t>
      </w:r>
    </w:p>
    <w:p w14:paraId="2C6A4E63" w14:textId="77777777" w:rsidR="00F24CA1" w:rsidRPr="00363983" w:rsidRDefault="00F24CA1" w:rsidP="00F24CA1">
      <w:pPr>
        <w:pStyle w:val="ListParagraph"/>
        <w:ind w:right="611"/>
        <w:rPr>
          <w:rFonts w:cs="Arial"/>
          <w:sz w:val="22"/>
          <w:szCs w:val="22"/>
        </w:rPr>
      </w:pPr>
    </w:p>
    <w:tbl>
      <w:tblPr>
        <w:tblStyle w:val="TableGrid"/>
        <w:tblW w:w="0" w:type="auto"/>
        <w:tblInd w:w="108" w:type="dxa"/>
        <w:tblLook w:val="04A0" w:firstRow="1" w:lastRow="0" w:firstColumn="1" w:lastColumn="0" w:noHBand="0" w:noVBand="1"/>
      </w:tblPr>
      <w:tblGrid>
        <w:gridCol w:w="7230"/>
        <w:gridCol w:w="1134"/>
      </w:tblGrid>
      <w:tr w:rsidR="00F24CA1" w:rsidRPr="00363983" w14:paraId="21C3213F" w14:textId="77777777" w:rsidTr="00077322">
        <w:tc>
          <w:tcPr>
            <w:tcW w:w="7230" w:type="dxa"/>
          </w:tcPr>
          <w:p w14:paraId="054DE9DC" w14:textId="77777777" w:rsidR="00F24CA1" w:rsidRPr="00363983" w:rsidRDefault="00F24CA1" w:rsidP="00077322">
            <w:pPr>
              <w:rPr>
                <w:rFonts w:cs="Arial"/>
                <w:b/>
                <w:color w:val="000000"/>
                <w:sz w:val="22"/>
                <w:szCs w:val="22"/>
                <w:lang w:eastAsia="en-GB"/>
              </w:rPr>
            </w:pPr>
          </w:p>
          <w:p w14:paraId="191151C0" w14:textId="77777777" w:rsidR="00F24CA1" w:rsidRPr="00363983" w:rsidRDefault="00F24CA1" w:rsidP="00077322">
            <w:pPr>
              <w:rPr>
                <w:rFonts w:cs="Arial"/>
                <w:b/>
                <w:sz w:val="22"/>
                <w:szCs w:val="22"/>
              </w:rPr>
            </w:pPr>
            <w:r w:rsidRPr="00363983">
              <w:rPr>
                <w:rFonts w:cs="Arial"/>
                <w:b/>
                <w:sz w:val="22"/>
                <w:szCs w:val="22"/>
              </w:rPr>
              <w:t>Resource Accounts (net expenditure out-turn) Position</w:t>
            </w:r>
          </w:p>
          <w:p w14:paraId="4879E866" w14:textId="77777777" w:rsidR="00F24CA1" w:rsidRPr="00363983" w:rsidRDefault="00F24CA1" w:rsidP="00077322">
            <w:pPr>
              <w:rPr>
                <w:rFonts w:cs="Arial"/>
                <w:b/>
                <w:sz w:val="22"/>
                <w:szCs w:val="22"/>
              </w:rPr>
            </w:pPr>
          </w:p>
        </w:tc>
        <w:tc>
          <w:tcPr>
            <w:tcW w:w="1134" w:type="dxa"/>
            <w:shd w:val="clear" w:color="auto" w:fill="00B050"/>
          </w:tcPr>
          <w:p w14:paraId="07D56CFF" w14:textId="77777777" w:rsidR="00F24CA1" w:rsidRPr="00363983" w:rsidRDefault="00F24CA1" w:rsidP="00077322">
            <w:pPr>
              <w:rPr>
                <w:rFonts w:cs="Arial"/>
                <w:sz w:val="22"/>
                <w:szCs w:val="22"/>
              </w:rPr>
            </w:pPr>
            <w:r>
              <w:rPr>
                <w:rFonts w:cs="Arial"/>
                <w:noProof/>
                <w:color w:val="00B050"/>
                <w:szCs w:val="24"/>
                <w:lang w:eastAsia="en-GB"/>
              </w:rPr>
              <mc:AlternateContent>
                <mc:Choice Requires="wps">
                  <w:drawing>
                    <wp:anchor distT="4294967294" distB="4294967294" distL="114300" distR="114300" simplePos="0" relativeHeight="251684864" behindDoc="0" locked="0" layoutInCell="1" allowOverlap="1" wp14:anchorId="2724885E" wp14:editId="3F90536B">
                      <wp:simplePos x="0" y="0"/>
                      <wp:positionH relativeFrom="column">
                        <wp:posOffset>148590</wp:posOffset>
                      </wp:positionH>
                      <wp:positionV relativeFrom="paragraph">
                        <wp:posOffset>242569</wp:posOffset>
                      </wp:positionV>
                      <wp:extent cx="350520" cy="0"/>
                      <wp:effectExtent l="0" t="76200" r="30480" b="1524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DDCF3E8" id="Straight Arrow Connector 5" o:spid="_x0000_s1026" type="#_x0000_t32" style="position:absolute;margin-left:11.7pt;margin-top:19.1pt;width:27.6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" strokecolor="windowText" strokeweight="2pt">
                      <v:stroke endarrow="open"/>
                      <v:shadow on="t" color="black" opacity="24903f" origin=",.5" offset="0,.55556mm"/>
                      <o:lock v:ext="edit" shapetype="f"/>
                    </v:shape>
                  </w:pict>
                </mc:Fallback>
              </mc:AlternateContent>
            </w:r>
            <w:r w:rsidRPr="00363983">
              <w:rPr>
                <w:rFonts w:cs="Arial"/>
                <w:sz w:val="22"/>
                <w:szCs w:val="22"/>
              </w:rPr>
              <w:t xml:space="preserve">            </w:t>
            </w:r>
          </w:p>
        </w:tc>
      </w:tr>
    </w:tbl>
    <w:p w14:paraId="55DF209D" w14:textId="77777777" w:rsidR="00F24CA1" w:rsidRDefault="00F24CA1" w:rsidP="00F24CA1">
      <w:pPr>
        <w:pStyle w:val="DeptBullets"/>
        <w:numPr>
          <w:ilvl w:val="0"/>
          <w:numId w:val="0"/>
        </w:numPr>
        <w:spacing w:after="0"/>
        <w:ind w:right="-58"/>
        <w:rPr>
          <w:rFonts w:cs="Arial"/>
          <w:color w:val="000000" w:themeColor="text1"/>
          <w:sz w:val="22"/>
          <w:szCs w:val="22"/>
        </w:rPr>
      </w:pPr>
    </w:p>
    <w:p w14:paraId="6BF2FFBF" w14:textId="77777777" w:rsidR="00C95F39" w:rsidRPr="005E0AFA" w:rsidRDefault="005E0AFA" w:rsidP="007E6DC7">
      <w:pPr>
        <w:pStyle w:val="ListParagraph"/>
        <w:widowControl/>
        <w:numPr>
          <w:ilvl w:val="0"/>
          <w:numId w:val="5"/>
        </w:numPr>
        <w:adjustRightInd/>
        <w:ind w:left="426" w:right="-99" w:hanging="426"/>
        <w:textAlignment w:val="auto"/>
        <w:rPr>
          <w:rFonts w:ascii="Calibri" w:hAnsi="Calibri"/>
          <w:color w:val="000000" w:themeColor="text1"/>
          <w:sz w:val="22"/>
          <w:szCs w:val="22"/>
        </w:rPr>
      </w:pPr>
      <w:r w:rsidRPr="005E0AFA">
        <w:rPr>
          <w:rFonts w:cs="Arial"/>
          <w:color w:val="000000" w:themeColor="text1"/>
          <w:sz w:val="22"/>
          <w:szCs w:val="22"/>
        </w:rPr>
        <w:t xml:space="preserve">Deloitte have been appointed by the NAO as scheme auditors for the next 3 years. Following this news the project and steering groups will re-convene in November to manage the annual report and accounts process through to laying. </w:t>
      </w:r>
      <w:r w:rsidR="00C95F39" w:rsidRPr="005E0AFA">
        <w:rPr>
          <w:rFonts w:cs="Arial"/>
          <w:color w:val="000000" w:themeColor="text1"/>
          <w:sz w:val="22"/>
          <w:szCs w:val="22"/>
        </w:rPr>
        <w:t xml:space="preserve">  </w:t>
      </w:r>
    </w:p>
    <w:p w14:paraId="644A44FC" w14:textId="77777777" w:rsidR="00C95F39" w:rsidRPr="00C271C2" w:rsidRDefault="00C95F39" w:rsidP="00C95F39">
      <w:pPr>
        <w:pStyle w:val="ListParagraph"/>
        <w:widowControl/>
        <w:adjustRightInd/>
        <w:ind w:left="426" w:right="-99"/>
        <w:textAlignment w:val="auto"/>
        <w:rPr>
          <w:rFonts w:ascii="Calibri" w:hAnsi="Calibri"/>
          <w:color w:val="FF0000"/>
          <w:sz w:val="22"/>
          <w:szCs w:val="22"/>
        </w:rPr>
      </w:pPr>
    </w:p>
    <w:p w14:paraId="10456878" w14:textId="77777777" w:rsidR="00C95F39" w:rsidRPr="00C271C2" w:rsidRDefault="00C95F39" w:rsidP="007E6DC7">
      <w:pPr>
        <w:pStyle w:val="ListParagraph"/>
        <w:widowControl/>
        <w:numPr>
          <w:ilvl w:val="0"/>
          <w:numId w:val="5"/>
        </w:numPr>
        <w:adjustRightInd/>
        <w:ind w:left="426" w:right="-99" w:hanging="426"/>
        <w:textAlignment w:val="auto"/>
        <w:rPr>
          <w:rFonts w:ascii="Calibri" w:hAnsi="Calibri"/>
          <w:color w:val="FF0000"/>
          <w:sz w:val="22"/>
          <w:szCs w:val="22"/>
        </w:rPr>
      </w:pPr>
      <w:r w:rsidRPr="005E0AFA">
        <w:rPr>
          <w:color w:val="000000" w:themeColor="text1"/>
          <w:sz w:val="22"/>
          <w:szCs w:val="22"/>
        </w:rPr>
        <w:t xml:space="preserve">The forecast outturn at the end of July </w:t>
      </w:r>
      <w:r w:rsidR="005E0AFA" w:rsidRPr="005E0AFA">
        <w:rPr>
          <w:color w:val="000000" w:themeColor="text1"/>
          <w:sz w:val="22"/>
          <w:szCs w:val="22"/>
        </w:rPr>
        <w:t>shows net expenditure of £11,554</w:t>
      </w:r>
      <w:r w:rsidR="00C33749" w:rsidRPr="005E0AFA">
        <w:rPr>
          <w:color w:val="000000" w:themeColor="text1"/>
          <w:sz w:val="22"/>
          <w:szCs w:val="22"/>
        </w:rPr>
        <w:t>m</w:t>
      </w:r>
      <w:r w:rsidR="005E0AFA" w:rsidRPr="005E0AFA">
        <w:rPr>
          <w:color w:val="000000" w:themeColor="text1"/>
          <w:sz w:val="22"/>
          <w:szCs w:val="22"/>
        </w:rPr>
        <w:t>, a variance of £185</w:t>
      </w:r>
      <w:r w:rsidRPr="005E0AFA">
        <w:rPr>
          <w:color w:val="000000" w:themeColor="text1"/>
          <w:sz w:val="22"/>
          <w:szCs w:val="22"/>
        </w:rPr>
        <w:t xml:space="preserve">m </w:t>
      </w:r>
      <w:r w:rsidR="005E0AFA" w:rsidRPr="005E0AFA">
        <w:rPr>
          <w:color w:val="000000" w:themeColor="text1"/>
          <w:sz w:val="22"/>
          <w:szCs w:val="22"/>
        </w:rPr>
        <w:t xml:space="preserve">(1%) </w:t>
      </w:r>
      <w:r w:rsidRPr="005E0AFA">
        <w:rPr>
          <w:color w:val="000000" w:themeColor="text1"/>
          <w:sz w:val="22"/>
          <w:szCs w:val="22"/>
        </w:rPr>
        <w:t>against the main estimate figure of £11,740</w:t>
      </w:r>
      <w:r w:rsidR="00C33749" w:rsidRPr="005E0AFA">
        <w:rPr>
          <w:color w:val="000000" w:themeColor="text1"/>
          <w:sz w:val="22"/>
          <w:szCs w:val="22"/>
        </w:rPr>
        <w:t>m</w:t>
      </w:r>
      <w:r w:rsidRPr="005E0AFA">
        <w:rPr>
          <w:color w:val="000000" w:themeColor="text1"/>
          <w:sz w:val="22"/>
          <w:szCs w:val="22"/>
        </w:rPr>
        <w:t>. The varia</w:t>
      </w:r>
      <w:r w:rsidR="005E0AFA" w:rsidRPr="005E0AFA">
        <w:rPr>
          <w:color w:val="000000" w:themeColor="text1"/>
          <w:sz w:val="22"/>
          <w:szCs w:val="22"/>
        </w:rPr>
        <w:t xml:space="preserve">nce is largely driven by a </w:t>
      </w:r>
      <w:r w:rsidRPr="005E0AFA">
        <w:rPr>
          <w:color w:val="000000" w:themeColor="text1"/>
          <w:sz w:val="22"/>
          <w:szCs w:val="22"/>
        </w:rPr>
        <w:t>reduction in the current service cost, as advised by GAD, equating to approximately £30m per month</w:t>
      </w:r>
      <w:r w:rsidR="005E0AFA" w:rsidRPr="005E0AFA">
        <w:rPr>
          <w:color w:val="000000" w:themeColor="text1"/>
          <w:sz w:val="22"/>
          <w:szCs w:val="22"/>
        </w:rPr>
        <w:t>.</w:t>
      </w:r>
      <w:r w:rsidRPr="005E0AFA">
        <w:rPr>
          <w:color w:val="000000" w:themeColor="text1"/>
          <w:sz w:val="22"/>
          <w:szCs w:val="22"/>
        </w:rPr>
        <w:t xml:space="preserve"> Overall the forecast net expenditure remains within the Parliamentary control total submitted in respect of the main estimate.</w:t>
      </w:r>
    </w:p>
    <w:p w14:paraId="51C56CCE" w14:textId="77777777" w:rsidR="00F16943" w:rsidRDefault="00F16943" w:rsidP="005E0AFA">
      <w:pPr>
        <w:pStyle w:val="DeptBullets"/>
        <w:numPr>
          <w:ilvl w:val="0"/>
          <w:numId w:val="0"/>
        </w:numPr>
        <w:tabs>
          <w:tab w:val="left" w:pos="8222"/>
        </w:tabs>
        <w:spacing w:after="0"/>
        <w:ind w:right="-58"/>
        <w:rPr>
          <w:rFonts w:cs="Arial"/>
          <w:b/>
          <w:color w:val="000000"/>
          <w:sz w:val="22"/>
          <w:szCs w:val="22"/>
          <w:lang w:eastAsia="en-GB"/>
        </w:rPr>
      </w:pPr>
    </w:p>
    <w:tbl>
      <w:tblPr>
        <w:tblStyle w:val="TableGrid"/>
        <w:tblW w:w="0" w:type="auto"/>
        <w:tblInd w:w="108" w:type="dxa"/>
        <w:tblLook w:val="04A0" w:firstRow="1" w:lastRow="0" w:firstColumn="1" w:lastColumn="0" w:noHBand="0" w:noVBand="1"/>
      </w:tblPr>
      <w:tblGrid>
        <w:gridCol w:w="7230"/>
        <w:gridCol w:w="1134"/>
      </w:tblGrid>
      <w:tr w:rsidR="00F24CA1" w:rsidRPr="00363983" w14:paraId="5D62BD9A" w14:textId="77777777" w:rsidTr="00077322">
        <w:tc>
          <w:tcPr>
            <w:tcW w:w="7230" w:type="dxa"/>
          </w:tcPr>
          <w:p w14:paraId="1DEBF0EE" w14:textId="77777777" w:rsidR="00F24CA1" w:rsidRPr="00363983" w:rsidRDefault="00F24CA1" w:rsidP="00077322">
            <w:pPr>
              <w:rPr>
                <w:rFonts w:cs="Arial"/>
                <w:b/>
                <w:color w:val="000000"/>
                <w:sz w:val="22"/>
                <w:szCs w:val="22"/>
                <w:lang w:eastAsia="en-GB"/>
              </w:rPr>
            </w:pPr>
          </w:p>
          <w:p w14:paraId="7F86A8FB" w14:textId="77777777" w:rsidR="00F24CA1" w:rsidRPr="00363983" w:rsidRDefault="00F24CA1" w:rsidP="00077322">
            <w:pPr>
              <w:rPr>
                <w:rFonts w:cs="Arial"/>
                <w:b/>
                <w:color w:val="000000"/>
                <w:sz w:val="22"/>
                <w:szCs w:val="22"/>
                <w:lang w:eastAsia="en-GB"/>
              </w:rPr>
            </w:pPr>
            <w:r w:rsidRPr="00363983">
              <w:rPr>
                <w:rFonts w:cs="Arial"/>
                <w:b/>
                <w:color w:val="000000"/>
                <w:sz w:val="22"/>
                <w:szCs w:val="22"/>
                <w:lang w:eastAsia="en-GB"/>
              </w:rPr>
              <w:t>Contributions</w:t>
            </w:r>
          </w:p>
          <w:p w14:paraId="6C0DB32C" w14:textId="77777777" w:rsidR="00F24CA1" w:rsidRPr="00363983" w:rsidRDefault="00F24CA1" w:rsidP="00077322">
            <w:pPr>
              <w:rPr>
                <w:rFonts w:cs="Arial"/>
                <w:b/>
                <w:sz w:val="22"/>
                <w:szCs w:val="22"/>
              </w:rPr>
            </w:pPr>
          </w:p>
        </w:tc>
        <w:tc>
          <w:tcPr>
            <w:tcW w:w="1134" w:type="dxa"/>
            <w:shd w:val="clear" w:color="auto" w:fill="00B050"/>
          </w:tcPr>
          <w:p w14:paraId="649F80EA" w14:textId="77777777" w:rsidR="00F24CA1" w:rsidRPr="00363983" w:rsidRDefault="00F24CA1" w:rsidP="00077322">
            <w:pPr>
              <w:rPr>
                <w:rFonts w:cs="Arial"/>
                <w:sz w:val="22"/>
                <w:szCs w:val="22"/>
              </w:rPr>
            </w:pPr>
            <w:r w:rsidRPr="00363983">
              <w:rPr>
                <w:rFonts w:cs="Arial"/>
                <w:sz w:val="22"/>
                <w:szCs w:val="22"/>
              </w:rPr>
              <w:t xml:space="preserve">            </w:t>
            </w:r>
          </w:p>
          <w:p w14:paraId="56217A6E" w14:textId="77777777" w:rsidR="00F24CA1" w:rsidRPr="00363983" w:rsidRDefault="00F24CA1" w:rsidP="00077322">
            <w:pPr>
              <w:rPr>
                <w:rFonts w:cs="Arial"/>
                <w:sz w:val="22"/>
                <w:szCs w:val="22"/>
              </w:rPr>
            </w:pPr>
            <w:r>
              <w:rPr>
                <w:rFonts w:cs="Arial"/>
                <w:noProof/>
                <w:color w:val="00B050"/>
                <w:szCs w:val="24"/>
                <w:lang w:eastAsia="en-GB"/>
              </w:rPr>
              <mc:AlternateContent>
                <mc:Choice Requires="wps">
                  <w:drawing>
                    <wp:anchor distT="4294967294" distB="4294967294" distL="114300" distR="114300" simplePos="0" relativeHeight="251685888" behindDoc="0" locked="0" layoutInCell="1" allowOverlap="1" wp14:anchorId="1EDCFE79" wp14:editId="1F1B3031">
                      <wp:simplePos x="0" y="0"/>
                      <wp:positionH relativeFrom="column">
                        <wp:posOffset>125730</wp:posOffset>
                      </wp:positionH>
                      <wp:positionV relativeFrom="paragraph">
                        <wp:posOffset>83184</wp:posOffset>
                      </wp:positionV>
                      <wp:extent cx="350520" cy="0"/>
                      <wp:effectExtent l="0" t="76200" r="30480" b="1524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4526608" id="Straight Arrow Connector 6" o:spid="_x0000_s1026" type="#_x0000_t32" style="position:absolute;margin-left:9.9pt;margin-top:6.55pt;width:27.6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" strokecolor="windowText" strokeweight="2pt">
                      <v:stroke endarrow="open"/>
                      <v:shadow on="t" color="black" opacity="24903f" origin=",.5" offset="0,.55556mm"/>
                      <o:lock v:ext="edit" shapetype="f"/>
                    </v:shape>
                  </w:pict>
                </mc:Fallback>
              </mc:AlternateContent>
            </w:r>
          </w:p>
        </w:tc>
      </w:tr>
    </w:tbl>
    <w:p w14:paraId="3010AF83" w14:textId="77777777" w:rsidR="00F24CA1" w:rsidRPr="00363983" w:rsidRDefault="00F24CA1" w:rsidP="00F24CA1">
      <w:pPr>
        <w:pStyle w:val="DeptBullets"/>
        <w:numPr>
          <w:ilvl w:val="0"/>
          <w:numId w:val="0"/>
        </w:numPr>
        <w:spacing w:after="0"/>
        <w:ind w:right="-58"/>
        <w:rPr>
          <w:rFonts w:cs="Arial"/>
          <w:b/>
          <w:sz w:val="22"/>
          <w:szCs w:val="22"/>
        </w:rPr>
      </w:pPr>
    </w:p>
    <w:p w14:paraId="0B2A0404" w14:textId="77777777" w:rsidR="00F24CA1" w:rsidRDefault="00F24CA1" w:rsidP="007E6DC7">
      <w:pPr>
        <w:pStyle w:val="DeptBullets"/>
        <w:numPr>
          <w:ilvl w:val="0"/>
          <w:numId w:val="5"/>
        </w:numPr>
        <w:spacing w:after="0"/>
        <w:ind w:left="360" w:right="-58"/>
        <w:rPr>
          <w:rFonts w:cs="Arial"/>
          <w:sz w:val="22"/>
          <w:szCs w:val="22"/>
        </w:rPr>
      </w:pPr>
      <w:r w:rsidRPr="00EA4CE6">
        <w:rPr>
          <w:rFonts w:cs="Arial"/>
          <w:b/>
          <w:sz w:val="22"/>
          <w:szCs w:val="22"/>
        </w:rPr>
        <w:t>Unallocated Contributions</w:t>
      </w:r>
      <w:r w:rsidRPr="00EA4CE6">
        <w:rPr>
          <w:rFonts w:cs="Arial"/>
          <w:sz w:val="22"/>
          <w:szCs w:val="22"/>
        </w:rPr>
        <w:t xml:space="preserve"> – Scheme contributions are paid by default to a suspense account, and allocated to the appropriate account once a ‘paying in’ slip has been received from the corresponding employer.  Late receipt of this supporting data can lead to delays in allocating contributions.  There is a structured approach to pursuing this outstanding data.</w:t>
      </w:r>
    </w:p>
    <w:p w14:paraId="65E8D59B" w14:textId="77777777" w:rsidR="00F16943" w:rsidRPr="00EA4CE6" w:rsidRDefault="00F16943" w:rsidP="00F16943">
      <w:pPr>
        <w:pStyle w:val="DeptBullets"/>
        <w:numPr>
          <w:ilvl w:val="0"/>
          <w:numId w:val="0"/>
        </w:numPr>
        <w:spacing w:after="0"/>
        <w:ind w:left="360" w:right="-58"/>
        <w:rPr>
          <w:rFonts w:cs="Arial"/>
          <w:sz w:val="22"/>
          <w:szCs w:val="22"/>
        </w:rPr>
      </w:pPr>
    </w:p>
    <w:p w14:paraId="30579871" w14:textId="77777777" w:rsidR="00F24CA1" w:rsidRDefault="00C271C2" w:rsidP="007E6DC7">
      <w:pPr>
        <w:pStyle w:val="DeptBullets"/>
        <w:numPr>
          <w:ilvl w:val="1"/>
          <w:numId w:val="5"/>
        </w:numPr>
        <w:spacing w:after="0"/>
        <w:ind w:left="993" w:right="84" w:hanging="425"/>
        <w:rPr>
          <w:rFonts w:cs="Arial"/>
          <w:sz w:val="22"/>
          <w:szCs w:val="22"/>
        </w:rPr>
      </w:pPr>
      <w:r>
        <w:rPr>
          <w:rFonts w:cs="Arial"/>
          <w:sz w:val="22"/>
          <w:szCs w:val="22"/>
        </w:rPr>
        <w:t>The account balance w</w:t>
      </w:r>
      <w:r w:rsidR="0023338A">
        <w:rPr>
          <w:rFonts w:cs="Arial"/>
          <w:sz w:val="22"/>
          <w:szCs w:val="22"/>
        </w:rPr>
        <w:t xml:space="preserve">as </w:t>
      </w:r>
      <w:r>
        <w:rPr>
          <w:rFonts w:cs="Arial"/>
          <w:sz w:val="22"/>
          <w:szCs w:val="22"/>
        </w:rPr>
        <w:t>again maintained during the period with £59</w:t>
      </w:r>
      <w:r w:rsidR="0023338A">
        <w:rPr>
          <w:rFonts w:cs="Arial"/>
          <w:sz w:val="22"/>
          <w:szCs w:val="22"/>
        </w:rPr>
        <w:t>m being hel</w:t>
      </w:r>
      <w:r>
        <w:rPr>
          <w:rFonts w:cs="Arial"/>
          <w:sz w:val="22"/>
          <w:szCs w:val="22"/>
        </w:rPr>
        <w:t>d unallocated at the end of September</w:t>
      </w:r>
      <w:r w:rsidR="0023338A">
        <w:rPr>
          <w:rFonts w:cs="Arial"/>
          <w:sz w:val="22"/>
          <w:szCs w:val="22"/>
        </w:rPr>
        <w:t>. This consists of</w:t>
      </w:r>
      <w:r w:rsidR="00F24CA1" w:rsidRPr="00EA4CE6">
        <w:rPr>
          <w:rFonts w:cs="Arial"/>
          <w:sz w:val="22"/>
          <w:szCs w:val="22"/>
        </w:rPr>
        <w:t xml:space="preserve"> </w:t>
      </w:r>
      <w:r w:rsidR="0023338A">
        <w:rPr>
          <w:rFonts w:cs="Arial"/>
          <w:sz w:val="22"/>
          <w:szCs w:val="22"/>
        </w:rPr>
        <w:t>£3.2</w:t>
      </w:r>
      <w:r w:rsidR="00F24CA1">
        <w:rPr>
          <w:rFonts w:cs="Arial"/>
          <w:sz w:val="22"/>
          <w:szCs w:val="22"/>
        </w:rPr>
        <w:t>m from 2012-13, £</w:t>
      </w:r>
      <w:r>
        <w:rPr>
          <w:rFonts w:cs="Arial"/>
          <w:sz w:val="22"/>
          <w:szCs w:val="22"/>
        </w:rPr>
        <w:t>2</w:t>
      </w:r>
      <w:r w:rsidR="0023338A">
        <w:rPr>
          <w:rFonts w:cs="Arial"/>
          <w:sz w:val="22"/>
          <w:szCs w:val="22"/>
        </w:rPr>
        <w:t>.2m (previously reported as £</w:t>
      </w:r>
      <w:r>
        <w:rPr>
          <w:rFonts w:cs="Arial"/>
          <w:sz w:val="22"/>
          <w:szCs w:val="22"/>
        </w:rPr>
        <w:t>4.2</w:t>
      </w:r>
      <w:r w:rsidR="00F24CA1">
        <w:rPr>
          <w:rFonts w:cs="Arial"/>
          <w:sz w:val="22"/>
          <w:szCs w:val="22"/>
        </w:rPr>
        <w:t>m</w:t>
      </w:r>
      <w:r w:rsidR="0023338A">
        <w:rPr>
          <w:rFonts w:cs="Arial"/>
          <w:sz w:val="22"/>
          <w:szCs w:val="22"/>
        </w:rPr>
        <w:t xml:space="preserve">) </w:t>
      </w:r>
      <w:r w:rsidR="00C85C7C">
        <w:rPr>
          <w:rFonts w:cs="Arial"/>
          <w:sz w:val="22"/>
          <w:szCs w:val="22"/>
        </w:rPr>
        <w:t>in respect of</w:t>
      </w:r>
      <w:r w:rsidR="00F24CA1">
        <w:rPr>
          <w:rFonts w:cs="Arial"/>
          <w:sz w:val="22"/>
          <w:szCs w:val="22"/>
        </w:rPr>
        <w:t xml:space="preserve"> 2013-14, £</w:t>
      </w:r>
      <w:r>
        <w:rPr>
          <w:rFonts w:cs="Arial"/>
          <w:sz w:val="22"/>
          <w:szCs w:val="22"/>
        </w:rPr>
        <w:t>6.6</w:t>
      </w:r>
      <w:r w:rsidR="0023338A">
        <w:rPr>
          <w:rFonts w:cs="Arial"/>
          <w:sz w:val="22"/>
          <w:szCs w:val="22"/>
        </w:rPr>
        <w:t>m (from £</w:t>
      </w:r>
      <w:r>
        <w:rPr>
          <w:rFonts w:cs="Arial"/>
          <w:sz w:val="22"/>
          <w:szCs w:val="22"/>
        </w:rPr>
        <w:t>9.3</w:t>
      </w:r>
      <w:r w:rsidR="00F24CA1">
        <w:rPr>
          <w:rFonts w:cs="Arial"/>
          <w:sz w:val="22"/>
          <w:szCs w:val="22"/>
        </w:rPr>
        <w:t>m</w:t>
      </w:r>
      <w:r w:rsidR="0023338A">
        <w:rPr>
          <w:rFonts w:cs="Arial"/>
          <w:sz w:val="22"/>
          <w:szCs w:val="22"/>
        </w:rPr>
        <w:t xml:space="preserve">) </w:t>
      </w:r>
      <w:r w:rsidR="00C85C7C">
        <w:rPr>
          <w:rFonts w:cs="Arial"/>
          <w:sz w:val="22"/>
          <w:szCs w:val="22"/>
        </w:rPr>
        <w:t xml:space="preserve">in respect of </w:t>
      </w:r>
      <w:r w:rsidR="00F24CA1">
        <w:rPr>
          <w:rFonts w:cs="Arial"/>
          <w:sz w:val="22"/>
          <w:szCs w:val="22"/>
        </w:rPr>
        <w:t>2014-15, £</w:t>
      </w:r>
      <w:r>
        <w:rPr>
          <w:rFonts w:cs="Arial"/>
          <w:sz w:val="22"/>
          <w:szCs w:val="22"/>
        </w:rPr>
        <w:t>14.1</w:t>
      </w:r>
      <w:r w:rsidR="0023338A">
        <w:rPr>
          <w:rFonts w:cs="Arial"/>
          <w:sz w:val="22"/>
          <w:szCs w:val="22"/>
        </w:rPr>
        <w:t>m (from £</w:t>
      </w:r>
      <w:r>
        <w:rPr>
          <w:rFonts w:cs="Arial"/>
          <w:sz w:val="22"/>
          <w:szCs w:val="22"/>
        </w:rPr>
        <w:t>14.7</w:t>
      </w:r>
      <w:r w:rsidR="00F24CA1" w:rsidRPr="00EA4CE6">
        <w:rPr>
          <w:rFonts w:cs="Arial"/>
          <w:sz w:val="22"/>
          <w:szCs w:val="22"/>
        </w:rPr>
        <w:t>m</w:t>
      </w:r>
      <w:r w:rsidR="0023338A">
        <w:rPr>
          <w:rFonts w:cs="Arial"/>
          <w:sz w:val="22"/>
          <w:szCs w:val="22"/>
        </w:rPr>
        <w:t xml:space="preserve">) </w:t>
      </w:r>
      <w:r w:rsidR="00C85C7C">
        <w:rPr>
          <w:rFonts w:cs="Arial"/>
          <w:sz w:val="22"/>
          <w:szCs w:val="22"/>
        </w:rPr>
        <w:t xml:space="preserve">in respect of </w:t>
      </w:r>
      <w:r w:rsidR="00F24CA1">
        <w:rPr>
          <w:rFonts w:cs="Arial"/>
          <w:sz w:val="22"/>
          <w:szCs w:val="22"/>
        </w:rPr>
        <w:t>2015-16 and £</w:t>
      </w:r>
      <w:r>
        <w:rPr>
          <w:rFonts w:cs="Arial"/>
          <w:sz w:val="22"/>
          <w:szCs w:val="22"/>
        </w:rPr>
        <w:t>32.3</w:t>
      </w:r>
      <w:r w:rsidR="0023338A">
        <w:rPr>
          <w:rFonts w:cs="Arial"/>
          <w:sz w:val="22"/>
          <w:szCs w:val="22"/>
        </w:rPr>
        <w:t xml:space="preserve">m </w:t>
      </w:r>
      <w:r w:rsidR="00F24CA1">
        <w:rPr>
          <w:rFonts w:cs="Arial"/>
          <w:sz w:val="22"/>
          <w:szCs w:val="22"/>
        </w:rPr>
        <w:t xml:space="preserve">from </w:t>
      </w:r>
      <w:r w:rsidR="00F24CA1" w:rsidRPr="00EA4CE6">
        <w:rPr>
          <w:rFonts w:cs="Arial"/>
          <w:sz w:val="22"/>
          <w:szCs w:val="22"/>
        </w:rPr>
        <w:t>t</w:t>
      </w:r>
      <w:r w:rsidR="00F24CA1">
        <w:rPr>
          <w:rFonts w:cs="Arial"/>
          <w:sz w:val="22"/>
          <w:szCs w:val="22"/>
        </w:rPr>
        <w:t>he current financial year.</w:t>
      </w:r>
      <w:r w:rsidR="00D93A69">
        <w:rPr>
          <w:rFonts w:cs="Arial"/>
          <w:sz w:val="22"/>
          <w:szCs w:val="22"/>
        </w:rPr>
        <w:t xml:space="preserve"> </w:t>
      </w:r>
      <w:r w:rsidR="00F24CA1">
        <w:rPr>
          <w:rFonts w:cs="Arial"/>
          <w:sz w:val="22"/>
          <w:szCs w:val="22"/>
        </w:rPr>
        <w:t xml:space="preserve">The vast majority of historical items </w:t>
      </w:r>
      <w:r>
        <w:rPr>
          <w:rFonts w:cs="Arial"/>
          <w:sz w:val="22"/>
          <w:szCs w:val="22"/>
        </w:rPr>
        <w:t>continue to relate</w:t>
      </w:r>
      <w:r w:rsidR="0023338A">
        <w:rPr>
          <w:rFonts w:cs="Arial"/>
          <w:sz w:val="22"/>
          <w:szCs w:val="22"/>
        </w:rPr>
        <w:t xml:space="preserve"> </w:t>
      </w:r>
      <w:r>
        <w:rPr>
          <w:rFonts w:cs="Arial"/>
          <w:sz w:val="22"/>
          <w:szCs w:val="22"/>
        </w:rPr>
        <w:t>to</w:t>
      </w:r>
      <w:r w:rsidR="0023338A">
        <w:rPr>
          <w:rFonts w:cs="Arial"/>
          <w:sz w:val="22"/>
          <w:szCs w:val="22"/>
        </w:rPr>
        <w:t xml:space="preserve"> </w:t>
      </w:r>
      <w:r>
        <w:rPr>
          <w:rFonts w:cs="Arial"/>
          <w:sz w:val="22"/>
          <w:szCs w:val="22"/>
        </w:rPr>
        <w:t>Central Bedfordshire.</w:t>
      </w:r>
      <w:r w:rsidR="0023338A">
        <w:rPr>
          <w:rFonts w:cs="Arial"/>
          <w:sz w:val="22"/>
          <w:szCs w:val="22"/>
        </w:rPr>
        <w:t xml:space="preserve"> However TP</w:t>
      </w:r>
      <w:r>
        <w:rPr>
          <w:rFonts w:cs="Arial"/>
          <w:sz w:val="22"/>
          <w:szCs w:val="22"/>
        </w:rPr>
        <w:t xml:space="preserve"> have cleared circa 500 items and £4.6m since the last reporting period</w:t>
      </w:r>
      <w:r w:rsidR="00F24CA1">
        <w:rPr>
          <w:rFonts w:cs="Arial"/>
          <w:sz w:val="22"/>
          <w:szCs w:val="22"/>
        </w:rPr>
        <w:t xml:space="preserve">.  </w:t>
      </w:r>
    </w:p>
    <w:p w14:paraId="2B7FE791" w14:textId="77777777" w:rsidR="00F16943" w:rsidRPr="00EA4CE6" w:rsidRDefault="00F16943" w:rsidP="00F16943">
      <w:pPr>
        <w:pStyle w:val="DeptBullets"/>
        <w:numPr>
          <w:ilvl w:val="0"/>
          <w:numId w:val="0"/>
        </w:numPr>
        <w:spacing w:after="0"/>
        <w:ind w:left="993" w:right="84"/>
        <w:rPr>
          <w:rFonts w:cs="Arial"/>
          <w:sz w:val="22"/>
          <w:szCs w:val="22"/>
        </w:rPr>
      </w:pPr>
    </w:p>
    <w:p w14:paraId="64E36836" w14:textId="77777777" w:rsidR="00F24CA1" w:rsidRDefault="00F24CA1" w:rsidP="007E6DC7">
      <w:pPr>
        <w:pStyle w:val="DeptBullets"/>
        <w:numPr>
          <w:ilvl w:val="1"/>
          <w:numId w:val="5"/>
        </w:numPr>
        <w:spacing w:after="0"/>
        <w:ind w:left="993" w:right="84" w:hanging="425"/>
        <w:rPr>
          <w:rFonts w:cs="Arial"/>
          <w:sz w:val="22"/>
          <w:szCs w:val="22"/>
        </w:rPr>
      </w:pPr>
      <w:r w:rsidRPr="00EA4CE6">
        <w:rPr>
          <w:rFonts w:cs="Arial"/>
          <w:sz w:val="22"/>
          <w:szCs w:val="22"/>
        </w:rPr>
        <w:t>The</w:t>
      </w:r>
      <w:r w:rsidR="00AC08B7">
        <w:rPr>
          <w:rFonts w:cs="Arial"/>
          <w:sz w:val="22"/>
          <w:szCs w:val="22"/>
        </w:rPr>
        <w:t xml:space="preserve"> breakdown by sector shows £16.3</w:t>
      </w:r>
      <w:r w:rsidRPr="00EA4CE6">
        <w:rPr>
          <w:rFonts w:cs="Arial"/>
          <w:sz w:val="22"/>
          <w:szCs w:val="22"/>
        </w:rPr>
        <w:t>m attributabl</w:t>
      </w:r>
      <w:r w:rsidR="00B77083">
        <w:rPr>
          <w:rFonts w:cs="Arial"/>
          <w:sz w:val="22"/>
          <w:szCs w:val="22"/>
        </w:rPr>
        <w:t>e to acade</w:t>
      </w:r>
      <w:r w:rsidR="00AC08B7">
        <w:rPr>
          <w:rFonts w:cs="Arial"/>
          <w:sz w:val="22"/>
          <w:szCs w:val="22"/>
        </w:rPr>
        <w:t>mies (previously reported as £9</w:t>
      </w:r>
      <w:r>
        <w:rPr>
          <w:rFonts w:cs="Arial"/>
          <w:sz w:val="22"/>
          <w:szCs w:val="22"/>
        </w:rPr>
        <w:t>m), £</w:t>
      </w:r>
      <w:r w:rsidR="00AC04F9">
        <w:rPr>
          <w:rFonts w:cs="Arial"/>
          <w:sz w:val="22"/>
          <w:szCs w:val="22"/>
        </w:rPr>
        <w:t>31.2</w:t>
      </w:r>
      <w:r w:rsidRPr="00EA4CE6">
        <w:rPr>
          <w:rFonts w:cs="Arial"/>
          <w:sz w:val="22"/>
          <w:szCs w:val="22"/>
        </w:rPr>
        <w:t>m to local autho</w:t>
      </w:r>
      <w:r w:rsidR="00B77083">
        <w:rPr>
          <w:rFonts w:cs="Arial"/>
          <w:sz w:val="22"/>
          <w:szCs w:val="22"/>
        </w:rPr>
        <w:t>ritie</w:t>
      </w:r>
      <w:r w:rsidR="00AC04F9">
        <w:rPr>
          <w:rFonts w:cs="Arial"/>
          <w:sz w:val="22"/>
          <w:szCs w:val="22"/>
        </w:rPr>
        <w:t>s (£38</w:t>
      </w:r>
      <w:r w:rsidR="00B77083">
        <w:rPr>
          <w:rFonts w:cs="Arial"/>
          <w:sz w:val="22"/>
          <w:szCs w:val="22"/>
        </w:rPr>
        <w:t>m). £2.7m to FE c</w:t>
      </w:r>
      <w:r w:rsidR="00AC04F9">
        <w:rPr>
          <w:rFonts w:cs="Arial"/>
          <w:sz w:val="22"/>
          <w:szCs w:val="22"/>
        </w:rPr>
        <w:t>olleges, £1.9</w:t>
      </w:r>
      <w:r w:rsidR="00B77083">
        <w:rPr>
          <w:rFonts w:cs="Arial"/>
          <w:sz w:val="22"/>
          <w:szCs w:val="22"/>
        </w:rPr>
        <w:t>m to HE colleges (£2</w:t>
      </w:r>
      <w:r w:rsidR="00AC04F9">
        <w:rPr>
          <w:rFonts w:cs="Arial"/>
          <w:sz w:val="22"/>
          <w:szCs w:val="22"/>
        </w:rPr>
        <w:t>.3m) and £2.8</w:t>
      </w:r>
      <w:r>
        <w:rPr>
          <w:rFonts w:cs="Arial"/>
          <w:sz w:val="22"/>
          <w:szCs w:val="22"/>
        </w:rPr>
        <w:t xml:space="preserve">m to </w:t>
      </w:r>
      <w:r w:rsidR="00D93A69">
        <w:rPr>
          <w:rFonts w:cs="Arial"/>
          <w:sz w:val="22"/>
          <w:szCs w:val="22"/>
        </w:rPr>
        <w:t>independents</w:t>
      </w:r>
      <w:r w:rsidR="00B77083">
        <w:rPr>
          <w:rFonts w:cs="Arial"/>
          <w:sz w:val="22"/>
          <w:szCs w:val="22"/>
        </w:rPr>
        <w:t xml:space="preserve"> (£</w:t>
      </w:r>
      <w:r w:rsidR="00AC04F9">
        <w:rPr>
          <w:rFonts w:cs="Arial"/>
          <w:sz w:val="22"/>
          <w:szCs w:val="22"/>
        </w:rPr>
        <w:t>1.9</w:t>
      </w:r>
      <w:r w:rsidRPr="00EA4CE6">
        <w:rPr>
          <w:rFonts w:cs="Arial"/>
          <w:sz w:val="22"/>
          <w:szCs w:val="22"/>
        </w:rPr>
        <w:t>m).</w:t>
      </w:r>
      <w:r w:rsidR="00B77083">
        <w:rPr>
          <w:rFonts w:cs="Arial"/>
          <w:sz w:val="22"/>
          <w:szCs w:val="22"/>
        </w:rPr>
        <w:t xml:space="preserve"> The remainder is attributable to free schools, </w:t>
      </w:r>
      <w:r w:rsidR="00E11B66">
        <w:rPr>
          <w:rFonts w:cs="Arial"/>
          <w:sz w:val="22"/>
          <w:szCs w:val="22"/>
        </w:rPr>
        <w:t>Multi Academy Trusts (</w:t>
      </w:r>
      <w:r w:rsidR="00AC04F9">
        <w:rPr>
          <w:rFonts w:cs="Arial"/>
          <w:sz w:val="22"/>
          <w:szCs w:val="22"/>
        </w:rPr>
        <w:t>MAT</w:t>
      </w:r>
      <w:r w:rsidR="00B77083">
        <w:rPr>
          <w:rFonts w:cs="Arial"/>
          <w:sz w:val="22"/>
          <w:szCs w:val="22"/>
        </w:rPr>
        <w:t>s</w:t>
      </w:r>
      <w:r w:rsidR="00E11B66">
        <w:rPr>
          <w:rFonts w:cs="Arial"/>
          <w:sz w:val="22"/>
          <w:szCs w:val="22"/>
        </w:rPr>
        <w:t>)</w:t>
      </w:r>
      <w:r w:rsidR="00B77083">
        <w:rPr>
          <w:rFonts w:cs="Arial"/>
          <w:sz w:val="22"/>
          <w:szCs w:val="22"/>
        </w:rPr>
        <w:t>, 6</w:t>
      </w:r>
      <w:r w:rsidR="00B77083" w:rsidRPr="00B77083">
        <w:rPr>
          <w:rFonts w:cs="Arial"/>
          <w:sz w:val="22"/>
          <w:szCs w:val="22"/>
          <w:vertAlign w:val="superscript"/>
        </w:rPr>
        <w:t>th</w:t>
      </w:r>
      <w:r w:rsidR="00B77083">
        <w:rPr>
          <w:rFonts w:cs="Arial"/>
          <w:sz w:val="22"/>
          <w:szCs w:val="22"/>
        </w:rPr>
        <w:t xml:space="preserve"> form colleges and function providers.</w:t>
      </w:r>
      <w:r w:rsidRPr="00EA4CE6">
        <w:rPr>
          <w:rFonts w:cs="Arial"/>
          <w:sz w:val="22"/>
          <w:szCs w:val="22"/>
        </w:rPr>
        <w:t xml:space="preserve">  </w:t>
      </w:r>
    </w:p>
    <w:p w14:paraId="0321C4D9" w14:textId="77777777" w:rsidR="00F16943" w:rsidRDefault="00F16943" w:rsidP="00F16943">
      <w:pPr>
        <w:pStyle w:val="ListParagraph"/>
        <w:rPr>
          <w:rFonts w:cs="Arial"/>
          <w:sz w:val="22"/>
          <w:szCs w:val="22"/>
        </w:rPr>
      </w:pPr>
    </w:p>
    <w:p w14:paraId="41897B85" w14:textId="77777777" w:rsidR="00F16943" w:rsidRDefault="00F16943" w:rsidP="00F16943">
      <w:pPr>
        <w:pStyle w:val="ListParagraph"/>
        <w:rPr>
          <w:rFonts w:cs="Arial"/>
          <w:sz w:val="22"/>
          <w:szCs w:val="22"/>
        </w:rPr>
      </w:pPr>
    </w:p>
    <w:p w14:paraId="52546A1F" w14:textId="77777777" w:rsidR="00F24CA1" w:rsidRPr="00282909" w:rsidRDefault="00F24CA1" w:rsidP="007E6DC7">
      <w:pPr>
        <w:pStyle w:val="DeptBullets"/>
        <w:numPr>
          <w:ilvl w:val="0"/>
          <w:numId w:val="5"/>
        </w:numPr>
        <w:spacing w:after="0"/>
        <w:ind w:left="360"/>
        <w:rPr>
          <w:rFonts w:cs="Arial"/>
          <w:b/>
          <w:sz w:val="22"/>
          <w:szCs w:val="22"/>
        </w:rPr>
      </w:pPr>
      <w:r w:rsidRPr="00EA4CE6">
        <w:rPr>
          <w:rFonts w:cs="Arial"/>
          <w:b/>
          <w:sz w:val="22"/>
          <w:szCs w:val="22"/>
        </w:rPr>
        <w:t>End of Year Certificate</w:t>
      </w:r>
      <w:r>
        <w:rPr>
          <w:rFonts w:cs="Arial"/>
          <w:b/>
          <w:sz w:val="22"/>
          <w:szCs w:val="22"/>
        </w:rPr>
        <w:t>s</w:t>
      </w:r>
      <w:r w:rsidRPr="00EA4CE6">
        <w:rPr>
          <w:rFonts w:cs="Arial"/>
          <w:b/>
          <w:sz w:val="22"/>
          <w:szCs w:val="22"/>
        </w:rPr>
        <w:t xml:space="preserve"> (EOYC)</w:t>
      </w:r>
      <w:r w:rsidRPr="00EA4CE6">
        <w:rPr>
          <w:rFonts w:cs="Arial"/>
          <w:sz w:val="22"/>
          <w:szCs w:val="22"/>
        </w:rPr>
        <w:t xml:space="preserve"> – </w:t>
      </w:r>
      <w:r w:rsidR="00AC04F9">
        <w:rPr>
          <w:rFonts w:cs="Arial"/>
          <w:sz w:val="22"/>
          <w:szCs w:val="22"/>
        </w:rPr>
        <w:t>The non-LA audited deadline passed on the 30</w:t>
      </w:r>
      <w:r w:rsidR="00AC04F9" w:rsidRPr="00AC04F9">
        <w:rPr>
          <w:rFonts w:cs="Arial"/>
          <w:sz w:val="22"/>
          <w:szCs w:val="22"/>
          <w:vertAlign w:val="superscript"/>
        </w:rPr>
        <w:t>th</w:t>
      </w:r>
      <w:r w:rsidR="00AC04F9">
        <w:rPr>
          <w:rFonts w:cs="Arial"/>
          <w:sz w:val="22"/>
          <w:szCs w:val="22"/>
        </w:rPr>
        <w:t xml:space="preserve"> September. Following this TP reported a return rate of 92.3% which is directly comparable with last year despite the increased employer population over the period. A small number of LA returns have been received early ahead of the 30</w:t>
      </w:r>
      <w:r w:rsidR="00AC04F9" w:rsidRPr="00AC04F9">
        <w:rPr>
          <w:rFonts w:cs="Arial"/>
          <w:sz w:val="22"/>
          <w:szCs w:val="22"/>
          <w:vertAlign w:val="superscript"/>
        </w:rPr>
        <w:t>th</w:t>
      </w:r>
      <w:r w:rsidR="00AC04F9">
        <w:rPr>
          <w:rFonts w:cs="Arial"/>
          <w:sz w:val="22"/>
          <w:szCs w:val="22"/>
        </w:rPr>
        <w:t xml:space="preserve"> November deadline. Reminder actions are running to secure the outstanding returns before regulator reporting becomes applicable in the new year.</w:t>
      </w:r>
    </w:p>
    <w:p w14:paraId="0B77F8B6" w14:textId="77777777" w:rsidR="00282909" w:rsidRPr="009A11BA" w:rsidRDefault="00282909" w:rsidP="00F16943">
      <w:pPr>
        <w:pStyle w:val="DeptBullets"/>
        <w:numPr>
          <w:ilvl w:val="0"/>
          <w:numId w:val="0"/>
        </w:numPr>
        <w:spacing w:after="0"/>
        <w:rPr>
          <w:rFonts w:cs="Arial"/>
          <w:b/>
          <w:sz w:val="22"/>
          <w:szCs w:val="22"/>
        </w:rPr>
      </w:pPr>
    </w:p>
    <w:p w14:paraId="148D229B" w14:textId="77777777" w:rsidR="00515231" w:rsidRDefault="005E0AFA" w:rsidP="00F16943">
      <w:pPr>
        <w:pStyle w:val="DeptBullets"/>
        <w:numPr>
          <w:ilvl w:val="0"/>
          <w:numId w:val="0"/>
        </w:numPr>
        <w:spacing w:after="0"/>
        <w:ind w:left="360" w:hanging="360"/>
        <w:rPr>
          <w:rFonts w:cs="Arial"/>
          <w:sz w:val="22"/>
          <w:szCs w:val="22"/>
        </w:rPr>
      </w:pPr>
      <w:r>
        <w:rPr>
          <w:rFonts w:cs="Arial"/>
          <w:sz w:val="22"/>
          <w:szCs w:val="22"/>
        </w:rPr>
        <w:t>9</w:t>
      </w:r>
      <w:r w:rsidR="00F24CA1">
        <w:rPr>
          <w:rFonts w:cs="Arial"/>
          <w:b/>
          <w:sz w:val="22"/>
          <w:szCs w:val="22"/>
        </w:rPr>
        <w:t>.</w:t>
      </w:r>
      <w:r w:rsidR="00F24CA1">
        <w:rPr>
          <w:rFonts w:cs="Arial"/>
          <w:b/>
          <w:sz w:val="22"/>
          <w:szCs w:val="22"/>
        </w:rPr>
        <w:tab/>
      </w:r>
      <w:r w:rsidR="00F24CA1" w:rsidRPr="00EA4CE6">
        <w:rPr>
          <w:rFonts w:cs="Arial"/>
          <w:b/>
          <w:sz w:val="22"/>
          <w:szCs w:val="22"/>
        </w:rPr>
        <w:t xml:space="preserve">Pension Regulator Reporting </w:t>
      </w:r>
      <w:r w:rsidR="00F24CA1">
        <w:rPr>
          <w:rFonts w:cs="Arial"/>
          <w:b/>
          <w:sz w:val="22"/>
          <w:szCs w:val="22"/>
        </w:rPr>
        <w:t>–</w:t>
      </w:r>
      <w:r w:rsidR="00F24CA1" w:rsidRPr="00EA4CE6">
        <w:rPr>
          <w:rFonts w:cs="Arial"/>
          <w:b/>
          <w:sz w:val="22"/>
          <w:szCs w:val="22"/>
        </w:rPr>
        <w:t xml:space="preserve"> </w:t>
      </w:r>
      <w:r w:rsidR="0035528E">
        <w:rPr>
          <w:rFonts w:cs="Arial"/>
          <w:sz w:val="22"/>
          <w:szCs w:val="22"/>
        </w:rPr>
        <w:t>B</w:t>
      </w:r>
      <w:r w:rsidR="00F24CA1">
        <w:rPr>
          <w:rFonts w:cs="Arial"/>
          <w:sz w:val="22"/>
          <w:szCs w:val="22"/>
        </w:rPr>
        <w:t>r</w:t>
      </w:r>
      <w:r w:rsidR="0035528E">
        <w:rPr>
          <w:rFonts w:cs="Arial"/>
          <w:sz w:val="22"/>
          <w:szCs w:val="22"/>
        </w:rPr>
        <w:t xml:space="preserve">each of law reporting under </w:t>
      </w:r>
      <w:r w:rsidR="004F484C">
        <w:rPr>
          <w:rFonts w:cs="Arial"/>
          <w:sz w:val="22"/>
          <w:szCs w:val="22"/>
        </w:rPr>
        <w:t>C</w:t>
      </w:r>
      <w:r w:rsidR="00F24CA1">
        <w:rPr>
          <w:rFonts w:cs="Arial"/>
          <w:sz w:val="22"/>
          <w:szCs w:val="22"/>
        </w:rPr>
        <w:t xml:space="preserve">ode of </w:t>
      </w:r>
      <w:r w:rsidR="004F484C">
        <w:rPr>
          <w:rFonts w:cs="Arial"/>
          <w:sz w:val="22"/>
          <w:szCs w:val="22"/>
        </w:rPr>
        <w:t>P</w:t>
      </w:r>
      <w:r w:rsidR="00F24CA1">
        <w:rPr>
          <w:rFonts w:cs="Arial"/>
          <w:sz w:val="22"/>
          <w:szCs w:val="22"/>
        </w:rPr>
        <w:t>racti</w:t>
      </w:r>
      <w:r w:rsidR="004F484C">
        <w:rPr>
          <w:rFonts w:cs="Arial"/>
          <w:sz w:val="22"/>
          <w:szCs w:val="22"/>
        </w:rPr>
        <w:t>c</w:t>
      </w:r>
      <w:r w:rsidR="00F24CA1">
        <w:rPr>
          <w:rFonts w:cs="Arial"/>
          <w:sz w:val="22"/>
          <w:szCs w:val="22"/>
        </w:rPr>
        <w:t xml:space="preserve">e </w:t>
      </w:r>
      <w:r w:rsidR="00F24CA1">
        <w:rPr>
          <w:rFonts w:cs="Arial"/>
          <w:sz w:val="22"/>
          <w:szCs w:val="22"/>
        </w:rPr>
        <w:lastRenderedPageBreak/>
        <w:t xml:space="preserve">14 </w:t>
      </w:r>
      <w:r w:rsidR="0035528E">
        <w:rPr>
          <w:rFonts w:cs="Arial"/>
          <w:sz w:val="22"/>
          <w:szCs w:val="22"/>
        </w:rPr>
        <w:t>continu</w:t>
      </w:r>
      <w:r w:rsidR="00AC04F9">
        <w:rPr>
          <w:rFonts w:cs="Arial"/>
          <w:sz w:val="22"/>
          <w:szCs w:val="22"/>
        </w:rPr>
        <w:t xml:space="preserve">es to be submitted monthly by working day 5. This quarter again saw a small number of </w:t>
      </w:r>
      <w:r w:rsidR="0035528E">
        <w:rPr>
          <w:rFonts w:cs="Arial"/>
          <w:sz w:val="22"/>
          <w:szCs w:val="22"/>
        </w:rPr>
        <w:t>reportable incidents in respect of outstanding contributions. Fernd</w:t>
      </w:r>
      <w:r w:rsidR="006975C1">
        <w:rPr>
          <w:rFonts w:cs="Arial"/>
          <w:sz w:val="22"/>
          <w:szCs w:val="22"/>
        </w:rPr>
        <w:t xml:space="preserve">ale Independent School </w:t>
      </w:r>
      <w:r w:rsidR="00AC04F9">
        <w:rPr>
          <w:rFonts w:cs="Arial"/>
          <w:sz w:val="22"/>
          <w:szCs w:val="22"/>
        </w:rPr>
        <w:t>entered administration and it looks unlikely their outstanding contributions will be recovered. TP also wrote to Manor House Independent School to threaten de-acceptance as they reached four months of outstanding contributions. Three e</w:t>
      </w:r>
      <w:r w:rsidR="0035528E">
        <w:rPr>
          <w:rFonts w:cs="Arial"/>
          <w:sz w:val="22"/>
          <w:szCs w:val="22"/>
        </w:rPr>
        <w:t xml:space="preserve">mployers </w:t>
      </w:r>
      <w:r w:rsidR="00AC04F9">
        <w:rPr>
          <w:rFonts w:cs="Arial"/>
          <w:sz w:val="22"/>
          <w:szCs w:val="22"/>
        </w:rPr>
        <w:t>who continue to fail</w:t>
      </w:r>
      <w:r w:rsidR="0035528E">
        <w:rPr>
          <w:rFonts w:cs="Arial"/>
          <w:sz w:val="22"/>
          <w:szCs w:val="22"/>
        </w:rPr>
        <w:t xml:space="preserve"> </w:t>
      </w:r>
      <w:r w:rsidR="00AC04F9">
        <w:rPr>
          <w:rFonts w:cs="Arial"/>
          <w:sz w:val="22"/>
          <w:szCs w:val="22"/>
        </w:rPr>
        <w:t xml:space="preserve">to submit </w:t>
      </w:r>
      <w:r w:rsidR="0035528E">
        <w:rPr>
          <w:rFonts w:cs="Arial"/>
          <w:sz w:val="22"/>
          <w:szCs w:val="22"/>
        </w:rPr>
        <w:t xml:space="preserve">their EOYC return </w:t>
      </w:r>
      <w:r w:rsidR="00AC04F9">
        <w:rPr>
          <w:rFonts w:cs="Arial"/>
          <w:sz w:val="22"/>
          <w:szCs w:val="22"/>
        </w:rPr>
        <w:t xml:space="preserve">in respect of 2014-15 </w:t>
      </w:r>
      <w:r w:rsidR="0035528E">
        <w:rPr>
          <w:rFonts w:cs="Arial"/>
          <w:sz w:val="22"/>
          <w:szCs w:val="22"/>
        </w:rPr>
        <w:t>were</w:t>
      </w:r>
      <w:r w:rsidR="00AC04F9">
        <w:rPr>
          <w:rFonts w:cs="Arial"/>
          <w:sz w:val="22"/>
          <w:szCs w:val="22"/>
        </w:rPr>
        <w:t xml:space="preserve"> also reported, the regulator has contacted these employers direct to establish the reason for non-compliance</w:t>
      </w:r>
      <w:r w:rsidR="0035528E">
        <w:rPr>
          <w:rFonts w:cs="Arial"/>
          <w:sz w:val="22"/>
          <w:szCs w:val="22"/>
        </w:rPr>
        <w:t>.</w:t>
      </w:r>
    </w:p>
    <w:p w14:paraId="0575488A" w14:textId="77777777" w:rsidR="00515231" w:rsidRDefault="00515231">
      <w:pPr>
        <w:widowControl/>
        <w:overflowPunct/>
        <w:autoSpaceDE/>
        <w:autoSpaceDN/>
        <w:adjustRightInd/>
        <w:textAlignment w:val="auto"/>
        <w:rPr>
          <w:rFonts w:cs="Arial"/>
          <w:sz w:val="22"/>
          <w:szCs w:val="22"/>
        </w:rPr>
      </w:pPr>
    </w:p>
    <w:p w14:paraId="7F6C7A65" w14:textId="77777777" w:rsidR="00F24CA1" w:rsidRDefault="00F24CA1" w:rsidP="00F16943">
      <w:pPr>
        <w:pStyle w:val="DeptBullets"/>
        <w:numPr>
          <w:ilvl w:val="0"/>
          <w:numId w:val="0"/>
        </w:numPr>
        <w:spacing w:after="0"/>
        <w:ind w:left="360" w:hanging="360"/>
        <w:rPr>
          <w:rFonts w:cs="Arial"/>
          <w:sz w:val="22"/>
          <w:szCs w:val="22"/>
        </w:rPr>
      </w:pPr>
    </w:p>
    <w:p w14:paraId="7FA07198" w14:textId="77777777" w:rsidR="00F16943" w:rsidRDefault="00F16943" w:rsidP="00F16943">
      <w:pPr>
        <w:pStyle w:val="DeptBullets"/>
        <w:numPr>
          <w:ilvl w:val="0"/>
          <w:numId w:val="0"/>
        </w:numPr>
        <w:spacing w:after="0"/>
        <w:ind w:left="360" w:hanging="360"/>
        <w:rPr>
          <w:rFonts w:cs="Arial"/>
          <w:sz w:val="22"/>
          <w:szCs w:val="22"/>
        </w:rPr>
      </w:pPr>
    </w:p>
    <w:tbl>
      <w:tblPr>
        <w:tblStyle w:val="TableGrid"/>
        <w:tblW w:w="0" w:type="auto"/>
        <w:tblInd w:w="108" w:type="dxa"/>
        <w:tblLook w:val="04A0" w:firstRow="1" w:lastRow="0" w:firstColumn="1" w:lastColumn="0" w:noHBand="0" w:noVBand="1"/>
      </w:tblPr>
      <w:tblGrid>
        <w:gridCol w:w="7230"/>
        <w:gridCol w:w="1134"/>
      </w:tblGrid>
      <w:tr w:rsidR="00F24CA1" w:rsidRPr="00363983" w14:paraId="5FE79616" w14:textId="77777777" w:rsidTr="00077322">
        <w:tc>
          <w:tcPr>
            <w:tcW w:w="7230" w:type="dxa"/>
          </w:tcPr>
          <w:p w14:paraId="4932CCA1" w14:textId="77777777" w:rsidR="00F24CA1" w:rsidRPr="00363983" w:rsidRDefault="00F24CA1" w:rsidP="00077322">
            <w:pPr>
              <w:rPr>
                <w:rFonts w:cs="Arial"/>
                <w:b/>
                <w:color w:val="000000"/>
                <w:sz w:val="22"/>
                <w:szCs w:val="22"/>
                <w:lang w:eastAsia="en-GB"/>
              </w:rPr>
            </w:pPr>
          </w:p>
          <w:p w14:paraId="3CE1126E" w14:textId="77777777" w:rsidR="00F24CA1" w:rsidRPr="00363983" w:rsidRDefault="00F24CA1" w:rsidP="00077322">
            <w:pPr>
              <w:rPr>
                <w:rFonts w:cs="Arial"/>
                <w:b/>
                <w:color w:val="000000"/>
                <w:sz w:val="22"/>
                <w:szCs w:val="22"/>
                <w:lang w:eastAsia="en-GB"/>
              </w:rPr>
            </w:pPr>
            <w:r w:rsidRPr="00363983">
              <w:rPr>
                <w:rFonts w:cs="Arial"/>
                <w:b/>
                <w:color w:val="000000"/>
                <w:sz w:val="22"/>
                <w:szCs w:val="22"/>
                <w:lang w:eastAsia="en-GB"/>
              </w:rPr>
              <w:t>Debt</w:t>
            </w:r>
          </w:p>
          <w:p w14:paraId="218CECEA" w14:textId="77777777" w:rsidR="00F24CA1" w:rsidRPr="00363983" w:rsidRDefault="00F24CA1" w:rsidP="00077322">
            <w:pPr>
              <w:rPr>
                <w:rFonts w:cs="Arial"/>
                <w:b/>
                <w:sz w:val="22"/>
                <w:szCs w:val="22"/>
              </w:rPr>
            </w:pPr>
          </w:p>
        </w:tc>
        <w:tc>
          <w:tcPr>
            <w:tcW w:w="1134" w:type="dxa"/>
            <w:shd w:val="clear" w:color="auto" w:fill="FFC000"/>
          </w:tcPr>
          <w:p w14:paraId="36699683" w14:textId="77777777" w:rsidR="00F24CA1" w:rsidRPr="00363983" w:rsidRDefault="00F24CA1" w:rsidP="00077322">
            <w:pPr>
              <w:rPr>
                <w:rFonts w:cs="Arial"/>
                <w:sz w:val="22"/>
                <w:szCs w:val="22"/>
              </w:rPr>
            </w:pPr>
            <w:r w:rsidRPr="00363983">
              <w:rPr>
                <w:rFonts w:cs="Arial"/>
                <w:color w:val="00B050"/>
                <w:sz w:val="22"/>
                <w:szCs w:val="22"/>
              </w:rPr>
              <w:t xml:space="preserve">                        </w:t>
            </w:r>
          </w:p>
          <w:p w14:paraId="0BC000B3" w14:textId="77777777" w:rsidR="00F24CA1" w:rsidRPr="00363983" w:rsidRDefault="00F24CA1" w:rsidP="00077322">
            <w:pPr>
              <w:rPr>
                <w:rFonts w:cs="Arial"/>
                <w:sz w:val="22"/>
                <w:szCs w:val="22"/>
              </w:rPr>
            </w:pPr>
            <w:r>
              <w:rPr>
                <w:rFonts w:cs="Arial"/>
                <w:noProof/>
                <w:color w:val="00B050"/>
                <w:szCs w:val="24"/>
                <w:lang w:eastAsia="en-GB"/>
              </w:rPr>
              <mc:AlternateContent>
                <mc:Choice Requires="wps">
                  <w:drawing>
                    <wp:anchor distT="4294967294" distB="4294967294" distL="114300" distR="114300" simplePos="0" relativeHeight="251686912" behindDoc="0" locked="0" layoutInCell="1" allowOverlap="1" wp14:anchorId="71147F2C" wp14:editId="3A5F9DBE">
                      <wp:simplePos x="0" y="0"/>
                      <wp:positionH relativeFrom="column">
                        <wp:posOffset>140970</wp:posOffset>
                      </wp:positionH>
                      <wp:positionV relativeFrom="paragraph">
                        <wp:posOffset>63499</wp:posOffset>
                      </wp:positionV>
                      <wp:extent cx="350520" cy="0"/>
                      <wp:effectExtent l="0" t="76200" r="30480" b="152400"/>
                      <wp:wrapNone/>
                      <wp:docPr id="1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E6C4850" id="Straight Arrow Connector 1" o:spid="_x0000_s1026" type="#_x0000_t32" style="position:absolute;margin-left:11.1pt;margin-top:5pt;width:27.6pt;height:0;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" strokecolor="windowText" strokeweight="2pt">
                      <v:stroke endarrow="open"/>
                      <v:shadow on="t" color="black" opacity="24903f" origin=",.5" offset="0,.55556mm"/>
                      <o:lock v:ext="edit" shapetype="f"/>
                    </v:shape>
                  </w:pict>
                </mc:Fallback>
              </mc:AlternateContent>
            </w:r>
          </w:p>
        </w:tc>
      </w:tr>
    </w:tbl>
    <w:p w14:paraId="5275B9A2" w14:textId="77777777" w:rsidR="00A60331" w:rsidRDefault="00A60331" w:rsidP="00F16943">
      <w:pPr>
        <w:pStyle w:val="DeptBullets"/>
        <w:numPr>
          <w:ilvl w:val="0"/>
          <w:numId w:val="0"/>
        </w:numPr>
        <w:tabs>
          <w:tab w:val="left" w:pos="8364"/>
        </w:tabs>
        <w:spacing w:after="0"/>
        <w:ind w:left="426" w:hanging="426"/>
        <w:rPr>
          <w:rFonts w:cs="Arial"/>
          <w:sz w:val="22"/>
          <w:szCs w:val="22"/>
        </w:rPr>
      </w:pPr>
    </w:p>
    <w:p w14:paraId="095F6E6C" w14:textId="77777777" w:rsidR="00F24CA1" w:rsidRDefault="00F24CA1" w:rsidP="00F16943">
      <w:pPr>
        <w:pStyle w:val="DeptBullets"/>
        <w:numPr>
          <w:ilvl w:val="0"/>
          <w:numId w:val="0"/>
        </w:numPr>
        <w:tabs>
          <w:tab w:val="left" w:pos="8364"/>
        </w:tabs>
        <w:spacing w:after="0"/>
        <w:ind w:left="426" w:hanging="426"/>
        <w:rPr>
          <w:rFonts w:cs="Arial"/>
          <w:sz w:val="22"/>
          <w:szCs w:val="22"/>
        </w:rPr>
      </w:pPr>
      <w:r w:rsidRPr="00CC133A">
        <w:rPr>
          <w:rFonts w:cs="Arial"/>
          <w:sz w:val="22"/>
          <w:szCs w:val="22"/>
        </w:rPr>
        <w:t>1</w:t>
      </w:r>
      <w:r w:rsidR="005E0AFA">
        <w:rPr>
          <w:rFonts w:cs="Arial"/>
          <w:sz w:val="22"/>
          <w:szCs w:val="22"/>
        </w:rPr>
        <w:t>0</w:t>
      </w:r>
      <w:r>
        <w:rPr>
          <w:rFonts w:cs="Arial"/>
          <w:b/>
          <w:sz w:val="22"/>
          <w:szCs w:val="22"/>
        </w:rPr>
        <w:t xml:space="preserve">.  </w:t>
      </w:r>
      <w:r w:rsidRPr="00EA4CE6">
        <w:rPr>
          <w:rFonts w:cs="Arial"/>
          <w:b/>
          <w:sz w:val="22"/>
          <w:szCs w:val="22"/>
        </w:rPr>
        <w:t>Member Overpayments</w:t>
      </w:r>
      <w:r w:rsidRPr="00EA4CE6">
        <w:rPr>
          <w:rFonts w:cs="Arial"/>
          <w:sz w:val="22"/>
          <w:szCs w:val="22"/>
        </w:rPr>
        <w:t xml:space="preserve"> –</w:t>
      </w:r>
      <w:r w:rsidR="00F65907">
        <w:rPr>
          <w:rFonts w:cs="Arial"/>
          <w:sz w:val="22"/>
          <w:szCs w:val="22"/>
        </w:rPr>
        <w:t xml:space="preserve"> The outstanding balance increased </w:t>
      </w:r>
      <w:r w:rsidR="009D026F">
        <w:rPr>
          <w:rFonts w:cs="Arial"/>
          <w:sz w:val="22"/>
          <w:szCs w:val="22"/>
        </w:rPr>
        <w:t xml:space="preserve">further </w:t>
      </w:r>
      <w:r w:rsidR="00F65907">
        <w:rPr>
          <w:rFonts w:cs="Arial"/>
          <w:sz w:val="22"/>
          <w:szCs w:val="22"/>
        </w:rPr>
        <w:t xml:space="preserve">by £1.2m since the last reporting period </w:t>
      </w:r>
      <w:r w:rsidR="009D026F">
        <w:rPr>
          <w:rFonts w:cs="Arial"/>
          <w:sz w:val="22"/>
          <w:szCs w:val="22"/>
        </w:rPr>
        <w:t xml:space="preserve">from </w:t>
      </w:r>
      <w:r w:rsidR="00F65907">
        <w:rPr>
          <w:rFonts w:cs="Arial"/>
          <w:sz w:val="22"/>
          <w:szCs w:val="22"/>
        </w:rPr>
        <w:t>£10.5</w:t>
      </w:r>
      <w:r w:rsidRPr="00EA4CE6">
        <w:rPr>
          <w:rFonts w:cs="Arial"/>
          <w:sz w:val="22"/>
          <w:szCs w:val="22"/>
        </w:rPr>
        <w:t>m</w:t>
      </w:r>
      <w:r w:rsidR="00F65907">
        <w:rPr>
          <w:rFonts w:cs="Arial"/>
          <w:sz w:val="22"/>
          <w:szCs w:val="22"/>
        </w:rPr>
        <w:t xml:space="preserve"> to £11.7</w:t>
      </w:r>
      <w:r w:rsidR="009D026F">
        <w:rPr>
          <w:rFonts w:cs="Arial"/>
          <w:sz w:val="22"/>
          <w:szCs w:val="22"/>
        </w:rPr>
        <w:t>m</w:t>
      </w:r>
      <w:r w:rsidRPr="00EA4CE6">
        <w:rPr>
          <w:rFonts w:cs="Arial"/>
          <w:sz w:val="22"/>
          <w:szCs w:val="22"/>
        </w:rPr>
        <w:t xml:space="preserve">. </w:t>
      </w:r>
      <w:r w:rsidR="00F65907">
        <w:rPr>
          <w:rFonts w:cs="Arial"/>
          <w:sz w:val="22"/>
          <w:szCs w:val="22"/>
        </w:rPr>
        <w:t xml:space="preserve">This was again </w:t>
      </w:r>
      <w:r w:rsidR="009D026F">
        <w:rPr>
          <w:rFonts w:cs="Arial"/>
          <w:sz w:val="22"/>
          <w:szCs w:val="22"/>
        </w:rPr>
        <w:t xml:space="preserve">predominately </w:t>
      </w:r>
      <w:r w:rsidR="00F65907">
        <w:rPr>
          <w:rFonts w:cs="Arial"/>
          <w:sz w:val="22"/>
          <w:szCs w:val="22"/>
        </w:rPr>
        <w:t xml:space="preserve">down to </w:t>
      </w:r>
      <w:r>
        <w:rPr>
          <w:rFonts w:cs="Arial"/>
          <w:sz w:val="22"/>
          <w:szCs w:val="22"/>
        </w:rPr>
        <w:t xml:space="preserve">the pro-active </w:t>
      </w:r>
      <w:r w:rsidR="00F65907">
        <w:rPr>
          <w:rFonts w:cs="Arial"/>
          <w:sz w:val="22"/>
          <w:szCs w:val="22"/>
        </w:rPr>
        <w:t xml:space="preserve">remarriage declaration </w:t>
      </w:r>
      <w:r>
        <w:rPr>
          <w:rFonts w:cs="Arial"/>
          <w:sz w:val="22"/>
          <w:szCs w:val="22"/>
        </w:rPr>
        <w:t>exercise</w:t>
      </w:r>
      <w:r w:rsidR="00F65907">
        <w:rPr>
          <w:rFonts w:cs="Arial"/>
          <w:sz w:val="22"/>
          <w:szCs w:val="22"/>
        </w:rPr>
        <w:t>. However following the September retirements exercise circa £500k was due to lump sum overpayments as revisions to service were made or members queried the level of lump sum they were expecting.</w:t>
      </w:r>
    </w:p>
    <w:p w14:paraId="2D1BCE4C" w14:textId="77777777" w:rsidR="00F16943" w:rsidRPr="00EA4CE6" w:rsidRDefault="00F16943" w:rsidP="00F16943">
      <w:pPr>
        <w:pStyle w:val="DeptBullets"/>
        <w:numPr>
          <w:ilvl w:val="0"/>
          <w:numId w:val="0"/>
        </w:numPr>
        <w:tabs>
          <w:tab w:val="left" w:pos="8364"/>
        </w:tabs>
        <w:spacing w:after="0"/>
        <w:ind w:left="426" w:hanging="426"/>
        <w:rPr>
          <w:rFonts w:cs="Arial"/>
          <w:sz w:val="22"/>
          <w:szCs w:val="22"/>
        </w:rPr>
      </w:pPr>
    </w:p>
    <w:p w14:paraId="1EC601C5" w14:textId="77777777" w:rsidR="00F24CA1" w:rsidRDefault="00F24CA1" w:rsidP="00F16943">
      <w:pPr>
        <w:pStyle w:val="DeptBullets"/>
        <w:numPr>
          <w:ilvl w:val="0"/>
          <w:numId w:val="0"/>
        </w:numPr>
        <w:spacing w:after="0"/>
        <w:ind w:left="426" w:right="-58" w:hanging="426"/>
        <w:rPr>
          <w:rFonts w:cs="Arial"/>
          <w:sz w:val="22"/>
          <w:szCs w:val="22"/>
        </w:rPr>
      </w:pPr>
      <w:r w:rsidRPr="00CC133A">
        <w:rPr>
          <w:rFonts w:cs="Arial"/>
          <w:sz w:val="22"/>
          <w:szCs w:val="22"/>
        </w:rPr>
        <w:t>1</w:t>
      </w:r>
      <w:r w:rsidR="005E0AFA">
        <w:rPr>
          <w:rFonts w:cs="Arial"/>
          <w:sz w:val="22"/>
          <w:szCs w:val="22"/>
        </w:rPr>
        <w:t>1</w:t>
      </w:r>
      <w:r>
        <w:rPr>
          <w:rFonts w:cs="Arial"/>
          <w:b/>
          <w:sz w:val="22"/>
          <w:szCs w:val="22"/>
        </w:rPr>
        <w:t>.</w:t>
      </w:r>
      <w:r>
        <w:rPr>
          <w:rFonts w:cs="Arial"/>
          <w:b/>
          <w:sz w:val="22"/>
          <w:szCs w:val="22"/>
        </w:rPr>
        <w:tab/>
      </w:r>
      <w:r w:rsidRPr="00EA4CE6">
        <w:rPr>
          <w:rFonts w:cs="Arial"/>
          <w:b/>
          <w:sz w:val="22"/>
          <w:szCs w:val="22"/>
        </w:rPr>
        <w:t>Arrears of Contributions</w:t>
      </w:r>
      <w:r w:rsidRPr="00EA4CE6">
        <w:rPr>
          <w:rFonts w:cs="Arial"/>
          <w:sz w:val="22"/>
          <w:szCs w:val="22"/>
        </w:rPr>
        <w:t xml:space="preserve"> – The outstanding balance of member and employer arrears debt has </w:t>
      </w:r>
      <w:r w:rsidR="00F65907">
        <w:rPr>
          <w:rFonts w:cs="Arial"/>
          <w:sz w:val="22"/>
          <w:szCs w:val="22"/>
        </w:rPr>
        <w:t>remained static at</w:t>
      </w:r>
      <w:r w:rsidR="009D026F">
        <w:rPr>
          <w:rFonts w:cs="Arial"/>
          <w:sz w:val="22"/>
          <w:szCs w:val="22"/>
        </w:rPr>
        <w:t xml:space="preserve"> £3.4</w:t>
      </w:r>
      <w:r>
        <w:rPr>
          <w:rFonts w:cs="Arial"/>
          <w:sz w:val="22"/>
          <w:szCs w:val="22"/>
        </w:rPr>
        <w:t>m. Encouragingly</w:t>
      </w:r>
      <w:r w:rsidR="00134202">
        <w:rPr>
          <w:rFonts w:cs="Arial"/>
          <w:sz w:val="22"/>
          <w:szCs w:val="22"/>
        </w:rPr>
        <w:t>,</w:t>
      </w:r>
      <w:r w:rsidR="00F65907">
        <w:rPr>
          <w:rFonts w:cs="Arial"/>
          <w:sz w:val="22"/>
          <w:szCs w:val="22"/>
        </w:rPr>
        <w:t xml:space="preserve"> £1.55</w:t>
      </w:r>
      <w:r w:rsidR="009D026F">
        <w:rPr>
          <w:rFonts w:cs="Arial"/>
          <w:sz w:val="22"/>
          <w:szCs w:val="22"/>
        </w:rPr>
        <w:t>m of the debt</w:t>
      </w:r>
      <w:r>
        <w:rPr>
          <w:rFonts w:cs="Arial"/>
          <w:sz w:val="22"/>
          <w:szCs w:val="22"/>
        </w:rPr>
        <w:t xml:space="preserve"> </w:t>
      </w:r>
      <w:r w:rsidR="00F65907">
        <w:rPr>
          <w:rFonts w:cs="Arial"/>
          <w:sz w:val="22"/>
          <w:szCs w:val="22"/>
        </w:rPr>
        <w:t>(45</w:t>
      </w:r>
      <w:r w:rsidR="009D026F">
        <w:rPr>
          <w:rFonts w:cs="Arial"/>
          <w:sz w:val="22"/>
          <w:szCs w:val="22"/>
        </w:rPr>
        <w:t xml:space="preserve">%) </w:t>
      </w:r>
      <w:r>
        <w:rPr>
          <w:rFonts w:cs="Arial"/>
          <w:sz w:val="22"/>
          <w:szCs w:val="22"/>
        </w:rPr>
        <w:t xml:space="preserve">being </w:t>
      </w:r>
      <w:r w:rsidR="009D026F">
        <w:rPr>
          <w:rFonts w:cs="Arial"/>
          <w:sz w:val="22"/>
          <w:szCs w:val="22"/>
        </w:rPr>
        <w:t xml:space="preserve">actively </w:t>
      </w:r>
      <w:r w:rsidR="00134202">
        <w:rPr>
          <w:rFonts w:cs="Arial"/>
          <w:sz w:val="22"/>
          <w:szCs w:val="22"/>
        </w:rPr>
        <w:t>pursued</w:t>
      </w:r>
      <w:r w:rsidR="009D026F">
        <w:rPr>
          <w:rFonts w:cs="Arial"/>
          <w:sz w:val="22"/>
          <w:szCs w:val="22"/>
        </w:rPr>
        <w:t xml:space="preserve"> is less than 6 months old</w:t>
      </w:r>
      <w:r>
        <w:rPr>
          <w:rFonts w:cs="Arial"/>
          <w:sz w:val="22"/>
          <w:szCs w:val="22"/>
        </w:rPr>
        <w:t>.</w:t>
      </w:r>
    </w:p>
    <w:p w14:paraId="2D3E92F9" w14:textId="77777777" w:rsidR="00F16943" w:rsidRPr="00EA4CE6" w:rsidRDefault="00F16943" w:rsidP="00F16943">
      <w:pPr>
        <w:pStyle w:val="DeptBullets"/>
        <w:numPr>
          <w:ilvl w:val="0"/>
          <w:numId w:val="0"/>
        </w:numPr>
        <w:spacing w:after="0"/>
        <w:ind w:left="426" w:right="-58" w:hanging="426"/>
        <w:rPr>
          <w:rFonts w:cs="Arial"/>
          <w:sz w:val="22"/>
          <w:szCs w:val="22"/>
        </w:rPr>
      </w:pPr>
    </w:p>
    <w:p w14:paraId="54991AF8" w14:textId="1E80D7FF" w:rsidR="00DF7A7D" w:rsidRPr="00F65907" w:rsidRDefault="005E0AFA" w:rsidP="00F65907">
      <w:pPr>
        <w:pStyle w:val="DeptBullets"/>
        <w:numPr>
          <w:ilvl w:val="0"/>
          <w:numId w:val="0"/>
        </w:numPr>
        <w:spacing w:after="0"/>
        <w:ind w:left="426" w:right="-99" w:hanging="426"/>
        <w:rPr>
          <w:rFonts w:cs="Arial"/>
          <w:sz w:val="22"/>
          <w:szCs w:val="22"/>
        </w:rPr>
      </w:pPr>
      <w:r>
        <w:rPr>
          <w:rFonts w:cs="Arial"/>
          <w:sz w:val="22"/>
          <w:szCs w:val="22"/>
        </w:rPr>
        <w:t>12</w:t>
      </w:r>
      <w:r w:rsidR="00F24CA1">
        <w:rPr>
          <w:rFonts w:cs="Arial"/>
          <w:sz w:val="22"/>
          <w:szCs w:val="22"/>
        </w:rPr>
        <w:t>.</w:t>
      </w:r>
      <w:r w:rsidR="00F24CA1">
        <w:rPr>
          <w:rFonts w:cs="Arial"/>
          <w:sz w:val="22"/>
          <w:szCs w:val="22"/>
        </w:rPr>
        <w:tab/>
      </w:r>
      <w:r w:rsidR="00F24CA1" w:rsidRPr="00EA4CE6">
        <w:rPr>
          <w:rFonts w:cs="Arial"/>
          <w:sz w:val="22"/>
          <w:szCs w:val="22"/>
        </w:rPr>
        <w:t xml:space="preserve">The overall rating of amber on scheme debt continues to prudently reflect the inherent challenges in reducing the debt position </w:t>
      </w:r>
      <w:r w:rsidR="00F24CA1">
        <w:rPr>
          <w:rFonts w:cs="Arial"/>
          <w:sz w:val="22"/>
          <w:szCs w:val="22"/>
        </w:rPr>
        <w:t xml:space="preserve">whilst acknowledging </w:t>
      </w:r>
      <w:r w:rsidR="00F24CA1" w:rsidRPr="00EA4CE6">
        <w:rPr>
          <w:rFonts w:cs="Arial"/>
          <w:sz w:val="22"/>
          <w:szCs w:val="22"/>
        </w:rPr>
        <w:t>the potential impact</w:t>
      </w:r>
      <w:r w:rsidR="00F24CA1">
        <w:rPr>
          <w:rFonts w:cs="Arial"/>
          <w:sz w:val="22"/>
          <w:szCs w:val="22"/>
        </w:rPr>
        <w:t>s</w:t>
      </w:r>
      <w:r w:rsidR="00F24CA1" w:rsidRPr="00EA4CE6">
        <w:rPr>
          <w:rFonts w:cs="Arial"/>
          <w:sz w:val="22"/>
          <w:szCs w:val="22"/>
        </w:rPr>
        <w:t xml:space="preserve"> of ongoing exercises, such as the remarriage declarations</w:t>
      </w:r>
      <w:r w:rsidR="00F24CA1">
        <w:rPr>
          <w:rFonts w:cs="Arial"/>
          <w:sz w:val="22"/>
          <w:szCs w:val="22"/>
        </w:rPr>
        <w:t xml:space="preserve">, </w:t>
      </w:r>
      <w:r w:rsidR="00087A39" w:rsidRPr="00A60331">
        <w:rPr>
          <w:sz w:val="22"/>
          <w:szCs w:val="22"/>
        </w:rPr>
        <w:t xml:space="preserve">Disclosure of Death Registration </w:t>
      </w:r>
      <w:r w:rsidR="00901E52">
        <w:rPr>
          <w:sz w:val="22"/>
          <w:szCs w:val="22"/>
        </w:rPr>
        <w:t>i</w:t>
      </w:r>
      <w:r w:rsidR="00087A39" w:rsidRPr="00A60331">
        <w:rPr>
          <w:sz w:val="22"/>
          <w:szCs w:val="22"/>
        </w:rPr>
        <w:t xml:space="preserve">nformation </w:t>
      </w:r>
      <w:r w:rsidR="00F24CA1">
        <w:rPr>
          <w:rFonts w:cs="Arial"/>
          <w:sz w:val="22"/>
          <w:szCs w:val="22"/>
        </w:rPr>
        <w:t xml:space="preserve">and deferred members projects aimed at identifying and </w:t>
      </w:r>
      <w:r w:rsidR="00134202">
        <w:rPr>
          <w:rFonts w:cs="Arial"/>
          <w:sz w:val="22"/>
          <w:szCs w:val="22"/>
        </w:rPr>
        <w:t>preventing</w:t>
      </w:r>
      <w:r w:rsidR="00F24CA1">
        <w:rPr>
          <w:rFonts w:cs="Arial"/>
          <w:sz w:val="22"/>
          <w:szCs w:val="22"/>
        </w:rPr>
        <w:t xml:space="preserve"> scheme debt from accruing.</w:t>
      </w:r>
      <w:r w:rsidR="00623DFC">
        <w:rPr>
          <w:rFonts w:cs="Arial"/>
          <w:sz w:val="22"/>
          <w:szCs w:val="22"/>
        </w:rPr>
        <w:br/>
      </w:r>
    </w:p>
    <w:p w14:paraId="4576E980" w14:textId="77777777" w:rsidR="009B33A6" w:rsidRPr="00F65907" w:rsidRDefault="009B33A6" w:rsidP="002F6007">
      <w:pPr>
        <w:rPr>
          <w:rFonts w:cs="Arial"/>
          <w:b/>
          <w:color w:val="FF0000"/>
          <w:sz w:val="22"/>
          <w:szCs w:val="22"/>
          <w:u w:val="single"/>
        </w:rPr>
      </w:pPr>
    </w:p>
    <w:tbl>
      <w:tblPr>
        <w:tblStyle w:val="TableGrid"/>
        <w:tblW w:w="0" w:type="auto"/>
        <w:tblInd w:w="108" w:type="dxa"/>
        <w:tblLook w:val="04A0" w:firstRow="1" w:lastRow="0" w:firstColumn="1" w:lastColumn="0" w:noHBand="0" w:noVBand="1"/>
      </w:tblPr>
      <w:tblGrid>
        <w:gridCol w:w="7230"/>
        <w:gridCol w:w="1134"/>
      </w:tblGrid>
      <w:tr w:rsidR="00DC6BD2" w:rsidRPr="00363983" w14:paraId="23600F55" w14:textId="77777777" w:rsidTr="00F22F63">
        <w:tc>
          <w:tcPr>
            <w:tcW w:w="7230" w:type="dxa"/>
          </w:tcPr>
          <w:p w14:paraId="7DE8BC8C" w14:textId="77777777" w:rsidR="00DC6BD2" w:rsidRPr="00363983" w:rsidRDefault="00DC6BD2" w:rsidP="00311C8A">
            <w:pPr>
              <w:rPr>
                <w:rFonts w:cs="Arial"/>
                <w:b/>
                <w:color w:val="000000"/>
                <w:sz w:val="22"/>
                <w:szCs w:val="22"/>
                <w:lang w:eastAsia="en-GB"/>
              </w:rPr>
            </w:pPr>
          </w:p>
          <w:p w14:paraId="64963A06" w14:textId="77777777" w:rsidR="00DC6BD2" w:rsidRPr="00363983" w:rsidRDefault="00580DCC" w:rsidP="009961F8">
            <w:pPr>
              <w:rPr>
                <w:rFonts w:cs="Arial"/>
                <w:b/>
                <w:sz w:val="22"/>
                <w:szCs w:val="22"/>
              </w:rPr>
            </w:pPr>
            <w:r w:rsidRPr="00363983">
              <w:rPr>
                <w:rFonts w:cs="Arial"/>
                <w:b/>
                <w:sz w:val="22"/>
                <w:szCs w:val="22"/>
                <w:lang w:eastAsia="en-GB"/>
              </w:rPr>
              <w:t>Contractor &amp; DfE Costs</w:t>
            </w:r>
            <w:r w:rsidR="00AD7A0B" w:rsidRPr="00363983">
              <w:rPr>
                <w:rFonts w:cs="Arial"/>
                <w:b/>
                <w:sz w:val="22"/>
                <w:szCs w:val="22"/>
                <w:lang w:eastAsia="en-GB"/>
              </w:rPr>
              <w:t xml:space="preserve"> </w:t>
            </w:r>
          </w:p>
        </w:tc>
        <w:tc>
          <w:tcPr>
            <w:tcW w:w="1134" w:type="dxa"/>
            <w:shd w:val="clear" w:color="auto" w:fill="00B050"/>
          </w:tcPr>
          <w:p w14:paraId="723CD90F" w14:textId="77777777" w:rsidR="00DC6BD2" w:rsidRPr="00363983" w:rsidRDefault="00AE4A3A" w:rsidP="00311C8A">
            <w:pPr>
              <w:rPr>
                <w:rFonts w:cs="Arial"/>
                <w:sz w:val="22"/>
                <w:szCs w:val="22"/>
              </w:rPr>
            </w:pPr>
            <w:r>
              <w:rPr>
                <w:rFonts w:cs="Arial"/>
                <w:noProof/>
                <w:color w:val="00B050"/>
                <w:szCs w:val="24"/>
                <w:lang w:eastAsia="en-GB"/>
              </w:rPr>
              <mc:AlternateContent>
                <mc:Choice Requires="wps">
                  <w:drawing>
                    <wp:anchor distT="4294967294" distB="4294967294" distL="114300" distR="114300" simplePos="0" relativeHeight="251679744" behindDoc="0" locked="0" layoutInCell="1" allowOverlap="1" wp14:anchorId="01334517" wp14:editId="26EE2646">
                      <wp:simplePos x="0" y="0"/>
                      <wp:positionH relativeFrom="column">
                        <wp:posOffset>148590</wp:posOffset>
                      </wp:positionH>
                      <wp:positionV relativeFrom="paragraph">
                        <wp:posOffset>161289</wp:posOffset>
                      </wp:positionV>
                      <wp:extent cx="350520" cy="0"/>
                      <wp:effectExtent l="0" t="76200" r="30480" b="1524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57ED670" id="Straight Arrow Connector 10" o:spid="_x0000_s1026" type="#_x0000_t32" style="position:absolute;margin-left:11.7pt;margin-top:12.7pt;width:27.6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" strokecolor="windowText" strokeweight="2pt">
                      <v:stroke endarrow="open"/>
                      <v:shadow on="t" color="black" opacity="24903f" origin=",.5" offset="0,.55556mm"/>
                      <o:lock v:ext="edit" shapetype="f"/>
                    </v:shape>
                  </w:pict>
                </mc:Fallback>
              </mc:AlternateContent>
            </w:r>
            <w:r w:rsidR="00F22F63" w:rsidRPr="00363983">
              <w:rPr>
                <w:rFonts w:cs="Arial"/>
                <w:sz w:val="22"/>
                <w:szCs w:val="22"/>
              </w:rPr>
              <w:t xml:space="preserve"> </w:t>
            </w:r>
          </w:p>
        </w:tc>
      </w:tr>
    </w:tbl>
    <w:p w14:paraId="37390586" w14:textId="77777777" w:rsidR="002F6007" w:rsidRDefault="002F6007" w:rsidP="002F6007">
      <w:pPr>
        <w:rPr>
          <w:rFonts w:cs="Arial"/>
          <w:b/>
          <w:color w:val="000000"/>
          <w:sz w:val="22"/>
          <w:szCs w:val="22"/>
          <w:u w:val="single"/>
          <w:lang w:eastAsia="en-GB"/>
        </w:rPr>
      </w:pPr>
    </w:p>
    <w:p w14:paraId="2195B0C3" w14:textId="77777777" w:rsidR="00722E92" w:rsidRDefault="004B47CA" w:rsidP="00C146AD">
      <w:pPr>
        <w:ind w:left="426" w:hanging="426"/>
        <w:rPr>
          <w:rFonts w:cs="Arial"/>
          <w:color w:val="FF0000"/>
          <w:sz w:val="22"/>
          <w:szCs w:val="22"/>
          <w:lang w:eastAsia="en-GB"/>
        </w:rPr>
      </w:pPr>
      <w:r w:rsidRPr="00722E92">
        <w:rPr>
          <w:rFonts w:cs="Arial"/>
          <w:color w:val="000000"/>
          <w:sz w:val="22"/>
          <w:szCs w:val="22"/>
          <w:lang w:eastAsia="en-GB"/>
        </w:rPr>
        <w:t>1</w:t>
      </w:r>
      <w:r w:rsidR="00073939">
        <w:rPr>
          <w:rFonts w:cs="Arial"/>
          <w:color w:val="000000"/>
          <w:sz w:val="22"/>
          <w:szCs w:val="22"/>
          <w:lang w:eastAsia="en-GB"/>
        </w:rPr>
        <w:t>3</w:t>
      </w:r>
      <w:r w:rsidRPr="00722E92">
        <w:rPr>
          <w:rFonts w:cs="Arial"/>
          <w:color w:val="000000"/>
          <w:sz w:val="22"/>
          <w:szCs w:val="22"/>
          <w:lang w:eastAsia="en-GB"/>
        </w:rPr>
        <w:t>.</w:t>
      </w:r>
      <w:r w:rsidRPr="00722E92">
        <w:rPr>
          <w:rFonts w:cs="Arial"/>
          <w:color w:val="000000"/>
          <w:sz w:val="22"/>
          <w:szCs w:val="22"/>
          <w:lang w:eastAsia="en-GB"/>
        </w:rPr>
        <w:tab/>
      </w:r>
      <w:r w:rsidR="00722E92" w:rsidRPr="00722E92">
        <w:rPr>
          <w:rFonts w:cs="Arial"/>
          <w:color w:val="000000"/>
          <w:sz w:val="22"/>
          <w:szCs w:val="22"/>
          <w:lang w:eastAsia="en-GB"/>
        </w:rPr>
        <w:t xml:space="preserve">The administrative levy (0.08% of employer contributions) has been in place from September 2015 and to </w:t>
      </w:r>
      <w:r w:rsidR="00722E92" w:rsidRPr="00596AF7">
        <w:rPr>
          <w:rFonts w:cs="Arial"/>
          <w:sz w:val="22"/>
          <w:szCs w:val="22"/>
          <w:lang w:eastAsia="en-GB"/>
        </w:rPr>
        <w:t>end</w:t>
      </w:r>
      <w:r w:rsidR="001E4BAB">
        <w:rPr>
          <w:rFonts w:cs="Arial"/>
          <w:sz w:val="22"/>
          <w:szCs w:val="22"/>
          <w:lang w:eastAsia="en-GB"/>
        </w:rPr>
        <w:t xml:space="preserve"> of September</w:t>
      </w:r>
      <w:r w:rsidR="00D13022" w:rsidRPr="00596AF7">
        <w:rPr>
          <w:rFonts w:cs="Arial"/>
          <w:sz w:val="22"/>
          <w:szCs w:val="22"/>
          <w:lang w:eastAsia="en-GB"/>
        </w:rPr>
        <w:t xml:space="preserve"> 2016 had collected £</w:t>
      </w:r>
      <w:r w:rsidR="009835E5" w:rsidRPr="009835E5">
        <w:rPr>
          <w:rFonts w:cs="Arial"/>
          <w:sz w:val="22"/>
          <w:szCs w:val="22"/>
          <w:lang w:eastAsia="en-GB"/>
        </w:rPr>
        <w:t xml:space="preserve">20.6m </w:t>
      </w:r>
      <w:r w:rsidR="00D13022" w:rsidRPr="009835E5">
        <w:rPr>
          <w:rFonts w:cs="Arial"/>
          <w:sz w:val="22"/>
          <w:szCs w:val="22"/>
          <w:lang w:eastAsia="en-GB"/>
        </w:rPr>
        <w:t>(</w:t>
      </w:r>
      <w:r w:rsidR="009835E5" w:rsidRPr="009835E5">
        <w:rPr>
          <w:rFonts w:cs="Arial"/>
          <w:sz w:val="22"/>
          <w:szCs w:val="22"/>
          <w:lang w:eastAsia="en-GB"/>
        </w:rPr>
        <w:t>13 </w:t>
      </w:r>
      <w:r w:rsidR="00722E92" w:rsidRPr="009835E5">
        <w:rPr>
          <w:rFonts w:cs="Arial"/>
          <w:sz w:val="22"/>
          <w:szCs w:val="22"/>
          <w:lang w:eastAsia="en-GB"/>
        </w:rPr>
        <w:t xml:space="preserve">months).  </w:t>
      </w:r>
      <w:r w:rsidR="00D13022" w:rsidRPr="00596AF7">
        <w:rPr>
          <w:rFonts w:cs="Arial"/>
          <w:sz w:val="22"/>
          <w:szCs w:val="22"/>
          <w:lang w:eastAsia="en-GB"/>
        </w:rPr>
        <w:t xml:space="preserve">For the period of this report </w:t>
      </w:r>
      <w:r w:rsidR="00D13022" w:rsidRPr="009835E5">
        <w:rPr>
          <w:rFonts w:cs="Arial"/>
          <w:sz w:val="22"/>
          <w:szCs w:val="22"/>
          <w:lang w:eastAsia="en-GB"/>
        </w:rPr>
        <w:t xml:space="preserve">April </w:t>
      </w:r>
      <w:r w:rsidR="009F6B18" w:rsidRPr="009835E5">
        <w:rPr>
          <w:rFonts w:cs="Arial"/>
          <w:sz w:val="22"/>
          <w:szCs w:val="22"/>
          <w:lang w:eastAsia="en-GB"/>
        </w:rPr>
        <w:t>20</w:t>
      </w:r>
      <w:r w:rsidR="00D13022" w:rsidRPr="009835E5">
        <w:rPr>
          <w:rFonts w:cs="Arial"/>
          <w:sz w:val="22"/>
          <w:szCs w:val="22"/>
          <w:lang w:eastAsia="en-GB"/>
        </w:rPr>
        <w:t>16 to</w:t>
      </w:r>
      <w:r w:rsidR="001E4BAB" w:rsidRPr="009835E5">
        <w:rPr>
          <w:rFonts w:cs="Arial"/>
          <w:sz w:val="22"/>
          <w:szCs w:val="22"/>
          <w:lang w:eastAsia="en-GB"/>
        </w:rPr>
        <w:t xml:space="preserve"> September</w:t>
      </w:r>
      <w:r w:rsidR="00D13022" w:rsidRPr="009835E5">
        <w:rPr>
          <w:rFonts w:cs="Arial"/>
          <w:sz w:val="22"/>
          <w:szCs w:val="22"/>
          <w:lang w:eastAsia="en-GB"/>
        </w:rPr>
        <w:t xml:space="preserve"> 2016 the amount collected from the levy totalled </w:t>
      </w:r>
      <w:r w:rsidR="009835E5" w:rsidRPr="009835E5">
        <w:rPr>
          <w:rFonts w:cs="Arial"/>
          <w:sz w:val="22"/>
          <w:szCs w:val="22"/>
          <w:lang w:eastAsia="en-GB"/>
        </w:rPr>
        <w:t>£9.4</w:t>
      </w:r>
      <w:r w:rsidR="00D13022" w:rsidRPr="009835E5">
        <w:rPr>
          <w:rFonts w:cs="Arial"/>
          <w:sz w:val="22"/>
          <w:szCs w:val="22"/>
          <w:lang w:eastAsia="en-GB"/>
        </w:rPr>
        <w:t>m.</w:t>
      </w:r>
    </w:p>
    <w:p w14:paraId="06AADC78" w14:textId="77777777" w:rsidR="00D13022" w:rsidRDefault="00D13022" w:rsidP="00722E92">
      <w:pPr>
        <w:ind w:left="720" w:hanging="720"/>
        <w:rPr>
          <w:rFonts w:cs="Arial"/>
          <w:color w:val="FF0000"/>
          <w:sz w:val="22"/>
          <w:szCs w:val="22"/>
          <w:lang w:eastAsia="en-GB"/>
        </w:rPr>
      </w:pPr>
    </w:p>
    <w:p w14:paraId="63D8A0D6" w14:textId="28697FEC" w:rsidR="00722E92" w:rsidRDefault="00722E92" w:rsidP="007E6DC7">
      <w:pPr>
        <w:pStyle w:val="ListParagraph"/>
        <w:numPr>
          <w:ilvl w:val="0"/>
          <w:numId w:val="7"/>
        </w:numPr>
        <w:ind w:left="426" w:hanging="426"/>
        <w:rPr>
          <w:rFonts w:cs="Arial"/>
          <w:sz w:val="22"/>
          <w:szCs w:val="22"/>
          <w:lang w:eastAsia="en-GB"/>
        </w:rPr>
      </w:pPr>
      <w:r w:rsidRPr="009442A5">
        <w:rPr>
          <w:rFonts w:cs="Arial"/>
          <w:sz w:val="22"/>
          <w:szCs w:val="22"/>
          <w:lang w:eastAsia="en-GB"/>
        </w:rPr>
        <w:t>The figures below represent the spend to date i</w:t>
      </w:r>
      <w:r w:rsidR="008F7DDB" w:rsidRPr="009442A5">
        <w:rPr>
          <w:rFonts w:cs="Arial"/>
          <w:sz w:val="22"/>
          <w:szCs w:val="22"/>
          <w:lang w:eastAsia="en-GB"/>
        </w:rPr>
        <w:t xml:space="preserve">n the current </w:t>
      </w:r>
      <w:r w:rsidR="0005111A">
        <w:rPr>
          <w:rFonts w:cs="Arial"/>
          <w:sz w:val="22"/>
          <w:szCs w:val="22"/>
          <w:lang w:eastAsia="en-GB"/>
        </w:rPr>
        <w:t>financial year (6</w:t>
      </w:r>
      <w:r w:rsidR="00A369C0">
        <w:rPr>
          <w:rFonts w:cs="Arial"/>
          <w:sz w:val="22"/>
          <w:szCs w:val="22"/>
          <w:lang w:eastAsia="en-GB"/>
        </w:rPr>
        <w:t> </w:t>
      </w:r>
      <w:r w:rsidRPr="009442A5">
        <w:rPr>
          <w:rFonts w:cs="Arial"/>
          <w:sz w:val="22"/>
          <w:szCs w:val="22"/>
          <w:lang w:eastAsia="en-GB"/>
        </w:rPr>
        <w:t>months).</w:t>
      </w:r>
      <w:r w:rsidR="00623DFC">
        <w:rPr>
          <w:rFonts w:cs="Arial"/>
          <w:sz w:val="22"/>
          <w:szCs w:val="22"/>
          <w:lang w:eastAsia="en-GB"/>
        </w:rPr>
        <w:br/>
      </w:r>
      <w:r w:rsidR="00623DFC">
        <w:rPr>
          <w:rFonts w:cs="Arial"/>
          <w:sz w:val="22"/>
          <w:szCs w:val="22"/>
          <w:lang w:eastAsia="en-GB"/>
        </w:rPr>
        <w:br/>
      </w:r>
      <w:r w:rsidR="00623DFC">
        <w:rPr>
          <w:rFonts w:cs="Arial"/>
          <w:sz w:val="22"/>
          <w:szCs w:val="22"/>
          <w:lang w:eastAsia="en-GB"/>
        </w:rPr>
        <w:br/>
      </w:r>
    </w:p>
    <w:p w14:paraId="725D4702" w14:textId="779360EE" w:rsidR="00AC34EC" w:rsidRDefault="00AC34EC" w:rsidP="00AC34EC">
      <w:pPr>
        <w:rPr>
          <w:lang w:eastAsia="en-GB"/>
        </w:rPr>
      </w:pPr>
    </w:p>
    <w:p w14:paraId="6BFA87F7" w14:textId="4B0C79A0" w:rsidR="00AC34EC" w:rsidRDefault="00AC34EC" w:rsidP="00AC34EC">
      <w:pPr>
        <w:rPr>
          <w:lang w:eastAsia="en-GB"/>
        </w:rPr>
      </w:pPr>
    </w:p>
    <w:p w14:paraId="38A2D46E" w14:textId="0809B1B2" w:rsidR="00AC34EC" w:rsidRDefault="00AC34EC" w:rsidP="00AC34EC">
      <w:pPr>
        <w:rPr>
          <w:lang w:eastAsia="en-GB"/>
        </w:rPr>
      </w:pPr>
    </w:p>
    <w:p w14:paraId="76F2B515" w14:textId="65D1B44D" w:rsidR="00AC34EC" w:rsidRDefault="00AC34EC" w:rsidP="00AC34EC">
      <w:pPr>
        <w:rPr>
          <w:lang w:eastAsia="en-GB"/>
        </w:rPr>
      </w:pPr>
    </w:p>
    <w:p w14:paraId="38FEE1BD" w14:textId="51121E04" w:rsidR="00AC34EC" w:rsidRDefault="00AC34EC" w:rsidP="00AC34EC">
      <w:pPr>
        <w:rPr>
          <w:lang w:eastAsia="en-GB"/>
        </w:rPr>
      </w:pPr>
    </w:p>
    <w:p w14:paraId="3F166727" w14:textId="0DFC943B" w:rsidR="00AC34EC" w:rsidRDefault="00AC34EC" w:rsidP="00AC34EC">
      <w:pPr>
        <w:rPr>
          <w:lang w:eastAsia="en-GB"/>
        </w:rPr>
      </w:pPr>
    </w:p>
    <w:p w14:paraId="2DCF5488" w14:textId="77777777" w:rsidR="00AC34EC" w:rsidRPr="00AC34EC" w:rsidRDefault="00AC34EC" w:rsidP="00AC34EC">
      <w:pPr>
        <w:rPr>
          <w:rFonts w:cs="Arial"/>
          <w:sz w:val="22"/>
          <w:szCs w:val="22"/>
          <w:lang w:eastAsia="en-GB"/>
        </w:rPr>
      </w:pPr>
      <w:bookmarkStart w:id="0" w:name="_GoBack"/>
      <w:bookmarkEnd w:id="0"/>
    </w:p>
    <w:p w14:paraId="089F2942" w14:textId="77777777" w:rsidR="00722E92" w:rsidRDefault="00722E92" w:rsidP="00722E92">
      <w:pPr>
        <w:rPr>
          <w:rFonts w:cs="Arial"/>
          <w:color w:val="000000"/>
          <w:sz w:val="22"/>
          <w:szCs w:val="22"/>
          <w:lang w:eastAsia="en-GB"/>
        </w:rPr>
      </w:pPr>
    </w:p>
    <w:tbl>
      <w:tblPr>
        <w:tblStyle w:val="TableGrid"/>
        <w:tblW w:w="8505" w:type="dxa"/>
        <w:tblInd w:w="108" w:type="dxa"/>
        <w:tblLayout w:type="fixed"/>
        <w:tblLook w:val="04A0" w:firstRow="1" w:lastRow="0" w:firstColumn="1" w:lastColumn="0" w:noHBand="0" w:noVBand="1"/>
      </w:tblPr>
      <w:tblGrid>
        <w:gridCol w:w="1276"/>
        <w:gridCol w:w="1418"/>
        <w:gridCol w:w="1417"/>
        <w:gridCol w:w="1276"/>
        <w:gridCol w:w="3118"/>
      </w:tblGrid>
      <w:tr w:rsidR="00722E92" w:rsidRPr="00B305C9" w14:paraId="614676F6" w14:textId="77777777" w:rsidTr="00A31581">
        <w:tc>
          <w:tcPr>
            <w:tcW w:w="1276" w:type="dxa"/>
            <w:shd w:val="clear" w:color="auto" w:fill="D9D9D9" w:themeFill="background1" w:themeFillShade="D9"/>
          </w:tcPr>
          <w:p w14:paraId="5CFE7196" w14:textId="77777777" w:rsidR="00722E92" w:rsidRPr="00B305C9" w:rsidRDefault="00722E92" w:rsidP="00A31581">
            <w:pPr>
              <w:rPr>
                <w:rFonts w:cs="Arial"/>
                <w:b/>
              </w:rPr>
            </w:pPr>
          </w:p>
        </w:tc>
        <w:tc>
          <w:tcPr>
            <w:tcW w:w="1418" w:type="dxa"/>
            <w:tcBorders>
              <w:bottom w:val="single" w:sz="4" w:space="0" w:color="auto"/>
            </w:tcBorders>
            <w:shd w:val="clear" w:color="auto" w:fill="D9D9D9" w:themeFill="background1" w:themeFillShade="D9"/>
            <w:vAlign w:val="bottom"/>
          </w:tcPr>
          <w:p w14:paraId="28587291" w14:textId="77777777" w:rsidR="00722E92" w:rsidRPr="00B305C9" w:rsidRDefault="00722E92" w:rsidP="00A31581">
            <w:pPr>
              <w:jc w:val="center"/>
              <w:rPr>
                <w:rFonts w:cs="Arial"/>
                <w:b/>
                <w:color w:val="000000"/>
                <w:sz w:val="22"/>
                <w:szCs w:val="22"/>
                <w:lang w:eastAsia="en-GB"/>
              </w:rPr>
            </w:pPr>
            <w:r w:rsidRPr="00B305C9">
              <w:rPr>
                <w:rFonts w:cs="Arial"/>
                <w:b/>
                <w:color w:val="000000"/>
                <w:sz w:val="22"/>
                <w:szCs w:val="22"/>
                <w:lang w:eastAsia="en-GB"/>
              </w:rPr>
              <w:t>YTD Profile</w:t>
            </w:r>
          </w:p>
        </w:tc>
        <w:tc>
          <w:tcPr>
            <w:tcW w:w="1417" w:type="dxa"/>
            <w:tcBorders>
              <w:bottom w:val="single" w:sz="4" w:space="0" w:color="auto"/>
            </w:tcBorders>
            <w:shd w:val="clear" w:color="auto" w:fill="D9D9D9" w:themeFill="background1" w:themeFillShade="D9"/>
            <w:vAlign w:val="bottom"/>
          </w:tcPr>
          <w:p w14:paraId="642FEDCE" w14:textId="77777777" w:rsidR="00722E92" w:rsidRPr="00B305C9" w:rsidRDefault="00722E92" w:rsidP="00A31581">
            <w:pPr>
              <w:jc w:val="center"/>
              <w:rPr>
                <w:rFonts w:cs="Arial"/>
                <w:b/>
                <w:color w:val="000000"/>
                <w:sz w:val="22"/>
                <w:szCs w:val="22"/>
                <w:lang w:eastAsia="en-GB"/>
              </w:rPr>
            </w:pPr>
            <w:r w:rsidRPr="00B305C9">
              <w:rPr>
                <w:rFonts w:cs="Arial"/>
                <w:b/>
                <w:color w:val="000000"/>
                <w:sz w:val="22"/>
                <w:szCs w:val="22"/>
                <w:lang w:eastAsia="en-GB"/>
              </w:rPr>
              <w:t>YTD actual</w:t>
            </w:r>
          </w:p>
        </w:tc>
        <w:tc>
          <w:tcPr>
            <w:tcW w:w="1276" w:type="dxa"/>
            <w:tcBorders>
              <w:bottom w:val="single" w:sz="4" w:space="0" w:color="auto"/>
            </w:tcBorders>
            <w:shd w:val="clear" w:color="auto" w:fill="D9D9D9" w:themeFill="background1" w:themeFillShade="D9"/>
          </w:tcPr>
          <w:p w14:paraId="1DC2DC78" w14:textId="77777777" w:rsidR="00722E92" w:rsidRPr="00B305C9" w:rsidRDefault="00722E92" w:rsidP="00A31581">
            <w:pPr>
              <w:rPr>
                <w:rFonts w:cs="Arial"/>
                <w:b/>
              </w:rPr>
            </w:pPr>
            <w:r w:rsidRPr="00B305C9">
              <w:rPr>
                <w:rFonts w:cs="Arial"/>
                <w:b/>
                <w:color w:val="000000"/>
                <w:sz w:val="22"/>
                <w:szCs w:val="22"/>
                <w:lang w:eastAsia="en-GB"/>
              </w:rPr>
              <w:t>Variance</w:t>
            </w:r>
          </w:p>
        </w:tc>
        <w:tc>
          <w:tcPr>
            <w:tcW w:w="3118" w:type="dxa"/>
            <w:shd w:val="clear" w:color="auto" w:fill="D9D9D9" w:themeFill="background1" w:themeFillShade="D9"/>
          </w:tcPr>
          <w:p w14:paraId="579098E5" w14:textId="77777777" w:rsidR="00722E92" w:rsidRPr="00B305C9" w:rsidRDefault="00722E92" w:rsidP="00A31581">
            <w:pPr>
              <w:rPr>
                <w:rFonts w:cs="Arial"/>
                <w:b/>
                <w:sz w:val="22"/>
                <w:szCs w:val="22"/>
              </w:rPr>
            </w:pPr>
            <w:r w:rsidRPr="00B305C9">
              <w:rPr>
                <w:rFonts w:cs="Arial"/>
                <w:b/>
                <w:sz w:val="22"/>
                <w:szCs w:val="22"/>
              </w:rPr>
              <w:t>Narrative</w:t>
            </w:r>
          </w:p>
        </w:tc>
      </w:tr>
      <w:tr w:rsidR="00722E92" w:rsidRPr="00722E92" w14:paraId="578F729B" w14:textId="77777777" w:rsidTr="00A31581">
        <w:tc>
          <w:tcPr>
            <w:tcW w:w="1276" w:type="dxa"/>
          </w:tcPr>
          <w:p w14:paraId="674E992D" w14:textId="77777777" w:rsidR="00722E92" w:rsidRPr="008F7DDB" w:rsidRDefault="007263F0" w:rsidP="00A31581">
            <w:pPr>
              <w:rPr>
                <w:rFonts w:cs="Arial"/>
                <w:sz w:val="22"/>
                <w:szCs w:val="22"/>
                <w:lang w:eastAsia="en-GB"/>
              </w:rPr>
            </w:pPr>
            <w:r>
              <w:rPr>
                <w:rFonts w:cs="Arial"/>
                <w:sz w:val="22"/>
                <w:szCs w:val="22"/>
                <w:lang w:eastAsia="en-GB"/>
              </w:rPr>
              <w:t>Capita</w:t>
            </w:r>
          </w:p>
        </w:tc>
        <w:tc>
          <w:tcPr>
            <w:tcW w:w="1418" w:type="dxa"/>
            <w:tcBorders>
              <w:bottom w:val="single" w:sz="4" w:space="0" w:color="auto"/>
            </w:tcBorders>
            <w:shd w:val="clear" w:color="auto" w:fill="FFFFFF" w:themeFill="background1"/>
          </w:tcPr>
          <w:p w14:paraId="4D573D12" w14:textId="30D88538" w:rsidR="00722E92" w:rsidRPr="008F7DDB" w:rsidRDefault="00B87864" w:rsidP="00B340FC">
            <w:pPr>
              <w:jc w:val="right"/>
              <w:rPr>
                <w:rFonts w:cs="Arial"/>
                <w:sz w:val="22"/>
                <w:szCs w:val="22"/>
                <w:lang w:eastAsia="en-GB"/>
              </w:rPr>
            </w:pPr>
            <w:r>
              <w:rPr>
                <w:rFonts w:cs="Arial"/>
                <w:sz w:val="22"/>
                <w:szCs w:val="22"/>
                <w:lang w:eastAsia="en-GB"/>
              </w:rPr>
              <w:t>£</w:t>
            </w:r>
            <w:r w:rsidR="00B340FC" w:rsidRPr="00B340FC">
              <w:rPr>
                <w:rFonts w:cs="Arial"/>
                <w:sz w:val="22"/>
                <w:szCs w:val="22"/>
                <w:highlight w:val="black"/>
                <w:lang w:eastAsia="en-GB"/>
              </w:rPr>
              <w:t>redacted</w:t>
            </w:r>
          </w:p>
        </w:tc>
        <w:tc>
          <w:tcPr>
            <w:tcW w:w="1417" w:type="dxa"/>
            <w:tcBorders>
              <w:bottom w:val="single" w:sz="4" w:space="0" w:color="auto"/>
            </w:tcBorders>
            <w:shd w:val="clear" w:color="auto" w:fill="FFFFFF" w:themeFill="background1"/>
          </w:tcPr>
          <w:p w14:paraId="26CEC0B2" w14:textId="697E21AF" w:rsidR="00722E92" w:rsidRPr="008F7DDB" w:rsidRDefault="0005111A" w:rsidP="00B340FC">
            <w:pPr>
              <w:jc w:val="right"/>
              <w:rPr>
                <w:rFonts w:cs="Arial"/>
                <w:sz w:val="22"/>
                <w:szCs w:val="22"/>
                <w:lang w:eastAsia="en-GB"/>
              </w:rPr>
            </w:pPr>
            <w:r>
              <w:rPr>
                <w:rFonts w:cs="Arial"/>
                <w:sz w:val="22"/>
                <w:szCs w:val="22"/>
                <w:lang w:eastAsia="en-GB"/>
              </w:rPr>
              <w:t>£</w:t>
            </w:r>
            <w:r w:rsidR="00B340FC" w:rsidRPr="00B340FC">
              <w:rPr>
                <w:rFonts w:cs="Arial"/>
                <w:sz w:val="22"/>
                <w:szCs w:val="22"/>
                <w:highlight w:val="black"/>
                <w:lang w:eastAsia="en-GB"/>
              </w:rPr>
              <w:t>redacted</w:t>
            </w:r>
          </w:p>
        </w:tc>
        <w:tc>
          <w:tcPr>
            <w:tcW w:w="1276" w:type="dxa"/>
            <w:shd w:val="clear" w:color="auto" w:fill="FFFFFF" w:themeFill="background1"/>
          </w:tcPr>
          <w:p w14:paraId="64C32861" w14:textId="5FF2F1C3" w:rsidR="00722E92" w:rsidRPr="008F7DDB" w:rsidRDefault="0005111A" w:rsidP="00B340FC">
            <w:pPr>
              <w:jc w:val="right"/>
              <w:rPr>
                <w:rFonts w:cs="Arial"/>
                <w:sz w:val="22"/>
                <w:szCs w:val="22"/>
                <w:lang w:eastAsia="en-GB"/>
              </w:rPr>
            </w:pPr>
            <w:r>
              <w:rPr>
                <w:rFonts w:cs="Arial"/>
                <w:sz w:val="22"/>
                <w:szCs w:val="22"/>
                <w:lang w:eastAsia="en-GB"/>
              </w:rPr>
              <w:t>-£</w:t>
            </w:r>
            <w:r w:rsidR="00B340FC" w:rsidRPr="00B340FC">
              <w:rPr>
                <w:rFonts w:cs="Arial"/>
                <w:sz w:val="22"/>
                <w:szCs w:val="22"/>
                <w:highlight w:val="black"/>
                <w:lang w:eastAsia="en-GB"/>
              </w:rPr>
              <w:t>redacted</w:t>
            </w:r>
          </w:p>
        </w:tc>
        <w:tc>
          <w:tcPr>
            <w:tcW w:w="3118" w:type="dxa"/>
          </w:tcPr>
          <w:p w14:paraId="12E0DD1E" w14:textId="636610F1" w:rsidR="00722E92" w:rsidRPr="008F7DDB" w:rsidRDefault="00B87864" w:rsidP="00B340FC">
            <w:pPr>
              <w:rPr>
                <w:rFonts w:cs="Arial"/>
                <w:sz w:val="22"/>
                <w:szCs w:val="22"/>
                <w:lang w:eastAsia="en-GB"/>
              </w:rPr>
            </w:pPr>
            <w:r w:rsidRPr="008F7DDB">
              <w:rPr>
                <w:rFonts w:cs="Arial"/>
                <w:sz w:val="22"/>
                <w:szCs w:val="22"/>
                <w:lang w:eastAsia="en-GB"/>
              </w:rPr>
              <w:t>Capita Contract Spend</w:t>
            </w:r>
            <w:r w:rsidR="0005111A">
              <w:rPr>
                <w:rFonts w:cs="Arial"/>
                <w:sz w:val="22"/>
                <w:szCs w:val="22"/>
                <w:lang w:eastAsia="en-GB"/>
              </w:rPr>
              <w:t>.  A number of invoices for September</w:t>
            </w:r>
            <w:r w:rsidRPr="008F7DDB">
              <w:rPr>
                <w:rFonts w:cs="Arial"/>
                <w:sz w:val="22"/>
                <w:szCs w:val="22"/>
                <w:lang w:eastAsia="en-GB"/>
              </w:rPr>
              <w:t>, are not showing as paid on RM.  Once these are included the variance will be lower.</w:t>
            </w:r>
          </w:p>
        </w:tc>
      </w:tr>
      <w:tr w:rsidR="00722E92" w:rsidRPr="00722E92" w14:paraId="5F949F37" w14:textId="77777777" w:rsidTr="00A31581">
        <w:tc>
          <w:tcPr>
            <w:tcW w:w="1276" w:type="dxa"/>
          </w:tcPr>
          <w:p w14:paraId="352C92AE" w14:textId="77777777" w:rsidR="00722E92" w:rsidRPr="009D53A7" w:rsidRDefault="00B87864" w:rsidP="00A31581">
            <w:pPr>
              <w:rPr>
                <w:rFonts w:cs="Arial"/>
                <w:sz w:val="22"/>
                <w:szCs w:val="22"/>
                <w:lang w:eastAsia="en-GB"/>
              </w:rPr>
            </w:pPr>
            <w:r>
              <w:rPr>
                <w:rFonts w:cs="Arial"/>
                <w:sz w:val="22"/>
                <w:szCs w:val="22"/>
                <w:lang w:eastAsia="en-GB"/>
              </w:rPr>
              <w:t>TPSPB</w:t>
            </w:r>
          </w:p>
        </w:tc>
        <w:tc>
          <w:tcPr>
            <w:tcW w:w="1418" w:type="dxa"/>
            <w:tcBorders>
              <w:bottom w:val="single" w:sz="4" w:space="0" w:color="auto"/>
            </w:tcBorders>
            <w:shd w:val="clear" w:color="auto" w:fill="FFFFFF" w:themeFill="background1"/>
          </w:tcPr>
          <w:p w14:paraId="0A03E60B" w14:textId="1FBDE2F0" w:rsidR="00722E92" w:rsidRPr="009D53A7" w:rsidRDefault="0005111A" w:rsidP="00B340FC">
            <w:pPr>
              <w:jc w:val="right"/>
              <w:rPr>
                <w:rFonts w:cs="Arial"/>
                <w:sz w:val="22"/>
                <w:szCs w:val="22"/>
                <w:lang w:eastAsia="en-GB"/>
              </w:rPr>
            </w:pPr>
            <w:r>
              <w:rPr>
                <w:rFonts w:cs="Arial"/>
                <w:sz w:val="22"/>
                <w:szCs w:val="22"/>
                <w:lang w:eastAsia="en-GB"/>
              </w:rPr>
              <w:t>£</w:t>
            </w:r>
            <w:r w:rsidR="00B340FC" w:rsidRPr="00B340FC">
              <w:rPr>
                <w:rFonts w:cs="Arial"/>
                <w:sz w:val="22"/>
                <w:szCs w:val="22"/>
                <w:highlight w:val="black"/>
                <w:lang w:eastAsia="en-GB"/>
              </w:rPr>
              <w:t>redacted</w:t>
            </w:r>
          </w:p>
        </w:tc>
        <w:tc>
          <w:tcPr>
            <w:tcW w:w="1417" w:type="dxa"/>
            <w:tcBorders>
              <w:bottom w:val="single" w:sz="4" w:space="0" w:color="auto"/>
            </w:tcBorders>
            <w:shd w:val="clear" w:color="auto" w:fill="FFFFFF" w:themeFill="background1"/>
          </w:tcPr>
          <w:p w14:paraId="529CFCC0" w14:textId="24298490" w:rsidR="00722E92" w:rsidRPr="009D53A7" w:rsidRDefault="0005111A" w:rsidP="00B340FC">
            <w:pPr>
              <w:jc w:val="center"/>
              <w:rPr>
                <w:rFonts w:cs="Arial"/>
                <w:sz w:val="22"/>
                <w:szCs w:val="22"/>
                <w:lang w:eastAsia="en-GB"/>
              </w:rPr>
            </w:pPr>
            <w:r>
              <w:rPr>
                <w:rFonts w:cs="Arial"/>
                <w:sz w:val="22"/>
                <w:szCs w:val="22"/>
                <w:lang w:eastAsia="en-GB"/>
              </w:rPr>
              <w:t>£</w:t>
            </w:r>
            <w:r w:rsidR="00B340FC" w:rsidRPr="00B340FC">
              <w:rPr>
                <w:rFonts w:cs="Arial"/>
                <w:sz w:val="22"/>
                <w:szCs w:val="22"/>
                <w:highlight w:val="black"/>
                <w:lang w:eastAsia="en-GB"/>
              </w:rPr>
              <w:t>redacted</w:t>
            </w:r>
          </w:p>
        </w:tc>
        <w:tc>
          <w:tcPr>
            <w:tcW w:w="1276" w:type="dxa"/>
            <w:shd w:val="clear" w:color="auto" w:fill="FFFFFF" w:themeFill="background1"/>
          </w:tcPr>
          <w:p w14:paraId="6B9939E6" w14:textId="1D057238" w:rsidR="00722E92" w:rsidRPr="009D53A7" w:rsidRDefault="0005111A" w:rsidP="00B340FC">
            <w:pPr>
              <w:jc w:val="right"/>
              <w:rPr>
                <w:rFonts w:cs="Arial"/>
                <w:sz w:val="22"/>
                <w:szCs w:val="22"/>
                <w:lang w:eastAsia="en-GB"/>
              </w:rPr>
            </w:pPr>
            <w:r>
              <w:rPr>
                <w:rFonts w:cs="Arial"/>
                <w:sz w:val="22"/>
                <w:szCs w:val="22"/>
                <w:lang w:eastAsia="en-GB"/>
              </w:rPr>
              <w:t>-£</w:t>
            </w:r>
            <w:r w:rsidR="00B340FC" w:rsidRPr="00B340FC">
              <w:rPr>
                <w:rFonts w:cs="Arial"/>
                <w:sz w:val="22"/>
                <w:szCs w:val="22"/>
                <w:highlight w:val="black"/>
                <w:lang w:eastAsia="en-GB"/>
              </w:rPr>
              <w:t>redacted</w:t>
            </w:r>
          </w:p>
        </w:tc>
        <w:tc>
          <w:tcPr>
            <w:tcW w:w="3118" w:type="dxa"/>
          </w:tcPr>
          <w:p w14:paraId="704F18D3" w14:textId="77777777" w:rsidR="0005111A" w:rsidRPr="009D53A7" w:rsidRDefault="0005111A" w:rsidP="0005111A">
            <w:pPr>
              <w:rPr>
                <w:rFonts w:cs="Arial"/>
                <w:sz w:val="22"/>
                <w:szCs w:val="22"/>
                <w:lang w:eastAsia="en-GB"/>
              </w:rPr>
            </w:pPr>
            <w:r w:rsidRPr="009D53A7">
              <w:rPr>
                <w:rFonts w:cs="Arial"/>
                <w:sz w:val="22"/>
                <w:szCs w:val="22"/>
                <w:lang w:eastAsia="en-GB"/>
              </w:rPr>
              <w:t>Fees, travel and expenses.</w:t>
            </w:r>
          </w:p>
          <w:p w14:paraId="257842A0" w14:textId="77777777" w:rsidR="0005111A" w:rsidRPr="009D53A7" w:rsidRDefault="0005111A" w:rsidP="0005111A">
            <w:pPr>
              <w:rPr>
                <w:rFonts w:cs="Arial"/>
                <w:sz w:val="22"/>
                <w:szCs w:val="22"/>
                <w:lang w:eastAsia="en-GB"/>
              </w:rPr>
            </w:pPr>
            <w:r w:rsidRPr="009D53A7">
              <w:rPr>
                <w:rFonts w:cs="Arial"/>
                <w:sz w:val="22"/>
                <w:szCs w:val="22"/>
                <w:lang w:eastAsia="en-GB"/>
              </w:rPr>
              <w:t>Quarterly invoicing from Capital Cranfield</w:t>
            </w:r>
            <w:r w:rsidR="00E70FF0">
              <w:rPr>
                <w:rFonts w:cs="Arial"/>
                <w:sz w:val="22"/>
                <w:szCs w:val="22"/>
                <w:lang w:eastAsia="en-GB"/>
              </w:rPr>
              <w:t xml:space="preserve"> iro Pension Specialist received in</w:t>
            </w:r>
            <w:r>
              <w:rPr>
                <w:rFonts w:cs="Arial"/>
                <w:sz w:val="22"/>
                <w:szCs w:val="22"/>
                <w:lang w:eastAsia="en-GB"/>
              </w:rPr>
              <w:t xml:space="preserve"> October for period July-Sept</w:t>
            </w:r>
            <w:r w:rsidRPr="009D53A7">
              <w:rPr>
                <w:rFonts w:cs="Arial"/>
                <w:sz w:val="22"/>
                <w:szCs w:val="22"/>
                <w:lang w:eastAsia="en-GB"/>
              </w:rPr>
              <w:t xml:space="preserve"> 2016.</w:t>
            </w:r>
          </w:p>
          <w:p w14:paraId="11A0C43A" w14:textId="77777777" w:rsidR="00722E92" w:rsidRPr="009D53A7" w:rsidRDefault="00722E92" w:rsidP="00A31581">
            <w:pPr>
              <w:rPr>
                <w:rFonts w:cs="Arial"/>
                <w:sz w:val="22"/>
                <w:szCs w:val="22"/>
                <w:lang w:eastAsia="en-GB"/>
              </w:rPr>
            </w:pPr>
          </w:p>
        </w:tc>
      </w:tr>
      <w:tr w:rsidR="00722E92" w:rsidRPr="00722E92" w14:paraId="4680E58E" w14:textId="77777777" w:rsidTr="00A31581">
        <w:tc>
          <w:tcPr>
            <w:tcW w:w="1276" w:type="dxa"/>
          </w:tcPr>
          <w:p w14:paraId="63ACD905" w14:textId="77777777" w:rsidR="00722E92" w:rsidRPr="004C3EC3" w:rsidRDefault="00B87864" w:rsidP="00A31581">
            <w:pPr>
              <w:rPr>
                <w:rFonts w:cs="Arial"/>
                <w:sz w:val="22"/>
                <w:szCs w:val="22"/>
                <w:lang w:eastAsia="en-GB"/>
              </w:rPr>
            </w:pPr>
            <w:r>
              <w:rPr>
                <w:rFonts w:cs="Arial"/>
                <w:sz w:val="22"/>
                <w:szCs w:val="22"/>
                <w:lang w:eastAsia="en-GB"/>
              </w:rPr>
              <w:t>GAD</w:t>
            </w:r>
          </w:p>
        </w:tc>
        <w:tc>
          <w:tcPr>
            <w:tcW w:w="1418" w:type="dxa"/>
            <w:shd w:val="clear" w:color="auto" w:fill="FFFFFF" w:themeFill="background1"/>
          </w:tcPr>
          <w:p w14:paraId="790E7F10" w14:textId="27B4BB9A" w:rsidR="00722E92" w:rsidRPr="004C3EC3" w:rsidRDefault="00AD24B9" w:rsidP="00B340FC">
            <w:pPr>
              <w:jc w:val="right"/>
              <w:rPr>
                <w:rFonts w:cs="Arial"/>
                <w:sz w:val="22"/>
                <w:szCs w:val="22"/>
                <w:lang w:eastAsia="en-GB"/>
              </w:rPr>
            </w:pPr>
            <w:r>
              <w:rPr>
                <w:rFonts w:cs="Arial"/>
                <w:sz w:val="22"/>
                <w:szCs w:val="22"/>
                <w:lang w:eastAsia="en-GB"/>
              </w:rPr>
              <w:t>£</w:t>
            </w:r>
            <w:r w:rsidR="00B340FC" w:rsidRPr="00B340FC">
              <w:rPr>
                <w:rFonts w:cs="Arial"/>
                <w:sz w:val="22"/>
                <w:szCs w:val="22"/>
                <w:highlight w:val="black"/>
                <w:lang w:eastAsia="en-GB"/>
              </w:rPr>
              <w:t>redacted</w:t>
            </w:r>
          </w:p>
        </w:tc>
        <w:tc>
          <w:tcPr>
            <w:tcW w:w="1417" w:type="dxa"/>
            <w:shd w:val="clear" w:color="auto" w:fill="FFFFFF" w:themeFill="background1"/>
          </w:tcPr>
          <w:p w14:paraId="3C2D7862" w14:textId="049EBEF4" w:rsidR="00722E92" w:rsidRPr="004C3EC3" w:rsidRDefault="00AD24B9" w:rsidP="00B340FC">
            <w:pPr>
              <w:jc w:val="right"/>
              <w:rPr>
                <w:rFonts w:cs="Arial"/>
                <w:sz w:val="22"/>
                <w:szCs w:val="22"/>
                <w:lang w:eastAsia="en-GB"/>
              </w:rPr>
            </w:pPr>
            <w:r>
              <w:rPr>
                <w:rFonts w:cs="Arial"/>
                <w:sz w:val="22"/>
                <w:szCs w:val="22"/>
                <w:lang w:eastAsia="en-GB"/>
              </w:rPr>
              <w:t>£</w:t>
            </w:r>
            <w:r w:rsidR="00B340FC" w:rsidRPr="00B340FC">
              <w:rPr>
                <w:rFonts w:cs="Arial"/>
                <w:sz w:val="22"/>
                <w:szCs w:val="22"/>
                <w:highlight w:val="black"/>
                <w:lang w:eastAsia="en-GB"/>
              </w:rPr>
              <w:t>redacted</w:t>
            </w:r>
          </w:p>
        </w:tc>
        <w:tc>
          <w:tcPr>
            <w:tcW w:w="1276" w:type="dxa"/>
            <w:shd w:val="clear" w:color="auto" w:fill="FFFFFF" w:themeFill="background1"/>
          </w:tcPr>
          <w:p w14:paraId="37700CE9" w14:textId="603A7484" w:rsidR="00722E92" w:rsidRPr="004C3EC3" w:rsidRDefault="00AD24B9" w:rsidP="00B340FC">
            <w:pPr>
              <w:jc w:val="right"/>
              <w:rPr>
                <w:rFonts w:cs="Arial"/>
                <w:sz w:val="22"/>
                <w:szCs w:val="22"/>
                <w:lang w:eastAsia="en-GB"/>
              </w:rPr>
            </w:pPr>
            <w:r>
              <w:rPr>
                <w:rFonts w:cs="Arial"/>
                <w:sz w:val="22"/>
                <w:szCs w:val="22"/>
                <w:lang w:eastAsia="en-GB"/>
              </w:rPr>
              <w:t>-£</w:t>
            </w:r>
            <w:r w:rsidR="00B340FC" w:rsidRPr="00B340FC">
              <w:rPr>
                <w:rFonts w:cs="Arial"/>
                <w:sz w:val="22"/>
                <w:szCs w:val="22"/>
                <w:highlight w:val="black"/>
                <w:lang w:eastAsia="en-GB"/>
              </w:rPr>
              <w:t>redacted</w:t>
            </w:r>
          </w:p>
        </w:tc>
        <w:tc>
          <w:tcPr>
            <w:tcW w:w="3118" w:type="dxa"/>
          </w:tcPr>
          <w:p w14:paraId="60AC2128" w14:textId="77777777" w:rsidR="00722E92" w:rsidRPr="004C3EC3" w:rsidRDefault="00742F24" w:rsidP="00742F24">
            <w:pPr>
              <w:rPr>
                <w:rFonts w:cs="Arial"/>
                <w:sz w:val="22"/>
                <w:szCs w:val="22"/>
                <w:lang w:eastAsia="en-GB"/>
              </w:rPr>
            </w:pPr>
            <w:r>
              <w:rPr>
                <w:rFonts w:cs="Arial"/>
                <w:sz w:val="22"/>
                <w:szCs w:val="22"/>
                <w:lang w:eastAsia="en-GB"/>
              </w:rPr>
              <w:t>Invoice for September received  in October.</w:t>
            </w:r>
          </w:p>
        </w:tc>
      </w:tr>
      <w:tr w:rsidR="00722E92" w:rsidRPr="00722E92" w14:paraId="23A50FC2" w14:textId="77777777" w:rsidTr="00A31581">
        <w:tc>
          <w:tcPr>
            <w:tcW w:w="1276" w:type="dxa"/>
          </w:tcPr>
          <w:p w14:paraId="59F3533F" w14:textId="77777777" w:rsidR="00722E92" w:rsidRPr="004C3EC3" w:rsidRDefault="00B87864" w:rsidP="00A31581">
            <w:pPr>
              <w:rPr>
                <w:rFonts w:cs="Arial"/>
                <w:sz w:val="22"/>
                <w:szCs w:val="22"/>
                <w:lang w:eastAsia="en-GB"/>
              </w:rPr>
            </w:pPr>
            <w:r>
              <w:rPr>
                <w:rFonts w:cs="Arial"/>
                <w:sz w:val="22"/>
                <w:szCs w:val="22"/>
                <w:lang w:eastAsia="en-GB"/>
              </w:rPr>
              <w:t>OH Assist</w:t>
            </w:r>
          </w:p>
        </w:tc>
        <w:tc>
          <w:tcPr>
            <w:tcW w:w="1418" w:type="dxa"/>
            <w:shd w:val="clear" w:color="auto" w:fill="FFFFFF" w:themeFill="background1"/>
          </w:tcPr>
          <w:p w14:paraId="66CD8FD8" w14:textId="7A87E662" w:rsidR="00722E92" w:rsidRPr="004C3EC3" w:rsidRDefault="00742F24" w:rsidP="00B340FC">
            <w:pPr>
              <w:jc w:val="right"/>
              <w:rPr>
                <w:rFonts w:cs="Arial"/>
                <w:sz w:val="22"/>
                <w:szCs w:val="22"/>
                <w:lang w:eastAsia="en-GB"/>
              </w:rPr>
            </w:pPr>
            <w:r>
              <w:rPr>
                <w:rFonts w:cs="Arial"/>
                <w:sz w:val="22"/>
                <w:szCs w:val="22"/>
                <w:lang w:eastAsia="en-GB"/>
              </w:rPr>
              <w:t>£</w:t>
            </w:r>
            <w:r w:rsidR="00B340FC" w:rsidRPr="00B340FC">
              <w:rPr>
                <w:rFonts w:cs="Arial"/>
                <w:sz w:val="22"/>
                <w:szCs w:val="22"/>
                <w:highlight w:val="black"/>
                <w:lang w:eastAsia="en-GB"/>
              </w:rPr>
              <w:t>redacted</w:t>
            </w:r>
          </w:p>
        </w:tc>
        <w:tc>
          <w:tcPr>
            <w:tcW w:w="1417" w:type="dxa"/>
            <w:shd w:val="clear" w:color="auto" w:fill="FFFFFF" w:themeFill="background1"/>
          </w:tcPr>
          <w:p w14:paraId="77144A40" w14:textId="0600D8AE" w:rsidR="00722E92" w:rsidRPr="004C3EC3" w:rsidRDefault="00742F24" w:rsidP="00B340FC">
            <w:pPr>
              <w:jc w:val="right"/>
              <w:rPr>
                <w:rFonts w:cs="Arial"/>
                <w:sz w:val="22"/>
                <w:szCs w:val="22"/>
                <w:lang w:eastAsia="en-GB"/>
              </w:rPr>
            </w:pPr>
            <w:r>
              <w:rPr>
                <w:rFonts w:cs="Arial"/>
                <w:sz w:val="22"/>
                <w:szCs w:val="22"/>
                <w:lang w:eastAsia="en-GB"/>
              </w:rPr>
              <w:t>£</w:t>
            </w:r>
            <w:r w:rsidR="00B340FC" w:rsidRPr="00B340FC">
              <w:rPr>
                <w:rFonts w:cs="Arial"/>
                <w:sz w:val="22"/>
                <w:szCs w:val="22"/>
                <w:highlight w:val="black"/>
                <w:lang w:eastAsia="en-GB"/>
              </w:rPr>
              <w:t>redacted</w:t>
            </w:r>
          </w:p>
        </w:tc>
        <w:tc>
          <w:tcPr>
            <w:tcW w:w="1276" w:type="dxa"/>
            <w:shd w:val="clear" w:color="auto" w:fill="FFFFFF" w:themeFill="background1"/>
          </w:tcPr>
          <w:p w14:paraId="607171F5" w14:textId="7B70E44D" w:rsidR="00722E92" w:rsidRPr="004C3EC3" w:rsidRDefault="00742F24" w:rsidP="00B340FC">
            <w:pPr>
              <w:jc w:val="right"/>
              <w:rPr>
                <w:rFonts w:cs="Arial"/>
                <w:sz w:val="22"/>
                <w:szCs w:val="22"/>
                <w:lang w:eastAsia="en-GB"/>
              </w:rPr>
            </w:pPr>
            <w:r>
              <w:rPr>
                <w:rFonts w:cs="Arial"/>
                <w:sz w:val="22"/>
                <w:szCs w:val="22"/>
                <w:lang w:eastAsia="en-GB"/>
              </w:rPr>
              <w:t>-£</w:t>
            </w:r>
            <w:r w:rsidR="00B340FC" w:rsidRPr="00B340FC">
              <w:rPr>
                <w:rFonts w:cs="Arial"/>
                <w:sz w:val="22"/>
                <w:szCs w:val="22"/>
                <w:highlight w:val="black"/>
                <w:lang w:eastAsia="en-GB"/>
              </w:rPr>
              <w:t>redacted</w:t>
            </w:r>
          </w:p>
        </w:tc>
        <w:tc>
          <w:tcPr>
            <w:tcW w:w="3118" w:type="dxa"/>
          </w:tcPr>
          <w:p w14:paraId="7B2DB5D1" w14:textId="77777777" w:rsidR="00722E92" w:rsidRPr="004C3EC3" w:rsidRDefault="00742F24" w:rsidP="00742F24">
            <w:pPr>
              <w:rPr>
                <w:rFonts w:cs="Arial"/>
                <w:sz w:val="22"/>
                <w:szCs w:val="22"/>
                <w:lang w:eastAsia="en-GB"/>
              </w:rPr>
            </w:pPr>
            <w:r>
              <w:rPr>
                <w:rFonts w:cs="Arial"/>
                <w:sz w:val="22"/>
                <w:szCs w:val="22"/>
                <w:lang w:eastAsia="en-GB"/>
              </w:rPr>
              <w:t>Medical services contract.  September’s invoice was received in October.</w:t>
            </w:r>
          </w:p>
        </w:tc>
      </w:tr>
      <w:tr w:rsidR="00722E92" w:rsidRPr="00722E92" w14:paraId="70C87554" w14:textId="77777777" w:rsidTr="00A31581">
        <w:trPr>
          <w:trHeight w:val="261"/>
        </w:trPr>
        <w:tc>
          <w:tcPr>
            <w:tcW w:w="1276" w:type="dxa"/>
          </w:tcPr>
          <w:p w14:paraId="0E5A50A2" w14:textId="77777777" w:rsidR="00722E92" w:rsidRPr="00380547" w:rsidRDefault="00B87864" w:rsidP="00A31581">
            <w:pPr>
              <w:rPr>
                <w:rFonts w:cs="Arial"/>
                <w:sz w:val="22"/>
                <w:szCs w:val="22"/>
                <w:lang w:eastAsia="en-GB"/>
              </w:rPr>
            </w:pPr>
            <w:r>
              <w:rPr>
                <w:rFonts w:cs="Arial"/>
                <w:sz w:val="22"/>
                <w:szCs w:val="22"/>
                <w:lang w:eastAsia="en-GB"/>
              </w:rPr>
              <w:t>DfE</w:t>
            </w:r>
          </w:p>
        </w:tc>
        <w:tc>
          <w:tcPr>
            <w:tcW w:w="1418" w:type="dxa"/>
            <w:shd w:val="clear" w:color="auto" w:fill="FFFFFF" w:themeFill="background1"/>
          </w:tcPr>
          <w:p w14:paraId="39D41172" w14:textId="26ECEDEB" w:rsidR="00722E92" w:rsidRPr="00380547" w:rsidRDefault="00255343" w:rsidP="00B340FC">
            <w:pPr>
              <w:jc w:val="right"/>
              <w:rPr>
                <w:rFonts w:cs="Arial"/>
                <w:sz w:val="22"/>
                <w:szCs w:val="22"/>
                <w:lang w:eastAsia="en-GB"/>
              </w:rPr>
            </w:pPr>
            <w:r>
              <w:rPr>
                <w:rFonts w:cs="Arial"/>
                <w:sz w:val="22"/>
                <w:szCs w:val="22"/>
                <w:lang w:eastAsia="en-GB"/>
              </w:rPr>
              <w:t>£</w:t>
            </w:r>
            <w:r w:rsidR="00B340FC" w:rsidRPr="00B340FC">
              <w:rPr>
                <w:rFonts w:cs="Arial"/>
                <w:sz w:val="22"/>
                <w:szCs w:val="22"/>
                <w:highlight w:val="black"/>
                <w:lang w:eastAsia="en-GB"/>
              </w:rPr>
              <w:t>redacted</w:t>
            </w:r>
          </w:p>
        </w:tc>
        <w:tc>
          <w:tcPr>
            <w:tcW w:w="1417" w:type="dxa"/>
            <w:shd w:val="clear" w:color="auto" w:fill="FFFFFF" w:themeFill="background1"/>
          </w:tcPr>
          <w:p w14:paraId="17AE1DE7" w14:textId="0F34ED85" w:rsidR="00722E92" w:rsidRPr="00380547" w:rsidRDefault="0018162C" w:rsidP="00B340FC">
            <w:pPr>
              <w:jc w:val="right"/>
              <w:rPr>
                <w:rFonts w:cs="Arial"/>
                <w:sz w:val="22"/>
                <w:szCs w:val="22"/>
                <w:lang w:eastAsia="en-GB"/>
              </w:rPr>
            </w:pPr>
            <w:r>
              <w:rPr>
                <w:rFonts w:cs="Arial"/>
                <w:sz w:val="22"/>
                <w:szCs w:val="22"/>
                <w:lang w:eastAsia="en-GB"/>
              </w:rPr>
              <w:t>£</w:t>
            </w:r>
            <w:r w:rsidR="00B340FC" w:rsidRPr="00B340FC">
              <w:rPr>
                <w:rFonts w:cs="Arial"/>
                <w:sz w:val="22"/>
                <w:szCs w:val="22"/>
                <w:highlight w:val="black"/>
                <w:lang w:eastAsia="en-GB"/>
              </w:rPr>
              <w:t>redacted</w:t>
            </w:r>
          </w:p>
        </w:tc>
        <w:tc>
          <w:tcPr>
            <w:tcW w:w="1276" w:type="dxa"/>
            <w:shd w:val="clear" w:color="auto" w:fill="FFFFFF" w:themeFill="background1"/>
          </w:tcPr>
          <w:p w14:paraId="0DBDF871" w14:textId="22EC908D" w:rsidR="00722E92" w:rsidRPr="00380547" w:rsidRDefault="0018162C" w:rsidP="00B340FC">
            <w:pPr>
              <w:jc w:val="right"/>
              <w:rPr>
                <w:rFonts w:cs="Arial"/>
                <w:sz w:val="22"/>
                <w:szCs w:val="22"/>
                <w:lang w:eastAsia="en-GB"/>
              </w:rPr>
            </w:pPr>
            <w:r>
              <w:rPr>
                <w:rFonts w:cs="Arial"/>
                <w:sz w:val="22"/>
                <w:szCs w:val="22"/>
                <w:lang w:eastAsia="en-GB"/>
              </w:rPr>
              <w:t>-£</w:t>
            </w:r>
            <w:r w:rsidR="00B340FC" w:rsidRPr="00B340FC">
              <w:rPr>
                <w:rFonts w:cs="Arial"/>
                <w:sz w:val="22"/>
                <w:szCs w:val="22"/>
                <w:highlight w:val="black"/>
                <w:lang w:eastAsia="en-GB"/>
              </w:rPr>
              <w:t>redacted</w:t>
            </w:r>
          </w:p>
        </w:tc>
        <w:tc>
          <w:tcPr>
            <w:tcW w:w="3118" w:type="dxa"/>
          </w:tcPr>
          <w:p w14:paraId="4BF0D281" w14:textId="77777777" w:rsidR="00722E92" w:rsidRPr="009D53A7" w:rsidRDefault="00742F24" w:rsidP="00A31581">
            <w:pPr>
              <w:rPr>
                <w:rFonts w:cs="Arial"/>
                <w:sz w:val="22"/>
                <w:szCs w:val="22"/>
                <w:lang w:eastAsia="en-GB"/>
              </w:rPr>
            </w:pPr>
            <w:r>
              <w:rPr>
                <w:rFonts w:cs="Arial"/>
                <w:sz w:val="22"/>
                <w:szCs w:val="22"/>
              </w:rPr>
              <w:t xml:space="preserve">Pensions Team and Finance.  </w:t>
            </w:r>
            <w:r w:rsidRPr="009D53A7">
              <w:rPr>
                <w:rFonts w:cs="Arial"/>
                <w:sz w:val="22"/>
                <w:szCs w:val="22"/>
              </w:rPr>
              <w:t>Difference is due to delay in recruiting the G6 in the pension team.</w:t>
            </w:r>
          </w:p>
        </w:tc>
      </w:tr>
      <w:tr w:rsidR="00722E92" w:rsidRPr="00722E92" w14:paraId="1AF830A2" w14:textId="77777777" w:rsidTr="00A31581">
        <w:tc>
          <w:tcPr>
            <w:tcW w:w="1276" w:type="dxa"/>
          </w:tcPr>
          <w:p w14:paraId="554A08E2" w14:textId="77777777" w:rsidR="00722E92" w:rsidRPr="00722E92" w:rsidRDefault="00B87864" w:rsidP="00A31581">
            <w:pPr>
              <w:rPr>
                <w:rFonts w:cs="Arial"/>
                <w:color w:val="FF0000"/>
                <w:sz w:val="22"/>
                <w:szCs w:val="22"/>
                <w:lang w:eastAsia="en-GB"/>
              </w:rPr>
            </w:pPr>
            <w:r w:rsidRPr="00B87864">
              <w:rPr>
                <w:rFonts w:cs="Arial"/>
                <w:sz w:val="22"/>
                <w:szCs w:val="22"/>
                <w:lang w:eastAsia="en-GB"/>
              </w:rPr>
              <w:t>Total</w:t>
            </w:r>
          </w:p>
        </w:tc>
        <w:tc>
          <w:tcPr>
            <w:tcW w:w="1418" w:type="dxa"/>
            <w:shd w:val="clear" w:color="auto" w:fill="FFFFFF" w:themeFill="background1"/>
            <w:vAlign w:val="center"/>
          </w:tcPr>
          <w:p w14:paraId="14439933" w14:textId="7025CE4D" w:rsidR="00722E92" w:rsidRPr="00722E92" w:rsidRDefault="003C752D" w:rsidP="00B340FC">
            <w:pPr>
              <w:jc w:val="right"/>
              <w:rPr>
                <w:rFonts w:cs="Arial"/>
                <w:color w:val="FF0000"/>
                <w:sz w:val="22"/>
                <w:szCs w:val="22"/>
                <w:lang w:eastAsia="en-GB"/>
              </w:rPr>
            </w:pPr>
            <w:r w:rsidRPr="00091B2C">
              <w:rPr>
                <w:rFonts w:cs="Arial"/>
                <w:sz w:val="22"/>
                <w:szCs w:val="22"/>
                <w:lang w:eastAsia="en-GB"/>
              </w:rPr>
              <w:t>£</w:t>
            </w:r>
            <w:r w:rsidR="00B340FC" w:rsidRPr="00B340FC">
              <w:rPr>
                <w:rFonts w:cs="Arial"/>
                <w:sz w:val="22"/>
                <w:szCs w:val="22"/>
                <w:highlight w:val="black"/>
                <w:lang w:eastAsia="en-GB"/>
              </w:rPr>
              <w:t>redacted</w:t>
            </w:r>
          </w:p>
        </w:tc>
        <w:tc>
          <w:tcPr>
            <w:tcW w:w="1417" w:type="dxa"/>
            <w:shd w:val="clear" w:color="auto" w:fill="FFFFFF" w:themeFill="background1"/>
            <w:vAlign w:val="center"/>
          </w:tcPr>
          <w:p w14:paraId="0058FDDE" w14:textId="0B5BE475" w:rsidR="00722E92" w:rsidRPr="00091B2C" w:rsidRDefault="003C752D" w:rsidP="00B340FC">
            <w:pPr>
              <w:jc w:val="right"/>
              <w:rPr>
                <w:rFonts w:cs="Arial"/>
                <w:sz w:val="22"/>
                <w:szCs w:val="22"/>
                <w:lang w:eastAsia="en-GB"/>
              </w:rPr>
            </w:pPr>
            <w:r w:rsidRPr="00091B2C">
              <w:rPr>
                <w:rFonts w:cs="Arial"/>
                <w:sz w:val="22"/>
                <w:szCs w:val="22"/>
                <w:lang w:eastAsia="en-GB"/>
              </w:rPr>
              <w:t>£</w:t>
            </w:r>
            <w:r w:rsidR="00B340FC" w:rsidRPr="00B340FC">
              <w:rPr>
                <w:rFonts w:cs="Arial"/>
                <w:sz w:val="22"/>
                <w:szCs w:val="22"/>
                <w:highlight w:val="black"/>
                <w:lang w:eastAsia="en-GB"/>
              </w:rPr>
              <w:t>redacted</w:t>
            </w:r>
          </w:p>
        </w:tc>
        <w:tc>
          <w:tcPr>
            <w:tcW w:w="1276" w:type="dxa"/>
            <w:shd w:val="clear" w:color="auto" w:fill="FFFFFF" w:themeFill="background1"/>
            <w:vAlign w:val="center"/>
          </w:tcPr>
          <w:p w14:paraId="710FD3EF" w14:textId="764626C4" w:rsidR="00722E92" w:rsidRPr="00722E92" w:rsidRDefault="00C01B71" w:rsidP="00B340FC">
            <w:pPr>
              <w:jc w:val="right"/>
              <w:rPr>
                <w:rFonts w:cs="Arial"/>
                <w:color w:val="FF0000"/>
                <w:sz w:val="22"/>
                <w:szCs w:val="22"/>
                <w:lang w:eastAsia="en-GB"/>
              </w:rPr>
            </w:pPr>
            <w:r w:rsidRPr="00C01B71">
              <w:rPr>
                <w:rFonts w:cs="Arial"/>
                <w:sz w:val="22"/>
                <w:szCs w:val="22"/>
                <w:lang w:eastAsia="en-GB"/>
              </w:rPr>
              <w:t>-£</w:t>
            </w:r>
            <w:r w:rsidR="00B340FC" w:rsidRPr="00B340FC">
              <w:rPr>
                <w:rFonts w:cs="Arial"/>
                <w:sz w:val="22"/>
                <w:szCs w:val="22"/>
                <w:highlight w:val="black"/>
                <w:lang w:eastAsia="en-GB"/>
              </w:rPr>
              <w:t>redacted</w:t>
            </w:r>
          </w:p>
        </w:tc>
        <w:tc>
          <w:tcPr>
            <w:tcW w:w="3118" w:type="dxa"/>
          </w:tcPr>
          <w:p w14:paraId="07427110" w14:textId="77777777" w:rsidR="00722E92" w:rsidRPr="00722E92" w:rsidRDefault="00722E92" w:rsidP="00A31581">
            <w:pPr>
              <w:rPr>
                <w:rFonts w:cs="Arial"/>
                <w:color w:val="FF0000"/>
                <w:sz w:val="22"/>
                <w:szCs w:val="22"/>
                <w:lang w:eastAsia="en-GB"/>
              </w:rPr>
            </w:pPr>
          </w:p>
        </w:tc>
      </w:tr>
    </w:tbl>
    <w:p w14:paraId="3E6E64B5" w14:textId="77777777" w:rsidR="00DF771B" w:rsidRDefault="00DF771B" w:rsidP="00E376C4">
      <w:pPr>
        <w:jc w:val="center"/>
        <w:rPr>
          <w:rFonts w:cs="Arial"/>
          <w:b/>
          <w:sz w:val="28"/>
          <w:szCs w:val="28"/>
        </w:rPr>
      </w:pPr>
    </w:p>
    <w:p w14:paraId="2C1A53E3" w14:textId="77777777" w:rsidR="009A7951" w:rsidRDefault="009A7951" w:rsidP="00091B2C">
      <w:pPr>
        <w:rPr>
          <w:rFonts w:cs="Arial"/>
          <w:b/>
          <w:szCs w:val="24"/>
        </w:rPr>
      </w:pPr>
    </w:p>
    <w:p w14:paraId="09110708" w14:textId="77777777" w:rsidR="00623DFC" w:rsidRDefault="00623DFC" w:rsidP="00091B2C">
      <w:pPr>
        <w:rPr>
          <w:rFonts w:cs="Arial"/>
          <w:b/>
          <w:szCs w:val="24"/>
        </w:rPr>
      </w:pPr>
      <w:r>
        <w:rPr>
          <w:rFonts w:cs="Arial"/>
          <w:b/>
          <w:szCs w:val="24"/>
        </w:rPr>
        <w:br/>
      </w:r>
    </w:p>
    <w:p w14:paraId="6D477008" w14:textId="77777777" w:rsidR="00623DFC" w:rsidRDefault="00623DFC">
      <w:pPr>
        <w:widowControl/>
        <w:overflowPunct/>
        <w:autoSpaceDE/>
        <w:autoSpaceDN/>
        <w:adjustRightInd/>
        <w:textAlignment w:val="auto"/>
        <w:rPr>
          <w:rFonts w:cs="Arial"/>
          <w:b/>
          <w:szCs w:val="24"/>
        </w:rPr>
      </w:pPr>
      <w:r>
        <w:rPr>
          <w:rFonts w:cs="Arial"/>
          <w:b/>
          <w:szCs w:val="24"/>
        </w:rPr>
        <w:br w:type="page"/>
      </w:r>
    </w:p>
    <w:p w14:paraId="68A1D099" w14:textId="77777777" w:rsidR="00722E92" w:rsidRDefault="00722E92" w:rsidP="00091B2C">
      <w:pPr>
        <w:rPr>
          <w:rFonts w:cs="Arial"/>
          <w:b/>
          <w:szCs w:val="24"/>
        </w:rPr>
      </w:pPr>
      <w:r w:rsidRPr="00722E92">
        <w:rPr>
          <w:rFonts w:cs="Arial"/>
          <w:b/>
          <w:szCs w:val="24"/>
        </w:rPr>
        <w:lastRenderedPageBreak/>
        <w:t xml:space="preserve">Risk Update </w:t>
      </w:r>
    </w:p>
    <w:p w14:paraId="22CC7ACA" w14:textId="77777777" w:rsidR="00047663" w:rsidRDefault="00047663" w:rsidP="00722E92">
      <w:pPr>
        <w:jc w:val="center"/>
        <w:rPr>
          <w:rFonts w:cs="Arial"/>
          <w:b/>
          <w:szCs w:val="24"/>
        </w:rPr>
      </w:pPr>
    </w:p>
    <w:p w14:paraId="198F5EDE" w14:textId="77777777" w:rsidR="00047663" w:rsidRPr="00C146AD" w:rsidRDefault="00047663" w:rsidP="007E6DC7">
      <w:pPr>
        <w:pStyle w:val="ListParagraph"/>
        <w:numPr>
          <w:ilvl w:val="0"/>
          <w:numId w:val="6"/>
        </w:numPr>
        <w:ind w:left="426" w:hanging="284"/>
        <w:rPr>
          <w:rFonts w:cs="Arial"/>
          <w:color w:val="000000"/>
          <w:sz w:val="22"/>
          <w:szCs w:val="22"/>
          <w:lang w:eastAsia="en-GB"/>
        </w:rPr>
      </w:pPr>
      <w:r w:rsidRPr="00C146AD">
        <w:rPr>
          <w:rFonts w:cs="Arial"/>
          <w:color w:val="000000"/>
          <w:sz w:val="22"/>
          <w:szCs w:val="22"/>
          <w:lang w:eastAsia="en-GB"/>
        </w:rPr>
        <w:t>The risk management process remains robust, with regular monthly meetings held between key members of DfE and TP’s teams to review the current status of active risks and discuss potential emerging risks. TP can supplement this process by calling upon wider Capita Group expertise where required.</w:t>
      </w:r>
    </w:p>
    <w:p w14:paraId="2C372911" w14:textId="77777777" w:rsidR="00047663" w:rsidRPr="009E19F7" w:rsidRDefault="00047663" w:rsidP="00C146AD">
      <w:pPr>
        <w:ind w:left="426" w:hanging="284"/>
        <w:rPr>
          <w:rFonts w:cs="Arial"/>
          <w:color w:val="000000"/>
          <w:sz w:val="22"/>
          <w:szCs w:val="22"/>
          <w:lang w:eastAsia="en-GB"/>
        </w:rPr>
      </w:pPr>
    </w:p>
    <w:p w14:paraId="5B2F306A" w14:textId="77777777" w:rsidR="00047663" w:rsidRPr="00C146AD" w:rsidRDefault="00047663" w:rsidP="007E6DC7">
      <w:pPr>
        <w:pStyle w:val="ListParagraph"/>
        <w:numPr>
          <w:ilvl w:val="0"/>
          <w:numId w:val="6"/>
        </w:numPr>
        <w:ind w:left="426" w:hanging="284"/>
        <w:rPr>
          <w:rFonts w:cs="Arial"/>
          <w:color w:val="000000"/>
          <w:sz w:val="22"/>
          <w:szCs w:val="22"/>
          <w:lang w:eastAsia="en-GB"/>
        </w:rPr>
      </w:pPr>
      <w:r w:rsidRPr="00C146AD">
        <w:rPr>
          <w:rFonts w:cs="Arial"/>
          <w:color w:val="000000"/>
          <w:sz w:val="22"/>
          <w:szCs w:val="22"/>
          <w:lang w:eastAsia="en-GB"/>
        </w:rPr>
        <w:t xml:space="preserve">The Key Risks reported to the Pension Board Sub-Committee are determined during the Risk Committee meeting by key members of the DfE Account Management Team and TP’s Administration Team. </w:t>
      </w:r>
    </w:p>
    <w:p w14:paraId="3C613809" w14:textId="77777777" w:rsidR="00047663" w:rsidRPr="009E19F7" w:rsidRDefault="00047663" w:rsidP="00C146AD">
      <w:pPr>
        <w:ind w:left="426" w:hanging="284"/>
        <w:rPr>
          <w:rFonts w:cs="Arial"/>
          <w:color w:val="000000"/>
          <w:sz w:val="22"/>
          <w:szCs w:val="22"/>
          <w:lang w:eastAsia="en-GB"/>
        </w:rPr>
      </w:pPr>
    </w:p>
    <w:p w14:paraId="78AF8FD3" w14:textId="77777777" w:rsidR="009B33A6" w:rsidRDefault="009B33A6" w:rsidP="00047663">
      <w:pPr>
        <w:rPr>
          <w:rFonts w:cs="Arial"/>
          <w:b/>
          <w:color w:val="000000"/>
          <w:sz w:val="22"/>
          <w:szCs w:val="22"/>
          <w:lang w:eastAsia="en-GB"/>
        </w:rPr>
      </w:pPr>
    </w:p>
    <w:p w14:paraId="022D9AB3" w14:textId="77777777" w:rsidR="00047663" w:rsidRPr="00C146AD" w:rsidRDefault="00047663" w:rsidP="00C146AD">
      <w:pPr>
        <w:rPr>
          <w:rFonts w:cs="Arial"/>
          <w:b/>
          <w:color w:val="000000"/>
          <w:sz w:val="22"/>
          <w:szCs w:val="22"/>
          <w:lang w:eastAsia="en-GB"/>
        </w:rPr>
      </w:pPr>
      <w:r w:rsidRPr="00C146AD">
        <w:rPr>
          <w:rFonts w:cs="Arial"/>
          <w:b/>
          <w:color w:val="000000"/>
          <w:sz w:val="22"/>
          <w:szCs w:val="22"/>
          <w:lang w:eastAsia="en-GB"/>
        </w:rPr>
        <w:t>Key Risks</w:t>
      </w:r>
    </w:p>
    <w:p w14:paraId="2A94810C" w14:textId="77777777" w:rsidR="00047663" w:rsidRPr="009E19F7" w:rsidRDefault="00047663" w:rsidP="00047663">
      <w:pPr>
        <w:ind w:left="66"/>
        <w:rPr>
          <w:rFonts w:cs="Arial"/>
          <w:b/>
          <w:color w:val="000000"/>
          <w:sz w:val="22"/>
          <w:szCs w:val="22"/>
          <w:lang w:eastAsia="en-GB"/>
        </w:rPr>
      </w:pPr>
    </w:p>
    <w:p w14:paraId="1E276FCC" w14:textId="77777777" w:rsidR="00047663" w:rsidRPr="00C146AD" w:rsidRDefault="00047663" w:rsidP="00C146AD">
      <w:pPr>
        <w:rPr>
          <w:rFonts w:cs="Arial"/>
          <w:b/>
          <w:color w:val="000000"/>
          <w:sz w:val="22"/>
          <w:szCs w:val="22"/>
          <w:lang w:eastAsia="en-GB"/>
        </w:rPr>
      </w:pPr>
      <w:r w:rsidRPr="00C146AD">
        <w:rPr>
          <w:rFonts w:cs="Arial"/>
          <w:b/>
          <w:color w:val="000000"/>
          <w:sz w:val="22"/>
          <w:szCs w:val="22"/>
          <w:lang w:eastAsia="en-GB"/>
        </w:rPr>
        <w:t xml:space="preserve">Monthly Data Collection </w:t>
      </w:r>
    </w:p>
    <w:p w14:paraId="69F8A5B2" w14:textId="77777777" w:rsidR="00047663" w:rsidRDefault="00047663" w:rsidP="00047663">
      <w:pPr>
        <w:rPr>
          <w:rFonts w:cs="Arial"/>
          <w:b/>
          <w:color w:val="000000"/>
          <w:sz w:val="22"/>
          <w:szCs w:val="22"/>
          <w:lang w:eastAsia="en-GB"/>
        </w:rPr>
      </w:pPr>
    </w:p>
    <w:p w14:paraId="02F98D89" w14:textId="77777777" w:rsidR="00047663" w:rsidRPr="00C146AD" w:rsidRDefault="00047663" w:rsidP="007E6DC7">
      <w:pPr>
        <w:pStyle w:val="ListParagraph"/>
        <w:numPr>
          <w:ilvl w:val="0"/>
          <w:numId w:val="6"/>
        </w:numPr>
        <w:ind w:left="426" w:hanging="284"/>
        <w:rPr>
          <w:rFonts w:cs="Arial"/>
          <w:b/>
          <w:sz w:val="22"/>
          <w:szCs w:val="22"/>
          <w:lang w:eastAsia="en-GB"/>
        </w:rPr>
      </w:pPr>
      <w:r w:rsidRPr="00C146AD">
        <w:rPr>
          <w:rFonts w:cs="Arial"/>
          <w:sz w:val="22"/>
          <w:szCs w:val="22"/>
          <w:lang w:eastAsia="en-GB"/>
        </w:rPr>
        <w:t>There is a risk the drive to convert all emplo</w:t>
      </w:r>
      <w:r w:rsidR="00073939" w:rsidRPr="00C146AD">
        <w:rPr>
          <w:rFonts w:cs="Arial"/>
          <w:sz w:val="22"/>
          <w:szCs w:val="22"/>
          <w:lang w:eastAsia="en-GB"/>
        </w:rPr>
        <w:t xml:space="preserve">yers to Monthly Data Collection </w:t>
      </w:r>
      <w:r w:rsidRPr="00C146AD">
        <w:rPr>
          <w:rFonts w:cs="Arial"/>
          <w:sz w:val="22"/>
          <w:szCs w:val="22"/>
          <w:lang w:eastAsia="en-GB"/>
        </w:rPr>
        <w:t>submissions by April 2018 might not be able to be supported by TP Operational teams if the profile of the conversions is unknown. The profile of conversions is unlikely to be consistent and 'spikes' of activity might be difficult to absorb. This risk is exacerbated by the increase in Academy conversions as all new academies are required to convert to Monthly Data Collection as part of the conversion process.</w:t>
      </w:r>
    </w:p>
    <w:p w14:paraId="3AB77B84" w14:textId="77777777" w:rsidR="00047663" w:rsidRPr="008D34D3" w:rsidRDefault="00047663" w:rsidP="00E9252A">
      <w:pPr>
        <w:ind w:left="426" w:hanging="284"/>
        <w:rPr>
          <w:rFonts w:cs="Arial"/>
          <w:b/>
          <w:color w:val="FF0000"/>
          <w:sz w:val="22"/>
          <w:szCs w:val="22"/>
          <w:lang w:eastAsia="en-GB"/>
        </w:rPr>
      </w:pPr>
    </w:p>
    <w:p w14:paraId="2C0A3A05" w14:textId="77777777" w:rsidR="00047663" w:rsidRDefault="00047663" w:rsidP="007E6DC7">
      <w:pPr>
        <w:pStyle w:val="ListParagraph"/>
        <w:numPr>
          <w:ilvl w:val="0"/>
          <w:numId w:val="6"/>
        </w:numPr>
        <w:ind w:left="426" w:hanging="284"/>
        <w:rPr>
          <w:rFonts w:cs="Arial"/>
          <w:sz w:val="22"/>
          <w:szCs w:val="22"/>
          <w:lang w:eastAsia="en-GB"/>
        </w:rPr>
      </w:pPr>
      <w:r w:rsidRPr="00C146AD">
        <w:rPr>
          <w:rFonts w:cs="Arial"/>
          <w:sz w:val="22"/>
          <w:szCs w:val="22"/>
          <w:lang w:eastAsia="en-GB"/>
        </w:rPr>
        <w:t>The Net Risk remains amber; although there are a number of activities underway to gather and analyse key statistics to inform the profile volume and provide a forecast of the pipeline of activity in order to prepare for it in advance, this activity has yet to be completed. Further work is also underway to issue communications to those establishments yet to commit to Monthly Data Collection in order to raise awareness of their obligation under the Scheme regulations and to encourage participation.</w:t>
      </w:r>
    </w:p>
    <w:p w14:paraId="1F608BBD" w14:textId="77777777" w:rsidR="00E9252A" w:rsidRPr="00E9252A" w:rsidRDefault="00E9252A" w:rsidP="00E9252A">
      <w:pPr>
        <w:pStyle w:val="ListParagraph"/>
        <w:rPr>
          <w:rFonts w:cs="Arial"/>
          <w:sz w:val="22"/>
          <w:szCs w:val="22"/>
          <w:lang w:eastAsia="en-GB"/>
        </w:rPr>
      </w:pPr>
    </w:p>
    <w:p w14:paraId="55DD94CB" w14:textId="77777777" w:rsidR="00E9252A" w:rsidRPr="00C146AD" w:rsidRDefault="00E9252A" w:rsidP="00E9252A">
      <w:pPr>
        <w:pStyle w:val="ListParagraph"/>
        <w:ind w:left="426"/>
        <w:rPr>
          <w:rFonts w:cs="Arial"/>
          <w:sz w:val="22"/>
          <w:szCs w:val="22"/>
          <w:lang w:eastAsia="en-GB"/>
        </w:rPr>
      </w:pPr>
    </w:p>
    <w:p w14:paraId="30A2265C" w14:textId="77777777" w:rsidR="00047663" w:rsidRPr="00C146AD" w:rsidRDefault="00047663" w:rsidP="007E6DC7">
      <w:pPr>
        <w:pStyle w:val="ListParagraph"/>
        <w:numPr>
          <w:ilvl w:val="0"/>
          <w:numId w:val="6"/>
        </w:numPr>
        <w:ind w:left="426" w:hanging="284"/>
        <w:rPr>
          <w:rFonts w:cs="Arial"/>
          <w:sz w:val="22"/>
          <w:szCs w:val="22"/>
          <w:lang w:eastAsia="en-GB"/>
        </w:rPr>
      </w:pPr>
      <w:r w:rsidRPr="00C146AD">
        <w:rPr>
          <w:rFonts w:cs="Arial"/>
          <w:sz w:val="22"/>
          <w:szCs w:val="22"/>
          <w:lang w:eastAsia="en-GB"/>
        </w:rPr>
        <w:t xml:space="preserve">A dedicated team has been established within TP to work with employers and help them to on-board to Monthly Data Collection and </w:t>
      </w:r>
      <w:r w:rsidR="00D62F72">
        <w:rPr>
          <w:rFonts w:cs="Arial"/>
          <w:sz w:val="22"/>
          <w:szCs w:val="22"/>
          <w:lang w:eastAsia="en-GB"/>
        </w:rPr>
        <w:t>TP Finance</w:t>
      </w:r>
      <w:r w:rsidR="00D62F72" w:rsidRPr="00C146AD">
        <w:rPr>
          <w:rFonts w:cs="Arial"/>
          <w:sz w:val="22"/>
          <w:szCs w:val="22"/>
          <w:lang w:eastAsia="en-GB"/>
        </w:rPr>
        <w:t xml:space="preserve"> </w:t>
      </w:r>
      <w:r w:rsidRPr="00C146AD">
        <w:rPr>
          <w:rFonts w:cs="Arial"/>
          <w:sz w:val="22"/>
          <w:szCs w:val="22"/>
          <w:lang w:eastAsia="en-GB"/>
        </w:rPr>
        <w:t>are working closely with them to facilitate this.</w:t>
      </w:r>
      <w:r w:rsidR="00D62F72">
        <w:rPr>
          <w:rFonts w:cs="Arial"/>
          <w:sz w:val="22"/>
          <w:szCs w:val="22"/>
          <w:lang w:eastAsia="en-GB"/>
        </w:rPr>
        <w:t xml:space="preserve">  We continue to work closely with payroll and software suppliers to be ensure we are aware when software releases enable employer to produce MDC returns  </w:t>
      </w:r>
    </w:p>
    <w:p w14:paraId="57A65F80" w14:textId="77777777" w:rsidR="00047663" w:rsidRPr="008D34D3" w:rsidRDefault="00047663" w:rsidP="00047663">
      <w:pPr>
        <w:rPr>
          <w:rFonts w:cs="Arial"/>
          <w:b/>
          <w:color w:val="FF0000"/>
          <w:sz w:val="22"/>
          <w:szCs w:val="22"/>
          <w:lang w:eastAsia="en-GB"/>
        </w:rPr>
      </w:pPr>
    </w:p>
    <w:p w14:paraId="24AAA7AA" w14:textId="77777777" w:rsidR="00047663" w:rsidRPr="00E9252A" w:rsidRDefault="00047663" w:rsidP="00E9252A">
      <w:pPr>
        <w:rPr>
          <w:rFonts w:cs="Arial"/>
          <w:b/>
          <w:sz w:val="22"/>
          <w:szCs w:val="22"/>
          <w:lang w:eastAsia="en-GB"/>
        </w:rPr>
      </w:pPr>
      <w:r w:rsidRPr="00E9252A">
        <w:rPr>
          <w:rFonts w:cs="Arial"/>
          <w:b/>
          <w:sz w:val="22"/>
          <w:szCs w:val="22"/>
          <w:lang w:eastAsia="en-GB"/>
        </w:rPr>
        <w:t>Data Quality</w:t>
      </w:r>
    </w:p>
    <w:p w14:paraId="41EEE964" w14:textId="77777777" w:rsidR="00047663" w:rsidRPr="008D34D3" w:rsidRDefault="00047663" w:rsidP="00047663">
      <w:pPr>
        <w:rPr>
          <w:rFonts w:cs="Arial"/>
          <w:color w:val="FF0000"/>
          <w:sz w:val="22"/>
          <w:szCs w:val="22"/>
          <w:lang w:eastAsia="en-GB"/>
        </w:rPr>
      </w:pPr>
    </w:p>
    <w:p w14:paraId="057C89DB" w14:textId="77777777" w:rsidR="00047663" w:rsidRPr="00C146AD" w:rsidRDefault="00047663" w:rsidP="007E6DC7">
      <w:pPr>
        <w:pStyle w:val="ListParagraph"/>
        <w:numPr>
          <w:ilvl w:val="0"/>
          <w:numId w:val="6"/>
        </w:numPr>
        <w:tabs>
          <w:tab w:val="left" w:pos="0"/>
        </w:tabs>
        <w:ind w:left="426" w:hanging="284"/>
        <w:rPr>
          <w:rFonts w:cs="Arial"/>
          <w:sz w:val="22"/>
          <w:szCs w:val="22"/>
          <w:lang w:eastAsia="en-GB"/>
        </w:rPr>
      </w:pPr>
      <w:r w:rsidRPr="00C146AD">
        <w:rPr>
          <w:rFonts w:cs="Arial"/>
          <w:sz w:val="22"/>
          <w:szCs w:val="22"/>
          <w:lang w:eastAsia="en-GB"/>
        </w:rPr>
        <w:t xml:space="preserve">The TP Data Strategy to deliver improvements and initiatives throughout contract year five and beyond is in place. The proposal to change the measurement of Outcome Measure 12 (Data Quality) to better reflect a more realistic target with phased improvement over the remainder of the contract term has now been approved and implemented; results for Outcome Measure 12 for the end of the contract year have been calculated and the changes to the measure have been reflected in the 100% achievement of the year-end target. </w:t>
      </w:r>
    </w:p>
    <w:p w14:paraId="15C158F3" w14:textId="77777777" w:rsidR="00047663" w:rsidRPr="008D34D3" w:rsidRDefault="00047663" w:rsidP="006937AA">
      <w:pPr>
        <w:pStyle w:val="ListParagraph"/>
        <w:tabs>
          <w:tab w:val="left" w:pos="0"/>
        </w:tabs>
        <w:ind w:left="142" w:hanging="142"/>
        <w:rPr>
          <w:rFonts w:cs="Arial"/>
          <w:color w:val="FF0000"/>
          <w:sz w:val="22"/>
          <w:szCs w:val="22"/>
          <w:lang w:eastAsia="en-GB"/>
        </w:rPr>
      </w:pPr>
    </w:p>
    <w:p w14:paraId="357E1335" w14:textId="77777777" w:rsidR="00047663" w:rsidRPr="00C146AD" w:rsidRDefault="00047663" w:rsidP="007E6DC7">
      <w:pPr>
        <w:pStyle w:val="ListParagraph"/>
        <w:numPr>
          <w:ilvl w:val="0"/>
          <w:numId w:val="6"/>
        </w:numPr>
        <w:tabs>
          <w:tab w:val="left" w:pos="0"/>
        </w:tabs>
        <w:ind w:left="426" w:hanging="284"/>
        <w:rPr>
          <w:rFonts w:cs="Arial"/>
          <w:sz w:val="22"/>
          <w:szCs w:val="22"/>
          <w:lang w:eastAsia="en-GB"/>
        </w:rPr>
      </w:pPr>
      <w:r w:rsidRPr="00C146AD">
        <w:rPr>
          <w:rFonts w:cs="Arial"/>
          <w:sz w:val="22"/>
          <w:szCs w:val="22"/>
          <w:lang w:eastAsia="en-GB"/>
        </w:rPr>
        <w:t>The Data Steering Group now meets monthly and is supported by project documentation to track progress of initiatives under delivery.</w:t>
      </w:r>
    </w:p>
    <w:p w14:paraId="40B3A32F" w14:textId="77777777" w:rsidR="00047663" w:rsidRPr="008D34D3" w:rsidRDefault="00047663" w:rsidP="00E9252A">
      <w:pPr>
        <w:tabs>
          <w:tab w:val="left" w:pos="0"/>
        </w:tabs>
        <w:ind w:left="426" w:hanging="284"/>
        <w:rPr>
          <w:rFonts w:cs="Arial"/>
          <w:color w:val="FF0000"/>
          <w:sz w:val="22"/>
          <w:szCs w:val="22"/>
          <w:lang w:eastAsia="en-GB"/>
        </w:rPr>
      </w:pPr>
    </w:p>
    <w:p w14:paraId="46880E20" w14:textId="77777777" w:rsidR="00047663" w:rsidRPr="00C146AD" w:rsidRDefault="00047663" w:rsidP="007E6DC7">
      <w:pPr>
        <w:pStyle w:val="ListParagraph"/>
        <w:numPr>
          <w:ilvl w:val="0"/>
          <w:numId w:val="6"/>
        </w:numPr>
        <w:tabs>
          <w:tab w:val="left" w:pos="0"/>
        </w:tabs>
        <w:ind w:left="426" w:hanging="284"/>
        <w:rPr>
          <w:rFonts w:cs="Arial"/>
          <w:sz w:val="22"/>
          <w:szCs w:val="22"/>
          <w:lang w:eastAsia="en-GB"/>
        </w:rPr>
      </w:pPr>
      <w:r w:rsidRPr="00C146AD">
        <w:rPr>
          <w:rFonts w:cs="Arial"/>
          <w:sz w:val="22"/>
          <w:szCs w:val="22"/>
          <w:lang w:eastAsia="en-GB"/>
        </w:rPr>
        <w:t xml:space="preserve">The risk remains at amber as results can continue to be improved and new initiatives are currently under feasibility investigation. </w:t>
      </w:r>
      <w:r w:rsidR="00D62F72">
        <w:rPr>
          <w:rFonts w:cs="Arial"/>
          <w:sz w:val="22"/>
          <w:szCs w:val="22"/>
          <w:lang w:eastAsia="en-GB"/>
        </w:rPr>
        <w:t xml:space="preserve"> T</w:t>
      </w:r>
      <w:r w:rsidR="00D62F72" w:rsidRPr="00091B2C">
        <w:rPr>
          <w:rFonts w:cs="Arial"/>
          <w:sz w:val="22"/>
          <w:szCs w:val="22"/>
          <w:lang w:eastAsia="en-GB"/>
        </w:rPr>
        <w:t xml:space="preserve">his </w:t>
      </w:r>
      <w:r w:rsidR="00D62F72">
        <w:rPr>
          <w:rFonts w:cs="Arial"/>
          <w:sz w:val="22"/>
          <w:szCs w:val="22"/>
          <w:lang w:eastAsia="en-GB"/>
        </w:rPr>
        <w:t xml:space="preserve">work is </w:t>
      </w:r>
      <w:r w:rsidR="00D62F72" w:rsidRPr="00091B2C">
        <w:rPr>
          <w:rFonts w:cs="Arial"/>
          <w:sz w:val="22"/>
          <w:szCs w:val="22"/>
          <w:lang w:eastAsia="en-GB"/>
        </w:rPr>
        <w:t xml:space="preserve">feeding into the </w:t>
      </w:r>
      <w:r w:rsidR="00D62F72" w:rsidRPr="00091B2C">
        <w:rPr>
          <w:rFonts w:cs="Arial"/>
          <w:sz w:val="22"/>
          <w:szCs w:val="22"/>
          <w:lang w:eastAsia="en-GB"/>
        </w:rPr>
        <w:lastRenderedPageBreak/>
        <w:t>work HM Treasury are leading on improving data across schemes, and TP has been used as a case study of good practice</w:t>
      </w:r>
    </w:p>
    <w:p w14:paraId="6C92C979" w14:textId="77777777" w:rsidR="00047663" w:rsidRPr="008D34D3" w:rsidRDefault="00047663" w:rsidP="00047663">
      <w:pPr>
        <w:ind w:left="360"/>
        <w:rPr>
          <w:rFonts w:cs="Arial"/>
          <w:b/>
          <w:color w:val="FF0000"/>
          <w:sz w:val="22"/>
          <w:szCs w:val="22"/>
          <w:lang w:eastAsia="en-GB"/>
        </w:rPr>
      </w:pPr>
    </w:p>
    <w:p w14:paraId="56481DB8" w14:textId="77777777" w:rsidR="00047663" w:rsidRPr="00E9252A" w:rsidRDefault="00047663" w:rsidP="00E9252A">
      <w:pPr>
        <w:rPr>
          <w:rFonts w:cs="Arial"/>
          <w:b/>
          <w:sz w:val="22"/>
          <w:szCs w:val="22"/>
          <w:lang w:eastAsia="en-GB"/>
        </w:rPr>
      </w:pPr>
      <w:r w:rsidRPr="00E9252A">
        <w:rPr>
          <w:rFonts w:cs="Arial"/>
          <w:b/>
          <w:sz w:val="22"/>
          <w:szCs w:val="22"/>
          <w:lang w:eastAsia="en-GB"/>
        </w:rPr>
        <w:t>Guaranteed Minimum Pension records</w:t>
      </w:r>
    </w:p>
    <w:p w14:paraId="27A8F1F0" w14:textId="77777777" w:rsidR="00047663" w:rsidRPr="0065411E" w:rsidRDefault="00047663" w:rsidP="00047663">
      <w:pPr>
        <w:rPr>
          <w:rFonts w:cs="Arial"/>
          <w:b/>
          <w:sz w:val="22"/>
          <w:szCs w:val="22"/>
          <w:lang w:eastAsia="en-GB"/>
        </w:rPr>
      </w:pPr>
    </w:p>
    <w:p w14:paraId="175652B7" w14:textId="77777777" w:rsidR="00047663" w:rsidRPr="00C146AD" w:rsidRDefault="00047663" w:rsidP="007E6DC7">
      <w:pPr>
        <w:pStyle w:val="ListParagraph"/>
        <w:widowControl/>
        <w:numPr>
          <w:ilvl w:val="0"/>
          <w:numId w:val="6"/>
        </w:numPr>
        <w:adjustRightInd/>
        <w:ind w:left="426" w:hanging="284"/>
        <w:textAlignment w:val="auto"/>
        <w:rPr>
          <w:rFonts w:cs="Arial"/>
          <w:sz w:val="22"/>
          <w:szCs w:val="22"/>
          <w:lang w:eastAsia="en-GB"/>
        </w:rPr>
      </w:pPr>
      <w:r w:rsidRPr="00C146AD">
        <w:rPr>
          <w:sz w:val="22"/>
          <w:szCs w:val="22"/>
        </w:rPr>
        <w:t>Work is continuing under the GMP project with 100k member record investigations completed during the last 3 tranches.  The current project resource  is continuing with the investigation of 60k deferred and pensioners records and also includes Post ’97 members.  This work constitutes the fourth tranche of stage two of this ongoing project with outcomes from previous tranches providing information to shape future phases.  Responses to Her Majesty’s Revenue and Customs queries are being received and analysed to understand further activity which may be necessary. In addition, planning is underway in preparation for the receipt of the Active membership and the potential impact this will have on the current resource.  Progress continues to be reported to the GMP Project Board on a monthly basis.</w:t>
      </w:r>
    </w:p>
    <w:p w14:paraId="65AFF7BE" w14:textId="77777777" w:rsidR="00047663" w:rsidRPr="0065411E" w:rsidRDefault="00047663" w:rsidP="00047663">
      <w:pPr>
        <w:widowControl/>
        <w:adjustRightInd/>
        <w:textAlignment w:val="auto"/>
        <w:rPr>
          <w:rFonts w:cs="Arial"/>
          <w:sz w:val="22"/>
          <w:szCs w:val="22"/>
          <w:lang w:eastAsia="en-GB"/>
        </w:rPr>
      </w:pPr>
    </w:p>
    <w:p w14:paraId="2AC015E2" w14:textId="77777777" w:rsidR="00047663" w:rsidRPr="002E4E10" w:rsidRDefault="00047663" w:rsidP="007E6DC7">
      <w:pPr>
        <w:pStyle w:val="ListParagraph"/>
        <w:widowControl/>
        <w:numPr>
          <w:ilvl w:val="0"/>
          <w:numId w:val="6"/>
        </w:numPr>
        <w:adjustRightInd/>
        <w:ind w:left="426"/>
        <w:textAlignment w:val="auto"/>
        <w:rPr>
          <w:rFonts w:cs="Arial"/>
          <w:color w:val="FF0000"/>
          <w:sz w:val="22"/>
          <w:szCs w:val="22"/>
          <w:lang w:eastAsia="en-GB"/>
        </w:rPr>
      </w:pPr>
      <w:r w:rsidRPr="002E4E10">
        <w:rPr>
          <w:sz w:val="22"/>
          <w:szCs w:val="22"/>
        </w:rPr>
        <w:t>The Net Risk remains at amber.  Good progress continues to be made and consultations continue with Her Majesty’s Revenue and Customs regarding responses to queries, however the policy decisions to further progress the actions associated with the control of this risk remain outstanding.</w:t>
      </w:r>
    </w:p>
    <w:p w14:paraId="26143B1F" w14:textId="77777777" w:rsidR="00047663" w:rsidRPr="008D34D3" w:rsidRDefault="00047663" w:rsidP="006937AA">
      <w:pPr>
        <w:rPr>
          <w:rFonts w:cs="Arial"/>
          <w:color w:val="FF0000"/>
          <w:sz w:val="22"/>
          <w:szCs w:val="22"/>
          <w:lang w:eastAsia="en-GB"/>
        </w:rPr>
      </w:pPr>
    </w:p>
    <w:p w14:paraId="712CDAB1" w14:textId="77777777" w:rsidR="00047663" w:rsidRPr="002E4E10" w:rsidRDefault="00047663" w:rsidP="002E4E10">
      <w:pPr>
        <w:rPr>
          <w:rFonts w:cs="Arial"/>
          <w:b/>
          <w:sz w:val="22"/>
          <w:szCs w:val="22"/>
          <w:lang w:eastAsia="en-GB"/>
        </w:rPr>
      </w:pPr>
      <w:r w:rsidRPr="002E4E10">
        <w:rPr>
          <w:rFonts w:cs="Arial"/>
          <w:b/>
          <w:sz w:val="22"/>
          <w:szCs w:val="22"/>
          <w:lang w:eastAsia="en-GB"/>
        </w:rPr>
        <w:t xml:space="preserve">Increase in Academy Conversions </w:t>
      </w:r>
    </w:p>
    <w:p w14:paraId="60CEAE9C" w14:textId="77777777" w:rsidR="00073939" w:rsidRDefault="00073939" w:rsidP="00073939">
      <w:pPr>
        <w:rPr>
          <w:rFonts w:cs="Arial"/>
          <w:b/>
          <w:color w:val="FF0000"/>
          <w:sz w:val="22"/>
          <w:szCs w:val="22"/>
          <w:lang w:eastAsia="en-GB"/>
        </w:rPr>
      </w:pPr>
    </w:p>
    <w:p w14:paraId="740D8FAE" w14:textId="77777777" w:rsidR="00047663" w:rsidRPr="002E4E10" w:rsidRDefault="00047663" w:rsidP="007E6DC7">
      <w:pPr>
        <w:pStyle w:val="ListParagraph"/>
        <w:numPr>
          <w:ilvl w:val="0"/>
          <w:numId w:val="6"/>
        </w:numPr>
        <w:ind w:left="426" w:hanging="426"/>
        <w:rPr>
          <w:rFonts w:cs="Arial"/>
          <w:sz w:val="22"/>
          <w:szCs w:val="22"/>
          <w:lang w:eastAsia="en-GB"/>
        </w:rPr>
      </w:pPr>
      <w:r w:rsidRPr="002E4E10">
        <w:rPr>
          <w:rFonts w:cs="Arial"/>
          <w:sz w:val="22"/>
          <w:szCs w:val="22"/>
          <w:lang w:eastAsia="en-GB"/>
        </w:rPr>
        <w:t>The risks associated with the increase in Academy conversions have been distilled into two clear events:</w:t>
      </w:r>
    </w:p>
    <w:p w14:paraId="474DED76" w14:textId="77777777" w:rsidR="006937AA" w:rsidRPr="00073939" w:rsidRDefault="006937AA" w:rsidP="002E4E10">
      <w:pPr>
        <w:ind w:left="426" w:hanging="284"/>
        <w:rPr>
          <w:rFonts w:cs="Arial"/>
          <w:sz w:val="22"/>
          <w:szCs w:val="22"/>
          <w:lang w:eastAsia="en-GB"/>
        </w:rPr>
      </w:pPr>
    </w:p>
    <w:p w14:paraId="139BAD66" w14:textId="77777777" w:rsidR="00047663" w:rsidRDefault="00047663" w:rsidP="007E6DC7">
      <w:pPr>
        <w:pStyle w:val="ListParagraph"/>
        <w:numPr>
          <w:ilvl w:val="0"/>
          <w:numId w:val="6"/>
        </w:numPr>
        <w:ind w:left="426" w:hanging="426"/>
        <w:rPr>
          <w:rFonts w:eastAsia="Calibri"/>
          <w:sz w:val="22"/>
          <w:szCs w:val="22"/>
        </w:rPr>
      </w:pPr>
      <w:r w:rsidRPr="008136D4">
        <w:rPr>
          <w:rFonts w:eastAsia="Calibri"/>
          <w:sz w:val="22"/>
          <w:szCs w:val="22"/>
        </w:rPr>
        <w:t xml:space="preserve">The profile of conversions </w:t>
      </w:r>
      <w:r>
        <w:rPr>
          <w:rFonts w:eastAsia="Calibri"/>
          <w:sz w:val="22"/>
          <w:szCs w:val="22"/>
        </w:rPr>
        <w:t>being inconsistent, with ‘spikes’ of activity delivering high numbers of conversions in some periods; and</w:t>
      </w:r>
    </w:p>
    <w:p w14:paraId="5657DA40" w14:textId="77777777" w:rsidR="002E4E10" w:rsidRPr="002E4E10" w:rsidRDefault="002E4E10" w:rsidP="002E4E10">
      <w:pPr>
        <w:pStyle w:val="ListParagraph"/>
        <w:ind w:left="426" w:hanging="284"/>
        <w:rPr>
          <w:rFonts w:eastAsia="Calibri"/>
          <w:sz w:val="22"/>
          <w:szCs w:val="22"/>
        </w:rPr>
      </w:pPr>
    </w:p>
    <w:p w14:paraId="035CABEF" w14:textId="77777777" w:rsidR="002E4E10" w:rsidRDefault="002E4E10" w:rsidP="002E4E10">
      <w:pPr>
        <w:pStyle w:val="ListParagraph"/>
        <w:ind w:left="426" w:hanging="284"/>
        <w:rPr>
          <w:rFonts w:eastAsia="Calibri"/>
          <w:sz w:val="22"/>
          <w:szCs w:val="22"/>
        </w:rPr>
      </w:pPr>
    </w:p>
    <w:p w14:paraId="153CABC5" w14:textId="77777777" w:rsidR="00047663" w:rsidRPr="004A3E5D" w:rsidRDefault="00047663" w:rsidP="007E6DC7">
      <w:pPr>
        <w:pStyle w:val="ListParagraph"/>
        <w:numPr>
          <w:ilvl w:val="0"/>
          <w:numId w:val="6"/>
        </w:numPr>
        <w:ind w:left="426" w:hanging="426"/>
        <w:rPr>
          <w:rFonts w:eastAsia="Calibri"/>
          <w:sz w:val="22"/>
          <w:szCs w:val="22"/>
        </w:rPr>
      </w:pPr>
      <w:r>
        <w:rPr>
          <w:rFonts w:eastAsia="Calibri"/>
          <w:sz w:val="22"/>
          <w:szCs w:val="22"/>
        </w:rPr>
        <w:t>A variety of approaches may be taken by establishments, not all of which may be currently supported by TP.</w:t>
      </w:r>
    </w:p>
    <w:p w14:paraId="53966408" w14:textId="77777777" w:rsidR="00073939" w:rsidRDefault="00073939" w:rsidP="002E4E10">
      <w:pPr>
        <w:ind w:left="426" w:hanging="284"/>
        <w:rPr>
          <w:sz w:val="22"/>
          <w:szCs w:val="22"/>
          <w:lang w:eastAsia="en-GB"/>
        </w:rPr>
      </w:pPr>
    </w:p>
    <w:p w14:paraId="4B885AFA" w14:textId="77777777" w:rsidR="00047663" w:rsidRPr="00C146AD" w:rsidRDefault="00047663" w:rsidP="007E6DC7">
      <w:pPr>
        <w:pStyle w:val="ListParagraph"/>
        <w:numPr>
          <w:ilvl w:val="0"/>
          <w:numId w:val="6"/>
        </w:numPr>
        <w:ind w:left="426" w:hanging="426"/>
        <w:rPr>
          <w:rFonts w:cs="Arial"/>
          <w:sz w:val="22"/>
          <w:szCs w:val="22"/>
          <w:lang w:eastAsia="en-GB"/>
        </w:rPr>
      </w:pPr>
      <w:r w:rsidRPr="00C146AD">
        <w:rPr>
          <w:sz w:val="22"/>
          <w:szCs w:val="22"/>
          <w:lang w:eastAsia="en-GB"/>
        </w:rPr>
        <w:t xml:space="preserve">A </w:t>
      </w:r>
      <w:r w:rsidR="0036338C" w:rsidRPr="00C146AD">
        <w:rPr>
          <w:sz w:val="22"/>
          <w:szCs w:val="22"/>
          <w:lang w:eastAsia="en-GB"/>
        </w:rPr>
        <w:t>significant</w:t>
      </w:r>
      <w:r w:rsidRPr="00C146AD">
        <w:rPr>
          <w:sz w:val="22"/>
          <w:szCs w:val="22"/>
          <w:lang w:eastAsia="en-GB"/>
        </w:rPr>
        <w:t xml:space="preserve"> amount of mitigation action is underway at present, such as </w:t>
      </w:r>
      <w:r w:rsidR="0036338C" w:rsidRPr="00C146AD">
        <w:rPr>
          <w:sz w:val="22"/>
          <w:szCs w:val="22"/>
          <w:lang w:eastAsia="en-GB"/>
        </w:rPr>
        <w:t>liaison</w:t>
      </w:r>
      <w:r w:rsidRPr="00C146AD">
        <w:rPr>
          <w:sz w:val="22"/>
          <w:szCs w:val="22"/>
          <w:lang w:eastAsia="en-GB"/>
        </w:rPr>
        <w:t xml:space="preserve"> taking place with EFA and DfE Academies colleagues to seek to improve the on-boarding process and the highlighting of employer responsibilities on the TPS website.</w:t>
      </w:r>
    </w:p>
    <w:p w14:paraId="4916FB04" w14:textId="77777777" w:rsidR="00047663" w:rsidRPr="004A3E5D" w:rsidRDefault="00047663" w:rsidP="002E4E10">
      <w:pPr>
        <w:pStyle w:val="ListParagraph"/>
        <w:ind w:left="426" w:hanging="284"/>
        <w:rPr>
          <w:rFonts w:cs="Arial"/>
          <w:sz w:val="22"/>
          <w:szCs w:val="22"/>
          <w:lang w:eastAsia="en-GB"/>
        </w:rPr>
      </w:pPr>
    </w:p>
    <w:p w14:paraId="11A8AC43" w14:textId="77777777" w:rsidR="00047663" w:rsidRPr="00C146AD" w:rsidRDefault="00047663" w:rsidP="007E6DC7">
      <w:pPr>
        <w:pStyle w:val="ListParagraph"/>
        <w:numPr>
          <w:ilvl w:val="0"/>
          <w:numId w:val="6"/>
        </w:numPr>
        <w:ind w:left="426" w:hanging="426"/>
        <w:rPr>
          <w:rFonts w:cs="Arial"/>
          <w:sz w:val="22"/>
          <w:szCs w:val="22"/>
          <w:lang w:eastAsia="en-GB"/>
        </w:rPr>
      </w:pPr>
      <w:r w:rsidRPr="00C146AD">
        <w:rPr>
          <w:rFonts w:cs="Arial"/>
          <w:sz w:val="22"/>
          <w:szCs w:val="22"/>
          <w:lang w:eastAsia="en-GB"/>
        </w:rPr>
        <w:t>These risks remain amber as there are a number of ongoing activities awaiting responses; these risks cannot be further mitigated until we have sight of the awaited responses.</w:t>
      </w:r>
    </w:p>
    <w:p w14:paraId="0EE537B9" w14:textId="77777777" w:rsidR="00047663" w:rsidRPr="008D34D3" w:rsidRDefault="00047663" w:rsidP="00047663">
      <w:pPr>
        <w:ind w:left="360" w:hanging="360"/>
        <w:rPr>
          <w:rFonts w:cs="Arial"/>
          <w:b/>
          <w:color w:val="FF0000"/>
          <w:sz w:val="22"/>
          <w:szCs w:val="22"/>
          <w:lang w:eastAsia="en-GB"/>
        </w:rPr>
      </w:pPr>
    </w:p>
    <w:p w14:paraId="0A975C39" w14:textId="77777777" w:rsidR="00047663" w:rsidRPr="008D34D3" w:rsidRDefault="00047663" w:rsidP="00047663">
      <w:pPr>
        <w:rPr>
          <w:rFonts w:cs="Arial"/>
          <w:b/>
          <w:color w:val="FF0000"/>
          <w:sz w:val="22"/>
          <w:szCs w:val="22"/>
          <w:lang w:eastAsia="en-GB"/>
        </w:rPr>
      </w:pPr>
    </w:p>
    <w:p w14:paraId="6BB9AA08" w14:textId="77777777" w:rsidR="00047663" w:rsidRPr="006F47BB" w:rsidRDefault="00047663" w:rsidP="006F47BB">
      <w:pPr>
        <w:rPr>
          <w:rFonts w:cs="Arial"/>
          <w:b/>
          <w:sz w:val="22"/>
          <w:szCs w:val="22"/>
          <w:lang w:eastAsia="en-GB"/>
        </w:rPr>
      </w:pPr>
      <w:r w:rsidRPr="006F47BB">
        <w:rPr>
          <w:rFonts w:cs="Arial"/>
          <w:b/>
          <w:sz w:val="22"/>
          <w:szCs w:val="22"/>
          <w:lang w:eastAsia="en-GB"/>
        </w:rPr>
        <w:t>Overview of all Risks</w:t>
      </w:r>
    </w:p>
    <w:p w14:paraId="4CBCDF01" w14:textId="77777777" w:rsidR="00047663" w:rsidRPr="008D34D3" w:rsidRDefault="00047663" w:rsidP="00047663">
      <w:pPr>
        <w:rPr>
          <w:rFonts w:cs="Arial"/>
          <w:b/>
          <w:color w:val="FF0000"/>
          <w:sz w:val="22"/>
          <w:szCs w:val="22"/>
          <w:lang w:eastAsia="en-GB"/>
        </w:rPr>
      </w:pPr>
    </w:p>
    <w:p w14:paraId="04C40B00" w14:textId="77777777" w:rsidR="00047663" w:rsidRPr="00C146AD" w:rsidRDefault="00047663" w:rsidP="007E6DC7">
      <w:pPr>
        <w:pStyle w:val="ListParagraph"/>
        <w:numPr>
          <w:ilvl w:val="0"/>
          <w:numId w:val="6"/>
        </w:numPr>
        <w:ind w:left="426" w:hanging="426"/>
        <w:rPr>
          <w:rFonts w:cs="Arial"/>
          <w:sz w:val="22"/>
          <w:szCs w:val="22"/>
          <w:lang w:eastAsia="en-GB"/>
        </w:rPr>
      </w:pPr>
      <w:r w:rsidRPr="00C146AD">
        <w:rPr>
          <w:rFonts w:cs="Arial"/>
          <w:sz w:val="22"/>
          <w:szCs w:val="22"/>
          <w:lang w:eastAsia="en-GB"/>
        </w:rPr>
        <w:t xml:space="preserve">There are currently 18 </w:t>
      </w:r>
      <w:r w:rsidRPr="00C146AD">
        <w:rPr>
          <w:rFonts w:cs="Arial"/>
          <w:b/>
          <w:sz w:val="22"/>
          <w:szCs w:val="22"/>
          <w:lang w:eastAsia="en-GB"/>
        </w:rPr>
        <w:t>Strategic Risks</w:t>
      </w:r>
      <w:r w:rsidRPr="00C146AD">
        <w:rPr>
          <w:rFonts w:cs="Arial"/>
          <w:sz w:val="22"/>
          <w:szCs w:val="22"/>
          <w:lang w:eastAsia="en-GB"/>
        </w:rPr>
        <w:t xml:space="preserve"> under management (no change from last period), none of which carry a ‘High’ net risk rating and which have strong controls in place.</w:t>
      </w:r>
    </w:p>
    <w:p w14:paraId="6FE6A61C" w14:textId="77777777" w:rsidR="00047663" w:rsidRPr="00F05AFA" w:rsidRDefault="00047663" w:rsidP="00047663">
      <w:pPr>
        <w:rPr>
          <w:rFonts w:cs="Arial"/>
          <w:sz w:val="22"/>
          <w:szCs w:val="22"/>
          <w:lang w:eastAsia="en-GB"/>
        </w:rPr>
      </w:pPr>
    </w:p>
    <w:p w14:paraId="7E7F7954" w14:textId="77777777" w:rsidR="00047663" w:rsidRPr="00C146AD" w:rsidRDefault="00047663" w:rsidP="007E6DC7">
      <w:pPr>
        <w:pStyle w:val="ListParagraph"/>
        <w:numPr>
          <w:ilvl w:val="0"/>
          <w:numId w:val="6"/>
        </w:numPr>
        <w:tabs>
          <w:tab w:val="left" w:pos="0"/>
        </w:tabs>
        <w:ind w:left="426" w:hanging="426"/>
        <w:rPr>
          <w:rFonts w:cs="Arial"/>
          <w:sz w:val="22"/>
          <w:szCs w:val="22"/>
          <w:lang w:eastAsia="en-GB"/>
        </w:rPr>
      </w:pPr>
      <w:r w:rsidRPr="00C146AD">
        <w:rPr>
          <w:rFonts w:cs="Arial"/>
          <w:sz w:val="22"/>
          <w:szCs w:val="22"/>
          <w:lang w:eastAsia="en-GB"/>
        </w:rPr>
        <w:t xml:space="preserve">In addition there are a further 19 </w:t>
      </w:r>
      <w:r w:rsidRPr="00C146AD">
        <w:rPr>
          <w:rFonts w:cs="Arial"/>
          <w:b/>
          <w:sz w:val="22"/>
          <w:szCs w:val="22"/>
          <w:lang w:eastAsia="en-GB"/>
        </w:rPr>
        <w:t>Service Delivery Risks</w:t>
      </w:r>
      <w:r w:rsidRPr="00C146AD">
        <w:rPr>
          <w:rFonts w:cs="Arial"/>
          <w:sz w:val="22"/>
          <w:szCs w:val="22"/>
          <w:lang w:eastAsia="en-GB"/>
        </w:rPr>
        <w:t xml:space="preserve"> under management (no change from last period), two of which carry a ‘High’ net risk rating, both associated with the </w:t>
      </w:r>
      <w:r w:rsidR="0036338C" w:rsidRPr="00C146AD">
        <w:rPr>
          <w:rFonts w:cs="Arial"/>
          <w:sz w:val="22"/>
          <w:szCs w:val="22"/>
          <w:lang w:eastAsia="en-GB"/>
        </w:rPr>
        <w:t>increase</w:t>
      </w:r>
      <w:r w:rsidRPr="00C146AD">
        <w:rPr>
          <w:rFonts w:cs="Arial"/>
          <w:sz w:val="22"/>
          <w:szCs w:val="22"/>
          <w:lang w:eastAsia="en-GB"/>
        </w:rPr>
        <w:t xml:space="preserve"> in academy conversions as reported in the Key Risks.</w:t>
      </w:r>
    </w:p>
    <w:p w14:paraId="7B5E80C6" w14:textId="77777777" w:rsidR="001A03D6" w:rsidRDefault="001A03D6" w:rsidP="00047663">
      <w:pPr>
        <w:ind w:left="426"/>
        <w:rPr>
          <w:rFonts w:cs="Arial"/>
          <w:color w:val="000000"/>
          <w:sz w:val="22"/>
          <w:szCs w:val="22"/>
          <w:lang w:eastAsia="en-GB"/>
        </w:rPr>
      </w:pPr>
    </w:p>
    <w:p w14:paraId="737F3678" w14:textId="77777777" w:rsidR="001A03D6" w:rsidRDefault="001A03D6" w:rsidP="00047663">
      <w:pPr>
        <w:ind w:left="426"/>
        <w:rPr>
          <w:rFonts w:cs="Arial"/>
          <w:color w:val="000000"/>
          <w:sz w:val="22"/>
          <w:szCs w:val="22"/>
          <w:lang w:eastAsia="en-GB"/>
        </w:rPr>
        <w:sectPr w:rsidR="001A03D6" w:rsidSect="006937AA">
          <w:headerReference w:type="default" r:id="rId13"/>
          <w:footerReference w:type="default" r:id="rId14"/>
          <w:pgSz w:w="11906" w:h="16838"/>
          <w:pgMar w:top="1440" w:right="1558" w:bottom="1440" w:left="1843" w:header="708" w:footer="708" w:gutter="0"/>
          <w:cols w:space="708"/>
          <w:docGrid w:linePitch="360"/>
        </w:sectPr>
      </w:pPr>
    </w:p>
    <w:p w14:paraId="72599440" w14:textId="77777777" w:rsidR="001A03D6" w:rsidRPr="009E19F7" w:rsidRDefault="001A03D6" w:rsidP="001A03D6">
      <w:pPr>
        <w:rPr>
          <w:rFonts w:cs="Arial"/>
          <w:sz w:val="22"/>
          <w:szCs w:val="22"/>
          <w:lang w:val="en-US"/>
        </w:rPr>
      </w:pPr>
      <w:r w:rsidRPr="009E19F7">
        <w:rPr>
          <w:rFonts w:cs="Arial"/>
          <w:b/>
          <w:sz w:val="22"/>
          <w:szCs w:val="22"/>
        </w:rPr>
        <w:lastRenderedPageBreak/>
        <w:t>Group Internal Audit (GIA) Update</w:t>
      </w:r>
    </w:p>
    <w:p w14:paraId="7199426C" w14:textId="77777777" w:rsidR="001A03D6" w:rsidRPr="009E19F7" w:rsidRDefault="001A03D6" w:rsidP="001A03D6">
      <w:pPr>
        <w:rPr>
          <w:rFonts w:cs="Arial"/>
          <w:sz w:val="22"/>
          <w:szCs w:val="22"/>
          <w:lang w:val="en-US"/>
        </w:rPr>
      </w:pPr>
    </w:p>
    <w:p w14:paraId="1F962E16" w14:textId="77777777" w:rsidR="001A03D6" w:rsidRPr="000F37CA" w:rsidRDefault="001A03D6" w:rsidP="001A03D6">
      <w:pPr>
        <w:tabs>
          <w:tab w:val="left" w:pos="5775"/>
        </w:tabs>
        <w:spacing w:after="120"/>
        <w:rPr>
          <w:rFonts w:cstheme="minorHAnsi"/>
        </w:rPr>
      </w:pPr>
      <w:r w:rsidRPr="000F37CA">
        <w:rPr>
          <w:rFonts w:cstheme="minorHAnsi"/>
        </w:rPr>
        <w:t xml:space="preserve">The main focus of GIA activity during the </w:t>
      </w:r>
      <w:r>
        <w:rPr>
          <w:rFonts w:cstheme="minorHAnsi"/>
        </w:rPr>
        <w:t>quarter</w:t>
      </w:r>
      <w:r w:rsidRPr="000F37CA">
        <w:rPr>
          <w:rFonts w:cstheme="minorHAnsi"/>
        </w:rPr>
        <w:t xml:space="preserve"> has been the continued progression of the 2016 plan, supporting Capita management to address open audit issues and initiating 2017 planning. </w:t>
      </w:r>
    </w:p>
    <w:p w14:paraId="5F72B76A" w14:textId="77777777" w:rsidR="001A03D6" w:rsidRPr="000F37CA" w:rsidRDefault="001A03D6" w:rsidP="001A03D6">
      <w:pPr>
        <w:spacing w:after="120"/>
        <w:rPr>
          <w:rFonts w:cstheme="minorHAnsi"/>
        </w:rPr>
      </w:pPr>
      <w:r w:rsidRPr="000F37CA">
        <w:rPr>
          <w:rFonts w:cstheme="minorHAnsi"/>
        </w:rPr>
        <w:t xml:space="preserve">The 2016 Plan remains on track for delivery. The review of Internal Fraud Controls Evaluation is at ‘Final Draft’ reporting stage with DfE for review/comments. Fieldwork is nearing completion for the review of Financial Crime, IT Application Management and Business Continuity. These reviews are being completed in line with the new GIA co-source model arrangement and reporting phases are expected during October/November. </w:t>
      </w:r>
    </w:p>
    <w:p w14:paraId="4EF34AE7" w14:textId="77777777" w:rsidR="001A03D6" w:rsidRPr="000F37CA" w:rsidRDefault="001A03D6" w:rsidP="001A03D6">
      <w:pPr>
        <w:spacing w:after="120"/>
        <w:rPr>
          <w:rFonts w:cstheme="minorHAnsi"/>
        </w:rPr>
      </w:pPr>
      <w:r w:rsidRPr="000F37CA">
        <w:rPr>
          <w:rFonts w:cstheme="minorHAnsi"/>
        </w:rPr>
        <w:t xml:space="preserve">The CEB Head of Business Assurance is currently reviewing audit strategy and reporting requirements during Q4 to align with the 2017 GIA planning cycle. A meeting will be scheduled with Capita/DfE management to review the proposed 2017 TPS assurance plan, including GIA coverage. </w:t>
      </w:r>
    </w:p>
    <w:p w14:paraId="668D613F" w14:textId="77777777" w:rsidR="001A03D6" w:rsidRPr="00363983" w:rsidRDefault="001A03D6" w:rsidP="001A03D6">
      <w:pPr>
        <w:widowControl/>
        <w:overflowPunct/>
        <w:autoSpaceDE/>
        <w:autoSpaceDN/>
        <w:adjustRightInd/>
        <w:ind w:left="15"/>
        <w:textAlignment w:val="auto"/>
        <w:rPr>
          <w:rFonts w:cs="Arial"/>
          <w:sz w:val="22"/>
          <w:szCs w:val="22"/>
        </w:rPr>
      </w:pPr>
    </w:p>
    <w:p w14:paraId="58D8AC37" w14:textId="77777777" w:rsidR="001A03D6" w:rsidRPr="00363983" w:rsidRDefault="001A03D6" w:rsidP="001A03D6">
      <w:pPr>
        <w:widowControl/>
        <w:overflowPunct/>
        <w:autoSpaceDE/>
        <w:autoSpaceDN/>
        <w:adjustRightInd/>
        <w:ind w:left="15"/>
        <w:jc w:val="center"/>
        <w:textAlignment w:val="auto"/>
        <w:rPr>
          <w:rFonts w:cs="Arial"/>
          <w:b/>
          <w:lang w:eastAsia="en-GB"/>
        </w:rPr>
      </w:pPr>
    </w:p>
    <w:p w14:paraId="0B539D44" w14:textId="77777777" w:rsidR="001A03D6" w:rsidRDefault="001A03D6" w:rsidP="001A03D6">
      <w:pPr>
        <w:widowControl/>
        <w:overflowPunct/>
        <w:autoSpaceDE/>
        <w:autoSpaceDN/>
        <w:adjustRightInd/>
        <w:ind w:left="15"/>
        <w:jc w:val="center"/>
        <w:textAlignment w:val="auto"/>
        <w:rPr>
          <w:rFonts w:cs="Arial"/>
          <w:b/>
          <w:lang w:eastAsia="en-GB"/>
        </w:rPr>
      </w:pPr>
      <w:r w:rsidRPr="00363983">
        <w:rPr>
          <w:rFonts w:cs="Arial"/>
          <w:b/>
          <w:lang w:eastAsia="en-GB"/>
        </w:rPr>
        <w:t>Outstanding Issues</w:t>
      </w:r>
    </w:p>
    <w:p w14:paraId="21C4E0AB" w14:textId="77777777" w:rsidR="001A03D6" w:rsidRDefault="001A03D6" w:rsidP="001A03D6">
      <w:pPr>
        <w:widowControl/>
        <w:overflowPunct/>
        <w:autoSpaceDE/>
        <w:autoSpaceDN/>
        <w:adjustRightInd/>
        <w:ind w:left="15"/>
        <w:jc w:val="center"/>
        <w:textAlignment w:val="auto"/>
        <w:rPr>
          <w:rFonts w:cs="Arial"/>
          <w:b/>
          <w:lang w:eastAsia="en-GB"/>
        </w:rPr>
      </w:pPr>
    </w:p>
    <w:tbl>
      <w:tblPr>
        <w:tblW w:w="10416" w:type="dxa"/>
        <w:jc w:val="center"/>
        <w:tblLayout w:type="fixed"/>
        <w:tblLook w:val="0000" w:firstRow="0" w:lastRow="0" w:firstColumn="0" w:lastColumn="0" w:noHBand="0" w:noVBand="0"/>
      </w:tblPr>
      <w:tblGrid>
        <w:gridCol w:w="1995"/>
        <w:gridCol w:w="498"/>
        <w:gridCol w:w="498"/>
        <w:gridCol w:w="540"/>
        <w:gridCol w:w="445"/>
        <w:gridCol w:w="440"/>
        <w:gridCol w:w="480"/>
        <w:gridCol w:w="460"/>
        <w:gridCol w:w="460"/>
        <w:gridCol w:w="400"/>
        <w:gridCol w:w="460"/>
        <w:gridCol w:w="420"/>
        <w:gridCol w:w="520"/>
        <w:gridCol w:w="460"/>
        <w:gridCol w:w="480"/>
        <w:gridCol w:w="460"/>
        <w:gridCol w:w="440"/>
        <w:gridCol w:w="960"/>
      </w:tblGrid>
      <w:tr w:rsidR="001A03D6" w:rsidRPr="000F37CA" w14:paraId="27F0A841" w14:textId="77777777" w:rsidTr="00A31581">
        <w:trPr>
          <w:trHeight w:val="330"/>
          <w:jc w:val="center"/>
        </w:trPr>
        <w:tc>
          <w:tcPr>
            <w:tcW w:w="10416" w:type="dxa"/>
            <w:gridSpan w:val="18"/>
            <w:tcBorders>
              <w:top w:val="single" w:sz="8" w:space="0" w:color="auto"/>
              <w:left w:val="single" w:sz="8" w:space="0" w:color="auto"/>
              <w:bottom w:val="single" w:sz="8" w:space="0" w:color="auto"/>
              <w:right w:val="single" w:sz="8" w:space="0" w:color="000000"/>
            </w:tcBorders>
            <w:shd w:val="clear" w:color="auto" w:fill="969696"/>
            <w:vAlign w:val="bottom"/>
          </w:tcPr>
          <w:p w14:paraId="18EBC4FC" w14:textId="77777777" w:rsidR="001A03D6" w:rsidRPr="000F37CA" w:rsidRDefault="001A03D6" w:rsidP="00A31581">
            <w:pPr>
              <w:rPr>
                <w:rFonts w:cstheme="minorHAnsi"/>
              </w:rPr>
            </w:pPr>
            <w:r w:rsidRPr="000F37CA">
              <w:rPr>
                <w:rFonts w:cstheme="minorHAnsi"/>
              </w:rPr>
              <w:t>Overdue 1-30 days: Green; 31-60 days: Amber; 60 days plus: Red</w:t>
            </w:r>
          </w:p>
        </w:tc>
      </w:tr>
      <w:tr w:rsidR="001A03D6" w:rsidRPr="000F37CA" w14:paraId="053110BF" w14:textId="77777777" w:rsidTr="00A31581">
        <w:trPr>
          <w:trHeight w:val="315"/>
          <w:jc w:val="center"/>
        </w:trPr>
        <w:tc>
          <w:tcPr>
            <w:tcW w:w="1995" w:type="dxa"/>
            <w:vMerge w:val="restart"/>
            <w:tcBorders>
              <w:top w:val="nil"/>
              <w:left w:val="single" w:sz="8" w:space="0" w:color="auto"/>
              <w:bottom w:val="single" w:sz="8" w:space="0" w:color="000000"/>
              <w:right w:val="single" w:sz="8" w:space="0" w:color="auto"/>
            </w:tcBorders>
            <w:shd w:val="clear" w:color="auto" w:fill="C0C0C0"/>
            <w:vAlign w:val="bottom"/>
          </w:tcPr>
          <w:p w14:paraId="56737BA3" w14:textId="77777777" w:rsidR="001A03D6" w:rsidRPr="000F37CA" w:rsidRDefault="001A03D6" w:rsidP="00A31581">
            <w:pPr>
              <w:rPr>
                <w:rFonts w:cstheme="minorHAnsi"/>
              </w:rPr>
            </w:pPr>
            <w:r w:rsidRPr="000F37CA">
              <w:rPr>
                <w:rFonts w:cstheme="minorHAnsi"/>
              </w:rPr>
              <w:t>Source</w:t>
            </w:r>
          </w:p>
        </w:tc>
        <w:tc>
          <w:tcPr>
            <w:tcW w:w="1981" w:type="dxa"/>
            <w:gridSpan w:val="4"/>
            <w:tcBorders>
              <w:top w:val="single" w:sz="8" w:space="0" w:color="auto"/>
              <w:left w:val="nil"/>
              <w:bottom w:val="single" w:sz="8" w:space="0" w:color="auto"/>
              <w:right w:val="single" w:sz="8" w:space="0" w:color="000000"/>
            </w:tcBorders>
            <w:shd w:val="clear" w:color="auto" w:fill="C0C0C0"/>
            <w:vAlign w:val="bottom"/>
          </w:tcPr>
          <w:p w14:paraId="275AF4A2" w14:textId="77777777" w:rsidR="001A03D6" w:rsidRPr="000F37CA" w:rsidRDefault="001A03D6" w:rsidP="00A31581">
            <w:pPr>
              <w:jc w:val="center"/>
              <w:rPr>
                <w:rFonts w:cstheme="minorHAnsi"/>
              </w:rPr>
            </w:pPr>
            <w:r w:rsidRPr="000F37CA">
              <w:rPr>
                <w:rFonts w:cstheme="minorHAnsi"/>
              </w:rPr>
              <w:t>Total Open</w:t>
            </w:r>
          </w:p>
        </w:tc>
        <w:tc>
          <w:tcPr>
            <w:tcW w:w="1840" w:type="dxa"/>
            <w:gridSpan w:val="4"/>
            <w:tcBorders>
              <w:top w:val="single" w:sz="8" w:space="0" w:color="auto"/>
              <w:left w:val="nil"/>
              <w:bottom w:val="single" w:sz="8" w:space="0" w:color="auto"/>
              <w:right w:val="single" w:sz="8" w:space="0" w:color="000000"/>
            </w:tcBorders>
            <w:shd w:val="clear" w:color="auto" w:fill="C0C0C0"/>
            <w:vAlign w:val="bottom"/>
          </w:tcPr>
          <w:p w14:paraId="6767AB36" w14:textId="77777777" w:rsidR="001A03D6" w:rsidRPr="000F37CA" w:rsidRDefault="001A03D6" w:rsidP="00A31581">
            <w:pPr>
              <w:jc w:val="center"/>
              <w:rPr>
                <w:rFonts w:cstheme="minorHAnsi"/>
              </w:rPr>
            </w:pPr>
            <w:r w:rsidRPr="000F37CA">
              <w:rPr>
                <w:rFonts w:cstheme="minorHAnsi"/>
              </w:rPr>
              <w:t xml:space="preserve">0 to 30 days </w:t>
            </w:r>
          </w:p>
        </w:tc>
        <w:tc>
          <w:tcPr>
            <w:tcW w:w="1800" w:type="dxa"/>
            <w:gridSpan w:val="4"/>
            <w:tcBorders>
              <w:top w:val="single" w:sz="8" w:space="0" w:color="auto"/>
              <w:left w:val="nil"/>
              <w:bottom w:val="single" w:sz="8" w:space="0" w:color="auto"/>
              <w:right w:val="single" w:sz="8" w:space="0" w:color="000000"/>
            </w:tcBorders>
            <w:shd w:val="clear" w:color="auto" w:fill="C0C0C0"/>
            <w:vAlign w:val="bottom"/>
          </w:tcPr>
          <w:p w14:paraId="0F2037F2" w14:textId="77777777" w:rsidR="001A03D6" w:rsidRPr="000F37CA" w:rsidRDefault="001A03D6" w:rsidP="00A31581">
            <w:pPr>
              <w:jc w:val="center"/>
              <w:rPr>
                <w:rFonts w:cstheme="minorHAnsi"/>
              </w:rPr>
            </w:pPr>
            <w:r w:rsidRPr="000F37CA">
              <w:rPr>
                <w:rFonts w:cstheme="minorHAnsi"/>
              </w:rPr>
              <w:t>31 to 60 days</w:t>
            </w:r>
          </w:p>
        </w:tc>
        <w:tc>
          <w:tcPr>
            <w:tcW w:w="1840" w:type="dxa"/>
            <w:gridSpan w:val="4"/>
            <w:tcBorders>
              <w:top w:val="single" w:sz="8" w:space="0" w:color="auto"/>
              <w:left w:val="nil"/>
              <w:bottom w:val="single" w:sz="8" w:space="0" w:color="auto"/>
              <w:right w:val="single" w:sz="8" w:space="0" w:color="000000"/>
            </w:tcBorders>
            <w:shd w:val="clear" w:color="auto" w:fill="C0C0C0"/>
            <w:vAlign w:val="bottom"/>
          </w:tcPr>
          <w:p w14:paraId="620F0605" w14:textId="77777777" w:rsidR="001A03D6" w:rsidRPr="000F37CA" w:rsidRDefault="001A03D6" w:rsidP="00A31581">
            <w:pPr>
              <w:jc w:val="center"/>
              <w:rPr>
                <w:rFonts w:cstheme="minorHAnsi"/>
              </w:rPr>
            </w:pPr>
            <w:r w:rsidRPr="000F37CA">
              <w:rPr>
                <w:rFonts w:cstheme="minorHAnsi"/>
              </w:rPr>
              <w:t>60 days +</w:t>
            </w:r>
          </w:p>
        </w:tc>
        <w:tc>
          <w:tcPr>
            <w:tcW w:w="960" w:type="dxa"/>
            <w:vMerge w:val="restart"/>
            <w:tcBorders>
              <w:top w:val="nil"/>
              <w:left w:val="single" w:sz="8" w:space="0" w:color="auto"/>
              <w:bottom w:val="single" w:sz="8" w:space="0" w:color="000000"/>
              <w:right w:val="single" w:sz="8" w:space="0" w:color="auto"/>
            </w:tcBorders>
            <w:shd w:val="clear" w:color="auto" w:fill="C0C0C0"/>
            <w:vAlign w:val="bottom"/>
          </w:tcPr>
          <w:p w14:paraId="7566D61D" w14:textId="77777777" w:rsidR="001A03D6" w:rsidRPr="000F37CA" w:rsidRDefault="001A03D6" w:rsidP="00A31581">
            <w:pPr>
              <w:jc w:val="center"/>
              <w:rPr>
                <w:rFonts w:cstheme="minorHAnsi"/>
              </w:rPr>
            </w:pPr>
            <w:r w:rsidRPr="000F37CA">
              <w:rPr>
                <w:rFonts w:cstheme="minorHAnsi"/>
              </w:rPr>
              <w:t>Trend</w:t>
            </w:r>
          </w:p>
        </w:tc>
      </w:tr>
      <w:tr w:rsidR="001A03D6" w:rsidRPr="000F37CA" w14:paraId="548A4F6C" w14:textId="77777777" w:rsidTr="00A31581">
        <w:trPr>
          <w:trHeight w:val="315"/>
          <w:jc w:val="center"/>
        </w:trPr>
        <w:tc>
          <w:tcPr>
            <w:tcW w:w="1995" w:type="dxa"/>
            <w:vMerge/>
            <w:tcBorders>
              <w:top w:val="nil"/>
              <w:left w:val="single" w:sz="8" w:space="0" w:color="auto"/>
              <w:bottom w:val="single" w:sz="8" w:space="0" w:color="000000"/>
              <w:right w:val="single" w:sz="8" w:space="0" w:color="auto"/>
            </w:tcBorders>
            <w:vAlign w:val="center"/>
          </w:tcPr>
          <w:p w14:paraId="465C2CC1" w14:textId="77777777" w:rsidR="001A03D6" w:rsidRPr="000F37CA" w:rsidRDefault="001A03D6" w:rsidP="00A31581">
            <w:pPr>
              <w:rPr>
                <w:rFonts w:cstheme="minorHAnsi"/>
              </w:rPr>
            </w:pPr>
          </w:p>
        </w:tc>
        <w:tc>
          <w:tcPr>
            <w:tcW w:w="498" w:type="dxa"/>
            <w:tcBorders>
              <w:top w:val="nil"/>
              <w:left w:val="nil"/>
              <w:bottom w:val="single" w:sz="8" w:space="0" w:color="auto"/>
              <w:right w:val="single" w:sz="8" w:space="0" w:color="auto"/>
            </w:tcBorders>
            <w:shd w:val="clear" w:color="auto" w:fill="C0C0C0"/>
            <w:vAlign w:val="bottom"/>
          </w:tcPr>
          <w:p w14:paraId="592DB8E3" w14:textId="77777777" w:rsidR="001A03D6" w:rsidRPr="000F37CA" w:rsidRDefault="001A03D6" w:rsidP="00A31581">
            <w:pPr>
              <w:jc w:val="center"/>
              <w:rPr>
                <w:rFonts w:cstheme="minorHAnsi"/>
              </w:rPr>
            </w:pPr>
            <w:r w:rsidRPr="000F37CA">
              <w:rPr>
                <w:rFonts w:cstheme="minorHAnsi"/>
              </w:rPr>
              <w:t>C</w:t>
            </w:r>
          </w:p>
        </w:tc>
        <w:tc>
          <w:tcPr>
            <w:tcW w:w="498" w:type="dxa"/>
            <w:tcBorders>
              <w:top w:val="nil"/>
              <w:left w:val="nil"/>
              <w:bottom w:val="single" w:sz="8" w:space="0" w:color="auto"/>
              <w:right w:val="single" w:sz="8" w:space="0" w:color="auto"/>
            </w:tcBorders>
            <w:shd w:val="clear" w:color="auto" w:fill="C0C0C0"/>
            <w:vAlign w:val="bottom"/>
          </w:tcPr>
          <w:p w14:paraId="4A1AAEF6" w14:textId="77777777" w:rsidR="001A03D6" w:rsidRPr="000F37CA" w:rsidRDefault="001A03D6" w:rsidP="00A31581">
            <w:pPr>
              <w:jc w:val="center"/>
              <w:rPr>
                <w:rFonts w:cstheme="minorHAnsi"/>
              </w:rPr>
            </w:pPr>
            <w:r w:rsidRPr="000F37CA">
              <w:rPr>
                <w:rFonts w:cstheme="minorHAnsi"/>
              </w:rPr>
              <w:t>H</w:t>
            </w:r>
          </w:p>
        </w:tc>
        <w:tc>
          <w:tcPr>
            <w:tcW w:w="540" w:type="dxa"/>
            <w:tcBorders>
              <w:top w:val="nil"/>
              <w:left w:val="nil"/>
              <w:bottom w:val="single" w:sz="8" w:space="0" w:color="auto"/>
              <w:right w:val="single" w:sz="8" w:space="0" w:color="auto"/>
            </w:tcBorders>
            <w:shd w:val="clear" w:color="auto" w:fill="C0C0C0"/>
            <w:vAlign w:val="bottom"/>
          </w:tcPr>
          <w:p w14:paraId="7CB6ECAE" w14:textId="77777777" w:rsidR="001A03D6" w:rsidRPr="000F37CA" w:rsidRDefault="001A03D6" w:rsidP="00A31581">
            <w:pPr>
              <w:jc w:val="center"/>
              <w:rPr>
                <w:rFonts w:cstheme="minorHAnsi"/>
              </w:rPr>
            </w:pPr>
            <w:r w:rsidRPr="000F37CA">
              <w:rPr>
                <w:rFonts w:cstheme="minorHAnsi"/>
              </w:rPr>
              <w:t>M</w:t>
            </w:r>
          </w:p>
        </w:tc>
        <w:tc>
          <w:tcPr>
            <w:tcW w:w="445" w:type="dxa"/>
            <w:tcBorders>
              <w:top w:val="nil"/>
              <w:left w:val="nil"/>
              <w:bottom w:val="single" w:sz="8" w:space="0" w:color="auto"/>
              <w:right w:val="single" w:sz="8" w:space="0" w:color="auto"/>
            </w:tcBorders>
            <w:shd w:val="clear" w:color="auto" w:fill="C0C0C0"/>
            <w:vAlign w:val="bottom"/>
          </w:tcPr>
          <w:p w14:paraId="10A2BCD6" w14:textId="77777777" w:rsidR="001A03D6" w:rsidRPr="000F37CA" w:rsidRDefault="001A03D6" w:rsidP="00A31581">
            <w:pPr>
              <w:jc w:val="center"/>
              <w:rPr>
                <w:rFonts w:cstheme="minorHAnsi"/>
              </w:rPr>
            </w:pPr>
            <w:r w:rsidRPr="000F37CA">
              <w:rPr>
                <w:rFonts w:cstheme="minorHAnsi"/>
              </w:rPr>
              <w:t>L</w:t>
            </w:r>
          </w:p>
        </w:tc>
        <w:tc>
          <w:tcPr>
            <w:tcW w:w="440" w:type="dxa"/>
            <w:tcBorders>
              <w:top w:val="nil"/>
              <w:left w:val="nil"/>
              <w:bottom w:val="single" w:sz="8" w:space="0" w:color="auto"/>
              <w:right w:val="single" w:sz="8" w:space="0" w:color="auto"/>
            </w:tcBorders>
            <w:shd w:val="clear" w:color="auto" w:fill="C0C0C0"/>
            <w:vAlign w:val="bottom"/>
          </w:tcPr>
          <w:p w14:paraId="4E330754" w14:textId="77777777" w:rsidR="001A03D6" w:rsidRPr="000F37CA" w:rsidRDefault="001A03D6" w:rsidP="00A31581">
            <w:pPr>
              <w:jc w:val="center"/>
              <w:rPr>
                <w:rFonts w:cstheme="minorHAnsi"/>
              </w:rPr>
            </w:pPr>
            <w:r w:rsidRPr="000F37CA">
              <w:rPr>
                <w:rFonts w:cstheme="minorHAnsi"/>
              </w:rPr>
              <w:t>C</w:t>
            </w:r>
          </w:p>
        </w:tc>
        <w:tc>
          <w:tcPr>
            <w:tcW w:w="480" w:type="dxa"/>
            <w:tcBorders>
              <w:top w:val="nil"/>
              <w:left w:val="nil"/>
              <w:bottom w:val="single" w:sz="8" w:space="0" w:color="auto"/>
              <w:right w:val="single" w:sz="8" w:space="0" w:color="auto"/>
            </w:tcBorders>
            <w:shd w:val="clear" w:color="auto" w:fill="C0C0C0"/>
            <w:vAlign w:val="bottom"/>
          </w:tcPr>
          <w:p w14:paraId="16ACF417" w14:textId="77777777" w:rsidR="001A03D6" w:rsidRPr="000F37CA" w:rsidRDefault="001A03D6" w:rsidP="00A31581">
            <w:pPr>
              <w:jc w:val="center"/>
              <w:rPr>
                <w:rFonts w:cstheme="minorHAnsi"/>
              </w:rPr>
            </w:pPr>
            <w:r w:rsidRPr="000F37CA">
              <w:rPr>
                <w:rFonts w:cstheme="minorHAnsi"/>
              </w:rPr>
              <w:t>H</w:t>
            </w:r>
          </w:p>
        </w:tc>
        <w:tc>
          <w:tcPr>
            <w:tcW w:w="460" w:type="dxa"/>
            <w:tcBorders>
              <w:top w:val="nil"/>
              <w:left w:val="nil"/>
              <w:bottom w:val="single" w:sz="8" w:space="0" w:color="auto"/>
              <w:right w:val="single" w:sz="8" w:space="0" w:color="auto"/>
            </w:tcBorders>
            <w:shd w:val="clear" w:color="auto" w:fill="C0C0C0"/>
            <w:vAlign w:val="bottom"/>
          </w:tcPr>
          <w:p w14:paraId="041CD047" w14:textId="77777777" w:rsidR="001A03D6" w:rsidRPr="000F37CA" w:rsidRDefault="001A03D6" w:rsidP="00A31581">
            <w:pPr>
              <w:jc w:val="center"/>
              <w:rPr>
                <w:rFonts w:cstheme="minorHAnsi"/>
              </w:rPr>
            </w:pPr>
            <w:r w:rsidRPr="000F37CA">
              <w:rPr>
                <w:rFonts w:cstheme="minorHAnsi"/>
              </w:rPr>
              <w:t>M</w:t>
            </w:r>
          </w:p>
        </w:tc>
        <w:tc>
          <w:tcPr>
            <w:tcW w:w="460" w:type="dxa"/>
            <w:tcBorders>
              <w:top w:val="nil"/>
              <w:left w:val="nil"/>
              <w:bottom w:val="single" w:sz="8" w:space="0" w:color="auto"/>
              <w:right w:val="single" w:sz="8" w:space="0" w:color="auto"/>
            </w:tcBorders>
            <w:shd w:val="clear" w:color="auto" w:fill="C0C0C0"/>
            <w:vAlign w:val="bottom"/>
          </w:tcPr>
          <w:p w14:paraId="606EF6ED" w14:textId="77777777" w:rsidR="001A03D6" w:rsidRPr="000F37CA" w:rsidRDefault="001A03D6" w:rsidP="00A31581">
            <w:pPr>
              <w:jc w:val="center"/>
              <w:rPr>
                <w:rFonts w:cstheme="minorHAnsi"/>
              </w:rPr>
            </w:pPr>
            <w:r w:rsidRPr="000F37CA">
              <w:rPr>
                <w:rFonts w:cstheme="minorHAnsi"/>
              </w:rPr>
              <w:t>L</w:t>
            </w:r>
          </w:p>
        </w:tc>
        <w:tc>
          <w:tcPr>
            <w:tcW w:w="400" w:type="dxa"/>
            <w:tcBorders>
              <w:top w:val="nil"/>
              <w:left w:val="nil"/>
              <w:bottom w:val="single" w:sz="8" w:space="0" w:color="auto"/>
              <w:right w:val="single" w:sz="8" w:space="0" w:color="auto"/>
            </w:tcBorders>
            <w:shd w:val="clear" w:color="auto" w:fill="C0C0C0"/>
            <w:vAlign w:val="bottom"/>
          </w:tcPr>
          <w:p w14:paraId="1C03D8B6" w14:textId="77777777" w:rsidR="001A03D6" w:rsidRPr="000F37CA" w:rsidRDefault="001A03D6" w:rsidP="00A31581">
            <w:pPr>
              <w:jc w:val="center"/>
              <w:rPr>
                <w:rFonts w:cstheme="minorHAnsi"/>
              </w:rPr>
            </w:pPr>
            <w:r w:rsidRPr="000F37CA">
              <w:rPr>
                <w:rFonts w:cstheme="minorHAnsi"/>
              </w:rPr>
              <w:t>C</w:t>
            </w:r>
          </w:p>
        </w:tc>
        <w:tc>
          <w:tcPr>
            <w:tcW w:w="460" w:type="dxa"/>
            <w:tcBorders>
              <w:top w:val="nil"/>
              <w:left w:val="nil"/>
              <w:bottom w:val="single" w:sz="8" w:space="0" w:color="auto"/>
              <w:right w:val="single" w:sz="8" w:space="0" w:color="auto"/>
            </w:tcBorders>
            <w:shd w:val="clear" w:color="auto" w:fill="C0C0C0"/>
            <w:vAlign w:val="bottom"/>
          </w:tcPr>
          <w:p w14:paraId="5A9D8632" w14:textId="77777777" w:rsidR="001A03D6" w:rsidRPr="000F37CA" w:rsidRDefault="001A03D6" w:rsidP="00A31581">
            <w:pPr>
              <w:jc w:val="center"/>
              <w:rPr>
                <w:rFonts w:cstheme="minorHAnsi"/>
              </w:rPr>
            </w:pPr>
            <w:r w:rsidRPr="000F37CA">
              <w:rPr>
                <w:rFonts w:cstheme="minorHAnsi"/>
              </w:rPr>
              <w:t>H</w:t>
            </w:r>
          </w:p>
        </w:tc>
        <w:tc>
          <w:tcPr>
            <w:tcW w:w="420" w:type="dxa"/>
            <w:tcBorders>
              <w:top w:val="nil"/>
              <w:left w:val="nil"/>
              <w:bottom w:val="single" w:sz="8" w:space="0" w:color="auto"/>
              <w:right w:val="single" w:sz="8" w:space="0" w:color="auto"/>
            </w:tcBorders>
            <w:shd w:val="clear" w:color="auto" w:fill="C0C0C0"/>
            <w:vAlign w:val="bottom"/>
          </w:tcPr>
          <w:p w14:paraId="68322253" w14:textId="77777777" w:rsidR="001A03D6" w:rsidRPr="000F37CA" w:rsidRDefault="001A03D6" w:rsidP="00A31581">
            <w:pPr>
              <w:jc w:val="center"/>
              <w:rPr>
                <w:rFonts w:cstheme="minorHAnsi"/>
              </w:rPr>
            </w:pPr>
            <w:r w:rsidRPr="000F37CA">
              <w:rPr>
                <w:rFonts w:cstheme="minorHAnsi"/>
              </w:rPr>
              <w:t>M</w:t>
            </w:r>
          </w:p>
        </w:tc>
        <w:tc>
          <w:tcPr>
            <w:tcW w:w="520" w:type="dxa"/>
            <w:tcBorders>
              <w:top w:val="nil"/>
              <w:left w:val="nil"/>
              <w:bottom w:val="single" w:sz="8" w:space="0" w:color="auto"/>
              <w:right w:val="single" w:sz="8" w:space="0" w:color="auto"/>
            </w:tcBorders>
            <w:shd w:val="clear" w:color="auto" w:fill="C0C0C0"/>
            <w:vAlign w:val="bottom"/>
          </w:tcPr>
          <w:p w14:paraId="665BB526" w14:textId="77777777" w:rsidR="001A03D6" w:rsidRPr="000F37CA" w:rsidRDefault="001A03D6" w:rsidP="00A31581">
            <w:pPr>
              <w:jc w:val="center"/>
              <w:rPr>
                <w:rFonts w:cstheme="minorHAnsi"/>
              </w:rPr>
            </w:pPr>
            <w:r w:rsidRPr="000F37CA">
              <w:rPr>
                <w:rFonts w:cstheme="minorHAnsi"/>
              </w:rPr>
              <w:t>L</w:t>
            </w:r>
          </w:p>
        </w:tc>
        <w:tc>
          <w:tcPr>
            <w:tcW w:w="460" w:type="dxa"/>
            <w:tcBorders>
              <w:top w:val="nil"/>
              <w:left w:val="nil"/>
              <w:bottom w:val="single" w:sz="8" w:space="0" w:color="auto"/>
              <w:right w:val="single" w:sz="8" w:space="0" w:color="auto"/>
            </w:tcBorders>
            <w:shd w:val="clear" w:color="auto" w:fill="C0C0C0"/>
            <w:vAlign w:val="bottom"/>
          </w:tcPr>
          <w:p w14:paraId="67415B54" w14:textId="77777777" w:rsidR="001A03D6" w:rsidRPr="000F37CA" w:rsidRDefault="001A03D6" w:rsidP="00A31581">
            <w:pPr>
              <w:jc w:val="center"/>
              <w:rPr>
                <w:rFonts w:cstheme="minorHAnsi"/>
              </w:rPr>
            </w:pPr>
            <w:r w:rsidRPr="000F37CA">
              <w:rPr>
                <w:rFonts w:cstheme="minorHAnsi"/>
              </w:rPr>
              <w:t>C</w:t>
            </w:r>
          </w:p>
        </w:tc>
        <w:tc>
          <w:tcPr>
            <w:tcW w:w="480" w:type="dxa"/>
            <w:tcBorders>
              <w:top w:val="nil"/>
              <w:left w:val="nil"/>
              <w:bottom w:val="single" w:sz="8" w:space="0" w:color="auto"/>
              <w:right w:val="single" w:sz="8" w:space="0" w:color="auto"/>
            </w:tcBorders>
            <w:shd w:val="clear" w:color="auto" w:fill="C0C0C0"/>
            <w:vAlign w:val="bottom"/>
          </w:tcPr>
          <w:p w14:paraId="51598E44" w14:textId="77777777" w:rsidR="001A03D6" w:rsidRPr="000F37CA" w:rsidRDefault="001A03D6" w:rsidP="00A31581">
            <w:pPr>
              <w:jc w:val="center"/>
              <w:rPr>
                <w:rFonts w:cstheme="minorHAnsi"/>
              </w:rPr>
            </w:pPr>
            <w:r w:rsidRPr="000F37CA">
              <w:rPr>
                <w:rFonts w:cstheme="minorHAnsi"/>
              </w:rPr>
              <w:t>H</w:t>
            </w:r>
          </w:p>
        </w:tc>
        <w:tc>
          <w:tcPr>
            <w:tcW w:w="460" w:type="dxa"/>
            <w:tcBorders>
              <w:top w:val="nil"/>
              <w:left w:val="nil"/>
              <w:bottom w:val="single" w:sz="8" w:space="0" w:color="auto"/>
              <w:right w:val="single" w:sz="8" w:space="0" w:color="auto"/>
            </w:tcBorders>
            <w:shd w:val="clear" w:color="auto" w:fill="C0C0C0"/>
            <w:vAlign w:val="bottom"/>
          </w:tcPr>
          <w:p w14:paraId="73B39DFE" w14:textId="77777777" w:rsidR="001A03D6" w:rsidRPr="000F37CA" w:rsidRDefault="001A03D6" w:rsidP="00A31581">
            <w:pPr>
              <w:jc w:val="center"/>
              <w:rPr>
                <w:rFonts w:cstheme="minorHAnsi"/>
              </w:rPr>
            </w:pPr>
            <w:r w:rsidRPr="000F37CA">
              <w:rPr>
                <w:rFonts w:cstheme="minorHAnsi"/>
              </w:rPr>
              <w:t>M</w:t>
            </w:r>
          </w:p>
        </w:tc>
        <w:tc>
          <w:tcPr>
            <w:tcW w:w="440" w:type="dxa"/>
            <w:tcBorders>
              <w:top w:val="nil"/>
              <w:left w:val="nil"/>
              <w:bottom w:val="single" w:sz="8" w:space="0" w:color="auto"/>
              <w:right w:val="single" w:sz="8" w:space="0" w:color="auto"/>
            </w:tcBorders>
            <w:shd w:val="clear" w:color="auto" w:fill="C0C0C0"/>
            <w:vAlign w:val="bottom"/>
          </w:tcPr>
          <w:p w14:paraId="4CC10A91" w14:textId="77777777" w:rsidR="001A03D6" w:rsidRPr="000F37CA" w:rsidRDefault="001A03D6" w:rsidP="00A31581">
            <w:pPr>
              <w:jc w:val="center"/>
              <w:rPr>
                <w:rFonts w:cstheme="minorHAnsi"/>
              </w:rPr>
            </w:pPr>
            <w:r w:rsidRPr="000F37CA">
              <w:rPr>
                <w:rFonts w:cstheme="minorHAnsi"/>
              </w:rPr>
              <w:t>L</w:t>
            </w:r>
          </w:p>
        </w:tc>
        <w:tc>
          <w:tcPr>
            <w:tcW w:w="960" w:type="dxa"/>
            <w:vMerge/>
            <w:tcBorders>
              <w:top w:val="nil"/>
              <w:left w:val="single" w:sz="8" w:space="0" w:color="auto"/>
              <w:bottom w:val="single" w:sz="8" w:space="0" w:color="000000"/>
              <w:right w:val="single" w:sz="8" w:space="0" w:color="auto"/>
            </w:tcBorders>
            <w:vAlign w:val="center"/>
          </w:tcPr>
          <w:p w14:paraId="24BF28BB" w14:textId="77777777" w:rsidR="001A03D6" w:rsidRPr="000F37CA" w:rsidRDefault="001A03D6" w:rsidP="00A31581">
            <w:pPr>
              <w:rPr>
                <w:rFonts w:cstheme="minorHAnsi"/>
              </w:rPr>
            </w:pPr>
          </w:p>
        </w:tc>
      </w:tr>
      <w:tr w:rsidR="001A03D6" w:rsidRPr="000F37CA" w14:paraId="77897512" w14:textId="77777777" w:rsidTr="00A31581">
        <w:trPr>
          <w:trHeight w:val="315"/>
          <w:jc w:val="center"/>
        </w:trPr>
        <w:tc>
          <w:tcPr>
            <w:tcW w:w="1995" w:type="dxa"/>
            <w:tcBorders>
              <w:top w:val="nil"/>
              <w:left w:val="single" w:sz="8" w:space="0" w:color="auto"/>
              <w:bottom w:val="single" w:sz="8" w:space="0" w:color="auto"/>
              <w:right w:val="single" w:sz="8" w:space="0" w:color="auto"/>
            </w:tcBorders>
            <w:noWrap/>
            <w:vAlign w:val="bottom"/>
          </w:tcPr>
          <w:p w14:paraId="5915B2A2" w14:textId="77777777" w:rsidR="001A03D6" w:rsidRPr="000F37CA" w:rsidRDefault="001A03D6" w:rsidP="00A31581">
            <w:pPr>
              <w:rPr>
                <w:rFonts w:cstheme="minorHAnsi"/>
              </w:rPr>
            </w:pPr>
            <w:r w:rsidRPr="000F37CA">
              <w:rPr>
                <w:rFonts w:cstheme="minorHAnsi"/>
              </w:rPr>
              <w:t>TPS Operations</w:t>
            </w:r>
          </w:p>
        </w:tc>
        <w:tc>
          <w:tcPr>
            <w:tcW w:w="498" w:type="dxa"/>
            <w:tcBorders>
              <w:top w:val="nil"/>
              <w:left w:val="nil"/>
              <w:bottom w:val="single" w:sz="8" w:space="0" w:color="auto"/>
              <w:right w:val="single" w:sz="8" w:space="0" w:color="auto"/>
            </w:tcBorders>
            <w:noWrap/>
            <w:vAlign w:val="bottom"/>
          </w:tcPr>
          <w:p w14:paraId="3072C6DF" w14:textId="77777777" w:rsidR="001A03D6" w:rsidRPr="000F37CA" w:rsidRDefault="001A03D6" w:rsidP="00A31581">
            <w:pPr>
              <w:jc w:val="center"/>
              <w:rPr>
                <w:rFonts w:cstheme="minorHAnsi"/>
              </w:rPr>
            </w:pPr>
            <w:r w:rsidRPr="000F37CA">
              <w:rPr>
                <w:rFonts w:cstheme="minorHAnsi"/>
              </w:rPr>
              <w:t>0</w:t>
            </w:r>
          </w:p>
        </w:tc>
        <w:tc>
          <w:tcPr>
            <w:tcW w:w="498" w:type="dxa"/>
            <w:tcBorders>
              <w:top w:val="nil"/>
              <w:left w:val="nil"/>
              <w:bottom w:val="single" w:sz="8" w:space="0" w:color="auto"/>
              <w:right w:val="single" w:sz="8" w:space="0" w:color="auto"/>
            </w:tcBorders>
            <w:noWrap/>
            <w:vAlign w:val="bottom"/>
          </w:tcPr>
          <w:p w14:paraId="3E442092" w14:textId="77777777" w:rsidR="001A03D6" w:rsidRPr="000F37CA" w:rsidRDefault="001A03D6" w:rsidP="00A31581">
            <w:pPr>
              <w:jc w:val="center"/>
              <w:rPr>
                <w:rFonts w:cstheme="minorHAnsi"/>
              </w:rPr>
            </w:pPr>
            <w:r w:rsidRPr="000F37CA">
              <w:rPr>
                <w:rFonts w:cstheme="minorHAnsi"/>
              </w:rPr>
              <w:t>0</w:t>
            </w:r>
          </w:p>
        </w:tc>
        <w:tc>
          <w:tcPr>
            <w:tcW w:w="540" w:type="dxa"/>
            <w:tcBorders>
              <w:top w:val="nil"/>
              <w:left w:val="nil"/>
              <w:bottom w:val="single" w:sz="8" w:space="0" w:color="auto"/>
              <w:right w:val="single" w:sz="8" w:space="0" w:color="auto"/>
            </w:tcBorders>
            <w:noWrap/>
            <w:vAlign w:val="bottom"/>
          </w:tcPr>
          <w:p w14:paraId="56A2466C" w14:textId="77777777" w:rsidR="001A03D6" w:rsidRPr="000F37CA" w:rsidRDefault="001A03D6" w:rsidP="00A31581">
            <w:pPr>
              <w:jc w:val="center"/>
              <w:rPr>
                <w:rFonts w:cstheme="minorHAnsi"/>
              </w:rPr>
            </w:pPr>
            <w:r w:rsidRPr="000F37CA">
              <w:rPr>
                <w:rFonts w:cstheme="minorHAnsi"/>
              </w:rPr>
              <w:t>2</w:t>
            </w:r>
          </w:p>
        </w:tc>
        <w:tc>
          <w:tcPr>
            <w:tcW w:w="445" w:type="dxa"/>
            <w:tcBorders>
              <w:top w:val="nil"/>
              <w:left w:val="nil"/>
              <w:bottom w:val="single" w:sz="8" w:space="0" w:color="auto"/>
              <w:right w:val="single" w:sz="8" w:space="0" w:color="auto"/>
            </w:tcBorders>
            <w:noWrap/>
            <w:vAlign w:val="bottom"/>
          </w:tcPr>
          <w:p w14:paraId="2A747EB8" w14:textId="77777777" w:rsidR="001A03D6" w:rsidRPr="000F37CA" w:rsidRDefault="001A03D6" w:rsidP="00A31581">
            <w:pPr>
              <w:jc w:val="center"/>
              <w:rPr>
                <w:rFonts w:cstheme="minorHAnsi"/>
              </w:rPr>
            </w:pPr>
            <w:r w:rsidRPr="000F37CA">
              <w:rPr>
                <w:rFonts w:cstheme="minorHAnsi"/>
              </w:rPr>
              <w:t>0</w:t>
            </w:r>
          </w:p>
        </w:tc>
        <w:tc>
          <w:tcPr>
            <w:tcW w:w="440" w:type="dxa"/>
            <w:tcBorders>
              <w:top w:val="nil"/>
              <w:left w:val="nil"/>
              <w:bottom w:val="single" w:sz="8" w:space="0" w:color="auto"/>
              <w:right w:val="single" w:sz="8" w:space="0" w:color="auto"/>
            </w:tcBorders>
            <w:shd w:val="clear" w:color="auto" w:fill="00FF00"/>
            <w:noWrap/>
            <w:vAlign w:val="bottom"/>
          </w:tcPr>
          <w:p w14:paraId="522E1862" w14:textId="77777777" w:rsidR="001A03D6" w:rsidRPr="000F37CA" w:rsidRDefault="001A03D6" w:rsidP="00A31581">
            <w:pPr>
              <w:jc w:val="center"/>
              <w:rPr>
                <w:rFonts w:cstheme="minorHAnsi"/>
              </w:rPr>
            </w:pPr>
            <w:r w:rsidRPr="000F37CA">
              <w:rPr>
                <w:rFonts w:cstheme="minorHAnsi"/>
              </w:rPr>
              <w:t>0</w:t>
            </w:r>
          </w:p>
        </w:tc>
        <w:tc>
          <w:tcPr>
            <w:tcW w:w="480" w:type="dxa"/>
            <w:tcBorders>
              <w:top w:val="nil"/>
              <w:left w:val="nil"/>
              <w:bottom w:val="single" w:sz="8" w:space="0" w:color="auto"/>
              <w:right w:val="single" w:sz="8" w:space="0" w:color="auto"/>
            </w:tcBorders>
            <w:shd w:val="clear" w:color="auto" w:fill="00FF00"/>
            <w:noWrap/>
            <w:vAlign w:val="bottom"/>
          </w:tcPr>
          <w:p w14:paraId="4D6A42A4" w14:textId="77777777" w:rsidR="001A03D6" w:rsidRPr="000F37CA" w:rsidRDefault="001A03D6" w:rsidP="00A31581">
            <w:pPr>
              <w:jc w:val="center"/>
              <w:rPr>
                <w:rFonts w:cstheme="minorHAnsi"/>
              </w:rPr>
            </w:pPr>
            <w:r w:rsidRPr="000F37CA">
              <w:rPr>
                <w:rFonts w:cstheme="minorHAnsi"/>
              </w:rPr>
              <w:t>0</w:t>
            </w:r>
          </w:p>
        </w:tc>
        <w:tc>
          <w:tcPr>
            <w:tcW w:w="460" w:type="dxa"/>
            <w:tcBorders>
              <w:top w:val="nil"/>
              <w:left w:val="nil"/>
              <w:bottom w:val="single" w:sz="8" w:space="0" w:color="auto"/>
              <w:right w:val="single" w:sz="8" w:space="0" w:color="auto"/>
            </w:tcBorders>
            <w:shd w:val="clear" w:color="auto" w:fill="00FF00"/>
            <w:noWrap/>
            <w:vAlign w:val="bottom"/>
          </w:tcPr>
          <w:p w14:paraId="008B5BA8" w14:textId="77777777" w:rsidR="001A03D6" w:rsidRPr="000F37CA" w:rsidRDefault="001A03D6" w:rsidP="00A31581">
            <w:pPr>
              <w:jc w:val="center"/>
              <w:rPr>
                <w:rFonts w:cstheme="minorHAnsi"/>
              </w:rPr>
            </w:pPr>
            <w:r w:rsidRPr="000F37CA">
              <w:rPr>
                <w:rFonts w:cstheme="minorHAnsi"/>
              </w:rPr>
              <w:t>0</w:t>
            </w:r>
          </w:p>
        </w:tc>
        <w:tc>
          <w:tcPr>
            <w:tcW w:w="460" w:type="dxa"/>
            <w:tcBorders>
              <w:top w:val="nil"/>
              <w:left w:val="nil"/>
              <w:bottom w:val="single" w:sz="8" w:space="0" w:color="auto"/>
              <w:right w:val="single" w:sz="8" w:space="0" w:color="auto"/>
            </w:tcBorders>
            <w:shd w:val="clear" w:color="auto" w:fill="00FF00"/>
            <w:noWrap/>
            <w:vAlign w:val="bottom"/>
          </w:tcPr>
          <w:p w14:paraId="7D47F9D8" w14:textId="77777777" w:rsidR="001A03D6" w:rsidRPr="000F37CA" w:rsidRDefault="001A03D6" w:rsidP="00A31581">
            <w:pPr>
              <w:jc w:val="center"/>
              <w:rPr>
                <w:rFonts w:cstheme="minorHAnsi"/>
              </w:rPr>
            </w:pPr>
            <w:r w:rsidRPr="000F37CA">
              <w:rPr>
                <w:rFonts w:cstheme="minorHAnsi"/>
              </w:rPr>
              <w:t>0</w:t>
            </w:r>
          </w:p>
        </w:tc>
        <w:tc>
          <w:tcPr>
            <w:tcW w:w="400" w:type="dxa"/>
            <w:tcBorders>
              <w:top w:val="nil"/>
              <w:left w:val="nil"/>
              <w:bottom w:val="single" w:sz="8" w:space="0" w:color="auto"/>
              <w:right w:val="single" w:sz="8" w:space="0" w:color="auto"/>
            </w:tcBorders>
            <w:shd w:val="clear" w:color="auto" w:fill="FFCC00"/>
            <w:vAlign w:val="bottom"/>
          </w:tcPr>
          <w:p w14:paraId="4D48CE0D" w14:textId="77777777" w:rsidR="001A03D6" w:rsidRPr="000F37CA" w:rsidRDefault="001A03D6" w:rsidP="00A31581">
            <w:pPr>
              <w:jc w:val="center"/>
              <w:rPr>
                <w:rFonts w:cstheme="minorHAnsi"/>
              </w:rPr>
            </w:pPr>
            <w:r w:rsidRPr="000F37CA">
              <w:rPr>
                <w:rFonts w:cstheme="minorHAnsi"/>
              </w:rPr>
              <w:t>0</w:t>
            </w:r>
          </w:p>
        </w:tc>
        <w:tc>
          <w:tcPr>
            <w:tcW w:w="460" w:type="dxa"/>
            <w:tcBorders>
              <w:top w:val="nil"/>
              <w:left w:val="nil"/>
              <w:bottom w:val="single" w:sz="8" w:space="0" w:color="auto"/>
              <w:right w:val="single" w:sz="8" w:space="0" w:color="auto"/>
            </w:tcBorders>
            <w:shd w:val="clear" w:color="auto" w:fill="FFCC00"/>
            <w:vAlign w:val="bottom"/>
          </w:tcPr>
          <w:p w14:paraId="7D15B464" w14:textId="77777777" w:rsidR="001A03D6" w:rsidRPr="000F37CA" w:rsidRDefault="001A03D6" w:rsidP="00A31581">
            <w:pPr>
              <w:jc w:val="center"/>
              <w:rPr>
                <w:rFonts w:cstheme="minorHAnsi"/>
              </w:rPr>
            </w:pPr>
            <w:r w:rsidRPr="000F37CA">
              <w:rPr>
                <w:rFonts w:cstheme="minorHAnsi"/>
              </w:rPr>
              <w:t>0</w:t>
            </w:r>
          </w:p>
        </w:tc>
        <w:tc>
          <w:tcPr>
            <w:tcW w:w="420" w:type="dxa"/>
            <w:tcBorders>
              <w:top w:val="nil"/>
              <w:left w:val="nil"/>
              <w:bottom w:val="single" w:sz="8" w:space="0" w:color="auto"/>
              <w:right w:val="single" w:sz="8" w:space="0" w:color="auto"/>
            </w:tcBorders>
            <w:shd w:val="clear" w:color="auto" w:fill="FFCC00"/>
            <w:vAlign w:val="bottom"/>
          </w:tcPr>
          <w:p w14:paraId="44B66134" w14:textId="77777777" w:rsidR="001A03D6" w:rsidRPr="000F37CA" w:rsidRDefault="001A03D6" w:rsidP="00A31581">
            <w:pPr>
              <w:jc w:val="center"/>
              <w:rPr>
                <w:rFonts w:cstheme="minorHAnsi"/>
              </w:rPr>
            </w:pPr>
            <w:r w:rsidRPr="000F37CA">
              <w:rPr>
                <w:rFonts w:cstheme="minorHAnsi"/>
              </w:rPr>
              <w:t>0</w:t>
            </w:r>
          </w:p>
        </w:tc>
        <w:tc>
          <w:tcPr>
            <w:tcW w:w="520" w:type="dxa"/>
            <w:tcBorders>
              <w:top w:val="nil"/>
              <w:left w:val="nil"/>
              <w:bottom w:val="single" w:sz="8" w:space="0" w:color="auto"/>
              <w:right w:val="single" w:sz="8" w:space="0" w:color="auto"/>
            </w:tcBorders>
            <w:shd w:val="clear" w:color="auto" w:fill="FFCC00"/>
            <w:vAlign w:val="bottom"/>
          </w:tcPr>
          <w:p w14:paraId="23BBF1EB" w14:textId="77777777" w:rsidR="001A03D6" w:rsidRPr="000F37CA" w:rsidRDefault="001A03D6" w:rsidP="00A31581">
            <w:pPr>
              <w:jc w:val="center"/>
              <w:rPr>
                <w:rFonts w:cstheme="minorHAnsi"/>
              </w:rPr>
            </w:pPr>
            <w:r w:rsidRPr="000F37CA">
              <w:rPr>
                <w:rFonts w:cstheme="minorHAnsi"/>
              </w:rPr>
              <w:t>0</w:t>
            </w:r>
          </w:p>
        </w:tc>
        <w:tc>
          <w:tcPr>
            <w:tcW w:w="460" w:type="dxa"/>
            <w:tcBorders>
              <w:top w:val="nil"/>
              <w:left w:val="nil"/>
              <w:bottom w:val="single" w:sz="8" w:space="0" w:color="auto"/>
              <w:right w:val="single" w:sz="8" w:space="0" w:color="auto"/>
            </w:tcBorders>
            <w:shd w:val="clear" w:color="auto" w:fill="FF0000"/>
            <w:vAlign w:val="bottom"/>
          </w:tcPr>
          <w:p w14:paraId="7C3C78AB" w14:textId="77777777" w:rsidR="001A03D6" w:rsidRPr="000F37CA" w:rsidRDefault="001A03D6" w:rsidP="00A31581">
            <w:pPr>
              <w:jc w:val="center"/>
              <w:rPr>
                <w:rFonts w:cstheme="minorHAnsi"/>
              </w:rPr>
            </w:pPr>
            <w:r w:rsidRPr="000F37CA">
              <w:rPr>
                <w:rFonts w:cstheme="minorHAnsi"/>
              </w:rPr>
              <w:t>0</w:t>
            </w:r>
          </w:p>
        </w:tc>
        <w:tc>
          <w:tcPr>
            <w:tcW w:w="480" w:type="dxa"/>
            <w:tcBorders>
              <w:top w:val="nil"/>
              <w:left w:val="nil"/>
              <w:bottom w:val="single" w:sz="8" w:space="0" w:color="auto"/>
              <w:right w:val="single" w:sz="8" w:space="0" w:color="auto"/>
            </w:tcBorders>
            <w:shd w:val="clear" w:color="auto" w:fill="FF0000"/>
            <w:vAlign w:val="bottom"/>
          </w:tcPr>
          <w:p w14:paraId="36EE3015" w14:textId="77777777" w:rsidR="001A03D6" w:rsidRPr="000F37CA" w:rsidRDefault="001A03D6" w:rsidP="00A31581">
            <w:pPr>
              <w:jc w:val="center"/>
              <w:rPr>
                <w:rFonts w:cstheme="minorHAnsi"/>
              </w:rPr>
            </w:pPr>
            <w:r w:rsidRPr="000F37CA">
              <w:rPr>
                <w:rFonts w:cstheme="minorHAnsi"/>
              </w:rPr>
              <w:t>0</w:t>
            </w:r>
          </w:p>
        </w:tc>
        <w:tc>
          <w:tcPr>
            <w:tcW w:w="460" w:type="dxa"/>
            <w:tcBorders>
              <w:top w:val="nil"/>
              <w:left w:val="nil"/>
              <w:bottom w:val="single" w:sz="8" w:space="0" w:color="auto"/>
              <w:right w:val="single" w:sz="8" w:space="0" w:color="auto"/>
            </w:tcBorders>
            <w:shd w:val="clear" w:color="auto" w:fill="FF0000"/>
            <w:vAlign w:val="bottom"/>
          </w:tcPr>
          <w:p w14:paraId="6AB7681F" w14:textId="77777777" w:rsidR="001A03D6" w:rsidRPr="000F37CA" w:rsidRDefault="001A03D6" w:rsidP="00A31581">
            <w:pPr>
              <w:jc w:val="center"/>
              <w:rPr>
                <w:rFonts w:cstheme="minorHAnsi"/>
              </w:rPr>
            </w:pPr>
            <w:r w:rsidRPr="000F37CA">
              <w:rPr>
                <w:rFonts w:cstheme="minorHAnsi"/>
              </w:rPr>
              <w:t>0</w:t>
            </w:r>
          </w:p>
        </w:tc>
        <w:tc>
          <w:tcPr>
            <w:tcW w:w="440" w:type="dxa"/>
            <w:tcBorders>
              <w:top w:val="nil"/>
              <w:left w:val="nil"/>
              <w:bottom w:val="single" w:sz="8" w:space="0" w:color="auto"/>
              <w:right w:val="single" w:sz="8" w:space="0" w:color="auto"/>
            </w:tcBorders>
            <w:shd w:val="clear" w:color="auto" w:fill="FF0000"/>
            <w:vAlign w:val="bottom"/>
          </w:tcPr>
          <w:p w14:paraId="19226CF1" w14:textId="77777777" w:rsidR="001A03D6" w:rsidRPr="000F37CA" w:rsidRDefault="001A03D6" w:rsidP="00A31581">
            <w:pPr>
              <w:jc w:val="center"/>
              <w:rPr>
                <w:rFonts w:cstheme="minorHAnsi"/>
              </w:rPr>
            </w:pPr>
            <w:r w:rsidRPr="000F37CA">
              <w:rPr>
                <w:rFonts w:cstheme="minorHAnsi"/>
              </w:rPr>
              <w:t>0</w:t>
            </w:r>
          </w:p>
        </w:tc>
        <w:tc>
          <w:tcPr>
            <w:tcW w:w="960" w:type="dxa"/>
            <w:tcBorders>
              <w:top w:val="nil"/>
              <w:left w:val="nil"/>
              <w:bottom w:val="single" w:sz="8" w:space="0" w:color="auto"/>
              <w:right w:val="single" w:sz="8" w:space="0" w:color="auto"/>
            </w:tcBorders>
            <w:vAlign w:val="bottom"/>
          </w:tcPr>
          <w:p w14:paraId="58BA20CE" w14:textId="77777777" w:rsidR="001A03D6" w:rsidRPr="000F37CA" w:rsidRDefault="001A03D6" w:rsidP="00A31581">
            <w:pPr>
              <w:jc w:val="center"/>
              <w:rPr>
                <w:rFonts w:cstheme="minorHAnsi"/>
              </w:rPr>
            </w:pPr>
            <w:r>
              <w:rPr>
                <w:rFonts w:ascii="Wingdings 3" w:hAnsi="Wingdings 3" w:cs="Arial"/>
                <w:b/>
                <w:bCs/>
                <w:lang w:eastAsia="en-GB"/>
              </w:rPr>
              <w:t></w:t>
            </w:r>
          </w:p>
        </w:tc>
      </w:tr>
    </w:tbl>
    <w:p w14:paraId="6F5D2581" w14:textId="77777777" w:rsidR="001A03D6" w:rsidRDefault="001A03D6" w:rsidP="001A03D6">
      <w:pPr>
        <w:widowControl/>
        <w:overflowPunct/>
        <w:autoSpaceDE/>
        <w:autoSpaceDN/>
        <w:adjustRightInd/>
        <w:ind w:left="15"/>
        <w:jc w:val="center"/>
        <w:textAlignment w:val="auto"/>
        <w:rPr>
          <w:rFonts w:cs="Arial"/>
          <w:b/>
          <w:lang w:eastAsia="en-GB"/>
        </w:rPr>
      </w:pPr>
    </w:p>
    <w:p w14:paraId="6374AA57" w14:textId="77777777" w:rsidR="001A03D6" w:rsidRPr="00363983" w:rsidRDefault="001A03D6" w:rsidP="001A03D6">
      <w:pPr>
        <w:widowControl/>
        <w:overflowPunct/>
        <w:autoSpaceDE/>
        <w:autoSpaceDN/>
        <w:adjustRightInd/>
        <w:ind w:left="15"/>
        <w:jc w:val="center"/>
        <w:textAlignment w:val="auto"/>
        <w:rPr>
          <w:rFonts w:cs="Arial"/>
          <w:b/>
          <w:lang w:eastAsia="en-GB"/>
        </w:rPr>
      </w:pPr>
    </w:p>
    <w:p w14:paraId="0DB7BBC7" w14:textId="77777777" w:rsidR="001A03D6" w:rsidRPr="000F37CA" w:rsidRDefault="001A03D6" w:rsidP="001A03D6">
      <w:pPr>
        <w:rPr>
          <w:rFonts w:cstheme="minorHAnsi"/>
        </w:rPr>
      </w:pPr>
      <w:r w:rsidRPr="000F37CA">
        <w:rPr>
          <w:rFonts w:cstheme="minorHAnsi"/>
        </w:rPr>
        <w:t xml:space="preserve">There are no overdue issues to report. </w:t>
      </w:r>
    </w:p>
    <w:p w14:paraId="5CAB718C" w14:textId="77777777" w:rsidR="001A03D6" w:rsidRDefault="001A03D6" w:rsidP="001A03D6">
      <w:pPr>
        <w:rPr>
          <w:rFonts w:cs="Arial"/>
          <w:sz w:val="22"/>
          <w:szCs w:val="22"/>
          <w:lang w:eastAsia="en-GB"/>
        </w:rPr>
      </w:pPr>
    </w:p>
    <w:p w14:paraId="382FE0CD" w14:textId="77777777" w:rsidR="001A03D6" w:rsidRDefault="001A03D6" w:rsidP="001A03D6">
      <w:pPr>
        <w:rPr>
          <w:rFonts w:cs="Arial"/>
          <w:sz w:val="22"/>
          <w:szCs w:val="22"/>
          <w:lang w:eastAsia="en-GB"/>
        </w:rPr>
      </w:pPr>
    </w:p>
    <w:p w14:paraId="1FCFE341" w14:textId="77777777" w:rsidR="001A03D6" w:rsidRDefault="001A03D6" w:rsidP="001A03D6">
      <w:pPr>
        <w:rPr>
          <w:rFonts w:cs="Arial"/>
          <w:sz w:val="22"/>
          <w:szCs w:val="22"/>
          <w:lang w:eastAsia="en-GB"/>
        </w:rPr>
      </w:pPr>
    </w:p>
    <w:p w14:paraId="054DF2BC" w14:textId="77777777" w:rsidR="001A03D6" w:rsidRDefault="001A03D6" w:rsidP="001A03D6">
      <w:pPr>
        <w:rPr>
          <w:rFonts w:cs="Arial"/>
          <w:sz w:val="22"/>
          <w:szCs w:val="22"/>
          <w:lang w:eastAsia="en-GB"/>
        </w:rPr>
        <w:sectPr w:rsidR="001A03D6" w:rsidSect="00A31581">
          <w:headerReference w:type="default" r:id="rId15"/>
          <w:pgSz w:w="16838" w:h="11906" w:orient="landscape"/>
          <w:pgMar w:top="1800" w:right="1440" w:bottom="1558" w:left="1440" w:header="708" w:footer="708" w:gutter="0"/>
          <w:cols w:space="708"/>
          <w:docGrid w:linePitch="360"/>
        </w:sectPr>
      </w:pPr>
    </w:p>
    <w:p w14:paraId="1A65B9AA" w14:textId="77777777" w:rsidR="001A03D6" w:rsidRPr="00363983" w:rsidRDefault="001A03D6" w:rsidP="001A03D6">
      <w:pPr>
        <w:rPr>
          <w:rFonts w:cs="Arial"/>
          <w:sz w:val="22"/>
          <w:szCs w:val="22"/>
          <w:lang w:eastAsia="en-GB"/>
        </w:rPr>
      </w:pPr>
    </w:p>
    <w:p w14:paraId="4B907E68" w14:textId="77777777" w:rsidR="001A03D6" w:rsidRDefault="001A03D6" w:rsidP="001A03D6">
      <w:pPr>
        <w:pStyle w:val="Heading2"/>
        <w:spacing w:before="0"/>
        <w:rPr>
          <w:rFonts w:cs="Arial"/>
        </w:rPr>
      </w:pPr>
      <w:r w:rsidRPr="00363983">
        <w:rPr>
          <w:rFonts w:cs="Arial"/>
        </w:rPr>
        <w:t>Progress against Audit Plan for 2015</w:t>
      </w:r>
      <w:r>
        <w:rPr>
          <w:rFonts w:cs="Arial"/>
        </w:rPr>
        <w:t>/16</w:t>
      </w:r>
    </w:p>
    <w:tbl>
      <w:tblPr>
        <w:tblW w:w="1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25"/>
        <w:gridCol w:w="500"/>
        <w:gridCol w:w="500"/>
        <w:gridCol w:w="500"/>
        <w:gridCol w:w="500"/>
        <w:gridCol w:w="1100"/>
        <w:gridCol w:w="1100"/>
        <w:gridCol w:w="1000"/>
        <w:gridCol w:w="900"/>
        <w:gridCol w:w="1000"/>
        <w:gridCol w:w="1000"/>
        <w:gridCol w:w="1000"/>
        <w:gridCol w:w="800"/>
        <w:gridCol w:w="500"/>
        <w:gridCol w:w="500"/>
        <w:gridCol w:w="500"/>
        <w:gridCol w:w="500"/>
      </w:tblGrid>
      <w:tr w:rsidR="001A03D6" w:rsidRPr="00824DE2" w14:paraId="34BE3611" w14:textId="77777777" w:rsidTr="00A31581">
        <w:trPr>
          <w:tblHeader/>
        </w:trPr>
        <w:tc>
          <w:tcPr>
            <w:tcW w:w="2325" w:type="dxa"/>
            <w:shd w:val="clear" w:color="auto" w:fill="004E73"/>
            <w:vAlign w:val="center"/>
          </w:tcPr>
          <w:p w14:paraId="014E38D9" w14:textId="77777777" w:rsidR="001A03D6" w:rsidRPr="00286917" w:rsidRDefault="001A03D6" w:rsidP="00A31581">
            <w:pPr>
              <w:pStyle w:val="TableHeading"/>
              <w:jc w:val="center"/>
            </w:pPr>
            <w:r w:rsidRPr="00286917">
              <w:rPr>
                <w:sz w:val="22"/>
                <w:szCs w:val="22"/>
              </w:rPr>
              <w:t>Audit Title</w:t>
            </w:r>
          </w:p>
        </w:tc>
        <w:tc>
          <w:tcPr>
            <w:tcW w:w="500" w:type="dxa"/>
            <w:shd w:val="clear" w:color="auto" w:fill="004E73"/>
            <w:vAlign w:val="center"/>
          </w:tcPr>
          <w:p w14:paraId="30E780E0" w14:textId="77777777" w:rsidR="001A03D6" w:rsidRPr="00286917" w:rsidRDefault="001A03D6" w:rsidP="00A31581">
            <w:pPr>
              <w:pStyle w:val="TableHeading"/>
              <w:jc w:val="center"/>
            </w:pPr>
            <w:r w:rsidRPr="00286917">
              <w:rPr>
                <w:sz w:val="22"/>
                <w:szCs w:val="22"/>
              </w:rPr>
              <w:t>Q1</w:t>
            </w:r>
          </w:p>
        </w:tc>
        <w:tc>
          <w:tcPr>
            <w:tcW w:w="500" w:type="dxa"/>
            <w:shd w:val="clear" w:color="auto" w:fill="004E73"/>
            <w:vAlign w:val="center"/>
          </w:tcPr>
          <w:p w14:paraId="3C47D304" w14:textId="77777777" w:rsidR="001A03D6" w:rsidRPr="00286917" w:rsidRDefault="001A03D6" w:rsidP="00A31581">
            <w:pPr>
              <w:pStyle w:val="TableHeading"/>
              <w:jc w:val="center"/>
            </w:pPr>
            <w:r w:rsidRPr="00286917">
              <w:rPr>
                <w:sz w:val="22"/>
                <w:szCs w:val="22"/>
              </w:rPr>
              <w:t>Q2</w:t>
            </w:r>
          </w:p>
        </w:tc>
        <w:tc>
          <w:tcPr>
            <w:tcW w:w="500" w:type="dxa"/>
            <w:shd w:val="clear" w:color="auto" w:fill="004E73"/>
            <w:vAlign w:val="center"/>
          </w:tcPr>
          <w:p w14:paraId="2A7703ED" w14:textId="77777777" w:rsidR="001A03D6" w:rsidRPr="00286917" w:rsidRDefault="001A03D6" w:rsidP="00A31581">
            <w:pPr>
              <w:pStyle w:val="TableHeading"/>
              <w:jc w:val="center"/>
            </w:pPr>
            <w:r w:rsidRPr="00286917">
              <w:rPr>
                <w:sz w:val="22"/>
                <w:szCs w:val="22"/>
              </w:rPr>
              <w:t>Q3</w:t>
            </w:r>
          </w:p>
        </w:tc>
        <w:tc>
          <w:tcPr>
            <w:tcW w:w="500" w:type="dxa"/>
            <w:shd w:val="clear" w:color="auto" w:fill="004E73"/>
            <w:vAlign w:val="center"/>
          </w:tcPr>
          <w:p w14:paraId="32DE778F" w14:textId="77777777" w:rsidR="001A03D6" w:rsidRPr="00286917" w:rsidRDefault="001A03D6" w:rsidP="00A31581">
            <w:pPr>
              <w:pStyle w:val="TableHeading"/>
              <w:jc w:val="center"/>
            </w:pPr>
            <w:r w:rsidRPr="00286917">
              <w:rPr>
                <w:sz w:val="22"/>
                <w:szCs w:val="22"/>
              </w:rPr>
              <w:t>Q4</w:t>
            </w:r>
          </w:p>
        </w:tc>
        <w:tc>
          <w:tcPr>
            <w:tcW w:w="1100" w:type="dxa"/>
            <w:shd w:val="clear" w:color="auto" w:fill="004E73"/>
            <w:tcMar>
              <w:left w:w="113" w:type="dxa"/>
              <w:right w:w="85" w:type="dxa"/>
            </w:tcMar>
            <w:vAlign w:val="center"/>
          </w:tcPr>
          <w:p w14:paraId="1B9D8856" w14:textId="77777777" w:rsidR="001A03D6" w:rsidRPr="00286917" w:rsidRDefault="001A03D6" w:rsidP="00A31581">
            <w:pPr>
              <w:pStyle w:val="TableHeading"/>
              <w:jc w:val="center"/>
            </w:pPr>
            <w:r w:rsidRPr="00286917">
              <w:rPr>
                <w:sz w:val="22"/>
                <w:szCs w:val="22"/>
              </w:rPr>
              <w:t>Current Status</w:t>
            </w:r>
            <w:r w:rsidRPr="00286917">
              <w:rPr>
                <w:rFonts w:ascii="Arial Bold" w:hAnsi="Arial Bold"/>
                <w:sz w:val="22"/>
                <w:szCs w:val="22"/>
                <w:vertAlign w:val="superscript"/>
              </w:rPr>
              <w:t>1</w:t>
            </w:r>
          </w:p>
        </w:tc>
        <w:tc>
          <w:tcPr>
            <w:tcW w:w="1100" w:type="dxa"/>
            <w:tcBorders>
              <w:bottom w:val="single" w:sz="4" w:space="0" w:color="auto"/>
            </w:tcBorders>
            <w:shd w:val="clear" w:color="auto" w:fill="004E73"/>
          </w:tcPr>
          <w:p w14:paraId="0584077D" w14:textId="77777777" w:rsidR="001A03D6" w:rsidRPr="00286917" w:rsidRDefault="001A03D6" w:rsidP="00A31581">
            <w:pPr>
              <w:pStyle w:val="TableHeading"/>
              <w:jc w:val="center"/>
            </w:pPr>
            <w:r w:rsidRPr="00286917">
              <w:rPr>
                <w:sz w:val="22"/>
                <w:szCs w:val="22"/>
              </w:rPr>
              <w:t>Target Final Draft ToR*</w:t>
            </w:r>
          </w:p>
        </w:tc>
        <w:tc>
          <w:tcPr>
            <w:tcW w:w="1000" w:type="dxa"/>
            <w:tcBorders>
              <w:bottom w:val="single" w:sz="4" w:space="0" w:color="auto"/>
            </w:tcBorders>
            <w:shd w:val="clear" w:color="auto" w:fill="004E73"/>
          </w:tcPr>
          <w:p w14:paraId="351FFB63" w14:textId="77777777" w:rsidR="001A03D6" w:rsidRPr="00286917" w:rsidRDefault="001A03D6" w:rsidP="00A31581">
            <w:pPr>
              <w:pStyle w:val="TableHeading"/>
              <w:jc w:val="center"/>
            </w:pPr>
            <w:r w:rsidRPr="00286917">
              <w:rPr>
                <w:sz w:val="22"/>
                <w:szCs w:val="22"/>
              </w:rPr>
              <w:t>Actual Final Draft ToR*</w:t>
            </w:r>
          </w:p>
        </w:tc>
        <w:tc>
          <w:tcPr>
            <w:tcW w:w="900" w:type="dxa"/>
            <w:tcBorders>
              <w:bottom w:val="single" w:sz="4" w:space="0" w:color="auto"/>
            </w:tcBorders>
            <w:shd w:val="clear" w:color="auto" w:fill="004E73"/>
          </w:tcPr>
          <w:p w14:paraId="26FBC88D" w14:textId="77777777" w:rsidR="001A03D6" w:rsidRPr="00286917" w:rsidRDefault="001A03D6" w:rsidP="00A31581">
            <w:pPr>
              <w:pStyle w:val="TableHeading"/>
              <w:jc w:val="center"/>
            </w:pPr>
            <w:r w:rsidRPr="00286917">
              <w:rPr>
                <w:sz w:val="22"/>
                <w:szCs w:val="22"/>
              </w:rPr>
              <w:t>Final ToR</w:t>
            </w:r>
          </w:p>
        </w:tc>
        <w:tc>
          <w:tcPr>
            <w:tcW w:w="1000" w:type="dxa"/>
            <w:tcBorders>
              <w:bottom w:val="single" w:sz="4" w:space="0" w:color="auto"/>
            </w:tcBorders>
            <w:shd w:val="clear" w:color="auto" w:fill="004E73"/>
          </w:tcPr>
          <w:p w14:paraId="24499CEB" w14:textId="77777777" w:rsidR="001A03D6" w:rsidRPr="00286917" w:rsidRDefault="001A03D6" w:rsidP="00A31581">
            <w:pPr>
              <w:pStyle w:val="TableHeading"/>
              <w:jc w:val="center"/>
            </w:pPr>
            <w:r w:rsidRPr="00286917">
              <w:rPr>
                <w:sz w:val="22"/>
                <w:szCs w:val="22"/>
              </w:rPr>
              <w:t>Target Final Draft Report*</w:t>
            </w:r>
          </w:p>
        </w:tc>
        <w:tc>
          <w:tcPr>
            <w:tcW w:w="1000" w:type="dxa"/>
            <w:tcBorders>
              <w:bottom w:val="single" w:sz="4" w:space="0" w:color="auto"/>
            </w:tcBorders>
            <w:shd w:val="clear" w:color="auto" w:fill="004E73"/>
          </w:tcPr>
          <w:p w14:paraId="3715B917" w14:textId="77777777" w:rsidR="001A03D6" w:rsidRPr="00286917" w:rsidRDefault="001A03D6" w:rsidP="00A31581">
            <w:pPr>
              <w:pStyle w:val="TableHeading"/>
              <w:jc w:val="center"/>
            </w:pPr>
            <w:r w:rsidRPr="00286917">
              <w:rPr>
                <w:sz w:val="22"/>
                <w:szCs w:val="22"/>
              </w:rPr>
              <w:t>Actual Final Draft Report*</w:t>
            </w:r>
          </w:p>
        </w:tc>
        <w:tc>
          <w:tcPr>
            <w:tcW w:w="1000" w:type="dxa"/>
            <w:tcBorders>
              <w:bottom w:val="single" w:sz="4" w:space="0" w:color="auto"/>
            </w:tcBorders>
            <w:shd w:val="clear" w:color="auto" w:fill="004E73"/>
          </w:tcPr>
          <w:p w14:paraId="576A7967" w14:textId="77777777" w:rsidR="001A03D6" w:rsidRPr="00286917" w:rsidRDefault="001A03D6" w:rsidP="00A31581">
            <w:pPr>
              <w:pStyle w:val="TableHeading"/>
              <w:jc w:val="center"/>
            </w:pPr>
            <w:r w:rsidRPr="00286917">
              <w:rPr>
                <w:sz w:val="22"/>
                <w:szCs w:val="22"/>
              </w:rPr>
              <w:t>Final Report</w:t>
            </w:r>
          </w:p>
        </w:tc>
        <w:tc>
          <w:tcPr>
            <w:tcW w:w="800" w:type="dxa"/>
            <w:tcBorders>
              <w:bottom w:val="single" w:sz="4" w:space="0" w:color="auto"/>
            </w:tcBorders>
            <w:shd w:val="clear" w:color="auto" w:fill="004E73"/>
            <w:vAlign w:val="center"/>
          </w:tcPr>
          <w:p w14:paraId="2AC03A4A" w14:textId="77777777" w:rsidR="001A03D6" w:rsidRPr="00286917" w:rsidRDefault="001A03D6" w:rsidP="00A31581">
            <w:pPr>
              <w:pStyle w:val="TableHeading"/>
              <w:jc w:val="center"/>
            </w:pPr>
            <w:r>
              <w:rPr>
                <w:sz w:val="22"/>
                <w:szCs w:val="22"/>
              </w:rPr>
              <w:t>E/IR</w:t>
            </w:r>
            <w:r w:rsidRPr="00286917">
              <w:rPr>
                <w:sz w:val="22"/>
                <w:szCs w:val="22"/>
              </w:rPr>
              <w:t xml:space="preserve">/ </w:t>
            </w:r>
            <w:r>
              <w:rPr>
                <w:sz w:val="22"/>
                <w:szCs w:val="22"/>
              </w:rPr>
              <w:t>S</w:t>
            </w:r>
            <w:r w:rsidRPr="00286917">
              <w:rPr>
                <w:sz w:val="22"/>
                <w:szCs w:val="22"/>
              </w:rPr>
              <w:t>IR/</w:t>
            </w:r>
            <w:r>
              <w:rPr>
                <w:sz w:val="22"/>
                <w:szCs w:val="22"/>
              </w:rPr>
              <w:t>I</w:t>
            </w:r>
            <w:r w:rsidRPr="00286917">
              <w:rPr>
                <w:rFonts w:ascii="Arial Bold" w:hAnsi="Arial Bold"/>
                <w:sz w:val="22"/>
                <w:szCs w:val="22"/>
                <w:vertAlign w:val="superscript"/>
              </w:rPr>
              <w:t>2</w:t>
            </w:r>
          </w:p>
        </w:tc>
        <w:tc>
          <w:tcPr>
            <w:tcW w:w="500" w:type="dxa"/>
            <w:tcBorders>
              <w:bottom w:val="single" w:sz="4" w:space="0" w:color="auto"/>
            </w:tcBorders>
            <w:shd w:val="clear" w:color="auto" w:fill="004E73"/>
            <w:vAlign w:val="center"/>
          </w:tcPr>
          <w:p w14:paraId="2B88E281" w14:textId="77777777" w:rsidR="001A03D6" w:rsidRPr="00286917" w:rsidRDefault="001A03D6" w:rsidP="00A31581">
            <w:pPr>
              <w:pStyle w:val="TableHeading"/>
              <w:jc w:val="center"/>
            </w:pPr>
            <w:r w:rsidRPr="00286917">
              <w:rPr>
                <w:sz w:val="22"/>
                <w:szCs w:val="22"/>
              </w:rPr>
              <w:t>C</w:t>
            </w:r>
          </w:p>
        </w:tc>
        <w:tc>
          <w:tcPr>
            <w:tcW w:w="500" w:type="dxa"/>
            <w:tcBorders>
              <w:bottom w:val="single" w:sz="4" w:space="0" w:color="auto"/>
            </w:tcBorders>
            <w:shd w:val="clear" w:color="auto" w:fill="004E73"/>
            <w:vAlign w:val="center"/>
          </w:tcPr>
          <w:p w14:paraId="3D663C7D" w14:textId="77777777" w:rsidR="001A03D6" w:rsidRPr="00286917" w:rsidRDefault="001A03D6" w:rsidP="00A31581">
            <w:pPr>
              <w:pStyle w:val="TableHeading"/>
              <w:jc w:val="center"/>
            </w:pPr>
            <w:r w:rsidRPr="00286917">
              <w:rPr>
                <w:sz w:val="22"/>
                <w:szCs w:val="22"/>
              </w:rPr>
              <w:t>H</w:t>
            </w:r>
          </w:p>
        </w:tc>
        <w:tc>
          <w:tcPr>
            <w:tcW w:w="500" w:type="dxa"/>
            <w:tcBorders>
              <w:bottom w:val="single" w:sz="4" w:space="0" w:color="auto"/>
            </w:tcBorders>
            <w:shd w:val="clear" w:color="auto" w:fill="004E73"/>
            <w:vAlign w:val="center"/>
          </w:tcPr>
          <w:p w14:paraId="162B6825" w14:textId="77777777" w:rsidR="001A03D6" w:rsidRPr="00286917" w:rsidRDefault="001A03D6" w:rsidP="00A31581">
            <w:pPr>
              <w:pStyle w:val="TableHeading"/>
              <w:jc w:val="center"/>
            </w:pPr>
            <w:r w:rsidRPr="00286917">
              <w:rPr>
                <w:sz w:val="22"/>
                <w:szCs w:val="22"/>
              </w:rPr>
              <w:t>M</w:t>
            </w:r>
          </w:p>
        </w:tc>
        <w:tc>
          <w:tcPr>
            <w:tcW w:w="500" w:type="dxa"/>
            <w:tcBorders>
              <w:bottom w:val="single" w:sz="4" w:space="0" w:color="auto"/>
            </w:tcBorders>
            <w:shd w:val="clear" w:color="auto" w:fill="004E73"/>
            <w:vAlign w:val="center"/>
          </w:tcPr>
          <w:p w14:paraId="1A471A07" w14:textId="77777777" w:rsidR="001A03D6" w:rsidRPr="00286917" w:rsidRDefault="001A03D6" w:rsidP="00A31581">
            <w:pPr>
              <w:pStyle w:val="TableHeading"/>
              <w:jc w:val="center"/>
            </w:pPr>
            <w:r w:rsidRPr="00286917">
              <w:rPr>
                <w:sz w:val="22"/>
                <w:szCs w:val="22"/>
              </w:rPr>
              <w:t>L</w:t>
            </w:r>
          </w:p>
        </w:tc>
      </w:tr>
      <w:tr w:rsidR="001A03D6" w:rsidRPr="008B4DDE" w14:paraId="545C9DCA" w14:textId="77777777" w:rsidTr="00A31581">
        <w:trPr>
          <w:trHeight w:val="454"/>
        </w:trPr>
        <w:tc>
          <w:tcPr>
            <w:tcW w:w="2325" w:type="dxa"/>
            <w:tcMar>
              <w:left w:w="85" w:type="dxa"/>
              <w:right w:w="85" w:type="dxa"/>
            </w:tcMar>
            <w:vAlign w:val="center"/>
          </w:tcPr>
          <w:p w14:paraId="002CF482" w14:textId="77777777" w:rsidR="001A03D6" w:rsidRPr="005E2B9C" w:rsidRDefault="001A03D6" w:rsidP="00A31581">
            <w:pPr>
              <w:jc w:val="both"/>
              <w:rPr>
                <w:rFonts w:cs="Arial"/>
                <w:sz w:val="18"/>
                <w:szCs w:val="18"/>
              </w:rPr>
            </w:pPr>
            <w:r w:rsidRPr="005E2B9C">
              <w:rPr>
                <w:rFonts w:cs="Arial"/>
                <w:sz w:val="18"/>
                <w:szCs w:val="18"/>
              </w:rPr>
              <w:t>CIBS Service Level Management and Reporting</w:t>
            </w:r>
          </w:p>
        </w:tc>
        <w:tc>
          <w:tcPr>
            <w:tcW w:w="500" w:type="dxa"/>
            <w:vAlign w:val="center"/>
          </w:tcPr>
          <w:p w14:paraId="57ACD9E5" w14:textId="77777777" w:rsidR="001A03D6" w:rsidRPr="00286917" w:rsidRDefault="001A03D6" w:rsidP="00A31581">
            <w:pPr>
              <w:jc w:val="center"/>
              <w:rPr>
                <w:rFonts w:cs="Arial"/>
                <w:sz w:val="18"/>
                <w:szCs w:val="18"/>
              </w:rPr>
            </w:pPr>
            <w:r w:rsidRPr="00EA57A2">
              <w:rPr>
                <w:rFonts w:cs="Arial"/>
              </w:rPr>
              <w:sym w:font="Wingdings" w:char="F0FC"/>
            </w:r>
          </w:p>
        </w:tc>
        <w:tc>
          <w:tcPr>
            <w:tcW w:w="500" w:type="dxa"/>
            <w:vAlign w:val="center"/>
          </w:tcPr>
          <w:p w14:paraId="1D3008A7" w14:textId="77777777" w:rsidR="001A03D6" w:rsidRPr="00286917" w:rsidRDefault="001A03D6" w:rsidP="00A31581">
            <w:pPr>
              <w:jc w:val="center"/>
              <w:rPr>
                <w:rFonts w:cs="Arial"/>
                <w:sz w:val="18"/>
                <w:szCs w:val="18"/>
              </w:rPr>
            </w:pPr>
          </w:p>
        </w:tc>
        <w:tc>
          <w:tcPr>
            <w:tcW w:w="500" w:type="dxa"/>
            <w:vAlign w:val="center"/>
          </w:tcPr>
          <w:p w14:paraId="56C8A417" w14:textId="77777777" w:rsidR="001A03D6" w:rsidRDefault="001A03D6" w:rsidP="00A31581">
            <w:pPr>
              <w:jc w:val="center"/>
              <w:rPr>
                <w:rFonts w:cs="Arial"/>
                <w:sz w:val="18"/>
                <w:szCs w:val="18"/>
              </w:rPr>
            </w:pPr>
          </w:p>
        </w:tc>
        <w:tc>
          <w:tcPr>
            <w:tcW w:w="500" w:type="dxa"/>
            <w:vAlign w:val="center"/>
          </w:tcPr>
          <w:p w14:paraId="6A4BF3C0" w14:textId="77777777" w:rsidR="001A03D6" w:rsidRDefault="001A03D6" w:rsidP="00A31581">
            <w:pPr>
              <w:jc w:val="center"/>
              <w:rPr>
                <w:rFonts w:cs="Arial"/>
                <w:sz w:val="18"/>
                <w:szCs w:val="18"/>
              </w:rPr>
            </w:pPr>
          </w:p>
        </w:tc>
        <w:tc>
          <w:tcPr>
            <w:tcW w:w="1100" w:type="dxa"/>
            <w:tcMar>
              <w:left w:w="113" w:type="dxa"/>
              <w:right w:w="85" w:type="dxa"/>
            </w:tcMar>
            <w:vAlign w:val="center"/>
          </w:tcPr>
          <w:p w14:paraId="7ED2EE14" w14:textId="77777777" w:rsidR="001A03D6" w:rsidRDefault="001A03D6" w:rsidP="00A31581">
            <w:pPr>
              <w:ind w:left="-113" w:right="-85"/>
              <w:jc w:val="center"/>
              <w:rPr>
                <w:sz w:val="18"/>
                <w:szCs w:val="18"/>
              </w:rPr>
            </w:pPr>
            <w:r>
              <w:rPr>
                <w:sz w:val="18"/>
                <w:szCs w:val="18"/>
              </w:rPr>
              <w:t>Final Report Issued</w:t>
            </w:r>
          </w:p>
        </w:tc>
        <w:tc>
          <w:tcPr>
            <w:tcW w:w="1100" w:type="dxa"/>
            <w:vAlign w:val="center"/>
          </w:tcPr>
          <w:p w14:paraId="7D047397" w14:textId="77777777" w:rsidR="001A03D6" w:rsidRDefault="001A03D6" w:rsidP="00A31581">
            <w:pPr>
              <w:jc w:val="center"/>
              <w:rPr>
                <w:color w:val="000000"/>
                <w:sz w:val="18"/>
                <w:szCs w:val="18"/>
              </w:rPr>
            </w:pPr>
            <w:r>
              <w:rPr>
                <w:color w:val="000000"/>
                <w:sz w:val="18"/>
                <w:szCs w:val="18"/>
              </w:rPr>
              <w:t>Feb 2016</w:t>
            </w:r>
          </w:p>
        </w:tc>
        <w:tc>
          <w:tcPr>
            <w:tcW w:w="1000" w:type="dxa"/>
            <w:tcBorders>
              <w:bottom w:val="single" w:sz="4" w:space="0" w:color="auto"/>
            </w:tcBorders>
            <w:shd w:val="clear" w:color="auto" w:fill="00B050"/>
            <w:vAlign w:val="center"/>
          </w:tcPr>
          <w:p w14:paraId="2ED371A6" w14:textId="77777777" w:rsidR="001A03D6" w:rsidRDefault="001A03D6" w:rsidP="00A31581">
            <w:pPr>
              <w:jc w:val="center"/>
              <w:rPr>
                <w:sz w:val="18"/>
                <w:szCs w:val="18"/>
              </w:rPr>
            </w:pPr>
            <w:r>
              <w:rPr>
                <w:sz w:val="18"/>
                <w:szCs w:val="18"/>
              </w:rPr>
              <w:t>Feb 2016</w:t>
            </w:r>
          </w:p>
        </w:tc>
        <w:tc>
          <w:tcPr>
            <w:tcW w:w="900" w:type="dxa"/>
            <w:shd w:val="clear" w:color="auto" w:fill="auto"/>
            <w:vAlign w:val="center"/>
          </w:tcPr>
          <w:p w14:paraId="00BBC8A5" w14:textId="77777777" w:rsidR="001A03D6" w:rsidRDefault="001A03D6" w:rsidP="00A31581">
            <w:pPr>
              <w:jc w:val="center"/>
              <w:rPr>
                <w:sz w:val="18"/>
                <w:szCs w:val="18"/>
              </w:rPr>
            </w:pPr>
            <w:r>
              <w:rPr>
                <w:sz w:val="18"/>
                <w:szCs w:val="18"/>
              </w:rPr>
              <w:t>01/03/16</w:t>
            </w:r>
          </w:p>
        </w:tc>
        <w:tc>
          <w:tcPr>
            <w:tcW w:w="1000" w:type="dxa"/>
            <w:shd w:val="clear" w:color="auto" w:fill="auto"/>
            <w:vAlign w:val="center"/>
          </w:tcPr>
          <w:p w14:paraId="3F0D2587" w14:textId="77777777" w:rsidR="001A03D6" w:rsidRDefault="001A03D6" w:rsidP="00A31581">
            <w:pPr>
              <w:jc w:val="center"/>
              <w:rPr>
                <w:sz w:val="18"/>
                <w:szCs w:val="18"/>
              </w:rPr>
            </w:pPr>
            <w:r>
              <w:rPr>
                <w:sz w:val="18"/>
                <w:szCs w:val="18"/>
              </w:rPr>
              <w:t>Apr 2016</w:t>
            </w:r>
          </w:p>
        </w:tc>
        <w:tc>
          <w:tcPr>
            <w:tcW w:w="1000" w:type="dxa"/>
            <w:tcBorders>
              <w:bottom w:val="single" w:sz="4" w:space="0" w:color="auto"/>
            </w:tcBorders>
            <w:shd w:val="clear" w:color="auto" w:fill="FFC000"/>
            <w:vAlign w:val="center"/>
          </w:tcPr>
          <w:p w14:paraId="76657FBC" w14:textId="77777777" w:rsidR="001A03D6" w:rsidRPr="00286917" w:rsidRDefault="001A03D6" w:rsidP="00A31581">
            <w:pPr>
              <w:jc w:val="center"/>
              <w:rPr>
                <w:sz w:val="18"/>
                <w:szCs w:val="18"/>
              </w:rPr>
            </w:pPr>
            <w:r>
              <w:rPr>
                <w:sz w:val="18"/>
                <w:szCs w:val="18"/>
              </w:rPr>
              <w:t>19/05/16</w:t>
            </w:r>
          </w:p>
        </w:tc>
        <w:tc>
          <w:tcPr>
            <w:tcW w:w="1000" w:type="dxa"/>
            <w:shd w:val="clear" w:color="auto" w:fill="auto"/>
            <w:vAlign w:val="center"/>
          </w:tcPr>
          <w:p w14:paraId="2EE256D8" w14:textId="77777777" w:rsidR="001A03D6" w:rsidRPr="00286917" w:rsidRDefault="001A03D6" w:rsidP="00A31581">
            <w:pPr>
              <w:jc w:val="center"/>
              <w:rPr>
                <w:sz w:val="18"/>
                <w:szCs w:val="18"/>
              </w:rPr>
            </w:pPr>
            <w:r>
              <w:rPr>
                <w:sz w:val="18"/>
                <w:szCs w:val="18"/>
              </w:rPr>
              <w:t>27/05/16</w:t>
            </w:r>
          </w:p>
        </w:tc>
        <w:tc>
          <w:tcPr>
            <w:tcW w:w="800" w:type="dxa"/>
            <w:shd w:val="clear" w:color="auto" w:fill="auto"/>
            <w:vAlign w:val="center"/>
          </w:tcPr>
          <w:p w14:paraId="3C2A6693" w14:textId="77777777" w:rsidR="001A03D6" w:rsidRPr="00286917" w:rsidRDefault="001A03D6" w:rsidP="00A31581">
            <w:pPr>
              <w:jc w:val="center"/>
              <w:rPr>
                <w:sz w:val="18"/>
                <w:szCs w:val="18"/>
              </w:rPr>
            </w:pPr>
            <w:r>
              <w:rPr>
                <w:sz w:val="18"/>
                <w:szCs w:val="18"/>
              </w:rPr>
              <w:t>E</w:t>
            </w:r>
          </w:p>
        </w:tc>
        <w:tc>
          <w:tcPr>
            <w:tcW w:w="500" w:type="dxa"/>
            <w:shd w:val="clear" w:color="auto" w:fill="auto"/>
            <w:vAlign w:val="center"/>
          </w:tcPr>
          <w:p w14:paraId="41ADE188" w14:textId="77777777" w:rsidR="001A03D6" w:rsidRPr="00286917" w:rsidRDefault="001A03D6" w:rsidP="00A31581">
            <w:pPr>
              <w:jc w:val="center"/>
              <w:rPr>
                <w:sz w:val="18"/>
                <w:szCs w:val="18"/>
              </w:rPr>
            </w:pPr>
            <w:r>
              <w:rPr>
                <w:sz w:val="18"/>
                <w:szCs w:val="18"/>
              </w:rPr>
              <w:t>-</w:t>
            </w:r>
          </w:p>
        </w:tc>
        <w:tc>
          <w:tcPr>
            <w:tcW w:w="500" w:type="dxa"/>
            <w:shd w:val="clear" w:color="auto" w:fill="auto"/>
            <w:vAlign w:val="center"/>
          </w:tcPr>
          <w:p w14:paraId="46B1E6DD" w14:textId="77777777" w:rsidR="001A03D6" w:rsidRPr="00286917" w:rsidRDefault="001A03D6" w:rsidP="00A31581">
            <w:pPr>
              <w:jc w:val="center"/>
              <w:rPr>
                <w:sz w:val="18"/>
                <w:szCs w:val="18"/>
              </w:rPr>
            </w:pPr>
            <w:r>
              <w:rPr>
                <w:sz w:val="18"/>
                <w:szCs w:val="18"/>
              </w:rPr>
              <w:t>-</w:t>
            </w:r>
          </w:p>
        </w:tc>
        <w:tc>
          <w:tcPr>
            <w:tcW w:w="500" w:type="dxa"/>
            <w:shd w:val="clear" w:color="auto" w:fill="auto"/>
            <w:vAlign w:val="center"/>
          </w:tcPr>
          <w:p w14:paraId="31F27890" w14:textId="77777777" w:rsidR="001A03D6" w:rsidRPr="00286917" w:rsidRDefault="001A03D6" w:rsidP="00A31581">
            <w:pPr>
              <w:jc w:val="center"/>
              <w:rPr>
                <w:sz w:val="18"/>
                <w:szCs w:val="18"/>
              </w:rPr>
            </w:pPr>
            <w:r>
              <w:rPr>
                <w:sz w:val="18"/>
                <w:szCs w:val="18"/>
              </w:rPr>
              <w:t>-</w:t>
            </w:r>
          </w:p>
        </w:tc>
        <w:tc>
          <w:tcPr>
            <w:tcW w:w="500" w:type="dxa"/>
            <w:shd w:val="clear" w:color="auto" w:fill="auto"/>
            <w:vAlign w:val="center"/>
          </w:tcPr>
          <w:p w14:paraId="3E0802B5" w14:textId="77777777" w:rsidR="001A03D6" w:rsidRPr="00286917" w:rsidRDefault="001A03D6" w:rsidP="00A31581">
            <w:pPr>
              <w:jc w:val="center"/>
              <w:rPr>
                <w:sz w:val="18"/>
                <w:szCs w:val="18"/>
              </w:rPr>
            </w:pPr>
            <w:r>
              <w:rPr>
                <w:sz w:val="18"/>
                <w:szCs w:val="18"/>
              </w:rPr>
              <w:t>-</w:t>
            </w:r>
          </w:p>
        </w:tc>
      </w:tr>
      <w:tr w:rsidR="001A03D6" w:rsidRPr="008B4DDE" w14:paraId="28FF28B0" w14:textId="77777777" w:rsidTr="00A31581">
        <w:trPr>
          <w:trHeight w:val="454"/>
        </w:trPr>
        <w:tc>
          <w:tcPr>
            <w:tcW w:w="2325" w:type="dxa"/>
            <w:tcMar>
              <w:left w:w="85" w:type="dxa"/>
              <w:right w:w="85" w:type="dxa"/>
            </w:tcMar>
            <w:vAlign w:val="center"/>
          </w:tcPr>
          <w:p w14:paraId="001E2587" w14:textId="77777777" w:rsidR="001A03D6" w:rsidRPr="005E2B9C" w:rsidRDefault="001A03D6" w:rsidP="00A31581">
            <w:pPr>
              <w:jc w:val="both"/>
              <w:rPr>
                <w:rFonts w:cs="Arial"/>
                <w:sz w:val="18"/>
                <w:szCs w:val="18"/>
              </w:rPr>
            </w:pPr>
            <w:r w:rsidRPr="005E2B9C">
              <w:rPr>
                <w:rFonts w:cs="Arial"/>
                <w:sz w:val="18"/>
                <w:szCs w:val="18"/>
              </w:rPr>
              <w:t>CIBS Quality Management</w:t>
            </w:r>
          </w:p>
        </w:tc>
        <w:tc>
          <w:tcPr>
            <w:tcW w:w="500" w:type="dxa"/>
            <w:vAlign w:val="center"/>
          </w:tcPr>
          <w:p w14:paraId="1F926909" w14:textId="77777777" w:rsidR="001A03D6" w:rsidRPr="00286917" w:rsidRDefault="001A03D6" w:rsidP="00A31581">
            <w:pPr>
              <w:jc w:val="center"/>
              <w:rPr>
                <w:rFonts w:cs="Arial"/>
                <w:sz w:val="18"/>
                <w:szCs w:val="18"/>
              </w:rPr>
            </w:pPr>
            <w:r w:rsidRPr="00EA57A2">
              <w:rPr>
                <w:rFonts w:cs="Arial"/>
              </w:rPr>
              <w:sym w:font="Wingdings" w:char="F0FC"/>
            </w:r>
          </w:p>
        </w:tc>
        <w:tc>
          <w:tcPr>
            <w:tcW w:w="500" w:type="dxa"/>
            <w:vAlign w:val="center"/>
          </w:tcPr>
          <w:p w14:paraId="4ED45291" w14:textId="77777777" w:rsidR="001A03D6" w:rsidRPr="00286917" w:rsidRDefault="001A03D6" w:rsidP="00A31581">
            <w:pPr>
              <w:jc w:val="center"/>
              <w:rPr>
                <w:rFonts w:cs="Arial"/>
                <w:sz w:val="18"/>
                <w:szCs w:val="18"/>
              </w:rPr>
            </w:pPr>
          </w:p>
        </w:tc>
        <w:tc>
          <w:tcPr>
            <w:tcW w:w="500" w:type="dxa"/>
            <w:vAlign w:val="center"/>
          </w:tcPr>
          <w:p w14:paraId="427053CD" w14:textId="77777777" w:rsidR="001A03D6" w:rsidRDefault="001A03D6" w:rsidP="00A31581">
            <w:pPr>
              <w:jc w:val="center"/>
              <w:rPr>
                <w:rFonts w:cs="Arial"/>
                <w:sz w:val="18"/>
                <w:szCs w:val="18"/>
              </w:rPr>
            </w:pPr>
          </w:p>
        </w:tc>
        <w:tc>
          <w:tcPr>
            <w:tcW w:w="500" w:type="dxa"/>
            <w:vAlign w:val="center"/>
          </w:tcPr>
          <w:p w14:paraId="6A4BB21E" w14:textId="77777777" w:rsidR="001A03D6" w:rsidRDefault="001A03D6" w:rsidP="00A31581">
            <w:pPr>
              <w:jc w:val="center"/>
              <w:rPr>
                <w:rFonts w:cs="Arial"/>
                <w:sz w:val="18"/>
                <w:szCs w:val="18"/>
              </w:rPr>
            </w:pPr>
          </w:p>
        </w:tc>
        <w:tc>
          <w:tcPr>
            <w:tcW w:w="1100" w:type="dxa"/>
            <w:tcMar>
              <w:left w:w="113" w:type="dxa"/>
              <w:right w:w="85" w:type="dxa"/>
            </w:tcMar>
            <w:vAlign w:val="center"/>
          </w:tcPr>
          <w:p w14:paraId="74FD1026" w14:textId="77777777" w:rsidR="001A03D6" w:rsidRDefault="001A03D6" w:rsidP="00A31581">
            <w:pPr>
              <w:ind w:left="-113" w:right="-85"/>
              <w:jc w:val="center"/>
              <w:rPr>
                <w:sz w:val="18"/>
                <w:szCs w:val="18"/>
              </w:rPr>
            </w:pPr>
            <w:r>
              <w:rPr>
                <w:sz w:val="18"/>
                <w:szCs w:val="18"/>
              </w:rPr>
              <w:t>Final Report Issued</w:t>
            </w:r>
          </w:p>
        </w:tc>
        <w:tc>
          <w:tcPr>
            <w:tcW w:w="1100" w:type="dxa"/>
            <w:vAlign w:val="center"/>
          </w:tcPr>
          <w:p w14:paraId="2B61672F" w14:textId="77777777" w:rsidR="001A03D6" w:rsidRDefault="001A03D6" w:rsidP="00A31581">
            <w:pPr>
              <w:jc w:val="center"/>
              <w:rPr>
                <w:color w:val="000000"/>
                <w:sz w:val="18"/>
                <w:szCs w:val="18"/>
              </w:rPr>
            </w:pPr>
            <w:r>
              <w:rPr>
                <w:color w:val="000000"/>
                <w:sz w:val="18"/>
                <w:szCs w:val="18"/>
              </w:rPr>
              <w:t>Feb 2016</w:t>
            </w:r>
          </w:p>
        </w:tc>
        <w:tc>
          <w:tcPr>
            <w:tcW w:w="1000" w:type="dxa"/>
            <w:tcBorders>
              <w:bottom w:val="single" w:sz="4" w:space="0" w:color="auto"/>
            </w:tcBorders>
            <w:shd w:val="clear" w:color="auto" w:fill="00B050"/>
            <w:vAlign w:val="center"/>
          </w:tcPr>
          <w:p w14:paraId="52C046C5" w14:textId="77777777" w:rsidR="001A03D6" w:rsidRDefault="001A03D6" w:rsidP="00A31581">
            <w:pPr>
              <w:jc w:val="center"/>
              <w:rPr>
                <w:sz w:val="18"/>
                <w:szCs w:val="18"/>
              </w:rPr>
            </w:pPr>
            <w:r>
              <w:rPr>
                <w:sz w:val="18"/>
                <w:szCs w:val="18"/>
              </w:rPr>
              <w:t>Feb 2016</w:t>
            </w:r>
          </w:p>
        </w:tc>
        <w:tc>
          <w:tcPr>
            <w:tcW w:w="900" w:type="dxa"/>
            <w:shd w:val="clear" w:color="auto" w:fill="auto"/>
            <w:vAlign w:val="center"/>
          </w:tcPr>
          <w:p w14:paraId="3567E575" w14:textId="77777777" w:rsidR="001A03D6" w:rsidRDefault="001A03D6" w:rsidP="00A31581">
            <w:pPr>
              <w:jc w:val="center"/>
              <w:rPr>
                <w:sz w:val="18"/>
                <w:szCs w:val="18"/>
              </w:rPr>
            </w:pPr>
            <w:r>
              <w:rPr>
                <w:sz w:val="18"/>
                <w:szCs w:val="18"/>
              </w:rPr>
              <w:t>24/02/16</w:t>
            </w:r>
          </w:p>
        </w:tc>
        <w:tc>
          <w:tcPr>
            <w:tcW w:w="1000" w:type="dxa"/>
            <w:shd w:val="clear" w:color="auto" w:fill="auto"/>
            <w:vAlign w:val="center"/>
          </w:tcPr>
          <w:p w14:paraId="6DDA96F0" w14:textId="77777777" w:rsidR="001A03D6" w:rsidRDefault="001A03D6" w:rsidP="00A31581">
            <w:pPr>
              <w:jc w:val="center"/>
              <w:rPr>
                <w:sz w:val="18"/>
                <w:szCs w:val="18"/>
              </w:rPr>
            </w:pPr>
            <w:r>
              <w:rPr>
                <w:sz w:val="18"/>
                <w:szCs w:val="18"/>
              </w:rPr>
              <w:t>May 2016</w:t>
            </w:r>
          </w:p>
        </w:tc>
        <w:tc>
          <w:tcPr>
            <w:tcW w:w="1000" w:type="dxa"/>
            <w:tcBorders>
              <w:bottom w:val="single" w:sz="4" w:space="0" w:color="auto"/>
            </w:tcBorders>
            <w:shd w:val="clear" w:color="auto" w:fill="FFC000"/>
            <w:vAlign w:val="center"/>
          </w:tcPr>
          <w:p w14:paraId="75DD626E" w14:textId="77777777" w:rsidR="001A03D6" w:rsidRPr="00286917" w:rsidRDefault="001A03D6" w:rsidP="00A31581">
            <w:pPr>
              <w:jc w:val="center"/>
              <w:rPr>
                <w:sz w:val="18"/>
                <w:szCs w:val="18"/>
              </w:rPr>
            </w:pPr>
            <w:r>
              <w:rPr>
                <w:sz w:val="18"/>
                <w:szCs w:val="18"/>
              </w:rPr>
              <w:t>29/06/16</w:t>
            </w:r>
          </w:p>
        </w:tc>
        <w:tc>
          <w:tcPr>
            <w:tcW w:w="1000" w:type="dxa"/>
            <w:shd w:val="clear" w:color="auto" w:fill="auto"/>
            <w:vAlign w:val="center"/>
          </w:tcPr>
          <w:p w14:paraId="49160FDE" w14:textId="77777777" w:rsidR="001A03D6" w:rsidRPr="00286917" w:rsidRDefault="001A03D6" w:rsidP="00A31581">
            <w:pPr>
              <w:jc w:val="center"/>
              <w:rPr>
                <w:sz w:val="18"/>
                <w:szCs w:val="18"/>
              </w:rPr>
            </w:pPr>
            <w:r>
              <w:rPr>
                <w:sz w:val="18"/>
                <w:szCs w:val="18"/>
              </w:rPr>
              <w:t>04/07/16</w:t>
            </w:r>
          </w:p>
        </w:tc>
        <w:tc>
          <w:tcPr>
            <w:tcW w:w="800" w:type="dxa"/>
            <w:shd w:val="clear" w:color="auto" w:fill="auto"/>
            <w:vAlign w:val="center"/>
          </w:tcPr>
          <w:p w14:paraId="6E6BA5DE" w14:textId="77777777" w:rsidR="001A03D6" w:rsidRPr="00286917" w:rsidRDefault="001A03D6" w:rsidP="00A31581">
            <w:pPr>
              <w:jc w:val="center"/>
              <w:rPr>
                <w:sz w:val="18"/>
                <w:szCs w:val="18"/>
              </w:rPr>
            </w:pPr>
            <w:r>
              <w:rPr>
                <w:sz w:val="18"/>
                <w:szCs w:val="18"/>
              </w:rPr>
              <w:t>E</w:t>
            </w:r>
          </w:p>
        </w:tc>
        <w:tc>
          <w:tcPr>
            <w:tcW w:w="500" w:type="dxa"/>
            <w:shd w:val="clear" w:color="auto" w:fill="auto"/>
            <w:vAlign w:val="center"/>
          </w:tcPr>
          <w:p w14:paraId="32C716E8" w14:textId="77777777" w:rsidR="001A03D6" w:rsidRPr="00286917" w:rsidRDefault="001A03D6" w:rsidP="00A31581">
            <w:pPr>
              <w:jc w:val="center"/>
              <w:rPr>
                <w:sz w:val="18"/>
                <w:szCs w:val="18"/>
              </w:rPr>
            </w:pPr>
            <w:r>
              <w:rPr>
                <w:sz w:val="18"/>
                <w:szCs w:val="18"/>
              </w:rPr>
              <w:t>-</w:t>
            </w:r>
          </w:p>
        </w:tc>
        <w:tc>
          <w:tcPr>
            <w:tcW w:w="500" w:type="dxa"/>
            <w:shd w:val="clear" w:color="auto" w:fill="auto"/>
            <w:vAlign w:val="center"/>
          </w:tcPr>
          <w:p w14:paraId="1AC6936E" w14:textId="77777777" w:rsidR="001A03D6" w:rsidRPr="00286917" w:rsidRDefault="001A03D6" w:rsidP="00A31581">
            <w:pPr>
              <w:jc w:val="center"/>
              <w:rPr>
                <w:sz w:val="18"/>
                <w:szCs w:val="18"/>
              </w:rPr>
            </w:pPr>
            <w:r>
              <w:rPr>
                <w:sz w:val="18"/>
                <w:szCs w:val="18"/>
              </w:rPr>
              <w:t>-</w:t>
            </w:r>
          </w:p>
        </w:tc>
        <w:tc>
          <w:tcPr>
            <w:tcW w:w="500" w:type="dxa"/>
            <w:shd w:val="clear" w:color="auto" w:fill="auto"/>
            <w:vAlign w:val="center"/>
          </w:tcPr>
          <w:p w14:paraId="4F12B1EF" w14:textId="77777777" w:rsidR="001A03D6" w:rsidRPr="00286917" w:rsidRDefault="001A03D6" w:rsidP="00A31581">
            <w:pPr>
              <w:jc w:val="center"/>
              <w:rPr>
                <w:sz w:val="18"/>
                <w:szCs w:val="18"/>
              </w:rPr>
            </w:pPr>
            <w:r>
              <w:rPr>
                <w:sz w:val="18"/>
                <w:szCs w:val="18"/>
              </w:rPr>
              <w:t>1</w:t>
            </w:r>
          </w:p>
        </w:tc>
        <w:tc>
          <w:tcPr>
            <w:tcW w:w="500" w:type="dxa"/>
            <w:shd w:val="clear" w:color="auto" w:fill="auto"/>
            <w:vAlign w:val="center"/>
          </w:tcPr>
          <w:p w14:paraId="1B4108E6" w14:textId="77777777" w:rsidR="001A03D6" w:rsidRPr="00286917" w:rsidRDefault="001A03D6" w:rsidP="00A31581">
            <w:pPr>
              <w:jc w:val="center"/>
              <w:rPr>
                <w:sz w:val="18"/>
                <w:szCs w:val="18"/>
              </w:rPr>
            </w:pPr>
            <w:r>
              <w:rPr>
                <w:sz w:val="18"/>
                <w:szCs w:val="18"/>
              </w:rPr>
              <w:t>-</w:t>
            </w:r>
          </w:p>
        </w:tc>
      </w:tr>
      <w:tr w:rsidR="001A03D6" w:rsidRPr="008B4DDE" w14:paraId="567217C2" w14:textId="77777777" w:rsidTr="00A31581">
        <w:trPr>
          <w:trHeight w:val="454"/>
        </w:trPr>
        <w:tc>
          <w:tcPr>
            <w:tcW w:w="2325" w:type="dxa"/>
            <w:tcMar>
              <w:left w:w="85" w:type="dxa"/>
              <w:right w:w="85" w:type="dxa"/>
            </w:tcMar>
            <w:vAlign w:val="center"/>
          </w:tcPr>
          <w:p w14:paraId="5FC8A634" w14:textId="77777777" w:rsidR="001A03D6" w:rsidRPr="005E2B9C" w:rsidRDefault="001A03D6" w:rsidP="00A31581">
            <w:pPr>
              <w:jc w:val="both"/>
              <w:rPr>
                <w:rFonts w:cs="Arial"/>
                <w:sz w:val="18"/>
                <w:szCs w:val="18"/>
              </w:rPr>
            </w:pPr>
            <w:r w:rsidRPr="005E2B9C">
              <w:rPr>
                <w:rFonts w:cs="Arial"/>
                <w:sz w:val="18"/>
                <w:szCs w:val="18"/>
              </w:rPr>
              <w:t>CIBS Pension Administration – TPS Scheme Accounting</w:t>
            </w:r>
          </w:p>
        </w:tc>
        <w:tc>
          <w:tcPr>
            <w:tcW w:w="500" w:type="dxa"/>
            <w:vAlign w:val="center"/>
          </w:tcPr>
          <w:p w14:paraId="2F9CF08F" w14:textId="77777777" w:rsidR="001A03D6" w:rsidRPr="00286917" w:rsidRDefault="001A03D6" w:rsidP="00A31581">
            <w:pPr>
              <w:jc w:val="center"/>
              <w:rPr>
                <w:rFonts w:cs="Arial"/>
                <w:sz w:val="18"/>
                <w:szCs w:val="18"/>
              </w:rPr>
            </w:pPr>
            <w:r w:rsidRPr="00EA57A2">
              <w:rPr>
                <w:rFonts w:cs="Arial"/>
              </w:rPr>
              <w:sym w:font="Wingdings" w:char="F0FC"/>
            </w:r>
          </w:p>
        </w:tc>
        <w:tc>
          <w:tcPr>
            <w:tcW w:w="500" w:type="dxa"/>
            <w:vAlign w:val="center"/>
          </w:tcPr>
          <w:p w14:paraId="32C5655B" w14:textId="77777777" w:rsidR="001A03D6" w:rsidRPr="00286917" w:rsidRDefault="001A03D6" w:rsidP="00A31581">
            <w:pPr>
              <w:jc w:val="center"/>
              <w:rPr>
                <w:rFonts w:cs="Arial"/>
                <w:sz w:val="18"/>
                <w:szCs w:val="18"/>
              </w:rPr>
            </w:pPr>
          </w:p>
        </w:tc>
        <w:tc>
          <w:tcPr>
            <w:tcW w:w="500" w:type="dxa"/>
            <w:vAlign w:val="center"/>
          </w:tcPr>
          <w:p w14:paraId="59CE31DE" w14:textId="77777777" w:rsidR="001A03D6" w:rsidRDefault="001A03D6" w:rsidP="00A31581">
            <w:pPr>
              <w:jc w:val="center"/>
              <w:rPr>
                <w:rFonts w:cs="Arial"/>
                <w:sz w:val="18"/>
                <w:szCs w:val="18"/>
              </w:rPr>
            </w:pPr>
          </w:p>
        </w:tc>
        <w:tc>
          <w:tcPr>
            <w:tcW w:w="500" w:type="dxa"/>
            <w:vAlign w:val="center"/>
          </w:tcPr>
          <w:p w14:paraId="565BFB5F" w14:textId="77777777" w:rsidR="001A03D6" w:rsidRDefault="001A03D6" w:rsidP="00A31581">
            <w:pPr>
              <w:jc w:val="center"/>
              <w:rPr>
                <w:rFonts w:cs="Arial"/>
                <w:sz w:val="18"/>
                <w:szCs w:val="18"/>
              </w:rPr>
            </w:pPr>
          </w:p>
        </w:tc>
        <w:tc>
          <w:tcPr>
            <w:tcW w:w="1100" w:type="dxa"/>
            <w:tcMar>
              <w:left w:w="113" w:type="dxa"/>
              <w:right w:w="85" w:type="dxa"/>
            </w:tcMar>
            <w:vAlign w:val="center"/>
          </w:tcPr>
          <w:p w14:paraId="21C750AB" w14:textId="77777777" w:rsidR="001A03D6" w:rsidRDefault="001A03D6" w:rsidP="00A31581">
            <w:pPr>
              <w:ind w:left="-113" w:right="-85"/>
              <w:jc w:val="center"/>
              <w:rPr>
                <w:sz w:val="18"/>
                <w:szCs w:val="18"/>
              </w:rPr>
            </w:pPr>
            <w:r>
              <w:rPr>
                <w:sz w:val="18"/>
                <w:szCs w:val="18"/>
              </w:rPr>
              <w:t>Final Report Issued</w:t>
            </w:r>
          </w:p>
        </w:tc>
        <w:tc>
          <w:tcPr>
            <w:tcW w:w="1100" w:type="dxa"/>
            <w:vAlign w:val="center"/>
          </w:tcPr>
          <w:p w14:paraId="766E6BD6" w14:textId="77777777" w:rsidR="001A03D6" w:rsidRDefault="001A03D6" w:rsidP="00A31581">
            <w:pPr>
              <w:jc w:val="center"/>
              <w:rPr>
                <w:color w:val="000000"/>
                <w:sz w:val="18"/>
                <w:szCs w:val="18"/>
              </w:rPr>
            </w:pPr>
            <w:r>
              <w:rPr>
                <w:color w:val="000000"/>
                <w:sz w:val="18"/>
                <w:szCs w:val="18"/>
              </w:rPr>
              <w:t>Feb 2016</w:t>
            </w:r>
          </w:p>
        </w:tc>
        <w:tc>
          <w:tcPr>
            <w:tcW w:w="1000" w:type="dxa"/>
            <w:tcBorders>
              <w:bottom w:val="single" w:sz="4" w:space="0" w:color="auto"/>
            </w:tcBorders>
            <w:shd w:val="clear" w:color="auto" w:fill="00B050"/>
            <w:vAlign w:val="center"/>
          </w:tcPr>
          <w:p w14:paraId="052BE808" w14:textId="77777777" w:rsidR="001A03D6" w:rsidRDefault="001A03D6" w:rsidP="00A31581">
            <w:pPr>
              <w:jc w:val="center"/>
              <w:rPr>
                <w:sz w:val="18"/>
                <w:szCs w:val="18"/>
              </w:rPr>
            </w:pPr>
            <w:r>
              <w:rPr>
                <w:sz w:val="18"/>
                <w:szCs w:val="18"/>
              </w:rPr>
              <w:t>Feb 2016</w:t>
            </w:r>
          </w:p>
        </w:tc>
        <w:tc>
          <w:tcPr>
            <w:tcW w:w="900" w:type="dxa"/>
            <w:shd w:val="clear" w:color="auto" w:fill="auto"/>
            <w:vAlign w:val="center"/>
          </w:tcPr>
          <w:p w14:paraId="007134FB" w14:textId="77777777" w:rsidR="001A03D6" w:rsidRDefault="001A03D6" w:rsidP="00A31581">
            <w:pPr>
              <w:jc w:val="center"/>
              <w:rPr>
                <w:sz w:val="18"/>
                <w:szCs w:val="18"/>
              </w:rPr>
            </w:pPr>
            <w:r>
              <w:rPr>
                <w:sz w:val="18"/>
                <w:szCs w:val="18"/>
              </w:rPr>
              <w:t>15/02/16</w:t>
            </w:r>
          </w:p>
        </w:tc>
        <w:tc>
          <w:tcPr>
            <w:tcW w:w="1000" w:type="dxa"/>
            <w:shd w:val="clear" w:color="auto" w:fill="auto"/>
            <w:vAlign w:val="center"/>
          </w:tcPr>
          <w:p w14:paraId="120A2BE5" w14:textId="77777777" w:rsidR="001A03D6" w:rsidRDefault="001A03D6" w:rsidP="00A31581">
            <w:pPr>
              <w:jc w:val="center"/>
              <w:rPr>
                <w:sz w:val="18"/>
                <w:szCs w:val="18"/>
              </w:rPr>
            </w:pPr>
            <w:r>
              <w:rPr>
                <w:sz w:val="18"/>
                <w:szCs w:val="18"/>
              </w:rPr>
              <w:t>Apr 2016</w:t>
            </w:r>
          </w:p>
        </w:tc>
        <w:tc>
          <w:tcPr>
            <w:tcW w:w="1000" w:type="dxa"/>
            <w:tcBorders>
              <w:bottom w:val="single" w:sz="4" w:space="0" w:color="auto"/>
            </w:tcBorders>
            <w:shd w:val="clear" w:color="auto" w:fill="00B050"/>
            <w:vAlign w:val="center"/>
          </w:tcPr>
          <w:p w14:paraId="2B42B833" w14:textId="77777777" w:rsidR="001A03D6" w:rsidRPr="00286917" w:rsidRDefault="001A03D6" w:rsidP="00A31581">
            <w:pPr>
              <w:jc w:val="center"/>
              <w:rPr>
                <w:sz w:val="18"/>
                <w:szCs w:val="18"/>
              </w:rPr>
            </w:pPr>
            <w:r>
              <w:rPr>
                <w:sz w:val="18"/>
                <w:szCs w:val="18"/>
              </w:rPr>
              <w:t>27/04/16</w:t>
            </w:r>
          </w:p>
        </w:tc>
        <w:tc>
          <w:tcPr>
            <w:tcW w:w="1000" w:type="dxa"/>
            <w:shd w:val="clear" w:color="auto" w:fill="auto"/>
            <w:vAlign w:val="center"/>
          </w:tcPr>
          <w:p w14:paraId="39A150DC" w14:textId="77777777" w:rsidR="001A03D6" w:rsidRPr="00286917" w:rsidRDefault="001A03D6" w:rsidP="00A31581">
            <w:pPr>
              <w:jc w:val="center"/>
              <w:rPr>
                <w:sz w:val="18"/>
                <w:szCs w:val="18"/>
              </w:rPr>
            </w:pPr>
            <w:r>
              <w:rPr>
                <w:sz w:val="18"/>
                <w:szCs w:val="18"/>
              </w:rPr>
              <w:t>06/05/16</w:t>
            </w:r>
          </w:p>
        </w:tc>
        <w:tc>
          <w:tcPr>
            <w:tcW w:w="800" w:type="dxa"/>
            <w:shd w:val="clear" w:color="auto" w:fill="auto"/>
            <w:vAlign w:val="center"/>
          </w:tcPr>
          <w:p w14:paraId="7CA7DF53" w14:textId="77777777" w:rsidR="001A03D6" w:rsidRPr="00286917" w:rsidRDefault="001A03D6" w:rsidP="00A31581">
            <w:pPr>
              <w:jc w:val="center"/>
              <w:rPr>
                <w:sz w:val="18"/>
                <w:szCs w:val="18"/>
              </w:rPr>
            </w:pPr>
            <w:r>
              <w:rPr>
                <w:sz w:val="18"/>
                <w:szCs w:val="18"/>
              </w:rPr>
              <w:t>IR</w:t>
            </w:r>
          </w:p>
        </w:tc>
        <w:tc>
          <w:tcPr>
            <w:tcW w:w="500" w:type="dxa"/>
            <w:shd w:val="clear" w:color="auto" w:fill="auto"/>
            <w:vAlign w:val="center"/>
          </w:tcPr>
          <w:p w14:paraId="4F2F5BC0" w14:textId="77777777" w:rsidR="001A03D6" w:rsidRPr="00286917" w:rsidRDefault="001A03D6" w:rsidP="00A31581">
            <w:pPr>
              <w:jc w:val="center"/>
              <w:rPr>
                <w:sz w:val="18"/>
                <w:szCs w:val="18"/>
              </w:rPr>
            </w:pPr>
            <w:r>
              <w:rPr>
                <w:sz w:val="18"/>
                <w:szCs w:val="18"/>
              </w:rPr>
              <w:t>-</w:t>
            </w:r>
          </w:p>
        </w:tc>
        <w:tc>
          <w:tcPr>
            <w:tcW w:w="500" w:type="dxa"/>
            <w:shd w:val="clear" w:color="auto" w:fill="auto"/>
            <w:vAlign w:val="center"/>
          </w:tcPr>
          <w:p w14:paraId="66DFC477" w14:textId="77777777" w:rsidR="001A03D6" w:rsidRPr="00286917" w:rsidRDefault="001A03D6" w:rsidP="00A31581">
            <w:pPr>
              <w:jc w:val="center"/>
              <w:rPr>
                <w:sz w:val="18"/>
                <w:szCs w:val="18"/>
              </w:rPr>
            </w:pPr>
            <w:r>
              <w:rPr>
                <w:sz w:val="18"/>
                <w:szCs w:val="18"/>
              </w:rPr>
              <w:t>-</w:t>
            </w:r>
          </w:p>
        </w:tc>
        <w:tc>
          <w:tcPr>
            <w:tcW w:w="500" w:type="dxa"/>
            <w:shd w:val="clear" w:color="auto" w:fill="auto"/>
            <w:vAlign w:val="center"/>
          </w:tcPr>
          <w:p w14:paraId="318102C4" w14:textId="77777777" w:rsidR="001A03D6" w:rsidRPr="00286917" w:rsidRDefault="001A03D6" w:rsidP="00A31581">
            <w:pPr>
              <w:jc w:val="center"/>
              <w:rPr>
                <w:sz w:val="18"/>
                <w:szCs w:val="18"/>
              </w:rPr>
            </w:pPr>
            <w:r>
              <w:rPr>
                <w:sz w:val="18"/>
                <w:szCs w:val="18"/>
              </w:rPr>
              <w:t>4</w:t>
            </w:r>
          </w:p>
        </w:tc>
        <w:tc>
          <w:tcPr>
            <w:tcW w:w="500" w:type="dxa"/>
            <w:shd w:val="clear" w:color="auto" w:fill="auto"/>
            <w:vAlign w:val="center"/>
          </w:tcPr>
          <w:p w14:paraId="3D53E482" w14:textId="77777777" w:rsidR="001A03D6" w:rsidRPr="00286917" w:rsidRDefault="001A03D6" w:rsidP="00A31581">
            <w:pPr>
              <w:jc w:val="center"/>
              <w:rPr>
                <w:sz w:val="18"/>
                <w:szCs w:val="18"/>
              </w:rPr>
            </w:pPr>
            <w:r>
              <w:rPr>
                <w:sz w:val="18"/>
                <w:szCs w:val="18"/>
              </w:rPr>
              <w:t>1</w:t>
            </w:r>
          </w:p>
        </w:tc>
      </w:tr>
      <w:tr w:rsidR="001A03D6" w:rsidRPr="008B4DDE" w14:paraId="5E9574E8" w14:textId="77777777" w:rsidTr="00A31581">
        <w:trPr>
          <w:trHeight w:val="454"/>
        </w:trPr>
        <w:tc>
          <w:tcPr>
            <w:tcW w:w="2325" w:type="dxa"/>
            <w:tcMar>
              <w:left w:w="85" w:type="dxa"/>
              <w:right w:w="85" w:type="dxa"/>
            </w:tcMar>
            <w:vAlign w:val="center"/>
          </w:tcPr>
          <w:p w14:paraId="720640B8" w14:textId="77777777" w:rsidR="001A03D6" w:rsidRPr="005E2B9C" w:rsidRDefault="001A03D6" w:rsidP="00A31581">
            <w:pPr>
              <w:jc w:val="both"/>
              <w:rPr>
                <w:rFonts w:cs="Arial"/>
                <w:sz w:val="18"/>
                <w:szCs w:val="18"/>
              </w:rPr>
            </w:pPr>
            <w:r w:rsidRPr="005E2B9C">
              <w:rPr>
                <w:rFonts w:cs="Arial"/>
                <w:sz w:val="18"/>
                <w:szCs w:val="18"/>
              </w:rPr>
              <w:t>CIBS Financial Crime</w:t>
            </w:r>
          </w:p>
        </w:tc>
        <w:tc>
          <w:tcPr>
            <w:tcW w:w="500" w:type="dxa"/>
            <w:vAlign w:val="center"/>
          </w:tcPr>
          <w:p w14:paraId="74EDCB7A" w14:textId="77777777" w:rsidR="001A03D6" w:rsidRPr="00EA57A2" w:rsidRDefault="001A03D6" w:rsidP="00A31581">
            <w:pPr>
              <w:jc w:val="center"/>
              <w:rPr>
                <w:rFonts w:cs="Arial"/>
              </w:rPr>
            </w:pPr>
          </w:p>
        </w:tc>
        <w:tc>
          <w:tcPr>
            <w:tcW w:w="500" w:type="dxa"/>
            <w:vAlign w:val="center"/>
          </w:tcPr>
          <w:p w14:paraId="61A3F23E" w14:textId="77777777" w:rsidR="001A03D6" w:rsidRPr="00EA57A2" w:rsidRDefault="001A03D6" w:rsidP="00A31581">
            <w:pPr>
              <w:jc w:val="center"/>
              <w:rPr>
                <w:rFonts w:cs="Arial"/>
              </w:rPr>
            </w:pPr>
          </w:p>
        </w:tc>
        <w:tc>
          <w:tcPr>
            <w:tcW w:w="500" w:type="dxa"/>
            <w:vAlign w:val="center"/>
          </w:tcPr>
          <w:p w14:paraId="69911627" w14:textId="77777777" w:rsidR="001A03D6" w:rsidRPr="00EA57A2" w:rsidRDefault="001A03D6" w:rsidP="00A31581">
            <w:pPr>
              <w:jc w:val="center"/>
              <w:rPr>
                <w:rFonts w:cs="Arial"/>
              </w:rPr>
            </w:pPr>
            <w:r w:rsidRPr="00EA57A2">
              <w:rPr>
                <w:rFonts w:cs="Arial"/>
              </w:rPr>
              <w:sym w:font="Wingdings" w:char="F0FC"/>
            </w:r>
          </w:p>
        </w:tc>
        <w:tc>
          <w:tcPr>
            <w:tcW w:w="500" w:type="dxa"/>
            <w:vAlign w:val="center"/>
          </w:tcPr>
          <w:p w14:paraId="7E0BCA01" w14:textId="77777777" w:rsidR="001A03D6" w:rsidRPr="00EA57A2" w:rsidRDefault="001A03D6" w:rsidP="00A31581">
            <w:pPr>
              <w:jc w:val="center"/>
              <w:rPr>
                <w:rFonts w:cs="Arial"/>
              </w:rPr>
            </w:pPr>
          </w:p>
        </w:tc>
        <w:tc>
          <w:tcPr>
            <w:tcW w:w="1100" w:type="dxa"/>
            <w:tcMar>
              <w:left w:w="113" w:type="dxa"/>
              <w:right w:w="85" w:type="dxa"/>
            </w:tcMar>
            <w:vAlign w:val="center"/>
          </w:tcPr>
          <w:p w14:paraId="25518186" w14:textId="77777777" w:rsidR="001A03D6" w:rsidRDefault="001A03D6" w:rsidP="00A31581">
            <w:pPr>
              <w:ind w:left="-113" w:right="-85"/>
              <w:jc w:val="center"/>
              <w:rPr>
                <w:sz w:val="18"/>
                <w:szCs w:val="18"/>
              </w:rPr>
            </w:pPr>
            <w:r>
              <w:rPr>
                <w:sz w:val="18"/>
                <w:szCs w:val="18"/>
              </w:rPr>
              <w:t>Fieldwork</w:t>
            </w:r>
          </w:p>
        </w:tc>
        <w:tc>
          <w:tcPr>
            <w:tcW w:w="1100" w:type="dxa"/>
            <w:vAlign w:val="center"/>
          </w:tcPr>
          <w:p w14:paraId="42E2C094" w14:textId="77777777" w:rsidR="001A03D6" w:rsidRDefault="001A03D6" w:rsidP="00A31581">
            <w:pPr>
              <w:jc w:val="center"/>
              <w:rPr>
                <w:color w:val="000000"/>
                <w:sz w:val="18"/>
                <w:szCs w:val="18"/>
              </w:rPr>
            </w:pPr>
            <w:r>
              <w:rPr>
                <w:color w:val="000000"/>
                <w:sz w:val="18"/>
                <w:szCs w:val="18"/>
              </w:rPr>
              <w:t>Jul 2016</w:t>
            </w:r>
          </w:p>
        </w:tc>
        <w:tc>
          <w:tcPr>
            <w:tcW w:w="1000" w:type="dxa"/>
            <w:tcBorders>
              <w:bottom w:val="single" w:sz="4" w:space="0" w:color="auto"/>
            </w:tcBorders>
            <w:shd w:val="clear" w:color="auto" w:fill="00B050"/>
            <w:vAlign w:val="center"/>
          </w:tcPr>
          <w:p w14:paraId="1002D1E0" w14:textId="77777777" w:rsidR="001A03D6" w:rsidRDefault="001A03D6" w:rsidP="00A31581">
            <w:pPr>
              <w:jc w:val="center"/>
              <w:rPr>
                <w:sz w:val="18"/>
                <w:szCs w:val="18"/>
              </w:rPr>
            </w:pPr>
            <w:r>
              <w:rPr>
                <w:sz w:val="18"/>
                <w:szCs w:val="18"/>
              </w:rPr>
              <w:t>01/07/16</w:t>
            </w:r>
          </w:p>
        </w:tc>
        <w:tc>
          <w:tcPr>
            <w:tcW w:w="900" w:type="dxa"/>
            <w:shd w:val="clear" w:color="auto" w:fill="auto"/>
            <w:vAlign w:val="center"/>
          </w:tcPr>
          <w:p w14:paraId="573A2543" w14:textId="77777777" w:rsidR="001A03D6" w:rsidRDefault="001A03D6" w:rsidP="00A31581">
            <w:pPr>
              <w:jc w:val="center"/>
              <w:rPr>
                <w:sz w:val="18"/>
                <w:szCs w:val="18"/>
              </w:rPr>
            </w:pPr>
            <w:r>
              <w:rPr>
                <w:sz w:val="18"/>
                <w:szCs w:val="18"/>
              </w:rPr>
              <w:t>07/07/16</w:t>
            </w:r>
          </w:p>
        </w:tc>
        <w:tc>
          <w:tcPr>
            <w:tcW w:w="1000" w:type="dxa"/>
            <w:shd w:val="clear" w:color="auto" w:fill="auto"/>
            <w:vAlign w:val="center"/>
          </w:tcPr>
          <w:p w14:paraId="6CB45F97" w14:textId="77777777" w:rsidR="001A03D6" w:rsidRDefault="001A03D6" w:rsidP="00A31581">
            <w:pPr>
              <w:jc w:val="center"/>
              <w:rPr>
                <w:sz w:val="18"/>
                <w:szCs w:val="18"/>
              </w:rPr>
            </w:pPr>
            <w:r>
              <w:rPr>
                <w:sz w:val="18"/>
                <w:szCs w:val="18"/>
              </w:rPr>
              <w:t>Sep 2016</w:t>
            </w:r>
          </w:p>
        </w:tc>
        <w:tc>
          <w:tcPr>
            <w:tcW w:w="1000" w:type="dxa"/>
            <w:tcBorders>
              <w:bottom w:val="single" w:sz="4" w:space="0" w:color="auto"/>
            </w:tcBorders>
            <w:shd w:val="clear" w:color="auto" w:fill="auto"/>
            <w:vAlign w:val="center"/>
          </w:tcPr>
          <w:p w14:paraId="5EC42568" w14:textId="77777777" w:rsidR="001A03D6" w:rsidRPr="00286917" w:rsidRDefault="001A03D6" w:rsidP="00A31581">
            <w:pPr>
              <w:jc w:val="center"/>
              <w:rPr>
                <w:sz w:val="18"/>
                <w:szCs w:val="18"/>
              </w:rPr>
            </w:pPr>
          </w:p>
        </w:tc>
        <w:tc>
          <w:tcPr>
            <w:tcW w:w="1000" w:type="dxa"/>
            <w:shd w:val="clear" w:color="auto" w:fill="auto"/>
            <w:vAlign w:val="center"/>
          </w:tcPr>
          <w:p w14:paraId="25DBE2DF" w14:textId="77777777" w:rsidR="001A03D6" w:rsidRPr="00286917" w:rsidRDefault="001A03D6" w:rsidP="00A31581">
            <w:pPr>
              <w:jc w:val="center"/>
              <w:rPr>
                <w:sz w:val="18"/>
                <w:szCs w:val="18"/>
              </w:rPr>
            </w:pPr>
          </w:p>
        </w:tc>
        <w:tc>
          <w:tcPr>
            <w:tcW w:w="800" w:type="dxa"/>
            <w:shd w:val="clear" w:color="auto" w:fill="auto"/>
            <w:vAlign w:val="center"/>
          </w:tcPr>
          <w:p w14:paraId="7F9B418D" w14:textId="77777777" w:rsidR="001A03D6" w:rsidRPr="00286917" w:rsidRDefault="001A03D6" w:rsidP="00A31581">
            <w:pPr>
              <w:jc w:val="center"/>
              <w:rPr>
                <w:sz w:val="18"/>
                <w:szCs w:val="18"/>
              </w:rPr>
            </w:pPr>
          </w:p>
        </w:tc>
        <w:tc>
          <w:tcPr>
            <w:tcW w:w="500" w:type="dxa"/>
            <w:shd w:val="clear" w:color="auto" w:fill="auto"/>
            <w:vAlign w:val="center"/>
          </w:tcPr>
          <w:p w14:paraId="022EB570" w14:textId="77777777" w:rsidR="001A03D6" w:rsidRPr="00286917" w:rsidRDefault="001A03D6" w:rsidP="00A31581">
            <w:pPr>
              <w:jc w:val="center"/>
              <w:rPr>
                <w:sz w:val="18"/>
                <w:szCs w:val="18"/>
              </w:rPr>
            </w:pPr>
          </w:p>
        </w:tc>
        <w:tc>
          <w:tcPr>
            <w:tcW w:w="500" w:type="dxa"/>
            <w:shd w:val="clear" w:color="auto" w:fill="auto"/>
            <w:vAlign w:val="center"/>
          </w:tcPr>
          <w:p w14:paraId="54F33CDD" w14:textId="77777777" w:rsidR="001A03D6" w:rsidRPr="00286917" w:rsidRDefault="001A03D6" w:rsidP="00A31581">
            <w:pPr>
              <w:jc w:val="center"/>
              <w:rPr>
                <w:sz w:val="18"/>
                <w:szCs w:val="18"/>
              </w:rPr>
            </w:pPr>
          </w:p>
        </w:tc>
        <w:tc>
          <w:tcPr>
            <w:tcW w:w="500" w:type="dxa"/>
            <w:shd w:val="clear" w:color="auto" w:fill="auto"/>
            <w:vAlign w:val="center"/>
          </w:tcPr>
          <w:p w14:paraId="1272C674" w14:textId="77777777" w:rsidR="001A03D6" w:rsidRPr="00286917" w:rsidRDefault="001A03D6" w:rsidP="00A31581">
            <w:pPr>
              <w:jc w:val="center"/>
              <w:rPr>
                <w:sz w:val="18"/>
                <w:szCs w:val="18"/>
              </w:rPr>
            </w:pPr>
          </w:p>
        </w:tc>
        <w:tc>
          <w:tcPr>
            <w:tcW w:w="500" w:type="dxa"/>
            <w:shd w:val="clear" w:color="auto" w:fill="auto"/>
            <w:vAlign w:val="center"/>
          </w:tcPr>
          <w:p w14:paraId="5834044A" w14:textId="77777777" w:rsidR="001A03D6" w:rsidRPr="00286917" w:rsidRDefault="001A03D6" w:rsidP="00A31581">
            <w:pPr>
              <w:jc w:val="center"/>
              <w:rPr>
                <w:sz w:val="18"/>
                <w:szCs w:val="18"/>
              </w:rPr>
            </w:pPr>
          </w:p>
        </w:tc>
      </w:tr>
      <w:tr w:rsidR="001A03D6" w:rsidRPr="008B4DDE" w14:paraId="5B4F1903" w14:textId="77777777" w:rsidTr="00A31581">
        <w:trPr>
          <w:trHeight w:val="454"/>
        </w:trPr>
        <w:tc>
          <w:tcPr>
            <w:tcW w:w="2325" w:type="dxa"/>
            <w:tcMar>
              <w:left w:w="85" w:type="dxa"/>
              <w:right w:w="85" w:type="dxa"/>
            </w:tcMar>
            <w:vAlign w:val="center"/>
          </w:tcPr>
          <w:p w14:paraId="26B2C2F2" w14:textId="77777777" w:rsidR="001A03D6" w:rsidRPr="005E2B9C" w:rsidRDefault="001A03D6" w:rsidP="00A31581">
            <w:pPr>
              <w:jc w:val="both"/>
              <w:rPr>
                <w:rFonts w:cs="Arial"/>
                <w:sz w:val="18"/>
                <w:szCs w:val="18"/>
              </w:rPr>
            </w:pPr>
            <w:r w:rsidRPr="005E2B9C">
              <w:rPr>
                <w:rFonts w:cs="Arial"/>
                <w:sz w:val="18"/>
                <w:szCs w:val="18"/>
              </w:rPr>
              <w:t>CIBS Data Integrity – Member Records</w:t>
            </w:r>
            <w:r>
              <w:rPr>
                <w:rFonts w:cs="Arial"/>
                <w:sz w:val="18"/>
                <w:szCs w:val="18"/>
              </w:rPr>
              <w:t>***</w:t>
            </w:r>
          </w:p>
        </w:tc>
        <w:tc>
          <w:tcPr>
            <w:tcW w:w="500" w:type="dxa"/>
            <w:vAlign w:val="center"/>
          </w:tcPr>
          <w:p w14:paraId="32ED8F83" w14:textId="77777777" w:rsidR="001A03D6" w:rsidRPr="00EA57A2" w:rsidRDefault="001A03D6" w:rsidP="00A31581">
            <w:pPr>
              <w:jc w:val="center"/>
              <w:rPr>
                <w:rFonts w:cs="Arial"/>
              </w:rPr>
            </w:pPr>
          </w:p>
        </w:tc>
        <w:tc>
          <w:tcPr>
            <w:tcW w:w="500" w:type="dxa"/>
            <w:vAlign w:val="center"/>
          </w:tcPr>
          <w:p w14:paraId="5EA76702" w14:textId="77777777" w:rsidR="001A03D6" w:rsidRPr="00EA57A2" w:rsidRDefault="001A03D6" w:rsidP="00A31581">
            <w:pPr>
              <w:jc w:val="center"/>
              <w:rPr>
                <w:rFonts w:cs="Arial"/>
              </w:rPr>
            </w:pPr>
          </w:p>
        </w:tc>
        <w:tc>
          <w:tcPr>
            <w:tcW w:w="500" w:type="dxa"/>
            <w:vAlign w:val="center"/>
          </w:tcPr>
          <w:p w14:paraId="5727B06F" w14:textId="77777777" w:rsidR="001A03D6" w:rsidRPr="00EA57A2" w:rsidRDefault="001A03D6" w:rsidP="00A31581">
            <w:pPr>
              <w:jc w:val="center"/>
              <w:rPr>
                <w:rFonts w:cs="Arial"/>
              </w:rPr>
            </w:pPr>
          </w:p>
        </w:tc>
        <w:tc>
          <w:tcPr>
            <w:tcW w:w="500" w:type="dxa"/>
            <w:vAlign w:val="center"/>
          </w:tcPr>
          <w:p w14:paraId="28A88411" w14:textId="77777777" w:rsidR="001A03D6" w:rsidRPr="00EA57A2" w:rsidRDefault="001A03D6" w:rsidP="00A31581">
            <w:pPr>
              <w:jc w:val="center"/>
              <w:rPr>
                <w:rFonts w:cs="Arial"/>
              </w:rPr>
            </w:pPr>
          </w:p>
        </w:tc>
        <w:tc>
          <w:tcPr>
            <w:tcW w:w="1100" w:type="dxa"/>
            <w:tcMar>
              <w:left w:w="113" w:type="dxa"/>
              <w:right w:w="85" w:type="dxa"/>
            </w:tcMar>
            <w:vAlign w:val="center"/>
          </w:tcPr>
          <w:p w14:paraId="63DF4FAC" w14:textId="77777777" w:rsidR="001A03D6" w:rsidRDefault="001A03D6" w:rsidP="00A31581">
            <w:pPr>
              <w:ind w:left="-113" w:right="-85"/>
              <w:jc w:val="center"/>
            </w:pPr>
            <w:r>
              <w:rPr>
                <w:sz w:val="18"/>
                <w:szCs w:val="18"/>
              </w:rPr>
              <w:t>Dropped</w:t>
            </w:r>
          </w:p>
        </w:tc>
        <w:tc>
          <w:tcPr>
            <w:tcW w:w="1100" w:type="dxa"/>
            <w:vAlign w:val="center"/>
          </w:tcPr>
          <w:p w14:paraId="09006EFA" w14:textId="77777777" w:rsidR="001A03D6" w:rsidRDefault="001A03D6" w:rsidP="00A31581">
            <w:pPr>
              <w:jc w:val="center"/>
              <w:rPr>
                <w:color w:val="000000"/>
                <w:sz w:val="18"/>
                <w:szCs w:val="18"/>
              </w:rPr>
            </w:pPr>
            <w:r>
              <w:rPr>
                <w:color w:val="000000"/>
                <w:sz w:val="18"/>
                <w:szCs w:val="18"/>
              </w:rPr>
              <w:t>N/A</w:t>
            </w:r>
          </w:p>
        </w:tc>
        <w:tc>
          <w:tcPr>
            <w:tcW w:w="1000" w:type="dxa"/>
            <w:tcBorders>
              <w:bottom w:val="single" w:sz="4" w:space="0" w:color="auto"/>
            </w:tcBorders>
            <w:shd w:val="clear" w:color="auto" w:fill="auto"/>
            <w:vAlign w:val="center"/>
          </w:tcPr>
          <w:p w14:paraId="70AE191A" w14:textId="77777777" w:rsidR="001A03D6" w:rsidRDefault="001A03D6" w:rsidP="00A31581">
            <w:pPr>
              <w:jc w:val="center"/>
              <w:rPr>
                <w:sz w:val="18"/>
                <w:szCs w:val="18"/>
              </w:rPr>
            </w:pPr>
            <w:r>
              <w:rPr>
                <w:sz w:val="18"/>
                <w:szCs w:val="18"/>
              </w:rPr>
              <w:t>N/A</w:t>
            </w:r>
          </w:p>
        </w:tc>
        <w:tc>
          <w:tcPr>
            <w:tcW w:w="900" w:type="dxa"/>
            <w:shd w:val="clear" w:color="auto" w:fill="auto"/>
            <w:vAlign w:val="center"/>
          </w:tcPr>
          <w:p w14:paraId="6205E1B2" w14:textId="77777777" w:rsidR="001A03D6" w:rsidRDefault="001A03D6" w:rsidP="00A31581">
            <w:pPr>
              <w:jc w:val="center"/>
              <w:rPr>
                <w:sz w:val="18"/>
                <w:szCs w:val="18"/>
              </w:rPr>
            </w:pPr>
            <w:r>
              <w:rPr>
                <w:sz w:val="18"/>
                <w:szCs w:val="18"/>
              </w:rPr>
              <w:t>N/A</w:t>
            </w:r>
          </w:p>
        </w:tc>
        <w:tc>
          <w:tcPr>
            <w:tcW w:w="1000" w:type="dxa"/>
            <w:shd w:val="clear" w:color="auto" w:fill="auto"/>
            <w:vAlign w:val="center"/>
          </w:tcPr>
          <w:p w14:paraId="16B04F32" w14:textId="77777777" w:rsidR="001A03D6" w:rsidRDefault="001A03D6" w:rsidP="00A31581">
            <w:pPr>
              <w:jc w:val="center"/>
              <w:rPr>
                <w:sz w:val="18"/>
                <w:szCs w:val="18"/>
              </w:rPr>
            </w:pPr>
            <w:r>
              <w:rPr>
                <w:sz w:val="18"/>
                <w:szCs w:val="18"/>
              </w:rPr>
              <w:t>N/A</w:t>
            </w:r>
          </w:p>
        </w:tc>
        <w:tc>
          <w:tcPr>
            <w:tcW w:w="1000" w:type="dxa"/>
            <w:tcBorders>
              <w:bottom w:val="single" w:sz="4" w:space="0" w:color="auto"/>
            </w:tcBorders>
            <w:shd w:val="clear" w:color="auto" w:fill="auto"/>
            <w:vAlign w:val="center"/>
          </w:tcPr>
          <w:p w14:paraId="04DAE95D" w14:textId="77777777" w:rsidR="001A03D6" w:rsidRPr="00286917" w:rsidRDefault="001A03D6" w:rsidP="00A31581">
            <w:pPr>
              <w:jc w:val="center"/>
              <w:rPr>
                <w:sz w:val="18"/>
                <w:szCs w:val="18"/>
              </w:rPr>
            </w:pPr>
            <w:r>
              <w:rPr>
                <w:sz w:val="18"/>
                <w:szCs w:val="18"/>
              </w:rPr>
              <w:t>N/A</w:t>
            </w:r>
          </w:p>
        </w:tc>
        <w:tc>
          <w:tcPr>
            <w:tcW w:w="1000" w:type="dxa"/>
            <w:shd w:val="clear" w:color="auto" w:fill="auto"/>
            <w:vAlign w:val="center"/>
          </w:tcPr>
          <w:p w14:paraId="5D37511A" w14:textId="77777777" w:rsidR="001A03D6" w:rsidRPr="00286917" w:rsidRDefault="001A03D6" w:rsidP="00A31581">
            <w:pPr>
              <w:jc w:val="center"/>
              <w:rPr>
                <w:sz w:val="18"/>
                <w:szCs w:val="18"/>
              </w:rPr>
            </w:pPr>
            <w:r>
              <w:rPr>
                <w:sz w:val="18"/>
                <w:szCs w:val="18"/>
              </w:rPr>
              <w:t>N/A</w:t>
            </w:r>
          </w:p>
        </w:tc>
        <w:tc>
          <w:tcPr>
            <w:tcW w:w="800" w:type="dxa"/>
            <w:shd w:val="clear" w:color="auto" w:fill="auto"/>
            <w:vAlign w:val="center"/>
          </w:tcPr>
          <w:p w14:paraId="2E2F34C1" w14:textId="77777777" w:rsidR="001A03D6" w:rsidRPr="00286917" w:rsidRDefault="001A03D6" w:rsidP="00A31581">
            <w:pPr>
              <w:jc w:val="center"/>
              <w:rPr>
                <w:sz w:val="18"/>
                <w:szCs w:val="18"/>
              </w:rPr>
            </w:pPr>
            <w:r>
              <w:rPr>
                <w:sz w:val="18"/>
                <w:szCs w:val="18"/>
              </w:rPr>
              <w:t>N/A</w:t>
            </w:r>
          </w:p>
        </w:tc>
        <w:tc>
          <w:tcPr>
            <w:tcW w:w="500" w:type="dxa"/>
            <w:shd w:val="clear" w:color="auto" w:fill="auto"/>
            <w:vAlign w:val="center"/>
          </w:tcPr>
          <w:p w14:paraId="64078F93" w14:textId="77777777" w:rsidR="001A03D6" w:rsidRPr="00286917" w:rsidRDefault="001A03D6" w:rsidP="00A31581">
            <w:pPr>
              <w:jc w:val="center"/>
              <w:rPr>
                <w:sz w:val="18"/>
                <w:szCs w:val="18"/>
              </w:rPr>
            </w:pPr>
            <w:r>
              <w:rPr>
                <w:sz w:val="18"/>
                <w:szCs w:val="18"/>
              </w:rPr>
              <w:t>-</w:t>
            </w:r>
          </w:p>
        </w:tc>
        <w:tc>
          <w:tcPr>
            <w:tcW w:w="500" w:type="dxa"/>
            <w:shd w:val="clear" w:color="auto" w:fill="auto"/>
            <w:vAlign w:val="center"/>
          </w:tcPr>
          <w:p w14:paraId="111BF4D7" w14:textId="77777777" w:rsidR="001A03D6" w:rsidRPr="00286917" w:rsidRDefault="001A03D6" w:rsidP="00A31581">
            <w:pPr>
              <w:jc w:val="center"/>
              <w:rPr>
                <w:sz w:val="18"/>
                <w:szCs w:val="18"/>
              </w:rPr>
            </w:pPr>
            <w:r>
              <w:rPr>
                <w:sz w:val="18"/>
                <w:szCs w:val="18"/>
              </w:rPr>
              <w:t>-</w:t>
            </w:r>
          </w:p>
        </w:tc>
        <w:tc>
          <w:tcPr>
            <w:tcW w:w="500" w:type="dxa"/>
            <w:shd w:val="clear" w:color="auto" w:fill="auto"/>
            <w:vAlign w:val="center"/>
          </w:tcPr>
          <w:p w14:paraId="788C87EF" w14:textId="77777777" w:rsidR="001A03D6" w:rsidRPr="00286917" w:rsidRDefault="001A03D6" w:rsidP="00A31581">
            <w:pPr>
              <w:jc w:val="center"/>
              <w:rPr>
                <w:sz w:val="18"/>
                <w:szCs w:val="18"/>
              </w:rPr>
            </w:pPr>
            <w:r>
              <w:rPr>
                <w:sz w:val="18"/>
                <w:szCs w:val="18"/>
              </w:rPr>
              <w:t>-</w:t>
            </w:r>
          </w:p>
        </w:tc>
        <w:tc>
          <w:tcPr>
            <w:tcW w:w="500" w:type="dxa"/>
            <w:shd w:val="clear" w:color="auto" w:fill="auto"/>
            <w:vAlign w:val="center"/>
          </w:tcPr>
          <w:p w14:paraId="4247E5FE" w14:textId="77777777" w:rsidR="001A03D6" w:rsidRPr="00286917" w:rsidRDefault="001A03D6" w:rsidP="00A31581">
            <w:pPr>
              <w:jc w:val="center"/>
              <w:rPr>
                <w:sz w:val="18"/>
                <w:szCs w:val="18"/>
              </w:rPr>
            </w:pPr>
            <w:r>
              <w:rPr>
                <w:sz w:val="18"/>
                <w:szCs w:val="18"/>
              </w:rPr>
              <w:t>-</w:t>
            </w:r>
          </w:p>
        </w:tc>
      </w:tr>
      <w:tr w:rsidR="001A03D6" w:rsidRPr="008B4DDE" w14:paraId="297E77FB" w14:textId="77777777" w:rsidTr="00A31581">
        <w:trPr>
          <w:trHeight w:val="454"/>
        </w:trPr>
        <w:tc>
          <w:tcPr>
            <w:tcW w:w="2325" w:type="dxa"/>
            <w:tcMar>
              <w:left w:w="85" w:type="dxa"/>
              <w:right w:w="85" w:type="dxa"/>
            </w:tcMar>
            <w:vAlign w:val="center"/>
          </w:tcPr>
          <w:p w14:paraId="047F7CD5" w14:textId="77777777" w:rsidR="001A03D6" w:rsidRPr="005E2B9C" w:rsidRDefault="001A03D6" w:rsidP="00A31581">
            <w:pPr>
              <w:jc w:val="both"/>
              <w:rPr>
                <w:rFonts w:cs="Arial"/>
                <w:sz w:val="18"/>
                <w:szCs w:val="18"/>
              </w:rPr>
            </w:pPr>
            <w:r w:rsidRPr="005E2B9C">
              <w:rPr>
                <w:rFonts w:cs="Arial"/>
                <w:sz w:val="18"/>
                <w:szCs w:val="18"/>
              </w:rPr>
              <w:t>CIBS TPS Internal Fraud Follow Up Controls Evaluation</w:t>
            </w:r>
          </w:p>
        </w:tc>
        <w:tc>
          <w:tcPr>
            <w:tcW w:w="500" w:type="dxa"/>
            <w:vAlign w:val="center"/>
          </w:tcPr>
          <w:p w14:paraId="29E4AAB5" w14:textId="77777777" w:rsidR="001A03D6" w:rsidRPr="00EA57A2" w:rsidRDefault="001A03D6" w:rsidP="00A31581">
            <w:pPr>
              <w:jc w:val="center"/>
              <w:rPr>
                <w:rFonts w:cs="Arial"/>
              </w:rPr>
            </w:pPr>
          </w:p>
        </w:tc>
        <w:tc>
          <w:tcPr>
            <w:tcW w:w="500" w:type="dxa"/>
            <w:vAlign w:val="center"/>
          </w:tcPr>
          <w:p w14:paraId="4475A57D" w14:textId="77777777" w:rsidR="001A03D6" w:rsidRPr="00EA57A2" w:rsidRDefault="001A03D6" w:rsidP="00A31581">
            <w:pPr>
              <w:jc w:val="center"/>
              <w:rPr>
                <w:rFonts w:cs="Arial"/>
              </w:rPr>
            </w:pPr>
            <w:r w:rsidRPr="00EA57A2">
              <w:rPr>
                <w:rFonts w:cs="Arial"/>
              </w:rPr>
              <w:sym w:font="Wingdings" w:char="F0FC"/>
            </w:r>
          </w:p>
        </w:tc>
        <w:tc>
          <w:tcPr>
            <w:tcW w:w="500" w:type="dxa"/>
            <w:vAlign w:val="center"/>
          </w:tcPr>
          <w:p w14:paraId="705A8E0A" w14:textId="77777777" w:rsidR="001A03D6" w:rsidRPr="00EA57A2" w:rsidRDefault="001A03D6" w:rsidP="00A31581">
            <w:pPr>
              <w:jc w:val="center"/>
              <w:rPr>
                <w:rFonts w:cs="Arial"/>
              </w:rPr>
            </w:pPr>
          </w:p>
        </w:tc>
        <w:tc>
          <w:tcPr>
            <w:tcW w:w="500" w:type="dxa"/>
            <w:vAlign w:val="center"/>
          </w:tcPr>
          <w:p w14:paraId="5D080978" w14:textId="77777777" w:rsidR="001A03D6" w:rsidRPr="00EA57A2" w:rsidRDefault="001A03D6" w:rsidP="00A31581">
            <w:pPr>
              <w:jc w:val="center"/>
              <w:rPr>
                <w:rFonts w:cs="Arial"/>
              </w:rPr>
            </w:pPr>
          </w:p>
        </w:tc>
        <w:tc>
          <w:tcPr>
            <w:tcW w:w="1100" w:type="dxa"/>
            <w:tcMar>
              <w:left w:w="113" w:type="dxa"/>
              <w:right w:w="85" w:type="dxa"/>
            </w:tcMar>
            <w:vAlign w:val="center"/>
          </w:tcPr>
          <w:p w14:paraId="186039E8" w14:textId="77777777" w:rsidR="001A03D6" w:rsidRDefault="001A03D6" w:rsidP="00A31581">
            <w:pPr>
              <w:ind w:left="-113" w:right="-85"/>
              <w:jc w:val="center"/>
            </w:pPr>
            <w:r>
              <w:rPr>
                <w:sz w:val="18"/>
                <w:szCs w:val="18"/>
              </w:rPr>
              <w:t>Draft Report</w:t>
            </w:r>
          </w:p>
        </w:tc>
        <w:tc>
          <w:tcPr>
            <w:tcW w:w="1100" w:type="dxa"/>
            <w:vAlign w:val="center"/>
          </w:tcPr>
          <w:p w14:paraId="3E9A2FAE" w14:textId="77777777" w:rsidR="001A03D6" w:rsidRDefault="001A03D6" w:rsidP="00A31581">
            <w:pPr>
              <w:jc w:val="center"/>
              <w:rPr>
                <w:color w:val="000000"/>
                <w:sz w:val="18"/>
                <w:szCs w:val="18"/>
              </w:rPr>
            </w:pPr>
            <w:r>
              <w:rPr>
                <w:color w:val="000000"/>
                <w:sz w:val="18"/>
                <w:szCs w:val="18"/>
              </w:rPr>
              <w:t>Mar 2016</w:t>
            </w:r>
          </w:p>
        </w:tc>
        <w:tc>
          <w:tcPr>
            <w:tcW w:w="1000" w:type="dxa"/>
            <w:tcBorders>
              <w:bottom w:val="single" w:sz="4" w:space="0" w:color="auto"/>
            </w:tcBorders>
            <w:shd w:val="clear" w:color="auto" w:fill="FFC000"/>
            <w:vAlign w:val="center"/>
          </w:tcPr>
          <w:p w14:paraId="3C23FB1B" w14:textId="77777777" w:rsidR="001A03D6" w:rsidRDefault="001A03D6" w:rsidP="00A31581">
            <w:pPr>
              <w:jc w:val="center"/>
              <w:rPr>
                <w:sz w:val="18"/>
                <w:szCs w:val="18"/>
              </w:rPr>
            </w:pPr>
            <w:r>
              <w:rPr>
                <w:sz w:val="18"/>
                <w:szCs w:val="18"/>
              </w:rPr>
              <w:t>Apr 2016</w:t>
            </w:r>
          </w:p>
        </w:tc>
        <w:tc>
          <w:tcPr>
            <w:tcW w:w="900" w:type="dxa"/>
            <w:shd w:val="clear" w:color="auto" w:fill="auto"/>
            <w:vAlign w:val="center"/>
          </w:tcPr>
          <w:p w14:paraId="4B650CEE" w14:textId="77777777" w:rsidR="001A03D6" w:rsidRDefault="001A03D6" w:rsidP="00A31581">
            <w:pPr>
              <w:jc w:val="center"/>
              <w:rPr>
                <w:sz w:val="18"/>
                <w:szCs w:val="18"/>
              </w:rPr>
            </w:pPr>
            <w:r>
              <w:rPr>
                <w:sz w:val="18"/>
                <w:szCs w:val="18"/>
              </w:rPr>
              <w:t>15/04/16</w:t>
            </w:r>
          </w:p>
        </w:tc>
        <w:tc>
          <w:tcPr>
            <w:tcW w:w="1000" w:type="dxa"/>
            <w:shd w:val="clear" w:color="auto" w:fill="auto"/>
            <w:vAlign w:val="center"/>
          </w:tcPr>
          <w:p w14:paraId="7EADE34B" w14:textId="77777777" w:rsidR="001A03D6" w:rsidRDefault="001A03D6" w:rsidP="00A31581">
            <w:pPr>
              <w:jc w:val="center"/>
              <w:rPr>
                <w:sz w:val="18"/>
                <w:szCs w:val="18"/>
              </w:rPr>
            </w:pPr>
            <w:r>
              <w:rPr>
                <w:sz w:val="18"/>
                <w:szCs w:val="18"/>
              </w:rPr>
              <w:t>Jun 2016</w:t>
            </w:r>
          </w:p>
        </w:tc>
        <w:tc>
          <w:tcPr>
            <w:tcW w:w="1000" w:type="dxa"/>
            <w:tcBorders>
              <w:bottom w:val="single" w:sz="4" w:space="0" w:color="auto"/>
            </w:tcBorders>
            <w:shd w:val="clear" w:color="auto" w:fill="auto"/>
            <w:vAlign w:val="center"/>
          </w:tcPr>
          <w:p w14:paraId="6FF5B678" w14:textId="77777777" w:rsidR="001A03D6" w:rsidRPr="00636A0C" w:rsidRDefault="001A03D6" w:rsidP="00A31581">
            <w:pPr>
              <w:jc w:val="center"/>
              <w:rPr>
                <w:i/>
                <w:sz w:val="18"/>
                <w:szCs w:val="18"/>
              </w:rPr>
            </w:pPr>
            <w:r w:rsidRPr="00636A0C">
              <w:rPr>
                <w:i/>
                <w:sz w:val="18"/>
                <w:szCs w:val="18"/>
              </w:rPr>
              <w:t>05/09/16*</w:t>
            </w:r>
          </w:p>
        </w:tc>
        <w:tc>
          <w:tcPr>
            <w:tcW w:w="1000" w:type="dxa"/>
            <w:shd w:val="clear" w:color="auto" w:fill="auto"/>
            <w:vAlign w:val="center"/>
          </w:tcPr>
          <w:p w14:paraId="40660E1C" w14:textId="77777777" w:rsidR="001A03D6" w:rsidRPr="00636A0C" w:rsidRDefault="001A03D6" w:rsidP="00A31581">
            <w:pPr>
              <w:jc w:val="center"/>
              <w:rPr>
                <w:i/>
                <w:sz w:val="18"/>
                <w:szCs w:val="18"/>
              </w:rPr>
            </w:pPr>
            <w:r>
              <w:rPr>
                <w:i/>
                <w:sz w:val="18"/>
                <w:szCs w:val="18"/>
              </w:rPr>
              <w:t>Oct 2016</w:t>
            </w:r>
          </w:p>
        </w:tc>
        <w:tc>
          <w:tcPr>
            <w:tcW w:w="800" w:type="dxa"/>
            <w:shd w:val="clear" w:color="auto" w:fill="auto"/>
            <w:vAlign w:val="center"/>
          </w:tcPr>
          <w:p w14:paraId="26380D08" w14:textId="77777777" w:rsidR="001A03D6" w:rsidRPr="00636A0C" w:rsidRDefault="001A03D6" w:rsidP="00A31581">
            <w:pPr>
              <w:jc w:val="center"/>
              <w:rPr>
                <w:i/>
                <w:sz w:val="18"/>
                <w:szCs w:val="18"/>
              </w:rPr>
            </w:pPr>
            <w:r w:rsidRPr="00636A0C">
              <w:rPr>
                <w:i/>
                <w:sz w:val="18"/>
                <w:szCs w:val="18"/>
              </w:rPr>
              <w:t>E</w:t>
            </w:r>
          </w:p>
        </w:tc>
        <w:tc>
          <w:tcPr>
            <w:tcW w:w="500" w:type="dxa"/>
            <w:shd w:val="clear" w:color="auto" w:fill="auto"/>
            <w:vAlign w:val="center"/>
          </w:tcPr>
          <w:p w14:paraId="4F58C2F9" w14:textId="77777777" w:rsidR="001A03D6" w:rsidRPr="00636A0C" w:rsidRDefault="001A03D6" w:rsidP="00A31581">
            <w:pPr>
              <w:jc w:val="center"/>
              <w:rPr>
                <w:i/>
                <w:sz w:val="18"/>
                <w:szCs w:val="18"/>
              </w:rPr>
            </w:pPr>
            <w:r w:rsidRPr="00636A0C">
              <w:rPr>
                <w:i/>
                <w:sz w:val="18"/>
                <w:szCs w:val="18"/>
              </w:rPr>
              <w:t>-</w:t>
            </w:r>
          </w:p>
        </w:tc>
        <w:tc>
          <w:tcPr>
            <w:tcW w:w="500" w:type="dxa"/>
            <w:shd w:val="clear" w:color="auto" w:fill="auto"/>
            <w:vAlign w:val="center"/>
          </w:tcPr>
          <w:p w14:paraId="1B3CA6D9" w14:textId="77777777" w:rsidR="001A03D6" w:rsidRPr="00636A0C" w:rsidRDefault="001A03D6" w:rsidP="00A31581">
            <w:pPr>
              <w:jc w:val="center"/>
              <w:rPr>
                <w:i/>
                <w:sz w:val="18"/>
                <w:szCs w:val="18"/>
              </w:rPr>
            </w:pPr>
            <w:r w:rsidRPr="00636A0C">
              <w:rPr>
                <w:i/>
                <w:sz w:val="18"/>
                <w:szCs w:val="18"/>
              </w:rPr>
              <w:t>-</w:t>
            </w:r>
          </w:p>
        </w:tc>
        <w:tc>
          <w:tcPr>
            <w:tcW w:w="500" w:type="dxa"/>
            <w:shd w:val="clear" w:color="auto" w:fill="auto"/>
            <w:vAlign w:val="center"/>
          </w:tcPr>
          <w:p w14:paraId="00D984E3" w14:textId="77777777" w:rsidR="001A03D6" w:rsidRPr="00636A0C" w:rsidRDefault="001A03D6" w:rsidP="00A31581">
            <w:pPr>
              <w:jc w:val="center"/>
              <w:rPr>
                <w:i/>
                <w:sz w:val="18"/>
                <w:szCs w:val="18"/>
              </w:rPr>
            </w:pPr>
            <w:r w:rsidRPr="00636A0C">
              <w:rPr>
                <w:i/>
                <w:sz w:val="18"/>
                <w:szCs w:val="18"/>
              </w:rPr>
              <w:t>2</w:t>
            </w:r>
          </w:p>
        </w:tc>
        <w:tc>
          <w:tcPr>
            <w:tcW w:w="500" w:type="dxa"/>
            <w:shd w:val="clear" w:color="auto" w:fill="auto"/>
            <w:vAlign w:val="center"/>
          </w:tcPr>
          <w:p w14:paraId="33CBB8D4" w14:textId="77777777" w:rsidR="001A03D6" w:rsidRPr="00636A0C" w:rsidRDefault="001A03D6" w:rsidP="00A31581">
            <w:pPr>
              <w:jc w:val="center"/>
              <w:rPr>
                <w:i/>
                <w:sz w:val="18"/>
                <w:szCs w:val="18"/>
              </w:rPr>
            </w:pPr>
            <w:r w:rsidRPr="00636A0C">
              <w:rPr>
                <w:i/>
                <w:sz w:val="18"/>
                <w:szCs w:val="18"/>
              </w:rPr>
              <w:t>2</w:t>
            </w:r>
          </w:p>
        </w:tc>
      </w:tr>
      <w:tr w:rsidR="001A03D6" w:rsidRPr="008B4DDE" w14:paraId="262C07AD" w14:textId="77777777" w:rsidTr="00A31581">
        <w:trPr>
          <w:trHeight w:val="454"/>
        </w:trPr>
        <w:tc>
          <w:tcPr>
            <w:tcW w:w="2325" w:type="dxa"/>
            <w:tcMar>
              <w:left w:w="85" w:type="dxa"/>
              <w:right w:w="85" w:type="dxa"/>
            </w:tcMar>
            <w:vAlign w:val="center"/>
          </w:tcPr>
          <w:p w14:paraId="73CDAACA" w14:textId="77777777" w:rsidR="001A03D6" w:rsidRPr="005E2B9C" w:rsidRDefault="001A03D6" w:rsidP="00A31581">
            <w:pPr>
              <w:jc w:val="both"/>
              <w:rPr>
                <w:rFonts w:cs="Arial"/>
                <w:sz w:val="18"/>
                <w:szCs w:val="18"/>
              </w:rPr>
            </w:pPr>
            <w:r w:rsidRPr="005E2B9C">
              <w:rPr>
                <w:rFonts w:cs="Arial"/>
                <w:sz w:val="18"/>
                <w:szCs w:val="18"/>
              </w:rPr>
              <w:t>CIBS Regulatory Compliance – Legal</w:t>
            </w:r>
          </w:p>
        </w:tc>
        <w:tc>
          <w:tcPr>
            <w:tcW w:w="500" w:type="dxa"/>
            <w:vAlign w:val="center"/>
          </w:tcPr>
          <w:p w14:paraId="341DFE55" w14:textId="77777777" w:rsidR="001A03D6" w:rsidRPr="00EA57A2" w:rsidRDefault="001A03D6" w:rsidP="00A31581">
            <w:pPr>
              <w:jc w:val="center"/>
              <w:rPr>
                <w:rFonts w:cs="Arial"/>
              </w:rPr>
            </w:pPr>
          </w:p>
        </w:tc>
        <w:tc>
          <w:tcPr>
            <w:tcW w:w="500" w:type="dxa"/>
            <w:vAlign w:val="center"/>
          </w:tcPr>
          <w:p w14:paraId="7DB2D72B" w14:textId="77777777" w:rsidR="001A03D6" w:rsidRPr="00EA57A2" w:rsidRDefault="001A03D6" w:rsidP="00A31581">
            <w:pPr>
              <w:jc w:val="center"/>
              <w:rPr>
                <w:rFonts w:cs="Arial"/>
              </w:rPr>
            </w:pPr>
            <w:r w:rsidRPr="00EA57A2">
              <w:rPr>
                <w:rFonts w:cs="Arial"/>
              </w:rPr>
              <w:sym w:font="Wingdings" w:char="F0FC"/>
            </w:r>
          </w:p>
        </w:tc>
        <w:tc>
          <w:tcPr>
            <w:tcW w:w="500" w:type="dxa"/>
            <w:vAlign w:val="center"/>
          </w:tcPr>
          <w:p w14:paraId="50F59A16" w14:textId="77777777" w:rsidR="001A03D6" w:rsidRPr="00EA57A2" w:rsidRDefault="001A03D6" w:rsidP="00A31581">
            <w:pPr>
              <w:jc w:val="center"/>
              <w:rPr>
                <w:rFonts w:cs="Arial"/>
              </w:rPr>
            </w:pPr>
          </w:p>
        </w:tc>
        <w:tc>
          <w:tcPr>
            <w:tcW w:w="500" w:type="dxa"/>
            <w:vAlign w:val="center"/>
          </w:tcPr>
          <w:p w14:paraId="7925156E" w14:textId="77777777" w:rsidR="001A03D6" w:rsidRPr="00EA57A2" w:rsidRDefault="001A03D6" w:rsidP="00A31581">
            <w:pPr>
              <w:jc w:val="center"/>
              <w:rPr>
                <w:rFonts w:cs="Arial"/>
              </w:rPr>
            </w:pPr>
          </w:p>
        </w:tc>
        <w:tc>
          <w:tcPr>
            <w:tcW w:w="1100" w:type="dxa"/>
            <w:tcMar>
              <w:left w:w="113" w:type="dxa"/>
              <w:right w:w="85" w:type="dxa"/>
            </w:tcMar>
            <w:vAlign w:val="center"/>
          </w:tcPr>
          <w:p w14:paraId="1EB41C31" w14:textId="77777777" w:rsidR="001A03D6" w:rsidRDefault="001A03D6" w:rsidP="00A31581">
            <w:pPr>
              <w:ind w:left="-113" w:right="-85"/>
              <w:jc w:val="center"/>
            </w:pPr>
            <w:r>
              <w:rPr>
                <w:sz w:val="18"/>
                <w:szCs w:val="18"/>
              </w:rPr>
              <w:t>Final Report Issued</w:t>
            </w:r>
          </w:p>
        </w:tc>
        <w:tc>
          <w:tcPr>
            <w:tcW w:w="1100" w:type="dxa"/>
            <w:vAlign w:val="center"/>
          </w:tcPr>
          <w:p w14:paraId="7EAA47C2" w14:textId="77777777" w:rsidR="001A03D6" w:rsidRDefault="001A03D6" w:rsidP="00A31581">
            <w:pPr>
              <w:jc w:val="center"/>
              <w:rPr>
                <w:color w:val="000000"/>
                <w:sz w:val="18"/>
                <w:szCs w:val="18"/>
              </w:rPr>
            </w:pPr>
            <w:r>
              <w:rPr>
                <w:color w:val="000000"/>
                <w:sz w:val="18"/>
                <w:szCs w:val="18"/>
              </w:rPr>
              <w:t>Jun 2016</w:t>
            </w:r>
          </w:p>
        </w:tc>
        <w:tc>
          <w:tcPr>
            <w:tcW w:w="1000" w:type="dxa"/>
            <w:tcBorders>
              <w:bottom w:val="single" w:sz="4" w:space="0" w:color="auto"/>
            </w:tcBorders>
            <w:shd w:val="clear" w:color="auto" w:fill="00B050"/>
            <w:vAlign w:val="center"/>
          </w:tcPr>
          <w:p w14:paraId="658FD403" w14:textId="77777777" w:rsidR="001A03D6" w:rsidRDefault="001A03D6" w:rsidP="00A31581">
            <w:pPr>
              <w:jc w:val="center"/>
              <w:rPr>
                <w:sz w:val="18"/>
                <w:szCs w:val="18"/>
              </w:rPr>
            </w:pPr>
            <w:r>
              <w:rPr>
                <w:sz w:val="18"/>
                <w:szCs w:val="18"/>
              </w:rPr>
              <w:t>Mar 2016</w:t>
            </w:r>
          </w:p>
        </w:tc>
        <w:tc>
          <w:tcPr>
            <w:tcW w:w="900" w:type="dxa"/>
            <w:shd w:val="clear" w:color="auto" w:fill="auto"/>
            <w:vAlign w:val="center"/>
          </w:tcPr>
          <w:p w14:paraId="59C55EB7" w14:textId="77777777" w:rsidR="001A03D6" w:rsidRDefault="001A03D6" w:rsidP="00A31581">
            <w:pPr>
              <w:jc w:val="center"/>
              <w:rPr>
                <w:sz w:val="18"/>
                <w:szCs w:val="18"/>
              </w:rPr>
            </w:pPr>
            <w:r>
              <w:rPr>
                <w:sz w:val="18"/>
                <w:szCs w:val="18"/>
              </w:rPr>
              <w:t>31/03/16</w:t>
            </w:r>
          </w:p>
        </w:tc>
        <w:tc>
          <w:tcPr>
            <w:tcW w:w="1000" w:type="dxa"/>
            <w:shd w:val="clear" w:color="auto" w:fill="auto"/>
            <w:vAlign w:val="center"/>
          </w:tcPr>
          <w:p w14:paraId="03CF7457" w14:textId="77777777" w:rsidR="001A03D6" w:rsidRDefault="001A03D6" w:rsidP="00A31581">
            <w:pPr>
              <w:jc w:val="center"/>
              <w:rPr>
                <w:sz w:val="18"/>
                <w:szCs w:val="18"/>
              </w:rPr>
            </w:pPr>
            <w:r>
              <w:rPr>
                <w:sz w:val="18"/>
                <w:szCs w:val="18"/>
              </w:rPr>
              <w:t>May 2016</w:t>
            </w:r>
          </w:p>
        </w:tc>
        <w:tc>
          <w:tcPr>
            <w:tcW w:w="1000" w:type="dxa"/>
            <w:tcBorders>
              <w:bottom w:val="single" w:sz="4" w:space="0" w:color="auto"/>
            </w:tcBorders>
            <w:shd w:val="clear" w:color="auto" w:fill="00B050"/>
            <w:vAlign w:val="center"/>
          </w:tcPr>
          <w:p w14:paraId="48AEE99F" w14:textId="77777777" w:rsidR="001A03D6" w:rsidRPr="00286917" w:rsidRDefault="001A03D6" w:rsidP="00A31581">
            <w:pPr>
              <w:jc w:val="center"/>
              <w:rPr>
                <w:sz w:val="18"/>
                <w:szCs w:val="18"/>
              </w:rPr>
            </w:pPr>
            <w:r>
              <w:rPr>
                <w:sz w:val="18"/>
                <w:szCs w:val="18"/>
              </w:rPr>
              <w:t>20/05/16</w:t>
            </w:r>
          </w:p>
        </w:tc>
        <w:tc>
          <w:tcPr>
            <w:tcW w:w="1000" w:type="dxa"/>
            <w:shd w:val="clear" w:color="auto" w:fill="auto"/>
            <w:vAlign w:val="center"/>
          </w:tcPr>
          <w:p w14:paraId="7945658E" w14:textId="77777777" w:rsidR="001A03D6" w:rsidRPr="00286917" w:rsidRDefault="001A03D6" w:rsidP="00A31581">
            <w:pPr>
              <w:jc w:val="center"/>
              <w:rPr>
                <w:sz w:val="18"/>
                <w:szCs w:val="18"/>
              </w:rPr>
            </w:pPr>
            <w:r>
              <w:rPr>
                <w:sz w:val="18"/>
                <w:szCs w:val="18"/>
              </w:rPr>
              <w:t>27/05/16</w:t>
            </w:r>
          </w:p>
        </w:tc>
        <w:tc>
          <w:tcPr>
            <w:tcW w:w="800" w:type="dxa"/>
            <w:shd w:val="clear" w:color="auto" w:fill="auto"/>
            <w:vAlign w:val="center"/>
          </w:tcPr>
          <w:p w14:paraId="7655EEE5" w14:textId="77777777" w:rsidR="001A03D6" w:rsidRPr="00286917" w:rsidRDefault="001A03D6" w:rsidP="00A31581">
            <w:pPr>
              <w:jc w:val="center"/>
              <w:rPr>
                <w:sz w:val="18"/>
                <w:szCs w:val="18"/>
              </w:rPr>
            </w:pPr>
            <w:r>
              <w:rPr>
                <w:sz w:val="18"/>
                <w:szCs w:val="18"/>
              </w:rPr>
              <w:t>E</w:t>
            </w:r>
          </w:p>
        </w:tc>
        <w:tc>
          <w:tcPr>
            <w:tcW w:w="500" w:type="dxa"/>
            <w:shd w:val="clear" w:color="auto" w:fill="auto"/>
            <w:vAlign w:val="center"/>
          </w:tcPr>
          <w:p w14:paraId="59BAC033" w14:textId="77777777" w:rsidR="001A03D6" w:rsidRPr="00286917" w:rsidRDefault="001A03D6" w:rsidP="00A31581">
            <w:pPr>
              <w:jc w:val="center"/>
              <w:rPr>
                <w:sz w:val="18"/>
                <w:szCs w:val="18"/>
              </w:rPr>
            </w:pPr>
            <w:r>
              <w:rPr>
                <w:sz w:val="18"/>
                <w:szCs w:val="18"/>
              </w:rPr>
              <w:t>-</w:t>
            </w:r>
          </w:p>
        </w:tc>
        <w:tc>
          <w:tcPr>
            <w:tcW w:w="500" w:type="dxa"/>
            <w:shd w:val="clear" w:color="auto" w:fill="auto"/>
            <w:vAlign w:val="center"/>
          </w:tcPr>
          <w:p w14:paraId="6C6C4BDA" w14:textId="77777777" w:rsidR="001A03D6" w:rsidRPr="00286917" w:rsidRDefault="001A03D6" w:rsidP="00A31581">
            <w:pPr>
              <w:jc w:val="center"/>
              <w:rPr>
                <w:sz w:val="18"/>
                <w:szCs w:val="18"/>
              </w:rPr>
            </w:pPr>
            <w:r>
              <w:rPr>
                <w:sz w:val="18"/>
                <w:szCs w:val="18"/>
              </w:rPr>
              <w:t>-</w:t>
            </w:r>
          </w:p>
        </w:tc>
        <w:tc>
          <w:tcPr>
            <w:tcW w:w="500" w:type="dxa"/>
            <w:shd w:val="clear" w:color="auto" w:fill="auto"/>
            <w:vAlign w:val="center"/>
          </w:tcPr>
          <w:p w14:paraId="11A6D68B" w14:textId="77777777" w:rsidR="001A03D6" w:rsidRPr="00286917" w:rsidRDefault="001A03D6" w:rsidP="00A31581">
            <w:pPr>
              <w:jc w:val="center"/>
              <w:rPr>
                <w:sz w:val="18"/>
                <w:szCs w:val="18"/>
              </w:rPr>
            </w:pPr>
            <w:r>
              <w:rPr>
                <w:sz w:val="18"/>
                <w:szCs w:val="18"/>
              </w:rPr>
              <w:t>-</w:t>
            </w:r>
          </w:p>
        </w:tc>
        <w:tc>
          <w:tcPr>
            <w:tcW w:w="500" w:type="dxa"/>
            <w:shd w:val="clear" w:color="auto" w:fill="auto"/>
            <w:vAlign w:val="center"/>
          </w:tcPr>
          <w:p w14:paraId="48815F26" w14:textId="77777777" w:rsidR="001A03D6" w:rsidRPr="00286917" w:rsidRDefault="001A03D6" w:rsidP="00A31581">
            <w:pPr>
              <w:jc w:val="center"/>
              <w:rPr>
                <w:sz w:val="18"/>
                <w:szCs w:val="18"/>
              </w:rPr>
            </w:pPr>
            <w:r>
              <w:rPr>
                <w:sz w:val="18"/>
                <w:szCs w:val="18"/>
              </w:rPr>
              <w:t>-</w:t>
            </w:r>
          </w:p>
        </w:tc>
      </w:tr>
      <w:tr w:rsidR="001A03D6" w:rsidRPr="008B4DDE" w14:paraId="0417D20F" w14:textId="77777777" w:rsidTr="00A31581">
        <w:trPr>
          <w:trHeight w:val="413"/>
        </w:trPr>
        <w:tc>
          <w:tcPr>
            <w:tcW w:w="2325" w:type="dxa"/>
            <w:tcMar>
              <w:left w:w="85" w:type="dxa"/>
              <w:right w:w="85" w:type="dxa"/>
            </w:tcMar>
            <w:vAlign w:val="center"/>
          </w:tcPr>
          <w:p w14:paraId="022F4DA5" w14:textId="77777777" w:rsidR="001A03D6" w:rsidRPr="005E2B9C" w:rsidRDefault="001A03D6" w:rsidP="00A31581">
            <w:pPr>
              <w:jc w:val="both"/>
              <w:rPr>
                <w:rFonts w:cs="Arial"/>
                <w:sz w:val="18"/>
                <w:szCs w:val="18"/>
              </w:rPr>
            </w:pPr>
            <w:r w:rsidRPr="005E2B9C">
              <w:rPr>
                <w:rFonts w:cs="Arial"/>
                <w:sz w:val="18"/>
                <w:szCs w:val="18"/>
              </w:rPr>
              <w:t>CIBS IT Application Management (including TPS) Hartlink Change)</w:t>
            </w:r>
          </w:p>
        </w:tc>
        <w:tc>
          <w:tcPr>
            <w:tcW w:w="500" w:type="dxa"/>
            <w:vAlign w:val="center"/>
          </w:tcPr>
          <w:p w14:paraId="6BC26597" w14:textId="77777777" w:rsidR="001A03D6" w:rsidRPr="00286917" w:rsidRDefault="001A03D6" w:rsidP="00A31581">
            <w:pPr>
              <w:jc w:val="center"/>
              <w:rPr>
                <w:rFonts w:cs="Arial"/>
                <w:sz w:val="18"/>
                <w:szCs w:val="18"/>
              </w:rPr>
            </w:pPr>
          </w:p>
        </w:tc>
        <w:tc>
          <w:tcPr>
            <w:tcW w:w="500" w:type="dxa"/>
            <w:vAlign w:val="center"/>
          </w:tcPr>
          <w:p w14:paraId="1BC049F8" w14:textId="77777777" w:rsidR="001A03D6" w:rsidRPr="00286917" w:rsidRDefault="001A03D6" w:rsidP="00A31581">
            <w:pPr>
              <w:jc w:val="center"/>
              <w:rPr>
                <w:rFonts w:cs="Arial"/>
                <w:sz w:val="18"/>
                <w:szCs w:val="18"/>
              </w:rPr>
            </w:pPr>
          </w:p>
        </w:tc>
        <w:tc>
          <w:tcPr>
            <w:tcW w:w="500" w:type="dxa"/>
            <w:vAlign w:val="center"/>
          </w:tcPr>
          <w:p w14:paraId="3AE28018" w14:textId="77777777" w:rsidR="001A03D6" w:rsidRDefault="001A03D6" w:rsidP="00A31581">
            <w:pPr>
              <w:jc w:val="center"/>
              <w:rPr>
                <w:rFonts w:cs="Arial"/>
                <w:sz w:val="18"/>
                <w:szCs w:val="18"/>
              </w:rPr>
            </w:pPr>
            <w:r w:rsidRPr="00EA57A2">
              <w:rPr>
                <w:rFonts w:cs="Arial"/>
              </w:rPr>
              <w:sym w:font="Wingdings" w:char="F0FC"/>
            </w:r>
          </w:p>
        </w:tc>
        <w:tc>
          <w:tcPr>
            <w:tcW w:w="500" w:type="dxa"/>
            <w:vAlign w:val="center"/>
          </w:tcPr>
          <w:p w14:paraId="1E58D9C2" w14:textId="77777777" w:rsidR="001A03D6" w:rsidRDefault="001A03D6" w:rsidP="00A31581">
            <w:pPr>
              <w:jc w:val="center"/>
              <w:rPr>
                <w:rFonts w:cs="Arial"/>
                <w:sz w:val="18"/>
                <w:szCs w:val="18"/>
              </w:rPr>
            </w:pPr>
          </w:p>
        </w:tc>
        <w:tc>
          <w:tcPr>
            <w:tcW w:w="1100" w:type="dxa"/>
            <w:tcMar>
              <w:left w:w="113" w:type="dxa"/>
              <w:right w:w="85" w:type="dxa"/>
            </w:tcMar>
            <w:vAlign w:val="center"/>
          </w:tcPr>
          <w:p w14:paraId="51A6B46D" w14:textId="77777777" w:rsidR="001A03D6" w:rsidRDefault="001A03D6" w:rsidP="00A31581">
            <w:pPr>
              <w:ind w:left="-113" w:right="-85"/>
              <w:jc w:val="center"/>
            </w:pPr>
            <w:r>
              <w:rPr>
                <w:sz w:val="18"/>
                <w:szCs w:val="18"/>
              </w:rPr>
              <w:t>Fieldwork</w:t>
            </w:r>
          </w:p>
        </w:tc>
        <w:tc>
          <w:tcPr>
            <w:tcW w:w="1100" w:type="dxa"/>
            <w:vAlign w:val="center"/>
          </w:tcPr>
          <w:p w14:paraId="0364A858" w14:textId="77777777" w:rsidR="001A03D6" w:rsidRDefault="001A03D6" w:rsidP="00A31581">
            <w:pPr>
              <w:jc w:val="center"/>
              <w:rPr>
                <w:color w:val="000000"/>
                <w:sz w:val="18"/>
                <w:szCs w:val="18"/>
              </w:rPr>
            </w:pPr>
            <w:r>
              <w:rPr>
                <w:color w:val="000000"/>
                <w:sz w:val="18"/>
                <w:szCs w:val="18"/>
              </w:rPr>
              <w:t>Jul 2016</w:t>
            </w:r>
          </w:p>
        </w:tc>
        <w:tc>
          <w:tcPr>
            <w:tcW w:w="1000" w:type="dxa"/>
            <w:tcBorders>
              <w:bottom w:val="single" w:sz="4" w:space="0" w:color="auto"/>
            </w:tcBorders>
            <w:shd w:val="clear" w:color="auto" w:fill="auto"/>
            <w:vAlign w:val="center"/>
          </w:tcPr>
          <w:p w14:paraId="479AFD47" w14:textId="77777777" w:rsidR="001A03D6" w:rsidRDefault="001A03D6" w:rsidP="00A31581">
            <w:pPr>
              <w:jc w:val="center"/>
              <w:rPr>
                <w:sz w:val="18"/>
                <w:szCs w:val="18"/>
              </w:rPr>
            </w:pPr>
            <w:r>
              <w:rPr>
                <w:sz w:val="18"/>
                <w:szCs w:val="18"/>
              </w:rPr>
              <w:t>Aug 2016</w:t>
            </w:r>
          </w:p>
        </w:tc>
        <w:tc>
          <w:tcPr>
            <w:tcW w:w="900" w:type="dxa"/>
            <w:shd w:val="clear" w:color="auto" w:fill="auto"/>
            <w:vAlign w:val="center"/>
          </w:tcPr>
          <w:p w14:paraId="1FF3674F" w14:textId="77777777" w:rsidR="001A03D6" w:rsidRDefault="001A03D6" w:rsidP="00A31581">
            <w:pPr>
              <w:jc w:val="center"/>
              <w:rPr>
                <w:sz w:val="18"/>
                <w:szCs w:val="18"/>
              </w:rPr>
            </w:pPr>
            <w:r>
              <w:rPr>
                <w:sz w:val="18"/>
                <w:szCs w:val="18"/>
              </w:rPr>
              <w:t>07/09/16</w:t>
            </w:r>
          </w:p>
        </w:tc>
        <w:tc>
          <w:tcPr>
            <w:tcW w:w="1000" w:type="dxa"/>
            <w:shd w:val="clear" w:color="auto" w:fill="auto"/>
            <w:vAlign w:val="center"/>
          </w:tcPr>
          <w:p w14:paraId="57CF055C" w14:textId="77777777" w:rsidR="001A03D6" w:rsidRDefault="001A03D6" w:rsidP="00A31581">
            <w:pPr>
              <w:jc w:val="center"/>
              <w:rPr>
                <w:sz w:val="18"/>
                <w:szCs w:val="18"/>
              </w:rPr>
            </w:pPr>
            <w:r>
              <w:rPr>
                <w:sz w:val="18"/>
                <w:szCs w:val="18"/>
              </w:rPr>
              <w:t>Sep 2016</w:t>
            </w:r>
          </w:p>
        </w:tc>
        <w:tc>
          <w:tcPr>
            <w:tcW w:w="1000" w:type="dxa"/>
            <w:tcBorders>
              <w:bottom w:val="single" w:sz="4" w:space="0" w:color="auto"/>
            </w:tcBorders>
            <w:shd w:val="clear" w:color="auto" w:fill="auto"/>
            <w:vAlign w:val="center"/>
          </w:tcPr>
          <w:p w14:paraId="3C0D7516" w14:textId="77777777" w:rsidR="001A03D6" w:rsidRPr="00286917" w:rsidRDefault="001A03D6" w:rsidP="00A31581">
            <w:pPr>
              <w:jc w:val="center"/>
              <w:rPr>
                <w:sz w:val="18"/>
                <w:szCs w:val="18"/>
              </w:rPr>
            </w:pPr>
          </w:p>
        </w:tc>
        <w:tc>
          <w:tcPr>
            <w:tcW w:w="1000" w:type="dxa"/>
            <w:shd w:val="clear" w:color="auto" w:fill="auto"/>
            <w:vAlign w:val="center"/>
          </w:tcPr>
          <w:p w14:paraId="6B519E96" w14:textId="77777777" w:rsidR="001A03D6" w:rsidRPr="00286917" w:rsidRDefault="001A03D6" w:rsidP="00A31581">
            <w:pPr>
              <w:jc w:val="center"/>
              <w:rPr>
                <w:sz w:val="18"/>
                <w:szCs w:val="18"/>
              </w:rPr>
            </w:pPr>
          </w:p>
        </w:tc>
        <w:tc>
          <w:tcPr>
            <w:tcW w:w="800" w:type="dxa"/>
            <w:shd w:val="clear" w:color="auto" w:fill="auto"/>
            <w:vAlign w:val="center"/>
          </w:tcPr>
          <w:p w14:paraId="353DD947" w14:textId="77777777" w:rsidR="001A03D6" w:rsidRPr="00286917" w:rsidRDefault="001A03D6" w:rsidP="00A31581">
            <w:pPr>
              <w:jc w:val="center"/>
              <w:rPr>
                <w:sz w:val="18"/>
                <w:szCs w:val="18"/>
              </w:rPr>
            </w:pPr>
          </w:p>
        </w:tc>
        <w:tc>
          <w:tcPr>
            <w:tcW w:w="500" w:type="dxa"/>
            <w:shd w:val="clear" w:color="auto" w:fill="auto"/>
            <w:vAlign w:val="center"/>
          </w:tcPr>
          <w:p w14:paraId="20C54B24" w14:textId="77777777" w:rsidR="001A03D6" w:rsidRPr="00286917" w:rsidRDefault="001A03D6" w:rsidP="00A31581">
            <w:pPr>
              <w:jc w:val="center"/>
              <w:rPr>
                <w:sz w:val="18"/>
                <w:szCs w:val="18"/>
              </w:rPr>
            </w:pPr>
          </w:p>
        </w:tc>
        <w:tc>
          <w:tcPr>
            <w:tcW w:w="500" w:type="dxa"/>
            <w:shd w:val="clear" w:color="auto" w:fill="auto"/>
            <w:vAlign w:val="center"/>
          </w:tcPr>
          <w:p w14:paraId="4BE06F75" w14:textId="77777777" w:rsidR="001A03D6" w:rsidRPr="00286917" w:rsidRDefault="001A03D6" w:rsidP="00A31581">
            <w:pPr>
              <w:jc w:val="center"/>
              <w:rPr>
                <w:sz w:val="18"/>
                <w:szCs w:val="18"/>
              </w:rPr>
            </w:pPr>
          </w:p>
        </w:tc>
        <w:tc>
          <w:tcPr>
            <w:tcW w:w="500" w:type="dxa"/>
            <w:shd w:val="clear" w:color="auto" w:fill="auto"/>
            <w:vAlign w:val="center"/>
          </w:tcPr>
          <w:p w14:paraId="7C20AB00" w14:textId="77777777" w:rsidR="001A03D6" w:rsidRPr="00286917" w:rsidRDefault="001A03D6" w:rsidP="00A31581">
            <w:pPr>
              <w:jc w:val="center"/>
              <w:rPr>
                <w:sz w:val="18"/>
                <w:szCs w:val="18"/>
              </w:rPr>
            </w:pPr>
          </w:p>
        </w:tc>
        <w:tc>
          <w:tcPr>
            <w:tcW w:w="500" w:type="dxa"/>
            <w:shd w:val="clear" w:color="auto" w:fill="auto"/>
            <w:vAlign w:val="center"/>
          </w:tcPr>
          <w:p w14:paraId="0C4D147E" w14:textId="77777777" w:rsidR="001A03D6" w:rsidRPr="00286917" w:rsidRDefault="001A03D6" w:rsidP="00A31581">
            <w:pPr>
              <w:jc w:val="center"/>
              <w:rPr>
                <w:sz w:val="18"/>
                <w:szCs w:val="18"/>
              </w:rPr>
            </w:pPr>
          </w:p>
        </w:tc>
      </w:tr>
      <w:tr w:rsidR="001A03D6" w:rsidRPr="008B4DDE" w14:paraId="2967FE26" w14:textId="77777777" w:rsidTr="00A31581">
        <w:trPr>
          <w:trHeight w:val="454"/>
        </w:trPr>
        <w:tc>
          <w:tcPr>
            <w:tcW w:w="2325" w:type="dxa"/>
            <w:tcMar>
              <w:left w:w="85" w:type="dxa"/>
              <w:right w:w="85" w:type="dxa"/>
            </w:tcMar>
            <w:vAlign w:val="center"/>
          </w:tcPr>
          <w:p w14:paraId="20E24A57" w14:textId="77777777" w:rsidR="001A03D6" w:rsidRPr="005E2B9C" w:rsidRDefault="001A03D6" w:rsidP="00A31581">
            <w:pPr>
              <w:jc w:val="both"/>
              <w:rPr>
                <w:rFonts w:cs="Arial"/>
                <w:sz w:val="18"/>
                <w:szCs w:val="18"/>
              </w:rPr>
            </w:pPr>
            <w:r w:rsidRPr="005E2B9C">
              <w:rPr>
                <w:rFonts w:cs="Arial"/>
                <w:sz w:val="18"/>
                <w:szCs w:val="18"/>
              </w:rPr>
              <w:t>CIBS Business Continuity / Disaster Recovery</w:t>
            </w:r>
          </w:p>
        </w:tc>
        <w:tc>
          <w:tcPr>
            <w:tcW w:w="500" w:type="dxa"/>
            <w:vAlign w:val="center"/>
          </w:tcPr>
          <w:p w14:paraId="244AAA9F" w14:textId="77777777" w:rsidR="001A03D6" w:rsidRPr="00286917" w:rsidRDefault="001A03D6" w:rsidP="00A31581">
            <w:pPr>
              <w:jc w:val="center"/>
              <w:rPr>
                <w:rFonts w:cs="Arial"/>
                <w:sz w:val="18"/>
                <w:szCs w:val="18"/>
              </w:rPr>
            </w:pPr>
          </w:p>
        </w:tc>
        <w:tc>
          <w:tcPr>
            <w:tcW w:w="500" w:type="dxa"/>
            <w:vAlign w:val="center"/>
          </w:tcPr>
          <w:p w14:paraId="5F806662" w14:textId="77777777" w:rsidR="001A03D6" w:rsidRPr="00286917" w:rsidRDefault="001A03D6" w:rsidP="00A31581">
            <w:pPr>
              <w:jc w:val="center"/>
              <w:rPr>
                <w:rFonts w:cs="Arial"/>
                <w:sz w:val="18"/>
                <w:szCs w:val="18"/>
              </w:rPr>
            </w:pPr>
          </w:p>
        </w:tc>
        <w:tc>
          <w:tcPr>
            <w:tcW w:w="500" w:type="dxa"/>
            <w:vAlign w:val="center"/>
          </w:tcPr>
          <w:p w14:paraId="5BE4A886" w14:textId="77777777" w:rsidR="001A03D6" w:rsidRDefault="001A03D6" w:rsidP="00A31581">
            <w:pPr>
              <w:jc w:val="center"/>
              <w:rPr>
                <w:rFonts w:cs="Arial"/>
                <w:sz w:val="18"/>
                <w:szCs w:val="18"/>
              </w:rPr>
            </w:pPr>
          </w:p>
        </w:tc>
        <w:tc>
          <w:tcPr>
            <w:tcW w:w="500" w:type="dxa"/>
            <w:vAlign w:val="center"/>
          </w:tcPr>
          <w:p w14:paraId="6E21FE3C" w14:textId="77777777" w:rsidR="001A03D6" w:rsidRDefault="001A03D6" w:rsidP="00A31581">
            <w:pPr>
              <w:jc w:val="center"/>
              <w:rPr>
                <w:rFonts w:cs="Arial"/>
                <w:sz w:val="18"/>
                <w:szCs w:val="18"/>
              </w:rPr>
            </w:pPr>
            <w:r w:rsidRPr="00EA57A2">
              <w:rPr>
                <w:rFonts w:cs="Arial"/>
              </w:rPr>
              <w:sym w:font="Wingdings" w:char="F0FC"/>
            </w:r>
          </w:p>
        </w:tc>
        <w:tc>
          <w:tcPr>
            <w:tcW w:w="1100" w:type="dxa"/>
            <w:tcMar>
              <w:left w:w="113" w:type="dxa"/>
              <w:right w:w="85" w:type="dxa"/>
            </w:tcMar>
            <w:vAlign w:val="center"/>
          </w:tcPr>
          <w:p w14:paraId="292330AB" w14:textId="77777777" w:rsidR="001A03D6" w:rsidRDefault="001A03D6" w:rsidP="00A31581">
            <w:pPr>
              <w:ind w:left="-113" w:right="-85"/>
              <w:jc w:val="center"/>
            </w:pPr>
            <w:r>
              <w:rPr>
                <w:sz w:val="18"/>
                <w:szCs w:val="18"/>
              </w:rPr>
              <w:t>Fieldwork</w:t>
            </w:r>
          </w:p>
        </w:tc>
        <w:tc>
          <w:tcPr>
            <w:tcW w:w="1100" w:type="dxa"/>
            <w:vAlign w:val="center"/>
          </w:tcPr>
          <w:p w14:paraId="460EE71D" w14:textId="77777777" w:rsidR="001A03D6" w:rsidRDefault="001A03D6" w:rsidP="00A31581">
            <w:pPr>
              <w:jc w:val="center"/>
              <w:rPr>
                <w:color w:val="000000"/>
                <w:sz w:val="18"/>
                <w:szCs w:val="18"/>
              </w:rPr>
            </w:pPr>
            <w:r>
              <w:rPr>
                <w:color w:val="000000"/>
                <w:sz w:val="18"/>
                <w:szCs w:val="18"/>
              </w:rPr>
              <w:t>Sep 2016</w:t>
            </w:r>
          </w:p>
        </w:tc>
        <w:tc>
          <w:tcPr>
            <w:tcW w:w="1000" w:type="dxa"/>
            <w:tcBorders>
              <w:bottom w:val="single" w:sz="4" w:space="0" w:color="auto"/>
            </w:tcBorders>
            <w:shd w:val="clear" w:color="auto" w:fill="auto"/>
            <w:vAlign w:val="center"/>
          </w:tcPr>
          <w:p w14:paraId="44C518F4" w14:textId="77777777" w:rsidR="001A03D6" w:rsidRDefault="001A03D6" w:rsidP="00A31581">
            <w:pPr>
              <w:jc w:val="center"/>
              <w:rPr>
                <w:sz w:val="18"/>
                <w:szCs w:val="18"/>
              </w:rPr>
            </w:pPr>
            <w:r>
              <w:rPr>
                <w:sz w:val="18"/>
                <w:szCs w:val="18"/>
              </w:rPr>
              <w:t>29/07/16</w:t>
            </w:r>
          </w:p>
        </w:tc>
        <w:tc>
          <w:tcPr>
            <w:tcW w:w="900" w:type="dxa"/>
            <w:shd w:val="clear" w:color="auto" w:fill="auto"/>
            <w:vAlign w:val="center"/>
          </w:tcPr>
          <w:p w14:paraId="585B252D" w14:textId="77777777" w:rsidR="001A03D6" w:rsidRDefault="001A03D6" w:rsidP="00A31581">
            <w:pPr>
              <w:jc w:val="center"/>
              <w:rPr>
                <w:sz w:val="18"/>
                <w:szCs w:val="18"/>
              </w:rPr>
            </w:pPr>
            <w:r>
              <w:rPr>
                <w:sz w:val="18"/>
                <w:szCs w:val="18"/>
              </w:rPr>
              <w:t>05/08/16</w:t>
            </w:r>
          </w:p>
        </w:tc>
        <w:tc>
          <w:tcPr>
            <w:tcW w:w="1000" w:type="dxa"/>
            <w:shd w:val="clear" w:color="auto" w:fill="auto"/>
            <w:vAlign w:val="center"/>
          </w:tcPr>
          <w:p w14:paraId="3BAE15B3" w14:textId="77777777" w:rsidR="001A03D6" w:rsidRDefault="001A03D6" w:rsidP="00A31581">
            <w:pPr>
              <w:jc w:val="center"/>
              <w:rPr>
                <w:sz w:val="18"/>
                <w:szCs w:val="18"/>
              </w:rPr>
            </w:pPr>
            <w:r>
              <w:rPr>
                <w:sz w:val="18"/>
                <w:szCs w:val="18"/>
              </w:rPr>
              <w:t>Sep 2016</w:t>
            </w:r>
          </w:p>
        </w:tc>
        <w:tc>
          <w:tcPr>
            <w:tcW w:w="1000" w:type="dxa"/>
            <w:tcBorders>
              <w:bottom w:val="single" w:sz="4" w:space="0" w:color="auto"/>
            </w:tcBorders>
            <w:shd w:val="clear" w:color="auto" w:fill="auto"/>
            <w:vAlign w:val="center"/>
          </w:tcPr>
          <w:p w14:paraId="20835284" w14:textId="77777777" w:rsidR="001A03D6" w:rsidRPr="00286917" w:rsidRDefault="001A03D6" w:rsidP="00A31581">
            <w:pPr>
              <w:jc w:val="center"/>
              <w:rPr>
                <w:sz w:val="18"/>
                <w:szCs w:val="18"/>
              </w:rPr>
            </w:pPr>
          </w:p>
        </w:tc>
        <w:tc>
          <w:tcPr>
            <w:tcW w:w="1000" w:type="dxa"/>
            <w:shd w:val="clear" w:color="auto" w:fill="auto"/>
            <w:vAlign w:val="center"/>
          </w:tcPr>
          <w:p w14:paraId="6901474D" w14:textId="77777777" w:rsidR="001A03D6" w:rsidRPr="00286917" w:rsidRDefault="001A03D6" w:rsidP="00A31581">
            <w:pPr>
              <w:jc w:val="center"/>
              <w:rPr>
                <w:sz w:val="18"/>
                <w:szCs w:val="18"/>
              </w:rPr>
            </w:pPr>
          </w:p>
        </w:tc>
        <w:tc>
          <w:tcPr>
            <w:tcW w:w="800" w:type="dxa"/>
            <w:shd w:val="clear" w:color="auto" w:fill="auto"/>
            <w:vAlign w:val="center"/>
          </w:tcPr>
          <w:p w14:paraId="71193B66" w14:textId="77777777" w:rsidR="001A03D6" w:rsidRPr="00286917" w:rsidRDefault="001A03D6" w:rsidP="00A31581">
            <w:pPr>
              <w:jc w:val="center"/>
              <w:rPr>
                <w:sz w:val="18"/>
                <w:szCs w:val="18"/>
              </w:rPr>
            </w:pPr>
          </w:p>
        </w:tc>
        <w:tc>
          <w:tcPr>
            <w:tcW w:w="500" w:type="dxa"/>
            <w:shd w:val="clear" w:color="auto" w:fill="auto"/>
            <w:vAlign w:val="center"/>
          </w:tcPr>
          <w:p w14:paraId="70089D81" w14:textId="77777777" w:rsidR="001A03D6" w:rsidRPr="00286917" w:rsidRDefault="001A03D6" w:rsidP="00A31581">
            <w:pPr>
              <w:jc w:val="center"/>
              <w:rPr>
                <w:sz w:val="18"/>
                <w:szCs w:val="18"/>
              </w:rPr>
            </w:pPr>
          </w:p>
        </w:tc>
        <w:tc>
          <w:tcPr>
            <w:tcW w:w="500" w:type="dxa"/>
            <w:shd w:val="clear" w:color="auto" w:fill="auto"/>
            <w:vAlign w:val="center"/>
          </w:tcPr>
          <w:p w14:paraId="158F5BF8" w14:textId="77777777" w:rsidR="001A03D6" w:rsidRPr="00286917" w:rsidRDefault="001A03D6" w:rsidP="00A31581">
            <w:pPr>
              <w:jc w:val="center"/>
              <w:rPr>
                <w:sz w:val="18"/>
                <w:szCs w:val="18"/>
              </w:rPr>
            </w:pPr>
          </w:p>
        </w:tc>
        <w:tc>
          <w:tcPr>
            <w:tcW w:w="500" w:type="dxa"/>
            <w:shd w:val="clear" w:color="auto" w:fill="auto"/>
            <w:vAlign w:val="center"/>
          </w:tcPr>
          <w:p w14:paraId="37C8078B" w14:textId="77777777" w:rsidR="001A03D6" w:rsidRPr="00286917" w:rsidRDefault="001A03D6" w:rsidP="00A31581">
            <w:pPr>
              <w:jc w:val="center"/>
              <w:rPr>
                <w:sz w:val="18"/>
                <w:szCs w:val="18"/>
              </w:rPr>
            </w:pPr>
          </w:p>
        </w:tc>
        <w:tc>
          <w:tcPr>
            <w:tcW w:w="500" w:type="dxa"/>
            <w:shd w:val="clear" w:color="auto" w:fill="auto"/>
            <w:vAlign w:val="center"/>
          </w:tcPr>
          <w:p w14:paraId="0FD64028" w14:textId="77777777" w:rsidR="001A03D6" w:rsidRPr="00286917" w:rsidRDefault="001A03D6" w:rsidP="00A31581">
            <w:pPr>
              <w:jc w:val="center"/>
              <w:rPr>
                <w:sz w:val="18"/>
                <w:szCs w:val="18"/>
              </w:rPr>
            </w:pPr>
          </w:p>
        </w:tc>
      </w:tr>
      <w:tr w:rsidR="001A03D6" w:rsidRPr="008B4DDE" w14:paraId="36A19370" w14:textId="77777777" w:rsidTr="00A31581">
        <w:trPr>
          <w:trHeight w:val="454"/>
        </w:trPr>
        <w:tc>
          <w:tcPr>
            <w:tcW w:w="2325" w:type="dxa"/>
            <w:tcMar>
              <w:left w:w="85" w:type="dxa"/>
              <w:right w:w="85" w:type="dxa"/>
            </w:tcMar>
            <w:vAlign w:val="center"/>
          </w:tcPr>
          <w:p w14:paraId="158DB373" w14:textId="77777777" w:rsidR="001A03D6" w:rsidRPr="005E2B9C" w:rsidRDefault="001A03D6" w:rsidP="00A31581">
            <w:pPr>
              <w:jc w:val="both"/>
              <w:rPr>
                <w:sz w:val="18"/>
                <w:szCs w:val="18"/>
              </w:rPr>
            </w:pPr>
            <w:r w:rsidRPr="005E2B9C">
              <w:rPr>
                <w:rFonts w:cs="Arial"/>
                <w:sz w:val="18"/>
                <w:szCs w:val="18"/>
              </w:rPr>
              <w:t>Annual Assurance Statement</w:t>
            </w:r>
            <w:r>
              <w:rPr>
                <w:rFonts w:cs="Arial"/>
                <w:sz w:val="18"/>
                <w:szCs w:val="18"/>
              </w:rPr>
              <w:t xml:space="preserve"> (2015 / 2016)</w:t>
            </w:r>
          </w:p>
        </w:tc>
        <w:tc>
          <w:tcPr>
            <w:tcW w:w="500" w:type="dxa"/>
            <w:vAlign w:val="center"/>
          </w:tcPr>
          <w:p w14:paraId="782A0CBA" w14:textId="77777777" w:rsidR="001A03D6" w:rsidRPr="00286917" w:rsidRDefault="001A03D6" w:rsidP="00A31581">
            <w:pPr>
              <w:jc w:val="center"/>
              <w:rPr>
                <w:rFonts w:cs="Arial"/>
                <w:sz w:val="18"/>
                <w:szCs w:val="18"/>
              </w:rPr>
            </w:pPr>
            <w:r w:rsidRPr="00EA57A2">
              <w:rPr>
                <w:rFonts w:cs="Arial"/>
              </w:rPr>
              <w:sym w:font="Wingdings" w:char="F0FC"/>
            </w:r>
          </w:p>
        </w:tc>
        <w:tc>
          <w:tcPr>
            <w:tcW w:w="500" w:type="dxa"/>
            <w:vAlign w:val="center"/>
          </w:tcPr>
          <w:p w14:paraId="0037467E" w14:textId="77777777" w:rsidR="001A03D6" w:rsidRPr="00286917" w:rsidRDefault="001A03D6" w:rsidP="00A31581">
            <w:pPr>
              <w:jc w:val="center"/>
              <w:rPr>
                <w:rFonts w:cs="Arial"/>
                <w:sz w:val="18"/>
                <w:szCs w:val="18"/>
              </w:rPr>
            </w:pPr>
          </w:p>
        </w:tc>
        <w:tc>
          <w:tcPr>
            <w:tcW w:w="500" w:type="dxa"/>
            <w:vAlign w:val="center"/>
          </w:tcPr>
          <w:p w14:paraId="6397FA42" w14:textId="77777777" w:rsidR="001A03D6" w:rsidRDefault="001A03D6" w:rsidP="00A31581">
            <w:pPr>
              <w:jc w:val="center"/>
              <w:rPr>
                <w:rFonts w:cs="Arial"/>
                <w:sz w:val="18"/>
                <w:szCs w:val="18"/>
              </w:rPr>
            </w:pPr>
          </w:p>
        </w:tc>
        <w:tc>
          <w:tcPr>
            <w:tcW w:w="500" w:type="dxa"/>
            <w:vAlign w:val="center"/>
          </w:tcPr>
          <w:p w14:paraId="58688F71" w14:textId="77777777" w:rsidR="001A03D6" w:rsidRDefault="001A03D6" w:rsidP="00A31581">
            <w:pPr>
              <w:jc w:val="center"/>
              <w:rPr>
                <w:rFonts w:cs="Arial"/>
                <w:sz w:val="18"/>
                <w:szCs w:val="18"/>
              </w:rPr>
            </w:pPr>
          </w:p>
        </w:tc>
        <w:tc>
          <w:tcPr>
            <w:tcW w:w="1100" w:type="dxa"/>
            <w:tcMar>
              <w:left w:w="113" w:type="dxa"/>
              <w:right w:w="85" w:type="dxa"/>
            </w:tcMar>
            <w:vAlign w:val="center"/>
          </w:tcPr>
          <w:p w14:paraId="3E53C5A2" w14:textId="77777777" w:rsidR="001A03D6" w:rsidRDefault="001A03D6" w:rsidP="00A31581">
            <w:pPr>
              <w:ind w:left="-113" w:right="-85"/>
              <w:jc w:val="center"/>
            </w:pPr>
            <w:r>
              <w:rPr>
                <w:sz w:val="18"/>
                <w:szCs w:val="18"/>
              </w:rPr>
              <w:t xml:space="preserve">Final </w:t>
            </w:r>
          </w:p>
        </w:tc>
        <w:tc>
          <w:tcPr>
            <w:tcW w:w="1100" w:type="dxa"/>
            <w:vAlign w:val="center"/>
          </w:tcPr>
          <w:p w14:paraId="2ED19AB0" w14:textId="77777777" w:rsidR="001A03D6" w:rsidRDefault="001A03D6" w:rsidP="00A31581">
            <w:pPr>
              <w:jc w:val="center"/>
              <w:rPr>
                <w:color w:val="000000"/>
                <w:sz w:val="18"/>
                <w:szCs w:val="18"/>
              </w:rPr>
            </w:pPr>
            <w:r>
              <w:rPr>
                <w:color w:val="000000"/>
                <w:sz w:val="18"/>
                <w:szCs w:val="18"/>
              </w:rPr>
              <w:t>Apr 2016</w:t>
            </w:r>
          </w:p>
        </w:tc>
        <w:tc>
          <w:tcPr>
            <w:tcW w:w="1000" w:type="dxa"/>
            <w:tcBorders>
              <w:bottom w:val="single" w:sz="4" w:space="0" w:color="auto"/>
            </w:tcBorders>
            <w:shd w:val="clear" w:color="auto" w:fill="auto"/>
            <w:vAlign w:val="center"/>
          </w:tcPr>
          <w:p w14:paraId="3A282CAD" w14:textId="77777777" w:rsidR="001A03D6" w:rsidRDefault="001A03D6" w:rsidP="00A31581">
            <w:pPr>
              <w:jc w:val="center"/>
              <w:rPr>
                <w:sz w:val="18"/>
                <w:szCs w:val="18"/>
              </w:rPr>
            </w:pPr>
            <w:r>
              <w:rPr>
                <w:sz w:val="18"/>
                <w:szCs w:val="18"/>
              </w:rPr>
              <w:t>N/A</w:t>
            </w:r>
          </w:p>
        </w:tc>
        <w:tc>
          <w:tcPr>
            <w:tcW w:w="900" w:type="dxa"/>
            <w:shd w:val="clear" w:color="auto" w:fill="auto"/>
            <w:vAlign w:val="center"/>
          </w:tcPr>
          <w:p w14:paraId="3246C16A" w14:textId="77777777" w:rsidR="001A03D6" w:rsidRDefault="001A03D6" w:rsidP="00A31581">
            <w:pPr>
              <w:jc w:val="center"/>
              <w:rPr>
                <w:sz w:val="18"/>
                <w:szCs w:val="18"/>
              </w:rPr>
            </w:pPr>
            <w:r>
              <w:rPr>
                <w:sz w:val="18"/>
                <w:szCs w:val="18"/>
              </w:rPr>
              <w:t>N/A</w:t>
            </w:r>
          </w:p>
        </w:tc>
        <w:tc>
          <w:tcPr>
            <w:tcW w:w="1000" w:type="dxa"/>
            <w:shd w:val="clear" w:color="auto" w:fill="auto"/>
            <w:vAlign w:val="center"/>
          </w:tcPr>
          <w:p w14:paraId="5F76CDCE" w14:textId="77777777" w:rsidR="001A03D6" w:rsidRDefault="001A03D6" w:rsidP="00A31581">
            <w:pPr>
              <w:jc w:val="center"/>
              <w:rPr>
                <w:sz w:val="18"/>
                <w:szCs w:val="18"/>
              </w:rPr>
            </w:pPr>
            <w:r>
              <w:rPr>
                <w:sz w:val="18"/>
                <w:szCs w:val="18"/>
              </w:rPr>
              <w:t>N/A</w:t>
            </w:r>
          </w:p>
        </w:tc>
        <w:tc>
          <w:tcPr>
            <w:tcW w:w="1000" w:type="dxa"/>
            <w:tcBorders>
              <w:bottom w:val="single" w:sz="4" w:space="0" w:color="auto"/>
            </w:tcBorders>
            <w:shd w:val="clear" w:color="auto" w:fill="auto"/>
            <w:vAlign w:val="center"/>
          </w:tcPr>
          <w:p w14:paraId="6BC250EB" w14:textId="77777777" w:rsidR="001A03D6" w:rsidRPr="00286917" w:rsidRDefault="001A03D6" w:rsidP="00A31581">
            <w:pPr>
              <w:jc w:val="center"/>
              <w:rPr>
                <w:sz w:val="18"/>
                <w:szCs w:val="18"/>
              </w:rPr>
            </w:pPr>
            <w:r>
              <w:rPr>
                <w:sz w:val="18"/>
                <w:szCs w:val="18"/>
              </w:rPr>
              <w:t>N.A</w:t>
            </w:r>
          </w:p>
        </w:tc>
        <w:tc>
          <w:tcPr>
            <w:tcW w:w="1000" w:type="dxa"/>
            <w:shd w:val="clear" w:color="auto" w:fill="auto"/>
            <w:vAlign w:val="center"/>
          </w:tcPr>
          <w:p w14:paraId="18A73598" w14:textId="77777777" w:rsidR="001A03D6" w:rsidRDefault="001A03D6" w:rsidP="00A31581">
            <w:pPr>
              <w:jc w:val="center"/>
              <w:rPr>
                <w:sz w:val="18"/>
                <w:szCs w:val="18"/>
              </w:rPr>
            </w:pPr>
            <w:r>
              <w:rPr>
                <w:sz w:val="18"/>
                <w:szCs w:val="18"/>
              </w:rPr>
              <w:t>N/A</w:t>
            </w:r>
          </w:p>
        </w:tc>
        <w:tc>
          <w:tcPr>
            <w:tcW w:w="800" w:type="dxa"/>
            <w:shd w:val="clear" w:color="auto" w:fill="auto"/>
            <w:vAlign w:val="center"/>
          </w:tcPr>
          <w:p w14:paraId="61BFC330" w14:textId="77777777" w:rsidR="001A03D6" w:rsidRDefault="001A03D6" w:rsidP="00A31581">
            <w:pPr>
              <w:jc w:val="center"/>
              <w:rPr>
                <w:sz w:val="18"/>
                <w:szCs w:val="18"/>
              </w:rPr>
            </w:pPr>
            <w:r>
              <w:rPr>
                <w:sz w:val="18"/>
                <w:szCs w:val="18"/>
              </w:rPr>
              <w:t>N/A</w:t>
            </w:r>
          </w:p>
        </w:tc>
        <w:tc>
          <w:tcPr>
            <w:tcW w:w="500" w:type="dxa"/>
            <w:shd w:val="clear" w:color="auto" w:fill="auto"/>
            <w:vAlign w:val="center"/>
          </w:tcPr>
          <w:p w14:paraId="14AFE068" w14:textId="77777777" w:rsidR="001A03D6" w:rsidRDefault="001A03D6" w:rsidP="00A31581">
            <w:pPr>
              <w:jc w:val="center"/>
              <w:rPr>
                <w:sz w:val="18"/>
                <w:szCs w:val="18"/>
              </w:rPr>
            </w:pPr>
            <w:r>
              <w:rPr>
                <w:sz w:val="18"/>
                <w:szCs w:val="18"/>
              </w:rPr>
              <w:t>-</w:t>
            </w:r>
          </w:p>
        </w:tc>
        <w:tc>
          <w:tcPr>
            <w:tcW w:w="500" w:type="dxa"/>
            <w:shd w:val="clear" w:color="auto" w:fill="auto"/>
            <w:vAlign w:val="center"/>
          </w:tcPr>
          <w:p w14:paraId="3A40B2B3" w14:textId="77777777" w:rsidR="001A03D6" w:rsidRPr="00286917" w:rsidRDefault="001A03D6" w:rsidP="00A31581">
            <w:pPr>
              <w:jc w:val="center"/>
              <w:rPr>
                <w:sz w:val="18"/>
                <w:szCs w:val="18"/>
              </w:rPr>
            </w:pPr>
            <w:r>
              <w:rPr>
                <w:sz w:val="18"/>
                <w:szCs w:val="18"/>
              </w:rPr>
              <w:t>-</w:t>
            </w:r>
          </w:p>
        </w:tc>
        <w:tc>
          <w:tcPr>
            <w:tcW w:w="500" w:type="dxa"/>
            <w:shd w:val="clear" w:color="auto" w:fill="auto"/>
            <w:vAlign w:val="center"/>
          </w:tcPr>
          <w:p w14:paraId="5F144A5A" w14:textId="77777777" w:rsidR="001A03D6" w:rsidRDefault="001A03D6" w:rsidP="00A31581">
            <w:pPr>
              <w:jc w:val="center"/>
              <w:rPr>
                <w:sz w:val="18"/>
                <w:szCs w:val="18"/>
              </w:rPr>
            </w:pPr>
            <w:r>
              <w:rPr>
                <w:sz w:val="18"/>
                <w:szCs w:val="18"/>
              </w:rPr>
              <w:t>-</w:t>
            </w:r>
          </w:p>
        </w:tc>
        <w:tc>
          <w:tcPr>
            <w:tcW w:w="500" w:type="dxa"/>
            <w:shd w:val="clear" w:color="auto" w:fill="auto"/>
            <w:vAlign w:val="center"/>
          </w:tcPr>
          <w:p w14:paraId="287549EB" w14:textId="77777777" w:rsidR="001A03D6" w:rsidRDefault="001A03D6" w:rsidP="00A31581">
            <w:pPr>
              <w:jc w:val="center"/>
              <w:rPr>
                <w:sz w:val="18"/>
                <w:szCs w:val="18"/>
              </w:rPr>
            </w:pPr>
            <w:r>
              <w:rPr>
                <w:sz w:val="18"/>
                <w:szCs w:val="18"/>
              </w:rPr>
              <w:t>-</w:t>
            </w:r>
          </w:p>
        </w:tc>
      </w:tr>
    </w:tbl>
    <w:p w14:paraId="6FA20C12" w14:textId="77777777" w:rsidR="001A03D6" w:rsidRPr="008D34D3" w:rsidRDefault="001A03D6" w:rsidP="001A03D6"/>
    <w:p w14:paraId="36B60D52" w14:textId="77777777" w:rsidR="001A03D6" w:rsidRPr="00061CC1" w:rsidRDefault="001A03D6" w:rsidP="001A03D6"/>
    <w:p w14:paraId="0129C328" w14:textId="77777777" w:rsidR="001A03D6" w:rsidRPr="00363983" w:rsidRDefault="001A03D6" w:rsidP="001A03D6">
      <w:pPr>
        <w:pStyle w:val="Heading2"/>
        <w:spacing w:before="0"/>
        <w:rPr>
          <w:rFonts w:cs="Arial"/>
        </w:rPr>
      </w:pPr>
      <w:r w:rsidRPr="009C3786">
        <w:rPr>
          <w:color w:val="000000"/>
          <w:sz w:val="20"/>
          <w:u w:val="single"/>
        </w:rPr>
        <w:t>KEY:</w:t>
      </w:r>
      <w:r>
        <w:rPr>
          <w:color w:val="000000"/>
          <w:sz w:val="20"/>
          <w:u w:val="single"/>
        </w:rPr>
        <w:t xml:space="preserve">  </w:t>
      </w:r>
      <w:r>
        <w:rPr>
          <w:sz w:val="20"/>
          <w:vertAlign w:val="superscript"/>
        </w:rPr>
        <w:t>1</w:t>
      </w:r>
      <w:r>
        <w:rPr>
          <w:sz w:val="20"/>
        </w:rPr>
        <w:t>Report Rating: E=Effective; IR=Improvement Required;</w:t>
      </w:r>
      <w:r w:rsidRPr="00364C2F">
        <w:rPr>
          <w:sz w:val="20"/>
        </w:rPr>
        <w:t xml:space="preserve"> </w:t>
      </w:r>
      <w:r>
        <w:rPr>
          <w:sz w:val="20"/>
        </w:rPr>
        <w:t>SIR=Significant Improvement Required; I=Ineffective</w:t>
      </w:r>
    </w:p>
    <w:p w14:paraId="3A308A22" w14:textId="77777777" w:rsidR="00722E92" w:rsidRPr="00363983" w:rsidRDefault="001A03D6" w:rsidP="00722E92">
      <w:pPr>
        <w:rPr>
          <w:rFonts w:cs="Arial"/>
          <w:sz w:val="22"/>
          <w:szCs w:val="22"/>
          <w:lang w:eastAsia="en-GB"/>
        </w:rPr>
      </w:pPr>
      <w:r>
        <w:rPr>
          <w:b/>
          <w:bCs/>
          <w:color w:val="000000"/>
          <w:sz w:val="16"/>
          <w:szCs w:val="16"/>
        </w:rPr>
        <w:t>***Scope of Divisional review amended and coverage ‘Dropped’ from TPS Plan; will be captured for consideration as part of 2017 Planning cycle (discussed at June KiT Meeting)</w:t>
      </w:r>
    </w:p>
    <w:sectPr w:rsidR="00722E92" w:rsidRPr="00363983" w:rsidSect="001A03D6">
      <w:headerReference w:type="default" r:id="rId16"/>
      <w:pgSz w:w="16838" w:h="11906" w:orient="landscape"/>
      <w:pgMar w:top="1797"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978FF" w14:textId="77777777" w:rsidR="002D546E" w:rsidRDefault="002D546E">
      <w:r>
        <w:separator/>
      </w:r>
    </w:p>
  </w:endnote>
  <w:endnote w:type="continuationSeparator" w:id="0">
    <w:p w14:paraId="32B0AE19" w14:textId="77777777" w:rsidR="002D546E" w:rsidRDefault="002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120416"/>
      <w:docPartObj>
        <w:docPartGallery w:val="Page Numbers (Bottom of Page)"/>
        <w:docPartUnique/>
      </w:docPartObj>
    </w:sdtPr>
    <w:sdtEndPr>
      <w:rPr>
        <w:noProof/>
      </w:rPr>
    </w:sdtEndPr>
    <w:sdtContent>
      <w:p w14:paraId="509E911A" w14:textId="4834891E" w:rsidR="00722E92" w:rsidRDefault="00722E92">
        <w:pPr>
          <w:pStyle w:val="Footer"/>
          <w:jc w:val="center"/>
        </w:pPr>
        <w:r>
          <w:fldChar w:fldCharType="begin"/>
        </w:r>
        <w:r>
          <w:instrText xml:space="preserve"> PAGE   \* MERGEFORMAT </w:instrText>
        </w:r>
        <w:r>
          <w:fldChar w:fldCharType="separate"/>
        </w:r>
        <w:r w:rsidR="002D3C42">
          <w:rPr>
            <w:noProof/>
          </w:rPr>
          <w:t>8</w:t>
        </w:r>
        <w:r>
          <w:rPr>
            <w:noProof/>
          </w:rPr>
          <w:fldChar w:fldCharType="end"/>
        </w:r>
      </w:p>
    </w:sdtContent>
  </w:sdt>
  <w:p w14:paraId="6E31722A" w14:textId="77777777" w:rsidR="00722E92" w:rsidRDefault="00722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17A3" w14:textId="77777777" w:rsidR="002D546E" w:rsidRDefault="002D546E">
      <w:r>
        <w:separator/>
      </w:r>
    </w:p>
  </w:footnote>
  <w:footnote w:type="continuationSeparator" w:id="0">
    <w:p w14:paraId="0A11B51A" w14:textId="77777777" w:rsidR="002D546E" w:rsidRDefault="002D5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B60CB" w14:textId="21C95014" w:rsidR="004F2F73" w:rsidRDefault="00F21696">
    <w:pPr>
      <w:pStyle w:val="Header"/>
      <w:rPr>
        <w:sz w:val="22"/>
        <w:szCs w:val="22"/>
      </w:rPr>
    </w:pPr>
    <w:r>
      <w:rPr>
        <w:sz w:val="22"/>
        <w:szCs w:val="22"/>
      </w:rPr>
      <w:t>PAPER 12 : (Agenda item 8)                                      TPSPB Meeting 7 December 2016</w:t>
    </w:r>
  </w:p>
  <w:p w14:paraId="326D0777" w14:textId="77777777" w:rsidR="004F2F73" w:rsidRDefault="004F2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7FD2" w14:textId="77777777" w:rsidR="001A03D6" w:rsidRPr="004F2F73" w:rsidRDefault="001A03D6" w:rsidP="001A03D6">
    <w:pPr>
      <w:pStyle w:val="Header"/>
      <w:rPr>
        <w:sz w:val="22"/>
        <w:szCs w:val="22"/>
      </w:rPr>
    </w:pPr>
    <w:r w:rsidRPr="004F2F73">
      <w:rPr>
        <w:sz w:val="22"/>
        <w:szCs w:val="22"/>
      </w:rPr>
      <w:t>V1 Finance, Risk and Audit Report for TPSPB Sub-Committee 8 November 2016</w:t>
    </w:r>
  </w:p>
  <w:p w14:paraId="51B183D0" w14:textId="77777777" w:rsidR="001A03D6" w:rsidRDefault="001A03D6">
    <w:pPr>
      <w:pStyle w:val="Header"/>
    </w:pPr>
  </w:p>
  <w:p w14:paraId="221AAB50" w14:textId="77777777" w:rsidR="001A03D6" w:rsidRDefault="001A0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6B4FD" w14:textId="77777777" w:rsidR="00077322" w:rsidRDefault="00077322">
    <w:pPr>
      <w:pStyle w:val="Header"/>
    </w:pPr>
  </w:p>
  <w:p w14:paraId="181A19F7" w14:textId="77777777" w:rsidR="00077322" w:rsidRDefault="0007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213"/>
    <w:multiLevelType w:val="hybridMultilevel"/>
    <w:tmpl w:val="36D62FB8"/>
    <w:lvl w:ilvl="0" w:tplc="1D3E26F2">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03041"/>
    <w:multiLevelType w:val="hybridMultilevel"/>
    <w:tmpl w:val="F814C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E3E5E66"/>
    <w:multiLevelType w:val="hybridMultilevel"/>
    <w:tmpl w:val="43A6A08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3A087444"/>
    <w:multiLevelType w:val="multilevel"/>
    <w:tmpl w:val="433CE482"/>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2115127"/>
    <w:multiLevelType w:val="hybridMultilevel"/>
    <w:tmpl w:val="A57C28AA"/>
    <w:lvl w:ilvl="0" w:tplc="17544CE0">
      <w:start w:val="1"/>
      <w:numFmt w:val="decimal"/>
      <w:lvlText w:val="%1."/>
      <w:lvlJc w:val="left"/>
      <w:pPr>
        <w:ind w:left="720" w:hanging="360"/>
      </w:pPr>
      <w:rPr>
        <w:rFonts w:hint="default"/>
        <w:b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8"/>
  </w:num>
  <w:num w:numId="6">
    <w:abstractNumId w:val="0"/>
  </w:num>
  <w:num w:numId="7">
    <w:abstractNumId w:val="3"/>
  </w:num>
  <w:num w:numId="8">
    <w:abstractNumId w:val="1"/>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P2uQYlTWajQiDlKrp+wC7VA4oSsgQI8y6lOfVbgAFv+XM89KdrPabkJkhBupDR6ZehTGrQ9Pkn1oQ+1BHqi7w==" w:salt="0R75eyYvr+xwxNQ9Nf6K6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06"/>
    <w:rsid w:val="00000089"/>
    <w:rsid w:val="00011F78"/>
    <w:rsid w:val="00015EC6"/>
    <w:rsid w:val="00015FDE"/>
    <w:rsid w:val="00022DB6"/>
    <w:rsid w:val="000247E1"/>
    <w:rsid w:val="00026A23"/>
    <w:rsid w:val="000308E1"/>
    <w:rsid w:val="00034168"/>
    <w:rsid w:val="000402FC"/>
    <w:rsid w:val="00041864"/>
    <w:rsid w:val="00047663"/>
    <w:rsid w:val="0004776A"/>
    <w:rsid w:val="0005111A"/>
    <w:rsid w:val="0005390B"/>
    <w:rsid w:val="00057F28"/>
    <w:rsid w:val="00060377"/>
    <w:rsid w:val="0006139B"/>
    <w:rsid w:val="00071F99"/>
    <w:rsid w:val="00073939"/>
    <w:rsid w:val="00077322"/>
    <w:rsid w:val="000833EF"/>
    <w:rsid w:val="00083D20"/>
    <w:rsid w:val="00087A39"/>
    <w:rsid w:val="00091B2C"/>
    <w:rsid w:val="000A0C1B"/>
    <w:rsid w:val="000A3070"/>
    <w:rsid w:val="000A3CCB"/>
    <w:rsid w:val="000A7032"/>
    <w:rsid w:val="000A7B4B"/>
    <w:rsid w:val="000A7DC3"/>
    <w:rsid w:val="000B1468"/>
    <w:rsid w:val="000B1B41"/>
    <w:rsid w:val="000B1D64"/>
    <w:rsid w:val="000B5580"/>
    <w:rsid w:val="000C4018"/>
    <w:rsid w:val="000D0663"/>
    <w:rsid w:val="000D1908"/>
    <w:rsid w:val="000D56C6"/>
    <w:rsid w:val="000D62D8"/>
    <w:rsid w:val="000D749C"/>
    <w:rsid w:val="000E1970"/>
    <w:rsid w:val="000F1522"/>
    <w:rsid w:val="000F302B"/>
    <w:rsid w:val="000F4E59"/>
    <w:rsid w:val="000F5E55"/>
    <w:rsid w:val="0011509D"/>
    <w:rsid w:val="00116F59"/>
    <w:rsid w:val="00117BDE"/>
    <w:rsid w:val="00123ACB"/>
    <w:rsid w:val="001271DC"/>
    <w:rsid w:val="00134202"/>
    <w:rsid w:val="001362FD"/>
    <w:rsid w:val="001366BB"/>
    <w:rsid w:val="001372F2"/>
    <w:rsid w:val="00143B05"/>
    <w:rsid w:val="00153F85"/>
    <w:rsid w:val="00174BCF"/>
    <w:rsid w:val="00176043"/>
    <w:rsid w:val="00180A06"/>
    <w:rsid w:val="0018162C"/>
    <w:rsid w:val="00182783"/>
    <w:rsid w:val="00187280"/>
    <w:rsid w:val="00187F8F"/>
    <w:rsid w:val="00190DF3"/>
    <w:rsid w:val="00195F8E"/>
    <w:rsid w:val="001A03D6"/>
    <w:rsid w:val="001A54FA"/>
    <w:rsid w:val="001B05C8"/>
    <w:rsid w:val="001B0DDF"/>
    <w:rsid w:val="001B6DF9"/>
    <w:rsid w:val="001B777C"/>
    <w:rsid w:val="001C1651"/>
    <w:rsid w:val="001C699E"/>
    <w:rsid w:val="001D044D"/>
    <w:rsid w:val="001D2E21"/>
    <w:rsid w:val="001D3C4E"/>
    <w:rsid w:val="001D50BB"/>
    <w:rsid w:val="001D55BC"/>
    <w:rsid w:val="001D5890"/>
    <w:rsid w:val="001D7FB3"/>
    <w:rsid w:val="001E4BAB"/>
    <w:rsid w:val="001E774E"/>
    <w:rsid w:val="001F1123"/>
    <w:rsid w:val="001F1E4A"/>
    <w:rsid w:val="002009C2"/>
    <w:rsid w:val="00202C41"/>
    <w:rsid w:val="00204C99"/>
    <w:rsid w:val="00205FB9"/>
    <w:rsid w:val="00211C37"/>
    <w:rsid w:val="00212D24"/>
    <w:rsid w:val="00217581"/>
    <w:rsid w:val="00223723"/>
    <w:rsid w:val="00223AE5"/>
    <w:rsid w:val="00226366"/>
    <w:rsid w:val="0023338A"/>
    <w:rsid w:val="002335B0"/>
    <w:rsid w:val="002337EC"/>
    <w:rsid w:val="002338A1"/>
    <w:rsid w:val="0024290E"/>
    <w:rsid w:val="00242D2E"/>
    <w:rsid w:val="00243BBB"/>
    <w:rsid w:val="0024599B"/>
    <w:rsid w:val="00252D14"/>
    <w:rsid w:val="00252E33"/>
    <w:rsid w:val="00254CB4"/>
    <w:rsid w:val="00255343"/>
    <w:rsid w:val="00261949"/>
    <w:rsid w:val="00266064"/>
    <w:rsid w:val="00267EE0"/>
    <w:rsid w:val="002749B8"/>
    <w:rsid w:val="0027611C"/>
    <w:rsid w:val="00282909"/>
    <w:rsid w:val="00283203"/>
    <w:rsid w:val="002840D0"/>
    <w:rsid w:val="00295EFC"/>
    <w:rsid w:val="002A2352"/>
    <w:rsid w:val="002A354A"/>
    <w:rsid w:val="002A66BE"/>
    <w:rsid w:val="002B2F43"/>
    <w:rsid w:val="002B4DBC"/>
    <w:rsid w:val="002B651E"/>
    <w:rsid w:val="002C7359"/>
    <w:rsid w:val="002D2A7A"/>
    <w:rsid w:val="002D3C42"/>
    <w:rsid w:val="002D546E"/>
    <w:rsid w:val="002D6D75"/>
    <w:rsid w:val="002E057D"/>
    <w:rsid w:val="002E28FA"/>
    <w:rsid w:val="002E3A5F"/>
    <w:rsid w:val="002E4E10"/>
    <w:rsid w:val="002F06F7"/>
    <w:rsid w:val="002F6007"/>
    <w:rsid w:val="002F7DFE"/>
    <w:rsid w:val="003047BC"/>
    <w:rsid w:val="00304F43"/>
    <w:rsid w:val="00306109"/>
    <w:rsid w:val="00306E91"/>
    <w:rsid w:val="00306F7F"/>
    <w:rsid w:val="00310708"/>
    <w:rsid w:val="00311223"/>
    <w:rsid w:val="00311C8A"/>
    <w:rsid w:val="00312BD3"/>
    <w:rsid w:val="00313763"/>
    <w:rsid w:val="00314EEB"/>
    <w:rsid w:val="003175F3"/>
    <w:rsid w:val="00321970"/>
    <w:rsid w:val="00322AAE"/>
    <w:rsid w:val="00336872"/>
    <w:rsid w:val="00342B5C"/>
    <w:rsid w:val="003467A7"/>
    <w:rsid w:val="00347A3B"/>
    <w:rsid w:val="003503BE"/>
    <w:rsid w:val="0035528E"/>
    <w:rsid w:val="00356245"/>
    <w:rsid w:val="003617DC"/>
    <w:rsid w:val="003626B4"/>
    <w:rsid w:val="0036338C"/>
    <w:rsid w:val="00363983"/>
    <w:rsid w:val="00364BF3"/>
    <w:rsid w:val="00367359"/>
    <w:rsid w:val="00367EEB"/>
    <w:rsid w:val="00370895"/>
    <w:rsid w:val="00374620"/>
    <w:rsid w:val="00375273"/>
    <w:rsid w:val="00380547"/>
    <w:rsid w:val="00380E1A"/>
    <w:rsid w:val="003865BD"/>
    <w:rsid w:val="003908DB"/>
    <w:rsid w:val="00392AE9"/>
    <w:rsid w:val="00393604"/>
    <w:rsid w:val="003948FC"/>
    <w:rsid w:val="003A2F92"/>
    <w:rsid w:val="003A7442"/>
    <w:rsid w:val="003B3240"/>
    <w:rsid w:val="003B78F9"/>
    <w:rsid w:val="003C4F9C"/>
    <w:rsid w:val="003C6272"/>
    <w:rsid w:val="003C752D"/>
    <w:rsid w:val="003D010F"/>
    <w:rsid w:val="003D5EA3"/>
    <w:rsid w:val="003D5F98"/>
    <w:rsid w:val="003D74A2"/>
    <w:rsid w:val="003D7A13"/>
    <w:rsid w:val="003D7FE1"/>
    <w:rsid w:val="003E064F"/>
    <w:rsid w:val="003E1B86"/>
    <w:rsid w:val="003F1643"/>
    <w:rsid w:val="003F3C61"/>
    <w:rsid w:val="003F771B"/>
    <w:rsid w:val="004018CA"/>
    <w:rsid w:val="00402829"/>
    <w:rsid w:val="0040779E"/>
    <w:rsid w:val="00407B5D"/>
    <w:rsid w:val="004302F0"/>
    <w:rsid w:val="00430DC5"/>
    <w:rsid w:val="00433910"/>
    <w:rsid w:val="004430C5"/>
    <w:rsid w:val="0045014A"/>
    <w:rsid w:val="00450D89"/>
    <w:rsid w:val="004533A7"/>
    <w:rsid w:val="00454C2C"/>
    <w:rsid w:val="004552E8"/>
    <w:rsid w:val="00456E8D"/>
    <w:rsid w:val="0045765A"/>
    <w:rsid w:val="00460505"/>
    <w:rsid w:val="00463122"/>
    <w:rsid w:val="00467C83"/>
    <w:rsid w:val="00470EB2"/>
    <w:rsid w:val="00471773"/>
    <w:rsid w:val="00471ABD"/>
    <w:rsid w:val="0048038D"/>
    <w:rsid w:val="00480E77"/>
    <w:rsid w:val="00481F37"/>
    <w:rsid w:val="00484C39"/>
    <w:rsid w:val="004955D9"/>
    <w:rsid w:val="004A1636"/>
    <w:rsid w:val="004A6DEC"/>
    <w:rsid w:val="004B17C9"/>
    <w:rsid w:val="004B47CA"/>
    <w:rsid w:val="004B7FBF"/>
    <w:rsid w:val="004C34F4"/>
    <w:rsid w:val="004C3EC3"/>
    <w:rsid w:val="004C4A2B"/>
    <w:rsid w:val="004C4B93"/>
    <w:rsid w:val="004D6FB7"/>
    <w:rsid w:val="004E633C"/>
    <w:rsid w:val="004F100E"/>
    <w:rsid w:val="004F2F73"/>
    <w:rsid w:val="004F3191"/>
    <w:rsid w:val="004F484C"/>
    <w:rsid w:val="004F4997"/>
    <w:rsid w:val="005104D6"/>
    <w:rsid w:val="00511CA5"/>
    <w:rsid w:val="005128FA"/>
    <w:rsid w:val="005137A3"/>
    <w:rsid w:val="005150CE"/>
    <w:rsid w:val="00515231"/>
    <w:rsid w:val="00522588"/>
    <w:rsid w:val="005248A4"/>
    <w:rsid w:val="00530814"/>
    <w:rsid w:val="00533406"/>
    <w:rsid w:val="00537911"/>
    <w:rsid w:val="00542CD0"/>
    <w:rsid w:val="005435BD"/>
    <w:rsid w:val="00545301"/>
    <w:rsid w:val="00546012"/>
    <w:rsid w:val="005500C1"/>
    <w:rsid w:val="00553534"/>
    <w:rsid w:val="00565333"/>
    <w:rsid w:val="005661A4"/>
    <w:rsid w:val="00571387"/>
    <w:rsid w:val="00574197"/>
    <w:rsid w:val="00580DCC"/>
    <w:rsid w:val="00591B39"/>
    <w:rsid w:val="00592809"/>
    <w:rsid w:val="00593F22"/>
    <w:rsid w:val="00596AF7"/>
    <w:rsid w:val="005A4015"/>
    <w:rsid w:val="005B1967"/>
    <w:rsid w:val="005B1CC3"/>
    <w:rsid w:val="005B5A07"/>
    <w:rsid w:val="005C1372"/>
    <w:rsid w:val="005C2AB4"/>
    <w:rsid w:val="005D087C"/>
    <w:rsid w:val="005D688A"/>
    <w:rsid w:val="005E0AFA"/>
    <w:rsid w:val="005E4B0F"/>
    <w:rsid w:val="005F0BD5"/>
    <w:rsid w:val="005F1289"/>
    <w:rsid w:val="005F7B8B"/>
    <w:rsid w:val="00600B8E"/>
    <w:rsid w:val="00604D9F"/>
    <w:rsid w:val="00605974"/>
    <w:rsid w:val="00606BB2"/>
    <w:rsid w:val="00607A4B"/>
    <w:rsid w:val="00610B44"/>
    <w:rsid w:val="00615241"/>
    <w:rsid w:val="00617765"/>
    <w:rsid w:val="00622379"/>
    <w:rsid w:val="00623DFC"/>
    <w:rsid w:val="0062704E"/>
    <w:rsid w:val="00632A7A"/>
    <w:rsid w:val="00634682"/>
    <w:rsid w:val="0063507E"/>
    <w:rsid w:val="006351F8"/>
    <w:rsid w:val="006363E9"/>
    <w:rsid w:val="006545A6"/>
    <w:rsid w:val="0066213D"/>
    <w:rsid w:val="006632E1"/>
    <w:rsid w:val="00667DFE"/>
    <w:rsid w:val="00671C60"/>
    <w:rsid w:val="00677C1A"/>
    <w:rsid w:val="00682993"/>
    <w:rsid w:val="006858D6"/>
    <w:rsid w:val="00685E40"/>
    <w:rsid w:val="006869D6"/>
    <w:rsid w:val="00687908"/>
    <w:rsid w:val="006910A2"/>
    <w:rsid w:val="006937AA"/>
    <w:rsid w:val="00695F57"/>
    <w:rsid w:val="006975C1"/>
    <w:rsid w:val="006A0189"/>
    <w:rsid w:val="006A1127"/>
    <w:rsid w:val="006A2F72"/>
    <w:rsid w:val="006A31F2"/>
    <w:rsid w:val="006A3278"/>
    <w:rsid w:val="006A35C0"/>
    <w:rsid w:val="006A4A6F"/>
    <w:rsid w:val="006A7D2A"/>
    <w:rsid w:val="006B0976"/>
    <w:rsid w:val="006C1EB7"/>
    <w:rsid w:val="006C7483"/>
    <w:rsid w:val="006D0C35"/>
    <w:rsid w:val="006D3EBD"/>
    <w:rsid w:val="006D70A7"/>
    <w:rsid w:val="006E6F0B"/>
    <w:rsid w:val="006E6FB4"/>
    <w:rsid w:val="006F4284"/>
    <w:rsid w:val="006F433A"/>
    <w:rsid w:val="006F4605"/>
    <w:rsid w:val="006F47BB"/>
    <w:rsid w:val="006F4DCD"/>
    <w:rsid w:val="00705AB4"/>
    <w:rsid w:val="007104E4"/>
    <w:rsid w:val="00711F15"/>
    <w:rsid w:val="007205F4"/>
    <w:rsid w:val="00720DAA"/>
    <w:rsid w:val="00722E92"/>
    <w:rsid w:val="007263F0"/>
    <w:rsid w:val="00731CDB"/>
    <w:rsid w:val="00742F24"/>
    <w:rsid w:val="007442BB"/>
    <w:rsid w:val="00744A90"/>
    <w:rsid w:val="007463C5"/>
    <w:rsid w:val="00746846"/>
    <w:rsid w:val="007509C7"/>
    <w:rsid w:val="007510C3"/>
    <w:rsid w:val="007516D1"/>
    <w:rsid w:val="00761BFA"/>
    <w:rsid w:val="007639E2"/>
    <w:rsid w:val="0076458E"/>
    <w:rsid w:val="00767063"/>
    <w:rsid w:val="00772C48"/>
    <w:rsid w:val="00773FF3"/>
    <w:rsid w:val="0078040E"/>
    <w:rsid w:val="00782A57"/>
    <w:rsid w:val="00791EE0"/>
    <w:rsid w:val="00793410"/>
    <w:rsid w:val="00793F0F"/>
    <w:rsid w:val="007940AE"/>
    <w:rsid w:val="00794B24"/>
    <w:rsid w:val="007A10F9"/>
    <w:rsid w:val="007A2CDE"/>
    <w:rsid w:val="007A4C02"/>
    <w:rsid w:val="007B476F"/>
    <w:rsid w:val="007B49CD"/>
    <w:rsid w:val="007B593B"/>
    <w:rsid w:val="007B5A46"/>
    <w:rsid w:val="007C0318"/>
    <w:rsid w:val="007C1BC2"/>
    <w:rsid w:val="007C7F73"/>
    <w:rsid w:val="007D0DBA"/>
    <w:rsid w:val="007D4D58"/>
    <w:rsid w:val="007D4DB0"/>
    <w:rsid w:val="007D6230"/>
    <w:rsid w:val="007E3DC2"/>
    <w:rsid w:val="007E6DC7"/>
    <w:rsid w:val="007F073B"/>
    <w:rsid w:val="00800D26"/>
    <w:rsid w:val="00805C72"/>
    <w:rsid w:val="00805CEA"/>
    <w:rsid w:val="00806F15"/>
    <w:rsid w:val="00821A7C"/>
    <w:rsid w:val="00831225"/>
    <w:rsid w:val="008312DB"/>
    <w:rsid w:val="008321E7"/>
    <w:rsid w:val="00833842"/>
    <w:rsid w:val="008428AB"/>
    <w:rsid w:val="00844135"/>
    <w:rsid w:val="008507B5"/>
    <w:rsid w:val="00853A42"/>
    <w:rsid w:val="008571D6"/>
    <w:rsid w:val="0086103A"/>
    <w:rsid w:val="00863664"/>
    <w:rsid w:val="0086662B"/>
    <w:rsid w:val="00870467"/>
    <w:rsid w:val="00872E27"/>
    <w:rsid w:val="0088151C"/>
    <w:rsid w:val="008817AB"/>
    <w:rsid w:val="008843A4"/>
    <w:rsid w:val="008915F8"/>
    <w:rsid w:val="008A5B85"/>
    <w:rsid w:val="008B1C49"/>
    <w:rsid w:val="008B67CC"/>
    <w:rsid w:val="008B746D"/>
    <w:rsid w:val="008C00AF"/>
    <w:rsid w:val="008C04B7"/>
    <w:rsid w:val="008C2030"/>
    <w:rsid w:val="008C2748"/>
    <w:rsid w:val="008C4705"/>
    <w:rsid w:val="008D1228"/>
    <w:rsid w:val="008D340F"/>
    <w:rsid w:val="008E07A8"/>
    <w:rsid w:val="008E3BDA"/>
    <w:rsid w:val="008E4900"/>
    <w:rsid w:val="008E5853"/>
    <w:rsid w:val="008F14F7"/>
    <w:rsid w:val="008F3DB1"/>
    <w:rsid w:val="008F452F"/>
    <w:rsid w:val="008F6706"/>
    <w:rsid w:val="008F7DDB"/>
    <w:rsid w:val="00901E52"/>
    <w:rsid w:val="00902A95"/>
    <w:rsid w:val="00904253"/>
    <w:rsid w:val="00905ADC"/>
    <w:rsid w:val="00906C33"/>
    <w:rsid w:val="009173AF"/>
    <w:rsid w:val="00927C47"/>
    <w:rsid w:val="0093133B"/>
    <w:rsid w:val="00932946"/>
    <w:rsid w:val="00933C96"/>
    <w:rsid w:val="009415AA"/>
    <w:rsid w:val="009424FA"/>
    <w:rsid w:val="009426CB"/>
    <w:rsid w:val="009427B5"/>
    <w:rsid w:val="009442A5"/>
    <w:rsid w:val="0095214C"/>
    <w:rsid w:val="00952EA3"/>
    <w:rsid w:val="009559DC"/>
    <w:rsid w:val="00957AD5"/>
    <w:rsid w:val="00963073"/>
    <w:rsid w:val="00965446"/>
    <w:rsid w:val="0097315A"/>
    <w:rsid w:val="009762A4"/>
    <w:rsid w:val="009835E5"/>
    <w:rsid w:val="00983BBE"/>
    <w:rsid w:val="00984EAD"/>
    <w:rsid w:val="009961F8"/>
    <w:rsid w:val="009A0B39"/>
    <w:rsid w:val="009A11BA"/>
    <w:rsid w:val="009A2B05"/>
    <w:rsid w:val="009A3F0A"/>
    <w:rsid w:val="009A64D1"/>
    <w:rsid w:val="009A7951"/>
    <w:rsid w:val="009B2692"/>
    <w:rsid w:val="009B287D"/>
    <w:rsid w:val="009B33A6"/>
    <w:rsid w:val="009B3EFE"/>
    <w:rsid w:val="009B493A"/>
    <w:rsid w:val="009B4FCC"/>
    <w:rsid w:val="009B6B39"/>
    <w:rsid w:val="009B7E66"/>
    <w:rsid w:val="009D026F"/>
    <w:rsid w:val="009D03AA"/>
    <w:rsid w:val="009D0FE9"/>
    <w:rsid w:val="009D3D73"/>
    <w:rsid w:val="009D4542"/>
    <w:rsid w:val="009D53A7"/>
    <w:rsid w:val="009D5DF9"/>
    <w:rsid w:val="009E4BD9"/>
    <w:rsid w:val="009E525D"/>
    <w:rsid w:val="009E6EC6"/>
    <w:rsid w:val="009E73AD"/>
    <w:rsid w:val="009E748A"/>
    <w:rsid w:val="009F5357"/>
    <w:rsid w:val="009F6B18"/>
    <w:rsid w:val="009F74DD"/>
    <w:rsid w:val="009F7653"/>
    <w:rsid w:val="00A00569"/>
    <w:rsid w:val="00A0392C"/>
    <w:rsid w:val="00A06E69"/>
    <w:rsid w:val="00A120CA"/>
    <w:rsid w:val="00A12D3A"/>
    <w:rsid w:val="00A135C6"/>
    <w:rsid w:val="00A15D6C"/>
    <w:rsid w:val="00A21E85"/>
    <w:rsid w:val="00A25800"/>
    <w:rsid w:val="00A26D11"/>
    <w:rsid w:val="00A2712A"/>
    <w:rsid w:val="00A31581"/>
    <w:rsid w:val="00A3306B"/>
    <w:rsid w:val="00A36044"/>
    <w:rsid w:val="00A366A9"/>
    <w:rsid w:val="00A369C0"/>
    <w:rsid w:val="00A43ED1"/>
    <w:rsid w:val="00A465EE"/>
    <w:rsid w:val="00A46912"/>
    <w:rsid w:val="00A504A1"/>
    <w:rsid w:val="00A564E4"/>
    <w:rsid w:val="00A5747E"/>
    <w:rsid w:val="00A60331"/>
    <w:rsid w:val="00A6036A"/>
    <w:rsid w:val="00A64099"/>
    <w:rsid w:val="00A640B5"/>
    <w:rsid w:val="00A72952"/>
    <w:rsid w:val="00A769AB"/>
    <w:rsid w:val="00A96425"/>
    <w:rsid w:val="00A96D82"/>
    <w:rsid w:val="00A979F1"/>
    <w:rsid w:val="00AB3B3C"/>
    <w:rsid w:val="00AB4A1C"/>
    <w:rsid w:val="00AB6016"/>
    <w:rsid w:val="00AC04F9"/>
    <w:rsid w:val="00AC08B7"/>
    <w:rsid w:val="00AC2A37"/>
    <w:rsid w:val="00AC34EC"/>
    <w:rsid w:val="00AD0E50"/>
    <w:rsid w:val="00AD24B9"/>
    <w:rsid w:val="00AD632D"/>
    <w:rsid w:val="00AD640F"/>
    <w:rsid w:val="00AD7A0B"/>
    <w:rsid w:val="00AE0C1F"/>
    <w:rsid w:val="00AE4A3A"/>
    <w:rsid w:val="00AF0554"/>
    <w:rsid w:val="00AF1C07"/>
    <w:rsid w:val="00AF3507"/>
    <w:rsid w:val="00AF737F"/>
    <w:rsid w:val="00B006DF"/>
    <w:rsid w:val="00B05496"/>
    <w:rsid w:val="00B05ECD"/>
    <w:rsid w:val="00B06172"/>
    <w:rsid w:val="00B06CB9"/>
    <w:rsid w:val="00B16A24"/>
    <w:rsid w:val="00B16A8C"/>
    <w:rsid w:val="00B174D2"/>
    <w:rsid w:val="00B240CF"/>
    <w:rsid w:val="00B24C03"/>
    <w:rsid w:val="00B275C1"/>
    <w:rsid w:val="00B305C9"/>
    <w:rsid w:val="00B30F5D"/>
    <w:rsid w:val="00B312FC"/>
    <w:rsid w:val="00B340FC"/>
    <w:rsid w:val="00B50B4E"/>
    <w:rsid w:val="00B52F97"/>
    <w:rsid w:val="00B608DF"/>
    <w:rsid w:val="00B62931"/>
    <w:rsid w:val="00B6522B"/>
    <w:rsid w:val="00B65709"/>
    <w:rsid w:val="00B65BD8"/>
    <w:rsid w:val="00B67DF2"/>
    <w:rsid w:val="00B77083"/>
    <w:rsid w:val="00B8232C"/>
    <w:rsid w:val="00B83582"/>
    <w:rsid w:val="00B84723"/>
    <w:rsid w:val="00B84C65"/>
    <w:rsid w:val="00B85BF7"/>
    <w:rsid w:val="00B87864"/>
    <w:rsid w:val="00B939CC"/>
    <w:rsid w:val="00BA1580"/>
    <w:rsid w:val="00BA52B9"/>
    <w:rsid w:val="00BC135C"/>
    <w:rsid w:val="00BC3919"/>
    <w:rsid w:val="00BC547B"/>
    <w:rsid w:val="00BC5891"/>
    <w:rsid w:val="00BC7D86"/>
    <w:rsid w:val="00BD4B6C"/>
    <w:rsid w:val="00BF06D2"/>
    <w:rsid w:val="00BF55F6"/>
    <w:rsid w:val="00C01B71"/>
    <w:rsid w:val="00C11CA5"/>
    <w:rsid w:val="00C146AD"/>
    <w:rsid w:val="00C14A68"/>
    <w:rsid w:val="00C271C2"/>
    <w:rsid w:val="00C33749"/>
    <w:rsid w:val="00C37933"/>
    <w:rsid w:val="00C408C7"/>
    <w:rsid w:val="00C463F2"/>
    <w:rsid w:val="00C47EEA"/>
    <w:rsid w:val="00C519D0"/>
    <w:rsid w:val="00C52C74"/>
    <w:rsid w:val="00C5630B"/>
    <w:rsid w:val="00C577F1"/>
    <w:rsid w:val="00C6558F"/>
    <w:rsid w:val="00C70ACB"/>
    <w:rsid w:val="00C74109"/>
    <w:rsid w:val="00C74AC6"/>
    <w:rsid w:val="00C75969"/>
    <w:rsid w:val="00C82EB1"/>
    <w:rsid w:val="00C8363C"/>
    <w:rsid w:val="00C85C7C"/>
    <w:rsid w:val="00C91809"/>
    <w:rsid w:val="00C93BA2"/>
    <w:rsid w:val="00C95C88"/>
    <w:rsid w:val="00C95F39"/>
    <w:rsid w:val="00CA4FEC"/>
    <w:rsid w:val="00CB62A2"/>
    <w:rsid w:val="00CC133A"/>
    <w:rsid w:val="00CC28A9"/>
    <w:rsid w:val="00CC6A45"/>
    <w:rsid w:val="00CD05B7"/>
    <w:rsid w:val="00CD7921"/>
    <w:rsid w:val="00CE084B"/>
    <w:rsid w:val="00CE4249"/>
    <w:rsid w:val="00CF626D"/>
    <w:rsid w:val="00D00F77"/>
    <w:rsid w:val="00D02D57"/>
    <w:rsid w:val="00D06754"/>
    <w:rsid w:val="00D100D7"/>
    <w:rsid w:val="00D118D6"/>
    <w:rsid w:val="00D13022"/>
    <w:rsid w:val="00D15B5B"/>
    <w:rsid w:val="00D20266"/>
    <w:rsid w:val="00D20C29"/>
    <w:rsid w:val="00D31A61"/>
    <w:rsid w:val="00D33842"/>
    <w:rsid w:val="00D42C00"/>
    <w:rsid w:val="00D454BD"/>
    <w:rsid w:val="00D47915"/>
    <w:rsid w:val="00D504DF"/>
    <w:rsid w:val="00D525DC"/>
    <w:rsid w:val="00D55302"/>
    <w:rsid w:val="00D55B52"/>
    <w:rsid w:val="00D57D6E"/>
    <w:rsid w:val="00D61F5A"/>
    <w:rsid w:val="00D6256C"/>
    <w:rsid w:val="00D62F72"/>
    <w:rsid w:val="00D649F9"/>
    <w:rsid w:val="00D656C2"/>
    <w:rsid w:val="00D718AE"/>
    <w:rsid w:val="00D74921"/>
    <w:rsid w:val="00D74FAA"/>
    <w:rsid w:val="00D76097"/>
    <w:rsid w:val="00D901A6"/>
    <w:rsid w:val="00D908A1"/>
    <w:rsid w:val="00D90C00"/>
    <w:rsid w:val="00D914BD"/>
    <w:rsid w:val="00D91883"/>
    <w:rsid w:val="00D93A69"/>
    <w:rsid w:val="00D962D8"/>
    <w:rsid w:val="00D96604"/>
    <w:rsid w:val="00D97D60"/>
    <w:rsid w:val="00D97FCD"/>
    <w:rsid w:val="00DA1701"/>
    <w:rsid w:val="00DA4350"/>
    <w:rsid w:val="00DA6823"/>
    <w:rsid w:val="00DB1DC4"/>
    <w:rsid w:val="00DB4C12"/>
    <w:rsid w:val="00DB6E90"/>
    <w:rsid w:val="00DB7A9E"/>
    <w:rsid w:val="00DC6BD2"/>
    <w:rsid w:val="00DC6CC6"/>
    <w:rsid w:val="00DD1A10"/>
    <w:rsid w:val="00DD2403"/>
    <w:rsid w:val="00DD5F52"/>
    <w:rsid w:val="00DD742A"/>
    <w:rsid w:val="00DE291B"/>
    <w:rsid w:val="00DE4B19"/>
    <w:rsid w:val="00DF1F9D"/>
    <w:rsid w:val="00DF771B"/>
    <w:rsid w:val="00DF7A7D"/>
    <w:rsid w:val="00E0081E"/>
    <w:rsid w:val="00E02094"/>
    <w:rsid w:val="00E03BC3"/>
    <w:rsid w:val="00E05A7C"/>
    <w:rsid w:val="00E07439"/>
    <w:rsid w:val="00E10F4C"/>
    <w:rsid w:val="00E115AB"/>
    <w:rsid w:val="00E11B66"/>
    <w:rsid w:val="00E1714C"/>
    <w:rsid w:val="00E23885"/>
    <w:rsid w:val="00E2419F"/>
    <w:rsid w:val="00E2665A"/>
    <w:rsid w:val="00E3226F"/>
    <w:rsid w:val="00E366D6"/>
    <w:rsid w:val="00E376C4"/>
    <w:rsid w:val="00E37CD7"/>
    <w:rsid w:val="00E46593"/>
    <w:rsid w:val="00E4793A"/>
    <w:rsid w:val="00E57F0D"/>
    <w:rsid w:val="00E63D8B"/>
    <w:rsid w:val="00E70FF0"/>
    <w:rsid w:val="00E74849"/>
    <w:rsid w:val="00E749AF"/>
    <w:rsid w:val="00E81F4B"/>
    <w:rsid w:val="00E823EF"/>
    <w:rsid w:val="00E8261A"/>
    <w:rsid w:val="00E83F97"/>
    <w:rsid w:val="00E904C3"/>
    <w:rsid w:val="00E920C0"/>
    <w:rsid w:val="00E9252A"/>
    <w:rsid w:val="00E97659"/>
    <w:rsid w:val="00EA11BE"/>
    <w:rsid w:val="00EA3E95"/>
    <w:rsid w:val="00EA4CE6"/>
    <w:rsid w:val="00EA5F6D"/>
    <w:rsid w:val="00EA7AAE"/>
    <w:rsid w:val="00EB5FBB"/>
    <w:rsid w:val="00EB7ACE"/>
    <w:rsid w:val="00EC644A"/>
    <w:rsid w:val="00EC6A3F"/>
    <w:rsid w:val="00ED6A94"/>
    <w:rsid w:val="00EE3943"/>
    <w:rsid w:val="00EE4F35"/>
    <w:rsid w:val="00EE7286"/>
    <w:rsid w:val="00EF05F5"/>
    <w:rsid w:val="00EF0FF7"/>
    <w:rsid w:val="00EF5A60"/>
    <w:rsid w:val="00EF5C60"/>
    <w:rsid w:val="00EF6684"/>
    <w:rsid w:val="00F118C4"/>
    <w:rsid w:val="00F11DAF"/>
    <w:rsid w:val="00F16943"/>
    <w:rsid w:val="00F21696"/>
    <w:rsid w:val="00F22F63"/>
    <w:rsid w:val="00F24CA1"/>
    <w:rsid w:val="00F30554"/>
    <w:rsid w:val="00F348D2"/>
    <w:rsid w:val="00F40672"/>
    <w:rsid w:val="00F4325D"/>
    <w:rsid w:val="00F4485F"/>
    <w:rsid w:val="00F44B6A"/>
    <w:rsid w:val="00F521C7"/>
    <w:rsid w:val="00F569A2"/>
    <w:rsid w:val="00F56CCB"/>
    <w:rsid w:val="00F60108"/>
    <w:rsid w:val="00F60BF8"/>
    <w:rsid w:val="00F628BD"/>
    <w:rsid w:val="00F64863"/>
    <w:rsid w:val="00F65907"/>
    <w:rsid w:val="00F846C2"/>
    <w:rsid w:val="00F84C22"/>
    <w:rsid w:val="00F902F2"/>
    <w:rsid w:val="00F960C1"/>
    <w:rsid w:val="00FA0331"/>
    <w:rsid w:val="00FA4C3D"/>
    <w:rsid w:val="00FA6DD0"/>
    <w:rsid w:val="00FB0768"/>
    <w:rsid w:val="00FB7CE1"/>
    <w:rsid w:val="00FC0359"/>
    <w:rsid w:val="00FC049C"/>
    <w:rsid w:val="00FC1C0E"/>
    <w:rsid w:val="00FC5ED8"/>
    <w:rsid w:val="00FD1C41"/>
    <w:rsid w:val="00FD4EB7"/>
    <w:rsid w:val="00FF2516"/>
    <w:rsid w:val="00FF426F"/>
    <w:rsid w:val="00FF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12368D"/>
  <w15:docId w15:val="{67BA63B8-7F98-45EB-88A9-39343D39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uiPriority w:val="99"/>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table" w:styleId="TableGrid">
    <w:name w:val="Table Grid"/>
    <w:basedOn w:val="TableNormal"/>
    <w:rsid w:val="00D9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9"/>
    <w:rsid w:val="008E07A8"/>
    <w:pPr>
      <w:widowControl/>
      <w:overflowPunct/>
      <w:autoSpaceDE/>
      <w:autoSpaceDN/>
      <w:adjustRightInd/>
      <w:textAlignment w:val="auto"/>
    </w:pPr>
    <w:rPr>
      <w:b/>
      <w:color w:val="FFFFFF"/>
      <w:szCs w:val="24"/>
      <w:lang w:eastAsia="en-GB"/>
    </w:rPr>
  </w:style>
  <w:style w:type="paragraph" w:styleId="CommentSubject">
    <w:name w:val="annotation subject"/>
    <w:basedOn w:val="CommentText"/>
    <w:next w:val="CommentText"/>
    <w:link w:val="CommentSubjectChar"/>
    <w:rsid w:val="00984EAD"/>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984EAD"/>
    <w:rPr>
      <w:rFonts w:ascii="Arial" w:hAnsi="Arial"/>
      <w:b/>
      <w:bCs/>
      <w:lang w:eastAsia="en-US"/>
    </w:rPr>
  </w:style>
  <w:style w:type="character" w:customStyle="1" w:styleId="Heading2Char">
    <w:name w:val="Heading 2 Char"/>
    <w:aliases w:val="Numbered - 2 Char"/>
    <w:basedOn w:val="DefaultParagraphFont"/>
    <w:link w:val="Heading2"/>
    <w:uiPriority w:val="99"/>
    <w:rsid w:val="00C5630B"/>
    <w:rPr>
      <w:rFonts w:ascii="Arial" w:hAnsi="Arial"/>
      <w:b/>
      <w:kern w:val="28"/>
      <w:sz w:val="24"/>
      <w:lang w:eastAsia="en-US"/>
    </w:rPr>
  </w:style>
  <w:style w:type="character" w:customStyle="1" w:styleId="HeaderChar">
    <w:name w:val="Header Char"/>
    <w:basedOn w:val="DefaultParagraphFont"/>
    <w:link w:val="Header"/>
    <w:uiPriority w:val="99"/>
    <w:rsid w:val="00B62931"/>
    <w:rPr>
      <w:rFonts w:ascii="Arial" w:hAnsi="Arial"/>
      <w:sz w:val="24"/>
      <w:lang w:eastAsia="en-US"/>
    </w:rPr>
  </w:style>
  <w:style w:type="character" w:customStyle="1" w:styleId="FooterChar">
    <w:name w:val="Footer Char"/>
    <w:basedOn w:val="DefaultParagraphFont"/>
    <w:link w:val="Footer"/>
    <w:uiPriority w:val="99"/>
    <w:rsid w:val="00E376C4"/>
    <w:rPr>
      <w:rFonts w:ascii="Arial" w:hAnsi="Arial"/>
      <w:sz w:val="24"/>
      <w:lang w:eastAsia="en-US"/>
    </w:rPr>
  </w:style>
  <w:style w:type="paragraph" w:customStyle="1" w:styleId="Default">
    <w:name w:val="Default"/>
    <w:rsid w:val="00685E40"/>
    <w:pPr>
      <w:autoSpaceDE w:val="0"/>
      <w:autoSpaceDN w:val="0"/>
      <w:adjustRightInd w:val="0"/>
    </w:pPr>
    <w:rPr>
      <w:rFonts w:ascii="Avenir LT Std 35 Light" w:eastAsiaTheme="minorHAnsi" w:hAnsi="Avenir LT Std 35 Light" w:cs="Avenir LT Std 35 Ligh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309">
      <w:bodyDiv w:val="1"/>
      <w:marLeft w:val="0"/>
      <w:marRight w:val="0"/>
      <w:marTop w:val="0"/>
      <w:marBottom w:val="0"/>
      <w:divBdr>
        <w:top w:val="none" w:sz="0" w:space="0" w:color="auto"/>
        <w:left w:val="none" w:sz="0" w:space="0" w:color="auto"/>
        <w:bottom w:val="none" w:sz="0" w:space="0" w:color="auto"/>
        <w:right w:val="none" w:sz="0" w:space="0" w:color="auto"/>
      </w:divBdr>
    </w:div>
    <w:div w:id="240413383">
      <w:bodyDiv w:val="1"/>
      <w:marLeft w:val="0"/>
      <w:marRight w:val="0"/>
      <w:marTop w:val="0"/>
      <w:marBottom w:val="0"/>
      <w:divBdr>
        <w:top w:val="none" w:sz="0" w:space="0" w:color="auto"/>
        <w:left w:val="none" w:sz="0" w:space="0" w:color="auto"/>
        <w:bottom w:val="none" w:sz="0" w:space="0" w:color="auto"/>
        <w:right w:val="none" w:sz="0" w:space="0" w:color="auto"/>
      </w:divBdr>
    </w:div>
    <w:div w:id="760755617">
      <w:bodyDiv w:val="1"/>
      <w:marLeft w:val="0"/>
      <w:marRight w:val="0"/>
      <w:marTop w:val="0"/>
      <w:marBottom w:val="0"/>
      <w:divBdr>
        <w:top w:val="none" w:sz="0" w:space="0" w:color="auto"/>
        <w:left w:val="none" w:sz="0" w:space="0" w:color="auto"/>
        <w:bottom w:val="none" w:sz="0" w:space="0" w:color="auto"/>
        <w:right w:val="none" w:sz="0" w:space="0" w:color="auto"/>
      </w:divBdr>
    </w:div>
    <w:div w:id="797841174">
      <w:bodyDiv w:val="1"/>
      <w:marLeft w:val="0"/>
      <w:marRight w:val="0"/>
      <w:marTop w:val="0"/>
      <w:marBottom w:val="0"/>
      <w:divBdr>
        <w:top w:val="none" w:sz="0" w:space="0" w:color="auto"/>
        <w:left w:val="none" w:sz="0" w:space="0" w:color="auto"/>
        <w:bottom w:val="none" w:sz="0" w:space="0" w:color="auto"/>
        <w:right w:val="none" w:sz="0" w:space="0" w:color="auto"/>
      </w:divBdr>
    </w:div>
    <w:div w:id="1135105681">
      <w:bodyDiv w:val="1"/>
      <w:marLeft w:val="0"/>
      <w:marRight w:val="0"/>
      <w:marTop w:val="0"/>
      <w:marBottom w:val="0"/>
      <w:divBdr>
        <w:top w:val="none" w:sz="0" w:space="0" w:color="auto"/>
        <w:left w:val="none" w:sz="0" w:space="0" w:color="auto"/>
        <w:bottom w:val="none" w:sz="0" w:space="0" w:color="auto"/>
        <w:right w:val="none" w:sz="0" w:space="0" w:color="auto"/>
      </w:divBdr>
    </w:div>
    <w:div w:id="2022731301">
      <w:bodyDiv w:val="1"/>
      <w:marLeft w:val="0"/>
      <w:marRight w:val="0"/>
      <w:marTop w:val="0"/>
      <w:marBottom w:val="0"/>
      <w:divBdr>
        <w:top w:val="none" w:sz="0" w:space="0" w:color="auto"/>
        <w:left w:val="none" w:sz="0" w:space="0" w:color="auto"/>
        <w:bottom w:val="none" w:sz="0" w:space="0" w:color="auto"/>
        <w:right w:val="none" w:sz="0" w:space="0" w:color="auto"/>
      </w:divBdr>
    </w:div>
    <w:div w:id="21298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HKPH4XM4QHZ4-1883831546-3587</_dlc_DocId>
    <_dlc_DocIdUrl xmlns="b8cb3cbd-ce5c-4a72-9da4-9013f91c5903">
      <Url>http://workplaces/sites/ttg/d/_layouts/DocIdRedir.aspx?ID=HKPH4XM4QHZ4-1883831546-3587</Url>
      <Description>HKPH4XM4QHZ4-1883831546-3587</Description>
    </_dlc_DocIdUrl>
  </documentManagement>
</p:propertie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4812349" PreviousValue="false"/>
</file>

<file path=customXml/item5.xml><?xml version="1.0" encoding="utf-8"?>
<ct:contentTypeSchema xmlns:ct="http://schemas.microsoft.com/office/2006/metadata/contentType" xmlns:ma="http://schemas.microsoft.com/office/2006/metadata/properties/metaAttributes" ct:_="" ma:_="" ma:contentTypeName="Other briefing" ma:contentTypeID="0x0101007F645D6FBA204A029FECB8BFC6578C39005279853530254253B886E13194843F8A003AA4A7828D8545A79A93568014812349002741AE071A82164A951099DAC91C981E" ma:contentTypeVersion="10" ma:contentTypeDescription="For any briefing which is not in relation to a department policy. Records retained for 10 years." ma:contentTypeScope="" ma:versionID="abd293a70f62aa9918e800bccf3177c6">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f1ed8ca4c01d447e78761025de8a1810"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320AD-6A30-474B-A38D-9DD98722032F}">
  <ds:schemaRefs>
    <ds:schemaRef ds:uri="http://schemas.microsoft.com/sharepoint/events"/>
  </ds:schemaRefs>
</ds:datastoreItem>
</file>

<file path=customXml/itemProps2.xml><?xml version="1.0" encoding="utf-8"?>
<ds:datastoreItem xmlns:ds="http://schemas.openxmlformats.org/officeDocument/2006/customXml" ds:itemID="{323EFAE5-661B-4E04-A512-C73AC9E9CE24}">
  <ds:schemaRefs>
    <ds:schemaRef ds:uri="http://schemas.microsoft.com/sharepoint/v3/contenttype/forms"/>
  </ds:schemaRefs>
</ds:datastoreItem>
</file>

<file path=customXml/itemProps3.xml><?xml version="1.0" encoding="utf-8"?>
<ds:datastoreItem xmlns:ds="http://schemas.openxmlformats.org/officeDocument/2006/customXml" ds:itemID="{4A59D045-B0F2-4F2E-B883-F8A801916E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01d2705b-266c-471f-bbad-ca9cc3733704"/>
    <ds:schemaRef ds:uri="b8cb3cbd-ce5c-4a72-9da4-9013f91c5903"/>
    <ds:schemaRef ds:uri="http://www.w3.org/XML/1998/namespace"/>
    <ds:schemaRef ds:uri="http://purl.org/dc/dcmitype/"/>
  </ds:schemaRefs>
</ds:datastoreItem>
</file>

<file path=customXml/itemProps4.xml><?xml version="1.0" encoding="utf-8"?>
<ds:datastoreItem xmlns:ds="http://schemas.openxmlformats.org/officeDocument/2006/customXml" ds:itemID="{E9258687-9CB4-44C9-9ACD-FC79EB696553}">
  <ds:schemaRefs>
    <ds:schemaRef ds:uri="Microsoft.SharePoint.Taxonomy.ContentTypeSync"/>
  </ds:schemaRefs>
</ds:datastoreItem>
</file>

<file path=customXml/itemProps5.xml><?xml version="1.0" encoding="utf-8"?>
<ds:datastoreItem xmlns:ds="http://schemas.openxmlformats.org/officeDocument/2006/customXml" ds:itemID="{FCD95AA3-EDB4-4EAE-A54C-A18F484BD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01d2705b-266c-471f-bbad-ca9cc3733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DDDD04-7AEE-49A6-9CEE-EA36BEBA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2455</Words>
  <Characters>14000</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Final</vt:lpstr>
    </vt:vector>
  </TitlesOfParts>
  <Company>Employment Benefits</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c:title>
  <dc:subject/>
  <dc:creator>WILLIAMS, Sue (CIOG)</dc:creator>
  <cp:keywords/>
  <dc:description/>
  <cp:lastModifiedBy>CAMMACK, Karen</cp:lastModifiedBy>
  <cp:revision>2</cp:revision>
  <cp:lastPrinted>2016-06-06T09:45:00Z</cp:lastPrinted>
  <dcterms:created xsi:type="dcterms:W3CDTF">2016-12-12T11:49:00Z</dcterms:created>
  <dcterms:modified xsi:type="dcterms:W3CDTF">2016-12-12T11:49:00Z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0x0101007F645D6FBA204A029FECB8BFC6578C39005279853530254253B886E13194843F8A003AA4A7828D8545A79A93568014812349002741AE071A82164A951099DAC91C981E</vt:lpwstr>
  </property>
  <property fmtid="{D5CDD505-2E9C-101B-9397-08002B2CF9AE}" pid="3" name="IWPOrganisationalUnit">
    <vt:lpwstr>5;#DfE|cc08a6d4-dfde-4d0f-bd85-069ebcef80d5</vt:lpwstr>
  </property>
  <property fmtid="{D5CDD505-2E9C-101B-9397-08002B2CF9AE}" pid="4" name="IWPOwner">
    <vt:lpwstr>2;#DfE|a484111e-5b24-4ad9-9778-c536c8c88985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3;#Official|0884c477-2e62-47ea-b19c-5af6e91124c5</vt:lpwstr>
  </property>
  <property fmtid="{D5CDD505-2E9C-101B-9397-08002B2CF9AE}" pid="9" name="_dlc_DocIdItemGuid">
    <vt:lpwstr>9bac898c-552a-46a0-9dcc-e47bc8d73994</vt:lpwstr>
  </property>
</Properties>
</file>