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765A8" w14:textId="77777777" w:rsidR="00AF1C07" w:rsidRPr="00073553" w:rsidRDefault="00305937" w:rsidP="00305937">
      <w:pPr>
        <w:pStyle w:val="DeptBullets"/>
        <w:numPr>
          <w:ilvl w:val="0"/>
          <w:numId w:val="0"/>
        </w:numPr>
        <w:jc w:val="center"/>
        <w:rPr>
          <w:rFonts w:cs="Arial"/>
          <w:b/>
          <w:sz w:val="22"/>
          <w:szCs w:val="22"/>
        </w:rPr>
      </w:pPr>
      <w:r w:rsidRPr="00073553">
        <w:rPr>
          <w:rFonts w:cs="Arial"/>
          <w:b/>
          <w:sz w:val="22"/>
          <w:szCs w:val="22"/>
        </w:rPr>
        <w:t>Teachers’ Pension Scheme Pension Board (TPSPB)</w:t>
      </w:r>
    </w:p>
    <w:p w14:paraId="7A0765A9" w14:textId="1C81F377" w:rsidR="00305937" w:rsidRPr="00073553" w:rsidRDefault="00DD2057" w:rsidP="00305937">
      <w:pPr>
        <w:pStyle w:val="DeptBullets"/>
        <w:numPr>
          <w:ilvl w:val="0"/>
          <w:numId w:val="0"/>
        </w:numPr>
        <w:jc w:val="center"/>
        <w:rPr>
          <w:rFonts w:cs="Arial"/>
          <w:b/>
          <w:sz w:val="22"/>
          <w:szCs w:val="22"/>
        </w:rPr>
      </w:pPr>
      <w:r w:rsidRPr="00073553">
        <w:rPr>
          <w:rFonts w:cs="Arial"/>
          <w:b/>
          <w:sz w:val="22"/>
          <w:szCs w:val="22"/>
        </w:rPr>
        <w:t>Service Delivery Sub-committee meeting</w:t>
      </w:r>
      <w:r w:rsidR="0078546A" w:rsidRPr="00073553">
        <w:rPr>
          <w:rFonts w:cs="Arial"/>
          <w:b/>
          <w:sz w:val="22"/>
          <w:szCs w:val="22"/>
        </w:rPr>
        <w:t>:</w:t>
      </w:r>
      <w:r w:rsidR="00DE7B01" w:rsidRPr="00073553">
        <w:rPr>
          <w:rFonts w:cs="Arial"/>
          <w:b/>
          <w:sz w:val="22"/>
          <w:szCs w:val="22"/>
        </w:rPr>
        <w:t xml:space="preserve"> </w:t>
      </w:r>
      <w:r w:rsidRPr="00073553">
        <w:rPr>
          <w:rFonts w:cs="Arial"/>
          <w:b/>
          <w:sz w:val="22"/>
          <w:szCs w:val="22"/>
        </w:rPr>
        <w:t>8 November</w:t>
      </w:r>
      <w:r w:rsidR="00A52ADD" w:rsidRPr="00073553">
        <w:rPr>
          <w:rFonts w:cs="Arial"/>
          <w:b/>
          <w:sz w:val="22"/>
          <w:szCs w:val="22"/>
        </w:rPr>
        <w:t xml:space="preserve"> </w:t>
      </w:r>
      <w:r w:rsidR="00305937" w:rsidRPr="00073553">
        <w:rPr>
          <w:rFonts w:cs="Arial"/>
          <w:b/>
          <w:sz w:val="22"/>
          <w:szCs w:val="22"/>
        </w:rPr>
        <w:t>201</w:t>
      </w:r>
      <w:r w:rsidR="00A52ADD" w:rsidRPr="00073553">
        <w:rPr>
          <w:rFonts w:cs="Arial"/>
          <w:b/>
          <w:sz w:val="22"/>
          <w:szCs w:val="22"/>
        </w:rPr>
        <w:t>6</w:t>
      </w:r>
    </w:p>
    <w:p w14:paraId="7A0765AA" w14:textId="77777777" w:rsidR="00305937" w:rsidRPr="00073553" w:rsidRDefault="00305937" w:rsidP="00305937">
      <w:pPr>
        <w:pStyle w:val="DeptBullets"/>
        <w:numPr>
          <w:ilvl w:val="0"/>
          <w:numId w:val="0"/>
        </w:numPr>
        <w:jc w:val="center"/>
        <w:rPr>
          <w:rFonts w:cs="Arial"/>
          <w:b/>
          <w:sz w:val="22"/>
          <w:szCs w:val="22"/>
        </w:rPr>
      </w:pPr>
      <w:r w:rsidRPr="00073553">
        <w:rPr>
          <w:rFonts w:cs="Arial"/>
          <w:b/>
          <w:sz w:val="22"/>
          <w:szCs w:val="22"/>
        </w:rPr>
        <w:t>MINUTES</w:t>
      </w:r>
    </w:p>
    <w:tbl>
      <w:tblPr>
        <w:tblStyle w:val="TableGrid"/>
        <w:tblW w:w="91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84"/>
        <w:gridCol w:w="1418"/>
      </w:tblGrid>
      <w:tr w:rsidR="00DD2057" w:rsidRPr="00073553" w14:paraId="7A0765AF" w14:textId="77777777" w:rsidTr="00DD2057">
        <w:tc>
          <w:tcPr>
            <w:tcW w:w="7684" w:type="dxa"/>
            <w:shd w:val="clear" w:color="auto" w:fill="F2F2F2" w:themeFill="background1" w:themeFillShade="F2"/>
          </w:tcPr>
          <w:p w14:paraId="7A0765AB" w14:textId="77777777" w:rsidR="00DD2057" w:rsidRPr="00073553" w:rsidRDefault="00DD2057" w:rsidP="0056759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073553">
              <w:rPr>
                <w:rFonts w:cs="Arial"/>
                <w:b/>
                <w:sz w:val="22"/>
                <w:szCs w:val="22"/>
              </w:rPr>
              <w:t>Present: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0765AC" w14:textId="77777777" w:rsidR="00DD2057" w:rsidRPr="00073553" w:rsidRDefault="00DD2057" w:rsidP="0056759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DD2057" w:rsidRPr="00073553" w14:paraId="7A0765B4" w14:textId="77777777" w:rsidTr="00DD2057">
        <w:tc>
          <w:tcPr>
            <w:tcW w:w="7684" w:type="dxa"/>
          </w:tcPr>
          <w:p w14:paraId="7A0765B0" w14:textId="2BC8BA97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Alice Robinson (member representative) Chair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0765B1" w14:textId="6611F136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AR</w:t>
            </w:r>
          </w:p>
        </w:tc>
      </w:tr>
      <w:tr w:rsidR="00DD2057" w:rsidRPr="00073553" w14:paraId="7A0765B9" w14:textId="77777777" w:rsidTr="00DD2057">
        <w:tc>
          <w:tcPr>
            <w:tcW w:w="7684" w:type="dxa"/>
          </w:tcPr>
          <w:p w14:paraId="7A0765B5" w14:textId="77777777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Geoff Ashton (Independent Pension Specialist)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0765B6" w14:textId="77777777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GA</w:t>
            </w:r>
          </w:p>
        </w:tc>
      </w:tr>
      <w:tr w:rsidR="00DD2057" w:rsidRPr="00073553" w14:paraId="7A0765BE" w14:textId="77777777" w:rsidTr="00DD2057">
        <w:tc>
          <w:tcPr>
            <w:tcW w:w="7684" w:type="dxa"/>
          </w:tcPr>
          <w:p w14:paraId="7A0765BA" w14:textId="0E39FF22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Trefor Llewellyn (employer representative)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0765BB" w14:textId="61FD7D5D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TL</w:t>
            </w:r>
          </w:p>
        </w:tc>
      </w:tr>
      <w:tr w:rsidR="00DD2057" w:rsidRPr="00073553" w14:paraId="7A0765C3" w14:textId="77777777" w:rsidTr="00DD2057">
        <w:tc>
          <w:tcPr>
            <w:tcW w:w="7684" w:type="dxa"/>
          </w:tcPr>
          <w:p w14:paraId="7A0765BF" w14:textId="59DA194A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Dave Wilkinson (member representative)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0765C0" w14:textId="43E78371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DW</w:t>
            </w:r>
          </w:p>
        </w:tc>
      </w:tr>
      <w:tr w:rsidR="00DD2057" w:rsidRPr="00073553" w14:paraId="7A0765C8" w14:textId="77777777" w:rsidTr="00DD2057">
        <w:tc>
          <w:tcPr>
            <w:tcW w:w="7684" w:type="dxa"/>
          </w:tcPr>
          <w:p w14:paraId="7A0765C4" w14:textId="320F906C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Sue Crane (DfE Senior Contract Manager)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0765C5" w14:textId="4B9D4A31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SC</w:t>
            </w:r>
          </w:p>
        </w:tc>
      </w:tr>
      <w:tr w:rsidR="00DD2057" w:rsidRPr="00073553" w14:paraId="7A0765CD" w14:textId="77777777" w:rsidTr="00DD2057">
        <w:tc>
          <w:tcPr>
            <w:tcW w:w="7684" w:type="dxa"/>
          </w:tcPr>
          <w:p w14:paraId="7A0765C9" w14:textId="395EB7FA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David Heslop (Teachers’ Pensions)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0765CA" w14:textId="06DF1456" w:rsidR="00DD2057" w:rsidRPr="00073553" w:rsidRDefault="00D22A12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DH</w:t>
            </w:r>
          </w:p>
        </w:tc>
      </w:tr>
      <w:tr w:rsidR="00DD2057" w:rsidRPr="00073553" w14:paraId="7A0765D2" w14:textId="77777777" w:rsidTr="00DD2057">
        <w:tc>
          <w:tcPr>
            <w:tcW w:w="7684" w:type="dxa"/>
          </w:tcPr>
          <w:p w14:paraId="7A0765CE" w14:textId="02F4A8E2" w:rsidR="00DD2057" w:rsidRPr="00073553" w:rsidRDefault="00DD2057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Kathryn Symms (DfE Policy &amp; Governance team leader) Secretariat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0765CF" w14:textId="61CB672B" w:rsidR="00DD2057" w:rsidRPr="00073553" w:rsidRDefault="00D22A12" w:rsidP="00DD205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KS</w:t>
            </w:r>
          </w:p>
        </w:tc>
      </w:tr>
      <w:tr w:rsidR="00EA5EDE" w:rsidRPr="00073553" w14:paraId="7A0765D7" w14:textId="77777777" w:rsidTr="00DD2057">
        <w:tc>
          <w:tcPr>
            <w:tcW w:w="7684" w:type="dxa"/>
          </w:tcPr>
          <w:p w14:paraId="7A0765D3" w14:textId="70324F41" w:rsidR="00EA5EDE" w:rsidRPr="00073553" w:rsidRDefault="00EA5EDE" w:rsidP="00EA5ED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Peter Springhall |(DfE Senior Finance Manager – observer)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0765D4" w14:textId="3134B74E" w:rsidR="00EA5EDE" w:rsidRPr="00073553" w:rsidRDefault="00D22A12" w:rsidP="00EA5ED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PS</w:t>
            </w:r>
          </w:p>
        </w:tc>
      </w:tr>
      <w:tr w:rsidR="00EA5EDE" w:rsidRPr="00073553" w14:paraId="7A0765DC" w14:textId="77777777" w:rsidTr="00DD2057">
        <w:tc>
          <w:tcPr>
            <w:tcW w:w="9102" w:type="dxa"/>
            <w:gridSpan w:val="2"/>
            <w:tcBorders>
              <w:right w:val="single" w:sz="4" w:space="0" w:color="auto"/>
            </w:tcBorders>
          </w:tcPr>
          <w:p w14:paraId="7A0765DA" w14:textId="43E63755" w:rsidR="00EA5EDE" w:rsidRPr="00073553" w:rsidRDefault="00EA5EDE" w:rsidP="00A2336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Richard Lees (DfE Contract Manager – observer)</w:t>
            </w:r>
            <w:r w:rsidR="00D22A12" w:rsidRPr="00073553">
              <w:rPr>
                <w:rFonts w:cs="Arial"/>
                <w:sz w:val="22"/>
                <w:szCs w:val="22"/>
              </w:rPr>
              <w:t xml:space="preserve">        </w:t>
            </w:r>
            <w:r w:rsidR="00073553">
              <w:rPr>
                <w:rFonts w:cs="Arial"/>
                <w:sz w:val="22"/>
                <w:szCs w:val="22"/>
              </w:rPr>
              <w:t xml:space="preserve">                                        </w:t>
            </w:r>
            <w:r w:rsidR="00D22A12" w:rsidRPr="00073553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="00EA5EDE" w:rsidRPr="00073553" w14:paraId="7A0765DF" w14:textId="77777777" w:rsidTr="00DD2057">
        <w:tc>
          <w:tcPr>
            <w:tcW w:w="9102" w:type="dxa"/>
            <w:gridSpan w:val="2"/>
            <w:tcBorders>
              <w:right w:val="single" w:sz="4" w:space="0" w:color="auto"/>
            </w:tcBorders>
          </w:tcPr>
          <w:p w14:paraId="7A0765DD" w14:textId="167C51FD" w:rsidR="00EA5EDE" w:rsidRPr="00073553" w:rsidRDefault="00EA5EDE" w:rsidP="00EA5ED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b/>
                <w:sz w:val="22"/>
                <w:szCs w:val="22"/>
              </w:rPr>
              <w:t xml:space="preserve">Apologies: </w:t>
            </w:r>
            <w:r w:rsidRPr="00073553">
              <w:rPr>
                <w:rFonts w:cs="Arial"/>
                <w:sz w:val="22"/>
                <w:szCs w:val="22"/>
              </w:rPr>
              <w:t>None</w:t>
            </w:r>
          </w:p>
        </w:tc>
      </w:tr>
      <w:tr w:rsidR="00D22A12" w:rsidRPr="00073553" w14:paraId="721C12F1" w14:textId="77777777" w:rsidTr="00DD2057">
        <w:tc>
          <w:tcPr>
            <w:tcW w:w="9102" w:type="dxa"/>
            <w:gridSpan w:val="2"/>
            <w:tcBorders>
              <w:right w:val="single" w:sz="4" w:space="0" w:color="auto"/>
            </w:tcBorders>
          </w:tcPr>
          <w:p w14:paraId="64B44085" w14:textId="77777777" w:rsidR="00D22A12" w:rsidRPr="00073553" w:rsidRDefault="00D22A12" w:rsidP="00EA5ED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A0765E0" w14:textId="77777777" w:rsidR="00567597" w:rsidRPr="00073553" w:rsidRDefault="00567597" w:rsidP="00305937">
      <w:pPr>
        <w:pStyle w:val="DeptBullets"/>
        <w:numPr>
          <w:ilvl w:val="0"/>
          <w:numId w:val="0"/>
        </w:numPr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408"/>
        <w:gridCol w:w="1672"/>
      </w:tblGrid>
      <w:tr w:rsidR="00305937" w:rsidRPr="00073553" w14:paraId="7A0765E4" w14:textId="77777777" w:rsidTr="00EE67FE">
        <w:tc>
          <w:tcPr>
            <w:tcW w:w="993" w:type="dxa"/>
            <w:shd w:val="clear" w:color="auto" w:fill="F2F2F2" w:themeFill="background1" w:themeFillShade="F2"/>
          </w:tcPr>
          <w:p w14:paraId="7A0765E1" w14:textId="77777777" w:rsidR="00305937" w:rsidRPr="00073553" w:rsidRDefault="00305937" w:rsidP="00305937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408" w:type="dxa"/>
            <w:shd w:val="clear" w:color="auto" w:fill="F2F2F2" w:themeFill="background1" w:themeFillShade="F2"/>
          </w:tcPr>
          <w:p w14:paraId="7A0765E2" w14:textId="77777777" w:rsidR="00305937" w:rsidRPr="00073553" w:rsidRDefault="00305937" w:rsidP="00305937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073553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7A0765E3" w14:textId="77777777" w:rsidR="00305937" w:rsidRPr="00EE67FE" w:rsidRDefault="00305937" w:rsidP="00305937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0"/>
              </w:rPr>
            </w:pPr>
            <w:r w:rsidRPr="00EE67FE">
              <w:rPr>
                <w:rFonts w:cs="Arial"/>
                <w:b/>
                <w:sz w:val="20"/>
              </w:rPr>
              <w:t>Action</w:t>
            </w:r>
          </w:p>
        </w:tc>
      </w:tr>
      <w:tr w:rsidR="00305937" w:rsidRPr="00073553" w14:paraId="7A076616" w14:textId="77777777" w:rsidTr="00EE67FE">
        <w:trPr>
          <w:trHeight w:val="1265"/>
        </w:trPr>
        <w:tc>
          <w:tcPr>
            <w:tcW w:w="993" w:type="dxa"/>
          </w:tcPr>
          <w:p w14:paraId="7A0765E5" w14:textId="77777777" w:rsidR="00305937" w:rsidRPr="00073553" w:rsidRDefault="00BC2909" w:rsidP="00BC290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Agenda item 1</w:t>
            </w:r>
          </w:p>
        </w:tc>
        <w:tc>
          <w:tcPr>
            <w:tcW w:w="6408" w:type="dxa"/>
          </w:tcPr>
          <w:p w14:paraId="7A0765E6" w14:textId="77777777" w:rsidR="008E7553" w:rsidRPr="00073553" w:rsidRDefault="00461B66" w:rsidP="000D730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073553">
              <w:rPr>
                <w:rFonts w:cs="Arial"/>
                <w:b/>
                <w:sz w:val="22"/>
                <w:szCs w:val="22"/>
                <w:u w:val="single"/>
              </w:rPr>
              <w:t>Introduction, a</w:t>
            </w:r>
            <w:r w:rsidR="008E7553" w:rsidRPr="00073553">
              <w:rPr>
                <w:rFonts w:cs="Arial"/>
                <w:b/>
                <w:sz w:val="22"/>
                <w:szCs w:val="22"/>
                <w:u w:val="single"/>
              </w:rPr>
              <w:t>ttendance</w:t>
            </w:r>
            <w:r w:rsidR="00257CEE" w:rsidRPr="00073553">
              <w:rPr>
                <w:rFonts w:cs="Arial"/>
                <w:b/>
                <w:sz w:val="22"/>
                <w:szCs w:val="22"/>
                <w:u w:val="single"/>
              </w:rPr>
              <w:t xml:space="preserve">, </w:t>
            </w:r>
            <w:r w:rsidR="008E7553" w:rsidRPr="00073553">
              <w:rPr>
                <w:rFonts w:cs="Arial"/>
                <w:b/>
                <w:sz w:val="22"/>
                <w:szCs w:val="22"/>
                <w:u w:val="single"/>
              </w:rPr>
              <w:t>apologies</w:t>
            </w:r>
            <w:r w:rsidR="0017385F" w:rsidRPr="00073553">
              <w:rPr>
                <w:rFonts w:cs="Arial"/>
                <w:b/>
                <w:sz w:val="22"/>
                <w:szCs w:val="22"/>
                <w:u w:val="single"/>
              </w:rPr>
              <w:t>:</w:t>
            </w:r>
          </w:p>
          <w:p w14:paraId="7A0765F5" w14:textId="4A4A1BDA" w:rsidR="00257CEE" w:rsidRPr="00073553" w:rsidRDefault="00EA5EDE" w:rsidP="00A624E2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ind w:left="34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AR welcomed all attendees to the first Servi</w:t>
            </w:r>
            <w:r w:rsidR="00A624E2" w:rsidRPr="00073553">
              <w:rPr>
                <w:rFonts w:cs="Arial"/>
                <w:sz w:val="22"/>
                <w:szCs w:val="22"/>
              </w:rPr>
              <w:t>ce D</w:t>
            </w:r>
            <w:r w:rsidRPr="00073553">
              <w:rPr>
                <w:rFonts w:cs="Arial"/>
                <w:sz w:val="22"/>
                <w:szCs w:val="22"/>
              </w:rPr>
              <w:t>elivery sub-committee meeting.</w:t>
            </w:r>
          </w:p>
        </w:tc>
        <w:tc>
          <w:tcPr>
            <w:tcW w:w="1672" w:type="dxa"/>
          </w:tcPr>
          <w:p w14:paraId="7A076615" w14:textId="02541B52" w:rsidR="00E96F51" w:rsidRPr="00EE67FE" w:rsidRDefault="00E96F51" w:rsidP="004E7B3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C36C75" w:rsidRPr="00073553" w14:paraId="7A076629" w14:textId="77777777" w:rsidTr="00EE67FE">
        <w:tc>
          <w:tcPr>
            <w:tcW w:w="993" w:type="dxa"/>
          </w:tcPr>
          <w:p w14:paraId="7A076617" w14:textId="77777777" w:rsidR="00C36C75" w:rsidRPr="00073553" w:rsidRDefault="00C36C75" w:rsidP="00DB7C6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Agenda item 2</w:t>
            </w:r>
          </w:p>
        </w:tc>
        <w:tc>
          <w:tcPr>
            <w:tcW w:w="6408" w:type="dxa"/>
          </w:tcPr>
          <w:p w14:paraId="7A076618" w14:textId="35CEDF89" w:rsidR="0017385F" w:rsidRPr="00073553" w:rsidRDefault="00A65523" w:rsidP="0017385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b/>
                <w:sz w:val="22"/>
                <w:szCs w:val="22"/>
                <w:u w:val="single"/>
              </w:rPr>
              <w:t>Review of TP performance against</w:t>
            </w:r>
            <w:r w:rsidR="0017385F" w:rsidRPr="00073553">
              <w:rPr>
                <w:rFonts w:cs="Arial"/>
                <w:sz w:val="22"/>
                <w:szCs w:val="22"/>
              </w:rPr>
              <w:t>:</w:t>
            </w:r>
          </w:p>
          <w:p w14:paraId="2A8888D3" w14:textId="2D3F4FEA" w:rsidR="00A65523" w:rsidRPr="00073553" w:rsidRDefault="00A65523" w:rsidP="00A65523">
            <w:pPr>
              <w:pStyle w:val="DeptBullets"/>
              <w:numPr>
                <w:ilvl w:val="0"/>
                <w:numId w:val="23"/>
              </w:numPr>
              <w:spacing w:after="0"/>
              <w:ind w:left="318" w:hanging="284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Service Level Agreements </w:t>
            </w:r>
          </w:p>
          <w:p w14:paraId="42DFADD8" w14:textId="25215BDD" w:rsidR="00A65523" w:rsidRPr="00073553" w:rsidRDefault="00A65523" w:rsidP="00A65523">
            <w:pPr>
              <w:pStyle w:val="DeptBullets"/>
              <w:numPr>
                <w:ilvl w:val="0"/>
                <w:numId w:val="23"/>
              </w:numPr>
              <w:spacing w:after="0"/>
              <w:ind w:left="318" w:hanging="284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Performance Indicators</w:t>
            </w:r>
          </w:p>
          <w:p w14:paraId="09906EF3" w14:textId="77777777" w:rsidR="00A65523" w:rsidRPr="00073553" w:rsidRDefault="00A65523" w:rsidP="0009571A">
            <w:pPr>
              <w:pStyle w:val="DeptBullets"/>
              <w:numPr>
                <w:ilvl w:val="0"/>
                <w:numId w:val="23"/>
              </w:numPr>
              <w:spacing w:after="0"/>
              <w:ind w:left="318" w:hanging="284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Contract Outcomes</w:t>
            </w:r>
          </w:p>
          <w:p w14:paraId="794FA65D" w14:textId="77777777" w:rsidR="00A65523" w:rsidRPr="00073553" w:rsidRDefault="00A65523" w:rsidP="00A65523">
            <w:pPr>
              <w:pStyle w:val="DeptBullets"/>
              <w:numPr>
                <w:ilvl w:val="0"/>
                <w:numId w:val="0"/>
              </w:numPr>
              <w:spacing w:after="0"/>
              <w:ind w:left="34"/>
              <w:rPr>
                <w:rFonts w:cs="Arial"/>
                <w:sz w:val="22"/>
                <w:szCs w:val="22"/>
              </w:rPr>
            </w:pPr>
          </w:p>
          <w:p w14:paraId="087E1B4A" w14:textId="034D9A3A" w:rsidR="001249C9" w:rsidRPr="00073553" w:rsidRDefault="00A65523" w:rsidP="00D22A12">
            <w:pPr>
              <w:pStyle w:val="DeptBullets"/>
              <w:numPr>
                <w:ilvl w:val="0"/>
                <w:numId w:val="0"/>
              </w:numPr>
              <w:spacing w:after="0"/>
              <w:ind w:left="34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SC highlighted certain key points from the TP Administration Update paper.  The SLA and contract outcomes were generally positive.  </w:t>
            </w:r>
            <w:r w:rsidR="00073553">
              <w:rPr>
                <w:rFonts w:cs="Arial"/>
                <w:sz w:val="22"/>
                <w:szCs w:val="22"/>
              </w:rPr>
              <w:t>T</w:t>
            </w:r>
            <w:r w:rsidRPr="00073553">
              <w:rPr>
                <w:rFonts w:cs="Arial"/>
                <w:sz w:val="22"/>
                <w:szCs w:val="22"/>
              </w:rPr>
              <w:t xml:space="preserve">he </w:t>
            </w:r>
            <w:r w:rsidR="00073553">
              <w:rPr>
                <w:rFonts w:cs="Arial"/>
                <w:sz w:val="22"/>
                <w:szCs w:val="22"/>
              </w:rPr>
              <w:t xml:space="preserve">current </w:t>
            </w:r>
            <w:r w:rsidRPr="00073553">
              <w:rPr>
                <w:rFonts w:cs="Arial"/>
                <w:sz w:val="22"/>
                <w:szCs w:val="22"/>
              </w:rPr>
              <w:t>process for setting new outcome measures</w:t>
            </w:r>
            <w:r w:rsidR="00073553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073553">
              <w:rPr>
                <w:rFonts w:cs="Arial"/>
                <w:sz w:val="22"/>
                <w:szCs w:val="22"/>
              </w:rPr>
              <w:t>was clarified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.  It </w:t>
            </w:r>
            <w:proofErr w:type="gramStart"/>
            <w:r w:rsidRPr="00073553">
              <w:rPr>
                <w:rFonts w:cs="Arial"/>
                <w:sz w:val="22"/>
                <w:szCs w:val="22"/>
              </w:rPr>
              <w:t>was agreed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 that the </w:t>
            </w:r>
            <w:r w:rsidR="00D22A12" w:rsidRPr="00073553">
              <w:rPr>
                <w:rFonts w:cs="Arial"/>
                <w:sz w:val="22"/>
                <w:szCs w:val="22"/>
              </w:rPr>
              <w:t>sub-committee</w:t>
            </w:r>
            <w:r w:rsidRPr="00073553">
              <w:rPr>
                <w:rFonts w:cs="Arial"/>
                <w:sz w:val="22"/>
                <w:szCs w:val="22"/>
              </w:rPr>
              <w:t xml:space="preserve"> should be informed of changes and the reasons for re-setting targets.  DH </w:t>
            </w:r>
            <w:r w:rsidR="0028798F" w:rsidRPr="00073553">
              <w:rPr>
                <w:rFonts w:cs="Arial"/>
                <w:sz w:val="22"/>
                <w:szCs w:val="22"/>
              </w:rPr>
              <w:t xml:space="preserve">advised that he </w:t>
            </w:r>
            <w:proofErr w:type="gramStart"/>
            <w:r w:rsidR="0028798F" w:rsidRPr="00073553">
              <w:rPr>
                <w:rFonts w:cs="Arial"/>
                <w:sz w:val="22"/>
                <w:szCs w:val="22"/>
              </w:rPr>
              <w:t>will</w:t>
            </w:r>
            <w:proofErr w:type="gramEnd"/>
            <w:r w:rsidR="0028798F" w:rsidRPr="00073553">
              <w:rPr>
                <w:rFonts w:cs="Arial"/>
                <w:sz w:val="22"/>
                <w:szCs w:val="22"/>
              </w:rPr>
              <w:t xml:space="preserve"> shortly be proposing a new target for the MPO accounts for DfE approval.  The </w:t>
            </w:r>
            <w:r w:rsidR="00D22A12" w:rsidRPr="00073553">
              <w:rPr>
                <w:rFonts w:cs="Arial"/>
                <w:sz w:val="22"/>
                <w:szCs w:val="22"/>
              </w:rPr>
              <w:t xml:space="preserve">sub-committee </w:t>
            </w:r>
            <w:proofErr w:type="gramStart"/>
            <w:r w:rsidR="0028798F" w:rsidRPr="00073553">
              <w:rPr>
                <w:rFonts w:cs="Arial"/>
                <w:sz w:val="22"/>
                <w:szCs w:val="22"/>
              </w:rPr>
              <w:t>will be updated</w:t>
            </w:r>
            <w:proofErr w:type="gramEnd"/>
            <w:r w:rsidR="0028798F" w:rsidRPr="00073553">
              <w:rPr>
                <w:rFonts w:cs="Arial"/>
                <w:sz w:val="22"/>
                <w:szCs w:val="22"/>
              </w:rPr>
              <w:t xml:space="preserve"> on progress.</w:t>
            </w:r>
          </w:p>
          <w:p w14:paraId="7A07661B" w14:textId="28830202" w:rsidR="00B70D65" w:rsidRPr="00073553" w:rsidRDefault="00B70D65" w:rsidP="00073553">
            <w:pPr>
              <w:pStyle w:val="DeptBullets"/>
              <w:numPr>
                <w:ilvl w:val="0"/>
                <w:numId w:val="0"/>
              </w:numPr>
              <w:spacing w:after="0"/>
              <w:ind w:left="34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DW enquired whether the contract, KPIs, SLAs </w:t>
            </w:r>
            <w:proofErr w:type="spellStart"/>
            <w:r w:rsidRPr="00073553">
              <w:rPr>
                <w:rFonts w:cs="Arial"/>
                <w:sz w:val="22"/>
                <w:szCs w:val="22"/>
              </w:rPr>
              <w:t>etc</w:t>
            </w:r>
            <w:proofErr w:type="spellEnd"/>
            <w:r w:rsidRPr="00073553">
              <w:rPr>
                <w:rFonts w:cs="Arial"/>
                <w:sz w:val="22"/>
                <w:szCs w:val="22"/>
              </w:rPr>
              <w:t xml:space="preserve"> should be made available to the sub-committee</w:t>
            </w:r>
            <w:r w:rsidR="00073553">
              <w:rPr>
                <w:rFonts w:cs="Arial"/>
                <w:sz w:val="22"/>
                <w:szCs w:val="22"/>
              </w:rPr>
              <w:t>.  It</w:t>
            </w:r>
            <w:r w:rsidRPr="00073553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073553">
              <w:rPr>
                <w:rFonts w:cs="Arial"/>
                <w:sz w:val="22"/>
                <w:szCs w:val="22"/>
              </w:rPr>
              <w:t>was agreed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 </w:t>
            </w:r>
            <w:r w:rsidR="00073553">
              <w:rPr>
                <w:rFonts w:cs="Arial"/>
                <w:sz w:val="22"/>
                <w:szCs w:val="22"/>
              </w:rPr>
              <w:t xml:space="preserve">this </w:t>
            </w:r>
            <w:r w:rsidRPr="00073553">
              <w:rPr>
                <w:rFonts w:cs="Arial"/>
                <w:sz w:val="22"/>
                <w:szCs w:val="22"/>
              </w:rPr>
              <w:t xml:space="preserve">was possible, and could be made available for scrutiny purposes </w:t>
            </w:r>
            <w:r w:rsidR="00073553">
              <w:rPr>
                <w:rFonts w:cs="Arial"/>
                <w:sz w:val="22"/>
                <w:szCs w:val="22"/>
              </w:rPr>
              <w:t>as and when</w:t>
            </w:r>
            <w:r w:rsidRPr="00073553">
              <w:rPr>
                <w:rFonts w:cs="Arial"/>
                <w:sz w:val="22"/>
                <w:szCs w:val="22"/>
              </w:rPr>
              <w:t xml:space="preserve"> required.</w:t>
            </w:r>
          </w:p>
        </w:tc>
        <w:tc>
          <w:tcPr>
            <w:tcW w:w="1672" w:type="dxa"/>
          </w:tcPr>
          <w:p w14:paraId="7A07661C" w14:textId="77777777" w:rsidR="00C1030D" w:rsidRPr="00EE67FE" w:rsidRDefault="00C1030D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1D" w14:textId="77777777" w:rsidR="001249C9" w:rsidRPr="00EE67FE" w:rsidRDefault="001249C9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1E" w14:textId="77777777" w:rsidR="001249C9" w:rsidRPr="00EE67FE" w:rsidRDefault="001249C9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1F" w14:textId="77777777" w:rsidR="001249C9" w:rsidRPr="00EE67FE" w:rsidRDefault="001249C9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20" w14:textId="77777777" w:rsidR="001249C9" w:rsidRPr="00EE67FE" w:rsidRDefault="001249C9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21" w14:textId="77777777" w:rsidR="001249C9" w:rsidRPr="00EE67FE" w:rsidRDefault="001249C9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22" w14:textId="77777777" w:rsidR="00851495" w:rsidRPr="00EE67FE" w:rsidRDefault="00851495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23" w14:textId="77777777" w:rsidR="00851495" w:rsidRPr="00EE67FE" w:rsidRDefault="00851495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25" w14:textId="77777777" w:rsidR="00851495" w:rsidRPr="00EE67FE" w:rsidRDefault="00851495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091CD2A" w14:textId="77777777" w:rsidR="00EE67FE" w:rsidRPr="00EE67FE" w:rsidRDefault="00EE67FE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C886228" w14:textId="048B32C3" w:rsidR="00EE67FE" w:rsidRPr="00EE67FE" w:rsidRDefault="00EE67FE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EE67FE">
              <w:rPr>
                <w:rFonts w:cs="Arial"/>
                <w:b/>
                <w:sz w:val="20"/>
              </w:rPr>
              <w:t>Action Point</w:t>
            </w:r>
            <w:r>
              <w:rPr>
                <w:rFonts w:cs="Arial"/>
                <w:sz w:val="20"/>
              </w:rPr>
              <w:t>:</w:t>
            </w:r>
          </w:p>
          <w:p w14:paraId="7A076626" w14:textId="01891A7B" w:rsidR="00851495" w:rsidRPr="00EE67FE" w:rsidRDefault="00EE67FE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EE67FE">
              <w:rPr>
                <w:rFonts w:cs="Arial"/>
                <w:sz w:val="20"/>
              </w:rPr>
              <w:t>SD1/081116</w:t>
            </w:r>
            <w:r w:rsidR="00851495" w:rsidRPr="00EE67FE">
              <w:rPr>
                <w:rFonts w:cs="Arial"/>
                <w:sz w:val="20"/>
              </w:rPr>
              <w:t xml:space="preserve"> </w:t>
            </w:r>
          </w:p>
          <w:p w14:paraId="7A076627" w14:textId="77777777" w:rsidR="00091D5C" w:rsidRPr="00EE67FE" w:rsidRDefault="00091D5C" w:rsidP="00A0342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28" w14:textId="77777777" w:rsidR="001249C9" w:rsidRPr="00EE67FE" w:rsidRDefault="001249C9" w:rsidP="0022057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B343B8" w:rsidRPr="00073553" w14:paraId="7A07664C" w14:textId="77777777" w:rsidTr="00EE67FE">
        <w:tc>
          <w:tcPr>
            <w:tcW w:w="993" w:type="dxa"/>
          </w:tcPr>
          <w:p w14:paraId="7A07662A" w14:textId="77777777" w:rsidR="00B343B8" w:rsidRPr="00073553" w:rsidRDefault="00FD3339" w:rsidP="0030593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Agenda item 3</w:t>
            </w:r>
          </w:p>
        </w:tc>
        <w:tc>
          <w:tcPr>
            <w:tcW w:w="6408" w:type="dxa"/>
          </w:tcPr>
          <w:p w14:paraId="12968613" w14:textId="67BC6D24" w:rsidR="00B52F03" w:rsidRPr="00073553" w:rsidRDefault="00D22A12" w:rsidP="006426FF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b/>
                <w:sz w:val="22"/>
                <w:szCs w:val="22"/>
                <w:u w:val="single"/>
              </w:rPr>
            </w:pPr>
            <w:r w:rsidRPr="00073553">
              <w:rPr>
                <w:rFonts w:cs="Arial"/>
                <w:b/>
                <w:sz w:val="22"/>
                <w:szCs w:val="22"/>
                <w:u w:val="single"/>
              </w:rPr>
              <w:t>An Overview of the current major projects:</w:t>
            </w:r>
          </w:p>
          <w:p w14:paraId="42B3EC00" w14:textId="5E874E10" w:rsidR="00B70D65" w:rsidRPr="00073553" w:rsidRDefault="00B70D65" w:rsidP="00B70D65">
            <w:pPr>
              <w:pStyle w:val="DeptBullets"/>
              <w:numPr>
                <w:ilvl w:val="0"/>
                <w:numId w:val="5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MDC – SC provided a verbal update based on her Update paper.  </w:t>
            </w:r>
            <w:r w:rsidR="003B32D3" w:rsidRPr="00073553">
              <w:rPr>
                <w:rFonts w:cs="Arial"/>
                <w:sz w:val="22"/>
                <w:szCs w:val="22"/>
              </w:rPr>
              <w:t>TP have begun more focussed activity on the c2000 employers who have not yet fully engaged.  They hope to have engaged most employers by Chri</w:t>
            </w:r>
            <w:r w:rsidR="00E91DC7" w:rsidRPr="00073553">
              <w:rPr>
                <w:rFonts w:cs="Arial"/>
                <w:sz w:val="22"/>
                <w:szCs w:val="22"/>
              </w:rPr>
              <w:t>s</w:t>
            </w:r>
            <w:r w:rsidR="003B32D3" w:rsidRPr="00073553">
              <w:rPr>
                <w:rFonts w:cs="Arial"/>
                <w:sz w:val="22"/>
                <w:szCs w:val="22"/>
              </w:rPr>
              <w:t>tmas</w:t>
            </w:r>
            <w:r w:rsidR="00E91DC7" w:rsidRPr="00073553">
              <w:rPr>
                <w:rFonts w:cs="Arial"/>
                <w:sz w:val="22"/>
                <w:szCs w:val="22"/>
              </w:rPr>
              <w:t>.</w:t>
            </w:r>
            <w:r w:rsidR="00073553">
              <w:rPr>
                <w:rFonts w:cs="Arial"/>
                <w:sz w:val="22"/>
                <w:szCs w:val="22"/>
              </w:rPr>
              <w:t xml:space="preserve">  In the </w:t>
            </w:r>
            <w:proofErr w:type="gramStart"/>
            <w:r w:rsidR="00073553">
              <w:rPr>
                <w:rFonts w:cs="Arial"/>
                <w:sz w:val="22"/>
                <w:szCs w:val="22"/>
              </w:rPr>
              <w:t>new year</w:t>
            </w:r>
            <w:proofErr w:type="gramEnd"/>
            <w:r w:rsidR="00073553">
              <w:rPr>
                <w:rFonts w:cs="Arial"/>
                <w:sz w:val="22"/>
                <w:szCs w:val="22"/>
              </w:rPr>
              <w:t xml:space="preserve"> firme</w:t>
            </w:r>
            <w:r w:rsidR="003B32D3" w:rsidRPr="00073553">
              <w:rPr>
                <w:rFonts w:cs="Arial"/>
                <w:sz w:val="22"/>
                <w:szCs w:val="22"/>
              </w:rPr>
              <w:t xml:space="preserve">r methods of engagement </w:t>
            </w:r>
            <w:r w:rsidR="00073553">
              <w:rPr>
                <w:rFonts w:cs="Arial"/>
                <w:sz w:val="22"/>
                <w:szCs w:val="22"/>
              </w:rPr>
              <w:t xml:space="preserve">will be adopted </w:t>
            </w:r>
            <w:proofErr w:type="spellStart"/>
            <w:r w:rsidR="003B32D3" w:rsidRPr="00073553">
              <w:rPr>
                <w:rFonts w:cs="Arial"/>
                <w:sz w:val="22"/>
                <w:szCs w:val="22"/>
              </w:rPr>
              <w:t>eg</w:t>
            </w:r>
            <w:proofErr w:type="spellEnd"/>
            <w:r w:rsidR="003B32D3" w:rsidRPr="00073553">
              <w:rPr>
                <w:rFonts w:cs="Arial"/>
                <w:sz w:val="22"/>
                <w:szCs w:val="22"/>
              </w:rPr>
              <w:t xml:space="preserve"> sanctions will be used.</w:t>
            </w:r>
          </w:p>
          <w:p w14:paraId="6846E57B" w14:textId="4EDAA470" w:rsidR="00E91DC7" w:rsidRPr="00073553" w:rsidRDefault="00E91DC7" w:rsidP="00B70D65">
            <w:pPr>
              <w:pStyle w:val="DeptBullets"/>
              <w:numPr>
                <w:ilvl w:val="0"/>
                <w:numId w:val="5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Employer Review – the sub-committee noted the update</w:t>
            </w:r>
            <w:r w:rsidR="00073553">
              <w:rPr>
                <w:rFonts w:cs="Arial"/>
                <w:sz w:val="22"/>
                <w:szCs w:val="22"/>
              </w:rPr>
              <w:t>;</w:t>
            </w:r>
            <w:r w:rsidRPr="00073553">
              <w:rPr>
                <w:rFonts w:cs="Arial"/>
                <w:sz w:val="22"/>
                <w:szCs w:val="22"/>
              </w:rPr>
              <w:t xml:space="preserve"> and that DH will present </w:t>
            </w:r>
            <w:r w:rsidR="00073553">
              <w:rPr>
                <w:rFonts w:cs="Arial"/>
                <w:sz w:val="22"/>
                <w:szCs w:val="22"/>
              </w:rPr>
              <w:t xml:space="preserve">further </w:t>
            </w:r>
            <w:r w:rsidRPr="00073553">
              <w:rPr>
                <w:rFonts w:cs="Arial"/>
                <w:sz w:val="22"/>
                <w:szCs w:val="22"/>
              </w:rPr>
              <w:t>proposals to the Board</w:t>
            </w:r>
            <w:r w:rsidR="00A3611D" w:rsidRPr="00073553">
              <w:rPr>
                <w:rFonts w:cs="Arial"/>
                <w:sz w:val="22"/>
                <w:szCs w:val="22"/>
              </w:rPr>
              <w:t>.</w:t>
            </w:r>
          </w:p>
          <w:p w14:paraId="18027DD4" w14:textId="730F9FB6" w:rsidR="00A3611D" w:rsidRPr="00073553" w:rsidRDefault="00A3611D" w:rsidP="00B70D65">
            <w:pPr>
              <w:pStyle w:val="DeptBullets"/>
              <w:numPr>
                <w:ilvl w:val="0"/>
                <w:numId w:val="5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lastRenderedPageBreak/>
              <w:t xml:space="preserve">GMP – SC provided an update highlighting the good links TP have with HMRC; and that the scheme </w:t>
            </w:r>
            <w:r w:rsidR="00073553">
              <w:rPr>
                <w:rFonts w:cs="Arial"/>
                <w:sz w:val="22"/>
                <w:szCs w:val="22"/>
              </w:rPr>
              <w:t>i</w:t>
            </w:r>
            <w:r w:rsidRPr="00073553">
              <w:rPr>
                <w:rFonts w:cs="Arial"/>
                <w:sz w:val="22"/>
                <w:szCs w:val="22"/>
              </w:rPr>
              <w:t xml:space="preserve">s </w:t>
            </w:r>
            <w:proofErr w:type="gramStart"/>
            <w:r w:rsidRPr="00073553">
              <w:rPr>
                <w:rFonts w:cs="Arial"/>
                <w:sz w:val="22"/>
                <w:szCs w:val="22"/>
              </w:rPr>
              <w:t>well-advanced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 compared with others to the extent that they were trialling solutions for HMRC. The sub-committee noted that </w:t>
            </w:r>
            <w:r w:rsidR="00073553">
              <w:rPr>
                <w:rFonts w:cs="Arial"/>
                <w:sz w:val="22"/>
                <w:szCs w:val="22"/>
              </w:rPr>
              <w:t xml:space="preserve">external </w:t>
            </w:r>
            <w:r w:rsidRPr="00073553">
              <w:rPr>
                <w:rFonts w:cs="Arial"/>
                <w:sz w:val="22"/>
                <w:szCs w:val="22"/>
              </w:rPr>
              <w:t xml:space="preserve">factors </w:t>
            </w:r>
            <w:proofErr w:type="spellStart"/>
            <w:r w:rsidRPr="00073553">
              <w:rPr>
                <w:rFonts w:cs="Arial"/>
                <w:sz w:val="22"/>
                <w:szCs w:val="22"/>
              </w:rPr>
              <w:t>eg</w:t>
            </w:r>
            <w:proofErr w:type="spellEnd"/>
            <w:r w:rsidRPr="00073553">
              <w:rPr>
                <w:rFonts w:cs="Arial"/>
                <w:sz w:val="22"/>
                <w:szCs w:val="22"/>
              </w:rPr>
              <w:t xml:space="preserve"> HMRC, </w:t>
            </w:r>
            <w:r w:rsidR="00073553">
              <w:rPr>
                <w:rFonts w:cs="Arial"/>
                <w:sz w:val="22"/>
                <w:szCs w:val="22"/>
              </w:rPr>
              <w:t xml:space="preserve">outstanding </w:t>
            </w:r>
            <w:r w:rsidRPr="00073553">
              <w:rPr>
                <w:rFonts w:cs="Arial"/>
                <w:sz w:val="22"/>
                <w:szCs w:val="22"/>
              </w:rPr>
              <w:t xml:space="preserve">policy decision and the speed other schemes </w:t>
            </w:r>
            <w:r w:rsidR="00073553">
              <w:rPr>
                <w:rFonts w:cs="Arial"/>
                <w:sz w:val="22"/>
                <w:szCs w:val="22"/>
              </w:rPr>
              <w:t>may “catch-up”</w:t>
            </w:r>
            <w:r w:rsidRPr="00073553">
              <w:rPr>
                <w:rFonts w:cs="Arial"/>
                <w:sz w:val="22"/>
                <w:szCs w:val="22"/>
              </w:rPr>
              <w:t xml:space="preserve"> (causing bottlenecks) were all factors that may </w:t>
            </w:r>
            <w:proofErr w:type="gramStart"/>
            <w:r w:rsidRPr="00073553">
              <w:rPr>
                <w:rFonts w:cs="Arial"/>
                <w:sz w:val="22"/>
                <w:szCs w:val="22"/>
              </w:rPr>
              <w:t>impact on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 the April 2018 deadline.  DH agreed to provide data on “Actives” at next subcommittee meeting in March 2017</w:t>
            </w:r>
            <w:r w:rsidR="00073553">
              <w:rPr>
                <w:rFonts w:cs="Arial"/>
                <w:sz w:val="22"/>
                <w:szCs w:val="22"/>
              </w:rPr>
              <w:t>.</w:t>
            </w:r>
          </w:p>
          <w:p w14:paraId="7BEF5809" w14:textId="35F975C2" w:rsidR="00F32906" w:rsidRPr="00073553" w:rsidRDefault="00F32906" w:rsidP="00B70D65">
            <w:pPr>
              <w:pStyle w:val="DeptBullets"/>
              <w:numPr>
                <w:ilvl w:val="0"/>
                <w:numId w:val="5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Deferred Member Tracing – </w:t>
            </w:r>
            <w:r w:rsidR="00073553">
              <w:rPr>
                <w:rFonts w:cs="Arial"/>
                <w:sz w:val="22"/>
                <w:szCs w:val="22"/>
              </w:rPr>
              <w:t xml:space="preserve">SC updated on the </w:t>
            </w:r>
            <w:r w:rsidRPr="00073553">
              <w:rPr>
                <w:rFonts w:cs="Arial"/>
                <w:sz w:val="22"/>
                <w:szCs w:val="22"/>
              </w:rPr>
              <w:t>current position</w:t>
            </w:r>
            <w:r w:rsidR="00073553">
              <w:rPr>
                <w:rFonts w:cs="Arial"/>
                <w:sz w:val="22"/>
                <w:szCs w:val="22"/>
              </w:rPr>
              <w:t>.</w:t>
            </w:r>
            <w:r w:rsidRPr="00073553">
              <w:rPr>
                <w:rFonts w:cs="Arial"/>
                <w:sz w:val="22"/>
                <w:szCs w:val="22"/>
              </w:rPr>
              <w:t xml:space="preserve">  SC explained that new/different tracing options </w:t>
            </w:r>
            <w:proofErr w:type="gramStart"/>
            <w:r w:rsidRPr="00073553">
              <w:rPr>
                <w:rFonts w:cs="Arial"/>
                <w:sz w:val="22"/>
                <w:szCs w:val="22"/>
              </w:rPr>
              <w:t>were being considered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. TP is analysing why those who have been contacted </w:t>
            </w:r>
            <w:proofErr w:type="gramStart"/>
            <w:r w:rsidRPr="00073553">
              <w:rPr>
                <w:rFonts w:cs="Arial"/>
                <w:sz w:val="22"/>
                <w:szCs w:val="22"/>
              </w:rPr>
              <w:t>haven’t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 progressed </w:t>
            </w:r>
            <w:r w:rsidR="00073553" w:rsidRPr="00073553">
              <w:rPr>
                <w:rFonts w:cs="Arial"/>
                <w:sz w:val="22"/>
                <w:szCs w:val="22"/>
              </w:rPr>
              <w:t>their</w:t>
            </w:r>
            <w:r w:rsidRPr="00073553">
              <w:rPr>
                <w:rFonts w:cs="Arial"/>
                <w:sz w:val="22"/>
                <w:szCs w:val="22"/>
              </w:rPr>
              <w:t xml:space="preserve"> claim – </w:t>
            </w:r>
            <w:proofErr w:type="spellStart"/>
            <w:r w:rsidRPr="00073553">
              <w:rPr>
                <w:rFonts w:cs="Arial"/>
                <w:sz w:val="22"/>
                <w:szCs w:val="22"/>
              </w:rPr>
              <w:t>eg</w:t>
            </w:r>
            <w:proofErr w:type="spellEnd"/>
            <w:r w:rsidRPr="00073553">
              <w:rPr>
                <w:rFonts w:cs="Arial"/>
                <w:sz w:val="22"/>
                <w:szCs w:val="22"/>
              </w:rPr>
              <w:t xml:space="preserve"> is the TP letter clear?</w:t>
            </w:r>
          </w:p>
          <w:p w14:paraId="49CD449E" w14:textId="5C896016" w:rsidR="00F32906" w:rsidRPr="00073553" w:rsidRDefault="00F32906" w:rsidP="00B70D65">
            <w:pPr>
              <w:pStyle w:val="DeptBullets"/>
              <w:numPr>
                <w:ilvl w:val="0"/>
                <w:numId w:val="5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ASR – There were only </w:t>
            </w:r>
            <w:proofErr w:type="gramStart"/>
            <w:r w:rsidRPr="00073553">
              <w:rPr>
                <w:rFonts w:cs="Arial"/>
                <w:sz w:val="22"/>
                <w:szCs w:val="22"/>
              </w:rPr>
              <w:t>7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 employers still to submit their ASR as at 8 November.  DW noted that this was a very good piece of work by TP, highlighting the good result compared with last year. The sub-committee noted that Academies were performing well which is encouraging.</w:t>
            </w:r>
          </w:p>
          <w:p w14:paraId="7A076634" w14:textId="4601E2B0" w:rsidR="00D22A12" w:rsidRPr="00073553" w:rsidRDefault="00D22A12" w:rsidP="006426FF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672" w:type="dxa"/>
          </w:tcPr>
          <w:p w14:paraId="36AA45B7" w14:textId="77777777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58F38F5" w14:textId="77777777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86B5F52" w14:textId="3A5B9099" w:rsidR="00EE67FE" w:rsidRPr="00EE67FE" w:rsidRDefault="00E91DC7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0"/>
              </w:rPr>
            </w:pPr>
            <w:r w:rsidRPr="00EE67FE">
              <w:rPr>
                <w:rFonts w:cs="Arial"/>
                <w:b/>
                <w:sz w:val="20"/>
              </w:rPr>
              <w:t>A</w:t>
            </w:r>
            <w:r w:rsidR="00EE67FE" w:rsidRPr="00EE67FE">
              <w:rPr>
                <w:rFonts w:cs="Arial"/>
                <w:b/>
                <w:sz w:val="20"/>
              </w:rPr>
              <w:t xml:space="preserve">ction </w:t>
            </w:r>
            <w:r w:rsidRPr="00EE67FE">
              <w:rPr>
                <w:rFonts w:cs="Arial"/>
                <w:b/>
                <w:sz w:val="20"/>
              </w:rPr>
              <w:t>P</w:t>
            </w:r>
            <w:r w:rsidR="00EE67FE" w:rsidRPr="00EE67FE">
              <w:rPr>
                <w:rFonts w:cs="Arial"/>
                <w:b/>
                <w:sz w:val="20"/>
              </w:rPr>
              <w:t>oint</w:t>
            </w:r>
            <w:r w:rsidR="00EE67FE">
              <w:rPr>
                <w:rFonts w:cs="Arial"/>
                <w:b/>
                <w:sz w:val="20"/>
              </w:rPr>
              <w:t>:</w:t>
            </w:r>
          </w:p>
          <w:p w14:paraId="6599E890" w14:textId="4394B909" w:rsidR="00B01E7B" w:rsidRPr="00EE67FE" w:rsidRDefault="00EE67FE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SD2/081116</w:t>
            </w:r>
            <w:r w:rsidR="00E91DC7" w:rsidRPr="00EE67FE">
              <w:rPr>
                <w:rFonts w:cs="Arial"/>
                <w:sz w:val="20"/>
              </w:rPr>
              <w:t xml:space="preserve"> DH to provide MDC and Employer Review update on 7 December</w:t>
            </w:r>
          </w:p>
          <w:p w14:paraId="441C4A29" w14:textId="77777777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62A7E45" w14:textId="11042AC0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67E8D154" w14:textId="4D32D03E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316BB470" w14:textId="64EF813E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33E07CE" w14:textId="65969889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5D66B4CE" w14:textId="1966120F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6170519" w14:textId="69B293BA" w:rsidR="00EE67FE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0"/>
              </w:rPr>
            </w:pPr>
            <w:r w:rsidRPr="00EE67FE">
              <w:rPr>
                <w:rFonts w:cs="Arial"/>
                <w:b/>
                <w:sz w:val="20"/>
              </w:rPr>
              <w:t>A</w:t>
            </w:r>
            <w:r w:rsidR="00EE67FE" w:rsidRPr="00EE67FE">
              <w:rPr>
                <w:rFonts w:cs="Arial"/>
                <w:b/>
                <w:sz w:val="20"/>
              </w:rPr>
              <w:t xml:space="preserve">ction </w:t>
            </w:r>
            <w:r w:rsidRPr="00EE67FE">
              <w:rPr>
                <w:rFonts w:cs="Arial"/>
                <w:b/>
                <w:sz w:val="20"/>
              </w:rPr>
              <w:t>P</w:t>
            </w:r>
            <w:r w:rsidR="00EE67FE" w:rsidRPr="00EE67FE">
              <w:rPr>
                <w:rFonts w:cs="Arial"/>
                <w:b/>
                <w:sz w:val="20"/>
              </w:rPr>
              <w:t>oint:</w:t>
            </w:r>
          </w:p>
          <w:p w14:paraId="7BCF8D42" w14:textId="37643EFB" w:rsidR="00F32906" w:rsidRPr="00EE67FE" w:rsidRDefault="00EE67FE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SD3/081116</w:t>
            </w:r>
            <w:r w:rsidR="00F32906" w:rsidRPr="00EE67FE">
              <w:rPr>
                <w:rFonts w:cs="Arial"/>
                <w:sz w:val="20"/>
              </w:rPr>
              <w:t>:  DH to provide “Actives” data in March 2017</w:t>
            </w:r>
          </w:p>
          <w:p w14:paraId="2866B012" w14:textId="77777777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0412ED31" w14:textId="77777777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  <w:p w14:paraId="7A07664B" w14:textId="4A92FD79" w:rsidR="00F32906" w:rsidRPr="00EE67FE" w:rsidRDefault="00F32906" w:rsidP="00BB694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D74774" w:rsidRPr="00073553" w14:paraId="7A07666C" w14:textId="77777777" w:rsidTr="00EE67FE">
        <w:tc>
          <w:tcPr>
            <w:tcW w:w="993" w:type="dxa"/>
          </w:tcPr>
          <w:p w14:paraId="7A07664D" w14:textId="77777777" w:rsidR="00D74774" w:rsidRPr="00073553" w:rsidRDefault="00D74774" w:rsidP="0030593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lastRenderedPageBreak/>
              <w:t>Agenda item 4</w:t>
            </w:r>
          </w:p>
        </w:tc>
        <w:tc>
          <w:tcPr>
            <w:tcW w:w="6408" w:type="dxa"/>
          </w:tcPr>
          <w:p w14:paraId="0E70C979" w14:textId="77777777" w:rsidR="00B52F03" w:rsidRPr="00073553" w:rsidRDefault="00F32906" w:rsidP="00B52F03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b/>
                <w:sz w:val="22"/>
                <w:szCs w:val="22"/>
                <w:u w:val="single"/>
              </w:rPr>
            </w:pPr>
            <w:r w:rsidRPr="00073553">
              <w:rPr>
                <w:rFonts w:cs="Arial"/>
                <w:b/>
                <w:sz w:val="22"/>
                <w:szCs w:val="22"/>
                <w:u w:val="single"/>
              </w:rPr>
              <w:t>Data Strategy</w:t>
            </w:r>
          </w:p>
          <w:p w14:paraId="7A076654" w14:textId="4C697FCA" w:rsidR="00F32906" w:rsidRPr="00073553" w:rsidRDefault="00527B2B" w:rsidP="00527B2B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SC updated the group.  The sub-committee agreed that reporting </w:t>
            </w:r>
            <w:proofErr w:type="gramStart"/>
            <w:r w:rsidRPr="00073553">
              <w:rPr>
                <w:rFonts w:cs="Arial"/>
                <w:sz w:val="22"/>
                <w:szCs w:val="22"/>
              </w:rPr>
              <w:t>should be developed</w:t>
            </w:r>
            <w:proofErr w:type="gramEnd"/>
            <w:r w:rsidRPr="00073553">
              <w:rPr>
                <w:rFonts w:cs="Arial"/>
                <w:sz w:val="22"/>
                <w:szCs w:val="22"/>
              </w:rPr>
              <w:t xml:space="preserve"> so that the Board would be reassured that there is improvement and progress against the data strategy.</w:t>
            </w:r>
          </w:p>
        </w:tc>
        <w:tc>
          <w:tcPr>
            <w:tcW w:w="1672" w:type="dxa"/>
          </w:tcPr>
          <w:p w14:paraId="179957D1" w14:textId="77772641" w:rsidR="00EE67FE" w:rsidRPr="00EE67FE" w:rsidRDefault="00527B2B" w:rsidP="00D0721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0"/>
              </w:rPr>
            </w:pPr>
            <w:r w:rsidRPr="00EE67FE">
              <w:rPr>
                <w:rFonts w:cs="Arial"/>
                <w:b/>
                <w:sz w:val="20"/>
              </w:rPr>
              <w:t>A</w:t>
            </w:r>
            <w:r w:rsidR="00EE67FE" w:rsidRPr="00EE67FE">
              <w:rPr>
                <w:rFonts w:cs="Arial"/>
                <w:b/>
                <w:sz w:val="20"/>
              </w:rPr>
              <w:t xml:space="preserve">ction </w:t>
            </w:r>
            <w:r w:rsidRPr="00EE67FE">
              <w:rPr>
                <w:rFonts w:cs="Arial"/>
                <w:b/>
                <w:sz w:val="20"/>
              </w:rPr>
              <w:t>P</w:t>
            </w:r>
            <w:r w:rsidR="00EE67FE" w:rsidRPr="00EE67FE">
              <w:rPr>
                <w:rFonts w:cs="Arial"/>
                <w:b/>
                <w:sz w:val="20"/>
              </w:rPr>
              <w:t>oint</w:t>
            </w:r>
            <w:r w:rsidRPr="00EE67FE">
              <w:rPr>
                <w:rFonts w:cs="Arial"/>
                <w:b/>
                <w:sz w:val="20"/>
              </w:rPr>
              <w:t>:</w:t>
            </w:r>
          </w:p>
          <w:p w14:paraId="50E66E90" w14:textId="77777777" w:rsidR="00612D59" w:rsidRDefault="00EE67FE" w:rsidP="00612D5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SD</w:t>
            </w:r>
            <w:r w:rsidR="00612D59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/081116</w:t>
            </w:r>
          </w:p>
          <w:p w14:paraId="7A07666B" w14:textId="0A8F0596" w:rsidR="00D0721A" w:rsidRPr="00EE67FE" w:rsidRDefault="00432F52" w:rsidP="00612D5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EE67FE">
              <w:rPr>
                <w:rFonts w:cs="Arial"/>
                <w:sz w:val="20"/>
              </w:rPr>
              <w:t>SC to provide update at March 2017 meeting</w:t>
            </w:r>
          </w:p>
        </w:tc>
      </w:tr>
      <w:tr w:rsidR="00B343B8" w:rsidRPr="00073553" w14:paraId="7A076696" w14:textId="77777777" w:rsidTr="00EE67FE">
        <w:tc>
          <w:tcPr>
            <w:tcW w:w="993" w:type="dxa"/>
          </w:tcPr>
          <w:p w14:paraId="7A07666D" w14:textId="77777777" w:rsidR="00FF0A7E" w:rsidRPr="00073553" w:rsidRDefault="00764680" w:rsidP="00243D5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Agenda item </w:t>
            </w:r>
            <w:r w:rsidR="00D74774" w:rsidRPr="00073553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6408" w:type="dxa"/>
          </w:tcPr>
          <w:p w14:paraId="4FB41A6E" w14:textId="77777777" w:rsidR="00783BA8" w:rsidRPr="00073553" w:rsidRDefault="00527B2B" w:rsidP="00B52F03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b/>
                <w:sz w:val="22"/>
                <w:szCs w:val="22"/>
                <w:u w:val="single"/>
              </w:rPr>
              <w:t>Deferred Members and GMP</w:t>
            </w:r>
          </w:p>
          <w:p w14:paraId="7A076675" w14:textId="605315B7" w:rsidR="00527B2B" w:rsidRPr="00073553" w:rsidRDefault="00527B2B" w:rsidP="00527B2B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There was discussion about the impact of GMP on deferred members.  There is a policy uncertainty after 2018 that is dependent on the outcome of the consultation.   </w:t>
            </w:r>
            <w:r w:rsidR="00826E88" w:rsidRPr="00073553">
              <w:rPr>
                <w:rFonts w:cs="Arial"/>
                <w:sz w:val="22"/>
                <w:szCs w:val="22"/>
              </w:rPr>
              <w:t xml:space="preserve">It was agreed that consideration should be given to whether members should be made aware of the consultation – but that the issue should be considered by the </w:t>
            </w:r>
            <w:proofErr w:type="spellStart"/>
            <w:r w:rsidR="00826E88" w:rsidRPr="00073553">
              <w:rPr>
                <w:rFonts w:cs="Arial"/>
                <w:sz w:val="22"/>
                <w:szCs w:val="22"/>
              </w:rPr>
              <w:t>Comms</w:t>
            </w:r>
            <w:proofErr w:type="spellEnd"/>
            <w:r w:rsidR="00826E88" w:rsidRPr="00073553">
              <w:rPr>
                <w:rFonts w:cs="Arial"/>
                <w:sz w:val="22"/>
                <w:szCs w:val="22"/>
              </w:rPr>
              <w:t xml:space="preserve"> Group</w:t>
            </w:r>
          </w:p>
        </w:tc>
        <w:tc>
          <w:tcPr>
            <w:tcW w:w="1672" w:type="dxa"/>
          </w:tcPr>
          <w:p w14:paraId="4BAB0593" w14:textId="45AB1E94" w:rsidR="00EE67FE" w:rsidRDefault="00432F52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0"/>
              </w:rPr>
            </w:pPr>
            <w:r w:rsidRPr="00EE67FE">
              <w:rPr>
                <w:rFonts w:cs="Arial"/>
                <w:b/>
                <w:sz w:val="20"/>
              </w:rPr>
              <w:t>A</w:t>
            </w:r>
            <w:r w:rsidR="00EE67FE" w:rsidRPr="00EE67FE">
              <w:rPr>
                <w:rFonts w:cs="Arial"/>
                <w:b/>
                <w:sz w:val="20"/>
              </w:rPr>
              <w:t xml:space="preserve">ction </w:t>
            </w:r>
            <w:r w:rsidRPr="00EE67FE">
              <w:rPr>
                <w:rFonts w:cs="Arial"/>
                <w:b/>
                <w:sz w:val="20"/>
              </w:rPr>
              <w:t>P</w:t>
            </w:r>
            <w:r w:rsidR="00EE67FE" w:rsidRPr="00EE67FE">
              <w:rPr>
                <w:rFonts w:cs="Arial"/>
                <w:b/>
                <w:sz w:val="20"/>
              </w:rPr>
              <w:t>oint</w:t>
            </w:r>
            <w:r w:rsidRPr="00EE67FE">
              <w:rPr>
                <w:rFonts w:cs="Arial"/>
                <w:b/>
                <w:sz w:val="20"/>
              </w:rPr>
              <w:t>:</w:t>
            </w:r>
          </w:p>
          <w:p w14:paraId="50C0EBBB" w14:textId="5E2296AC" w:rsidR="00EE67FE" w:rsidRPr="00EE67FE" w:rsidRDefault="00EE67FE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EE67FE">
              <w:rPr>
                <w:rFonts w:cs="Arial"/>
                <w:sz w:val="20"/>
              </w:rPr>
              <w:t>SD</w:t>
            </w:r>
            <w:r w:rsidR="00612D59">
              <w:rPr>
                <w:rFonts w:cs="Arial"/>
                <w:sz w:val="20"/>
              </w:rPr>
              <w:t>5</w:t>
            </w:r>
            <w:r w:rsidRPr="00EE67FE">
              <w:rPr>
                <w:rFonts w:cs="Arial"/>
                <w:sz w:val="20"/>
              </w:rPr>
              <w:t>/081116</w:t>
            </w:r>
          </w:p>
          <w:p w14:paraId="7A076695" w14:textId="06BAE9E1" w:rsidR="006A55E1" w:rsidRPr="00EE67FE" w:rsidRDefault="00432F52" w:rsidP="00B52F03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EE67FE">
              <w:rPr>
                <w:rFonts w:cs="Arial"/>
                <w:sz w:val="20"/>
              </w:rPr>
              <w:t xml:space="preserve"> KS to pass on action to </w:t>
            </w:r>
            <w:proofErr w:type="spellStart"/>
            <w:r w:rsidRPr="00EE67FE">
              <w:rPr>
                <w:rFonts w:cs="Arial"/>
                <w:sz w:val="20"/>
              </w:rPr>
              <w:t>Comms</w:t>
            </w:r>
            <w:proofErr w:type="spellEnd"/>
            <w:r w:rsidRPr="00EE67FE">
              <w:rPr>
                <w:rFonts w:cs="Arial"/>
                <w:sz w:val="20"/>
              </w:rPr>
              <w:t xml:space="preserve"> sub-committee</w:t>
            </w:r>
          </w:p>
        </w:tc>
      </w:tr>
      <w:tr w:rsidR="00B343B8" w:rsidRPr="00073553" w14:paraId="7A07669D" w14:textId="77777777" w:rsidTr="00EE67FE">
        <w:tc>
          <w:tcPr>
            <w:tcW w:w="993" w:type="dxa"/>
          </w:tcPr>
          <w:p w14:paraId="7A076697" w14:textId="77777777" w:rsidR="00FF0A7E" w:rsidRPr="00073553" w:rsidRDefault="00C40E74" w:rsidP="002D192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Agenda item </w:t>
            </w:r>
            <w:r w:rsidR="002D1929" w:rsidRPr="00073553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6408" w:type="dxa"/>
          </w:tcPr>
          <w:p w14:paraId="3F00CA13" w14:textId="6A8AD543" w:rsidR="00091D5C" w:rsidRDefault="00432F52" w:rsidP="00E85016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 reported that relationships with DfE Academies Team has strengthened.  TP get earlier sight of potential schools and crucially TP appear on the checklist issued to new academies.</w:t>
            </w:r>
          </w:p>
          <w:p w14:paraId="7A07669B" w14:textId="12B95418" w:rsidR="00432F52" w:rsidRPr="00073553" w:rsidRDefault="00432F52" w:rsidP="00432F52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DW noted that the role of the RSC could be further exploited by ensuring their communications included </w:t>
            </w:r>
            <w:proofErr w:type="gramStart"/>
            <w:r>
              <w:rPr>
                <w:rFonts w:cs="Arial"/>
                <w:sz w:val="22"/>
                <w:szCs w:val="22"/>
              </w:rPr>
              <w:t>pensions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information.</w:t>
            </w:r>
          </w:p>
        </w:tc>
        <w:tc>
          <w:tcPr>
            <w:tcW w:w="1672" w:type="dxa"/>
          </w:tcPr>
          <w:p w14:paraId="323D0ED8" w14:textId="133B57B1" w:rsidR="00EE67FE" w:rsidRDefault="00432F52" w:rsidP="00942B1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0"/>
              </w:rPr>
            </w:pPr>
            <w:r w:rsidRPr="00EE67FE">
              <w:rPr>
                <w:rFonts w:cs="Arial"/>
                <w:b/>
                <w:sz w:val="20"/>
              </w:rPr>
              <w:t>A</w:t>
            </w:r>
            <w:r w:rsidR="00EE67FE" w:rsidRPr="00EE67FE">
              <w:rPr>
                <w:rFonts w:cs="Arial"/>
                <w:b/>
                <w:sz w:val="20"/>
              </w:rPr>
              <w:t xml:space="preserve">ction </w:t>
            </w:r>
            <w:r w:rsidRPr="00EE67FE">
              <w:rPr>
                <w:rFonts w:cs="Arial"/>
                <w:b/>
                <w:sz w:val="20"/>
              </w:rPr>
              <w:t>P</w:t>
            </w:r>
            <w:r w:rsidR="00EE67FE" w:rsidRPr="00EE67FE">
              <w:rPr>
                <w:rFonts w:cs="Arial"/>
                <w:b/>
                <w:sz w:val="20"/>
              </w:rPr>
              <w:t>oint</w:t>
            </w:r>
            <w:r w:rsidRPr="00EE67FE">
              <w:rPr>
                <w:rFonts w:cs="Arial"/>
                <w:b/>
                <w:sz w:val="20"/>
              </w:rPr>
              <w:t>:</w:t>
            </w:r>
          </w:p>
          <w:p w14:paraId="669FD4C6" w14:textId="1B7C3ED8" w:rsidR="00EE67FE" w:rsidRPr="00612D59" w:rsidRDefault="00EE67FE" w:rsidP="00942B1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612D59">
              <w:rPr>
                <w:rFonts w:cs="Arial"/>
                <w:sz w:val="20"/>
              </w:rPr>
              <w:t>SD</w:t>
            </w:r>
            <w:r w:rsidR="00612D59" w:rsidRPr="00612D59">
              <w:rPr>
                <w:rFonts w:cs="Arial"/>
                <w:sz w:val="20"/>
              </w:rPr>
              <w:t>6</w:t>
            </w:r>
            <w:r w:rsidRPr="00612D59">
              <w:rPr>
                <w:rFonts w:cs="Arial"/>
                <w:sz w:val="20"/>
              </w:rPr>
              <w:t>/081116</w:t>
            </w:r>
          </w:p>
          <w:p w14:paraId="7A07669C" w14:textId="19677D42" w:rsidR="0023664E" w:rsidRPr="00EE67FE" w:rsidRDefault="00432F52" w:rsidP="00942B1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 w:rsidRPr="00EE67FE">
              <w:rPr>
                <w:rFonts w:cs="Arial"/>
                <w:sz w:val="20"/>
              </w:rPr>
              <w:t xml:space="preserve"> KS to take forward RSC</w:t>
            </w:r>
          </w:p>
        </w:tc>
      </w:tr>
      <w:tr w:rsidR="00B343B8" w:rsidRPr="00073553" w14:paraId="7A0766EF" w14:textId="77777777" w:rsidTr="00EE67FE">
        <w:tc>
          <w:tcPr>
            <w:tcW w:w="993" w:type="dxa"/>
          </w:tcPr>
          <w:p w14:paraId="7A07669E" w14:textId="77777777" w:rsidR="00B343B8" w:rsidRPr="00073553" w:rsidRDefault="0069359F" w:rsidP="00261F6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Agenda item </w:t>
            </w:r>
            <w:r w:rsidR="00E30CCF" w:rsidRPr="00073553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6408" w:type="dxa"/>
          </w:tcPr>
          <w:p w14:paraId="7A0766AA" w14:textId="4A5A8CB4" w:rsidR="001229A7" w:rsidRPr="00432F52" w:rsidRDefault="004917F2" w:rsidP="004917F2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Board noted the update.  No further comments.</w:t>
            </w:r>
          </w:p>
        </w:tc>
        <w:tc>
          <w:tcPr>
            <w:tcW w:w="1672" w:type="dxa"/>
          </w:tcPr>
          <w:p w14:paraId="7A0766EE" w14:textId="77777777" w:rsidR="001E4334" w:rsidRPr="00EE67FE" w:rsidRDefault="001E4334" w:rsidP="0022057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B343B8" w:rsidRPr="00073553" w14:paraId="7A076717" w14:textId="77777777" w:rsidTr="00EE67FE">
        <w:tc>
          <w:tcPr>
            <w:tcW w:w="993" w:type="dxa"/>
          </w:tcPr>
          <w:p w14:paraId="7A0766F0" w14:textId="77777777" w:rsidR="00CF7D45" w:rsidRPr="00073553" w:rsidRDefault="00A27504" w:rsidP="00E30CC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Agenda item </w:t>
            </w:r>
            <w:r w:rsidR="00E30CCF" w:rsidRPr="00073553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6408" w:type="dxa"/>
          </w:tcPr>
          <w:p w14:paraId="051B5815" w14:textId="77777777" w:rsidR="004917F2" w:rsidRDefault="004917F2" w:rsidP="004917F2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Second B</w:t>
            </w:r>
            <w:r w:rsidRPr="00432F52">
              <w:rPr>
                <w:rFonts w:cs="Arial"/>
                <w:b/>
                <w:sz w:val="22"/>
                <w:szCs w:val="22"/>
                <w:u w:val="single"/>
              </w:rPr>
              <w:t>ite PI</w:t>
            </w:r>
          </w:p>
          <w:p w14:paraId="050EDC59" w14:textId="797FDC2E" w:rsidR="004917F2" w:rsidRDefault="004917F2" w:rsidP="004917F2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SC explained that it was a major concern to her that 3 lines of defence had failed. Next year the GIA calendar will include further controls to strengthen </w:t>
            </w:r>
            <w:r w:rsidR="004D7FCE">
              <w:rPr>
                <w:rFonts w:cs="Arial"/>
                <w:sz w:val="22"/>
                <w:szCs w:val="22"/>
              </w:rPr>
              <w:t xml:space="preserve">the process. SC explained that </w:t>
            </w:r>
            <w:r>
              <w:rPr>
                <w:rFonts w:cs="Arial"/>
                <w:sz w:val="22"/>
                <w:szCs w:val="22"/>
              </w:rPr>
              <w:t xml:space="preserve">DfE is content with how the issue </w:t>
            </w:r>
            <w:proofErr w:type="gramStart"/>
            <w:r>
              <w:rPr>
                <w:rFonts w:cs="Arial"/>
                <w:sz w:val="22"/>
                <w:szCs w:val="22"/>
              </w:rPr>
              <w:t>was reported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, and wants to ensure lessons are learnt.  It </w:t>
            </w:r>
            <w:proofErr w:type="gramStart"/>
            <w:r>
              <w:rPr>
                <w:rFonts w:cs="Arial"/>
                <w:sz w:val="22"/>
                <w:szCs w:val="22"/>
              </w:rPr>
              <w:t>was agreed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that the scope of each sub-committee’s interest should line up with internal governance meetings.</w:t>
            </w:r>
          </w:p>
          <w:p w14:paraId="7A0766F6" w14:textId="73C2F0FB" w:rsidR="00D031EE" w:rsidRPr="00073553" w:rsidRDefault="004917F2" w:rsidP="00612D59">
            <w:pPr>
              <w:pStyle w:val="DeptBullets"/>
              <w:numPr>
                <w:ilvl w:val="0"/>
                <w:numId w:val="0"/>
              </w:numPr>
              <w:spacing w:after="0"/>
              <w:ind w:left="31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DW expressed concern that this issue had occurred.  The sub-committee agreed that the payments to members must be right, but that payments should be made as quickly as </w:t>
            </w:r>
            <w:r>
              <w:rPr>
                <w:rFonts w:cs="Arial"/>
                <w:sz w:val="22"/>
                <w:szCs w:val="22"/>
              </w:rPr>
              <w:lastRenderedPageBreak/>
              <w:t>possible, and with interest.  SC assured the group that she will press TP to get plans in place quickly</w:t>
            </w:r>
            <w:r w:rsidR="004D7FCE">
              <w:rPr>
                <w:rFonts w:cs="Arial"/>
                <w:sz w:val="22"/>
                <w:szCs w:val="22"/>
              </w:rPr>
              <w:t>, prioritising cases where appropriate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72" w:type="dxa"/>
          </w:tcPr>
          <w:p w14:paraId="7A076716" w14:textId="77777777" w:rsidR="00CC34E2" w:rsidRPr="00EE67FE" w:rsidRDefault="00CC34E2" w:rsidP="002B739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B343B8" w:rsidRPr="00073553" w14:paraId="7A076727" w14:textId="77777777" w:rsidTr="00EE67FE">
        <w:tc>
          <w:tcPr>
            <w:tcW w:w="993" w:type="dxa"/>
          </w:tcPr>
          <w:p w14:paraId="7A076718" w14:textId="77777777" w:rsidR="00B343B8" w:rsidRPr="00073553" w:rsidRDefault="008110CD" w:rsidP="0007252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Agenda item </w:t>
            </w:r>
            <w:r w:rsidR="00E30CCF" w:rsidRPr="00073553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408" w:type="dxa"/>
          </w:tcPr>
          <w:p w14:paraId="3FA9DA22" w14:textId="77777777" w:rsidR="0045787F" w:rsidRDefault="004917F2" w:rsidP="004917F2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4917F2">
              <w:rPr>
                <w:rFonts w:cs="Arial"/>
                <w:b/>
                <w:sz w:val="22"/>
                <w:szCs w:val="22"/>
                <w:u w:val="single"/>
              </w:rPr>
              <w:t>Complaints</w:t>
            </w:r>
          </w:p>
          <w:p w14:paraId="7A07671B" w14:textId="0169833D" w:rsidR="00612D59" w:rsidRPr="004917F2" w:rsidRDefault="004917F2" w:rsidP="00612D5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There was discussion about the Complaints paper</w:t>
            </w:r>
            <w:r w:rsidR="004D7FCE">
              <w:rPr>
                <w:rFonts w:cs="Arial"/>
                <w:sz w:val="22"/>
                <w:szCs w:val="22"/>
              </w:rPr>
              <w:t>.  SC highlighted</w:t>
            </w:r>
            <w:r>
              <w:rPr>
                <w:rFonts w:cs="Arial"/>
                <w:sz w:val="22"/>
                <w:szCs w:val="22"/>
              </w:rPr>
              <w:t xml:space="preserve"> changes to the QA process, staff training and </w:t>
            </w:r>
            <w:r w:rsidR="004D7FCE"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 xml:space="preserve">ow death in service and certain ill-health cases </w:t>
            </w:r>
            <w:r w:rsidR="004D7FCE">
              <w:rPr>
                <w:rFonts w:cs="Arial"/>
                <w:sz w:val="22"/>
                <w:szCs w:val="22"/>
              </w:rPr>
              <w:t xml:space="preserve">are dealt with </w:t>
            </w:r>
            <w:r>
              <w:rPr>
                <w:rFonts w:cs="Arial"/>
                <w:sz w:val="22"/>
                <w:szCs w:val="22"/>
              </w:rPr>
              <w:t xml:space="preserve">as examples of how TP have made </w:t>
            </w:r>
            <w:r w:rsidR="004D7FCE">
              <w:rPr>
                <w:rFonts w:cs="Arial"/>
                <w:sz w:val="22"/>
                <w:szCs w:val="22"/>
              </w:rPr>
              <w:t xml:space="preserve">positive </w:t>
            </w:r>
            <w:r>
              <w:rPr>
                <w:rFonts w:cs="Arial"/>
                <w:sz w:val="22"/>
                <w:szCs w:val="22"/>
              </w:rPr>
              <w:t xml:space="preserve">changes following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complaints </w:t>
            </w:r>
            <w:r w:rsidR="004D7FCE">
              <w:rPr>
                <w:rFonts w:cs="Arial"/>
                <w:sz w:val="22"/>
                <w:szCs w:val="22"/>
              </w:rPr>
              <w:t xml:space="preserve"> -</w:t>
            </w:r>
            <w:proofErr w:type="gramEnd"/>
            <w:r w:rsidR="004D7FCE">
              <w:rPr>
                <w:rFonts w:cs="Arial"/>
                <w:sz w:val="22"/>
                <w:szCs w:val="22"/>
              </w:rPr>
              <w:t xml:space="preserve"> all of which have </w:t>
            </w:r>
            <w:r>
              <w:rPr>
                <w:rFonts w:cs="Arial"/>
                <w:sz w:val="22"/>
                <w:szCs w:val="22"/>
              </w:rPr>
              <w:t>led to a reduction in complaints.</w:t>
            </w:r>
          </w:p>
        </w:tc>
        <w:tc>
          <w:tcPr>
            <w:tcW w:w="1672" w:type="dxa"/>
          </w:tcPr>
          <w:p w14:paraId="7A076726" w14:textId="77777777" w:rsidR="00437710" w:rsidRPr="00EE67FE" w:rsidRDefault="00437710" w:rsidP="0007252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F82860" w:rsidRPr="00073553" w14:paraId="7A076744" w14:textId="77777777" w:rsidTr="00EE67FE">
        <w:tc>
          <w:tcPr>
            <w:tcW w:w="993" w:type="dxa"/>
          </w:tcPr>
          <w:p w14:paraId="7A076728" w14:textId="77777777" w:rsidR="00F82860" w:rsidRPr="00073553" w:rsidRDefault="00F82860" w:rsidP="0007252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>Agenda item 10</w:t>
            </w:r>
          </w:p>
        </w:tc>
        <w:tc>
          <w:tcPr>
            <w:tcW w:w="6408" w:type="dxa"/>
          </w:tcPr>
          <w:p w14:paraId="7A07672E" w14:textId="4BF6CBDB" w:rsidR="00612D59" w:rsidRPr="00073553" w:rsidRDefault="004917F2" w:rsidP="00612D59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sub-committee agreed that items 1-5 of their agenda should remain as standing items.</w:t>
            </w:r>
          </w:p>
        </w:tc>
        <w:tc>
          <w:tcPr>
            <w:tcW w:w="1672" w:type="dxa"/>
          </w:tcPr>
          <w:p w14:paraId="7A076743" w14:textId="77777777" w:rsidR="00CB4083" w:rsidRPr="00EE67FE" w:rsidRDefault="00CB4083" w:rsidP="0022057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BD22A4" w:rsidRPr="00073553" w14:paraId="7A0767A6" w14:textId="77777777" w:rsidTr="00EE67FE">
        <w:tc>
          <w:tcPr>
            <w:tcW w:w="993" w:type="dxa"/>
          </w:tcPr>
          <w:p w14:paraId="7A0767A3" w14:textId="77777777" w:rsidR="00BD22A4" w:rsidRPr="00073553" w:rsidRDefault="00BD22A4" w:rsidP="00072527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408" w:type="dxa"/>
          </w:tcPr>
          <w:p w14:paraId="7A0767A4" w14:textId="52B29029" w:rsidR="00091D5C" w:rsidRPr="00073553" w:rsidRDefault="00BD22A4" w:rsidP="001A7DE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073553">
              <w:rPr>
                <w:rFonts w:cs="Arial"/>
                <w:sz w:val="22"/>
                <w:szCs w:val="22"/>
              </w:rPr>
              <w:t xml:space="preserve">The next meeting will take place </w:t>
            </w:r>
            <w:r w:rsidR="00CB055A" w:rsidRPr="00073553">
              <w:rPr>
                <w:rFonts w:cs="Arial"/>
                <w:sz w:val="22"/>
                <w:szCs w:val="22"/>
              </w:rPr>
              <w:t>on</w:t>
            </w:r>
            <w:r w:rsidR="004917F2">
              <w:rPr>
                <w:rFonts w:cs="Arial"/>
                <w:sz w:val="22"/>
                <w:szCs w:val="22"/>
              </w:rPr>
              <w:t xml:space="preserve"> 29 March 2017 </w:t>
            </w:r>
            <w:r w:rsidR="00E77F49">
              <w:rPr>
                <w:rFonts w:cs="Arial"/>
                <w:sz w:val="22"/>
                <w:szCs w:val="22"/>
              </w:rPr>
              <w:t>in Darlington</w:t>
            </w:r>
          </w:p>
        </w:tc>
        <w:tc>
          <w:tcPr>
            <w:tcW w:w="1672" w:type="dxa"/>
          </w:tcPr>
          <w:p w14:paraId="7A0767A5" w14:textId="77777777" w:rsidR="00BD22A4" w:rsidRPr="00EE67FE" w:rsidRDefault="00BD22A4" w:rsidP="00EB188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</w:tbl>
    <w:p w14:paraId="7A0767A7" w14:textId="77777777" w:rsidR="00053C02" w:rsidRPr="00073553" w:rsidRDefault="00053C02" w:rsidP="00403998">
      <w:pPr>
        <w:pStyle w:val="DeptBullets"/>
        <w:numPr>
          <w:ilvl w:val="0"/>
          <w:numId w:val="0"/>
        </w:numPr>
        <w:rPr>
          <w:rFonts w:cs="Arial"/>
          <w:sz w:val="22"/>
          <w:szCs w:val="22"/>
        </w:rPr>
      </w:pPr>
    </w:p>
    <w:p w14:paraId="7A0767A8" w14:textId="2BFEA4EF" w:rsidR="005B76B0" w:rsidRPr="00073553" w:rsidRDefault="00403998" w:rsidP="00403998">
      <w:pPr>
        <w:pStyle w:val="DeptBullets"/>
        <w:numPr>
          <w:ilvl w:val="0"/>
          <w:numId w:val="0"/>
        </w:numPr>
        <w:rPr>
          <w:rFonts w:cs="Arial"/>
          <w:sz w:val="22"/>
          <w:szCs w:val="22"/>
        </w:rPr>
      </w:pPr>
      <w:r w:rsidRPr="00073553">
        <w:rPr>
          <w:rFonts w:cs="Arial"/>
          <w:sz w:val="22"/>
          <w:szCs w:val="22"/>
        </w:rPr>
        <w:t>Minutes agreed</w:t>
      </w:r>
      <w:r w:rsidR="00380648" w:rsidRPr="00073553">
        <w:rPr>
          <w:rFonts w:cs="Arial"/>
          <w:sz w:val="22"/>
          <w:szCs w:val="22"/>
        </w:rPr>
        <w:t xml:space="preserve"> (Chair)</w:t>
      </w:r>
      <w:r w:rsidRPr="00073553">
        <w:rPr>
          <w:rFonts w:cs="Arial"/>
          <w:sz w:val="22"/>
          <w:szCs w:val="22"/>
        </w:rPr>
        <w:t xml:space="preserve">: </w:t>
      </w:r>
      <w:r w:rsidR="00EE67FE">
        <w:rPr>
          <w:rFonts w:cs="Arial"/>
          <w:sz w:val="22"/>
          <w:szCs w:val="22"/>
        </w:rPr>
        <w:t xml:space="preserve">  </w:t>
      </w:r>
      <w:r w:rsidR="00EE67FE" w:rsidRPr="00EE67FE">
        <w:rPr>
          <w:rFonts w:ascii="Blackadder ITC" w:hAnsi="Blackadder ITC" w:cs="Arial"/>
          <w:sz w:val="36"/>
          <w:szCs w:val="36"/>
        </w:rPr>
        <w:t xml:space="preserve">Alice Robinson </w:t>
      </w:r>
      <w:r w:rsidR="0059677C" w:rsidRPr="00073553">
        <w:rPr>
          <w:rFonts w:cs="Arial"/>
          <w:sz w:val="22"/>
          <w:szCs w:val="22"/>
        </w:rPr>
        <w:t xml:space="preserve">                    </w:t>
      </w:r>
      <w:bookmarkStart w:id="0" w:name="_GoBack"/>
      <w:bookmarkEnd w:id="0"/>
      <w:r w:rsidR="0059677C" w:rsidRPr="00073553">
        <w:rPr>
          <w:rFonts w:cs="Arial"/>
          <w:sz w:val="22"/>
          <w:szCs w:val="22"/>
        </w:rPr>
        <w:t xml:space="preserve">             </w:t>
      </w:r>
      <w:r w:rsidRPr="00073553">
        <w:rPr>
          <w:rFonts w:cs="Arial"/>
          <w:sz w:val="22"/>
          <w:szCs w:val="22"/>
        </w:rPr>
        <w:tab/>
      </w:r>
    </w:p>
    <w:p w14:paraId="7A0767A9" w14:textId="6837A35B" w:rsidR="00380648" w:rsidRPr="00073553" w:rsidRDefault="005B76B0" w:rsidP="00403998">
      <w:pPr>
        <w:pStyle w:val="DeptBullets"/>
        <w:numPr>
          <w:ilvl w:val="0"/>
          <w:numId w:val="0"/>
        </w:numPr>
        <w:rPr>
          <w:rFonts w:cs="Arial"/>
          <w:sz w:val="22"/>
          <w:szCs w:val="22"/>
        </w:rPr>
      </w:pPr>
      <w:r w:rsidRPr="00073553">
        <w:rPr>
          <w:rFonts w:cs="Arial"/>
          <w:sz w:val="22"/>
          <w:szCs w:val="22"/>
        </w:rPr>
        <w:t>D</w:t>
      </w:r>
      <w:r w:rsidR="00403998" w:rsidRPr="00073553">
        <w:rPr>
          <w:rFonts w:cs="Arial"/>
          <w:sz w:val="22"/>
          <w:szCs w:val="22"/>
        </w:rPr>
        <w:t xml:space="preserve">ate: </w:t>
      </w:r>
      <w:r w:rsidR="00403998" w:rsidRPr="00073553">
        <w:rPr>
          <w:rFonts w:cs="Arial"/>
          <w:sz w:val="22"/>
          <w:szCs w:val="22"/>
        </w:rPr>
        <w:tab/>
      </w:r>
      <w:r w:rsidR="00C2621E" w:rsidRPr="00073553">
        <w:rPr>
          <w:rFonts w:cs="Arial"/>
          <w:sz w:val="22"/>
          <w:szCs w:val="22"/>
        </w:rPr>
        <w:t xml:space="preserve"> </w:t>
      </w:r>
      <w:r w:rsidR="00EE67FE">
        <w:rPr>
          <w:rFonts w:cs="Arial"/>
          <w:sz w:val="22"/>
          <w:szCs w:val="22"/>
        </w:rPr>
        <w:t>12 November 2016</w:t>
      </w:r>
      <w:r w:rsidR="00C2621E" w:rsidRPr="00073553">
        <w:rPr>
          <w:rFonts w:cs="Arial"/>
          <w:sz w:val="22"/>
          <w:szCs w:val="22"/>
        </w:rPr>
        <w:t xml:space="preserve"> </w:t>
      </w:r>
      <w:r w:rsidR="00403998" w:rsidRPr="00073553">
        <w:rPr>
          <w:rFonts w:cs="Arial"/>
          <w:sz w:val="22"/>
          <w:szCs w:val="22"/>
        </w:rPr>
        <w:tab/>
      </w:r>
    </w:p>
    <w:p w14:paraId="7A0767AA" w14:textId="77777777" w:rsidR="00380648" w:rsidRPr="00073553" w:rsidRDefault="00380648" w:rsidP="00403998">
      <w:pPr>
        <w:pStyle w:val="DeptBullets"/>
        <w:numPr>
          <w:ilvl w:val="0"/>
          <w:numId w:val="0"/>
        </w:numPr>
        <w:rPr>
          <w:rFonts w:cs="Arial"/>
          <w:sz w:val="22"/>
          <w:szCs w:val="22"/>
        </w:rPr>
      </w:pPr>
    </w:p>
    <w:sectPr w:rsidR="00380648" w:rsidRPr="00073553" w:rsidSect="00F47F69">
      <w:footerReference w:type="default" r:id="rId12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9285F" w14:textId="77777777" w:rsidR="009E578E" w:rsidRDefault="009E578E">
      <w:r>
        <w:separator/>
      </w:r>
    </w:p>
  </w:endnote>
  <w:endnote w:type="continuationSeparator" w:id="0">
    <w:p w14:paraId="1BDA416A" w14:textId="77777777" w:rsidR="009E578E" w:rsidRDefault="009E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767BE" w14:textId="5E5326AD" w:rsidR="00A65523" w:rsidRDefault="00A655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F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0767BF" w14:textId="77777777" w:rsidR="00A65523" w:rsidRDefault="00A6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6563D" w14:textId="77777777" w:rsidR="009E578E" w:rsidRDefault="009E578E">
      <w:r>
        <w:separator/>
      </w:r>
    </w:p>
  </w:footnote>
  <w:footnote w:type="continuationSeparator" w:id="0">
    <w:p w14:paraId="181AF197" w14:textId="77777777" w:rsidR="009E578E" w:rsidRDefault="009E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A39"/>
    <w:multiLevelType w:val="hybridMultilevel"/>
    <w:tmpl w:val="0FB0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3B61"/>
    <w:multiLevelType w:val="hybridMultilevel"/>
    <w:tmpl w:val="564C1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4FF7"/>
    <w:multiLevelType w:val="hybridMultilevel"/>
    <w:tmpl w:val="FDB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0C75"/>
    <w:multiLevelType w:val="hybridMultilevel"/>
    <w:tmpl w:val="D48A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79DB"/>
    <w:multiLevelType w:val="hybridMultilevel"/>
    <w:tmpl w:val="0FE2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BD2468"/>
    <w:multiLevelType w:val="hybridMultilevel"/>
    <w:tmpl w:val="CA8C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815"/>
    <w:multiLevelType w:val="hybridMultilevel"/>
    <w:tmpl w:val="0ED2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D0A8D"/>
    <w:multiLevelType w:val="hybridMultilevel"/>
    <w:tmpl w:val="DB54DE16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FF65BCC"/>
    <w:multiLevelType w:val="hybridMultilevel"/>
    <w:tmpl w:val="E33C2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161631"/>
    <w:multiLevelType w:val="hybridMultilevel"/>
    <w:tmpl w:val="F920EDB6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27010005"/>
    <w:multiLevelType w:val="hybridMultilevel"/>
    <w:tmpl w:val="74C0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FF8"/>
    <w:multiLevelType w:val="hybridMultilevel"/>
    <w:tmpl w:val="B36E2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430F"/>
    <w:multiLevelType w:val="hybridMultilevel"/>
    <w:tmpl w:val="8FD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457BC"/>
    <w:multiLevelType w:val="hybridMultilevel"/>
    <w:tmpl w:val="18B2E9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1F77C1"/>
    <w:multiLevelType w:val="hybridMultilevel"/>
    <w:tmpl w:val="C11CF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A151F"/>
    <w:multiLevelType w:val="hybridMultilevel"/>
    <w:tmpl w:val="E59C2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3A07B7"/>
    <w:multiLevelType w:val="hybridMultilevel"/>
    <w:tmpl w:val="29B42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018BD"/>
    <w:multiLevelType w:val="hybridMultilevel"/>
    <w:tmpl w:val="F3B883AA"/>
    <w:lvl w:ilvl="0" w:tplc="98F0C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C54D0"/>
    <w:multiLevelType w:val="hybridMultilevel"/>
    <w:tmpl w:val="E14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8D0274"/>
    <w:multiLevelType w:val="hybridMultilevel"/>
    <w:tmpl w:val="ABDA4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49E65128"/>
    <w:multiLevelType w:val="hybridMultilevel"/>
    <w:tmpl w:val="960C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91A"/>
    <w:multiLevelType w:val="hybridMultilevel"/>
    <w:tmpl w:val="C33ED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705FD"/>
    <w:multiLevelType w:val="hybridMultilevel"/>
    <w:tmpl w:val="5466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1220"/>
    <w:multiLevelType w:val="hybridMultilevel"/>
    <w:tmpl w:val="2B969B54"/>
    <w:lvl w:ilvl="0" w:tplc="9CDE6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C6387"/>
    <w:multiLevelType w:val="hybridMultilevel"/>
    <w:tmpl w:val="F212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22096"/>
    <w:multiLevelType w:val="hybridMultilevel"/>
    <w:tmpl w:val="1C78989E"/>
    <w:lvl w:ilvl="0" w:tplc="3FBA4770">
      <w:numFmt w:val="bullet"/>
      <w:lvlText w:val="-"/>
      <w:lvlJc w:val="left"/>
      <w:pPr>
        <w:ind w:left="6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496553"/>
    <w:multiLevelType w:val="hybridMultilevel"/>
    <w:tmpl w:val="CC1C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E326C"/>
    <w:multiLevelType w:val="hybridMultilevel"/>
    <w:tmpl w:val="E1A6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E61EA"/>
    <w:multiLevelType w:val="hybridMultilevel"/>
    <w:tmpl w:val="A064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173B3"/>
    <w:multiLevelType w:val="hybridMultilevel"/>
    <w:tmpl w:val="8474E062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82A04"/>
    <w:multiLevelType w:val="hybridMultilevel"/>
    <w:tmpl w:val="2E40A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237E7"/>
    <w:multiLevelType w:val="hybridMultilevel"/>
    <w:tmpl w:val="A20C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30130"/>
    <w:multiLevelType w:val="hybridMultilevel"/>
    <w:tmpl w:val="925ECD2E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8" w15:restartNumberingAfterBreak="0">
    <w:nsid w:val="6A4D5D50"/>
    <w:multiLevelType w:val="hybridMultilevel"/>
    <w:tmpl w:val="0A3298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1736B"/>
    <w:multiLevelType w:val="hybridMultilevel"/>
    <w:tmpl w:val="60B8D4D8"/>
    <w:lvl w:ilvl="0" w:tplc="E2DA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52897"/>
    <w:multiLevelType w:val="hybridMultilevel"/>
    <w:tmpl w:val="A0D0E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D47F3"/>
    <w:multiLevelType w:val="hybridMultilevel"/>
    <w:tmpl w:val="D4962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5995251"/>
    <w:multiLevelType w:val="hybridMultilevel"/>
    <w:tmpl w:val="4E3CB15C"/>
    <w:lvl w:ilvl="0" w:tplc="3FBA4770">
      <w:numFmt w:val="bullet"/>
      <w:lvlText w:val="-"/>
      <w:lvlJc w:val="left"/>
      <w:pPr>
        <w:ind w:left="99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4" w15:restartNumberingAfterBreak="0">
    <w:nsid w:val="76E50826"/>
    <w:multiLevelType w:val="hybridMultilevel"/>
    <w:tmpl w:val="84148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D4C2178"/>
    <w:multiLevelType w:val="hybridMultilevel"/>
    <w:tmpl w:val="7E14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40FA0"/>
    <w:multiLevelType w:val="hybridMultilevel"/>
    <w:tmpl w:val="E4B6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E1E08"/>
    <w:multiLevelType w:val="hybridMultilevel"/>
    <w:tmpl w:val="9486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868A1"/>
    <w:multiLevelType w:val="hybridMultilevel"/>
    <w:tmpl w:val="61D2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45"/>
  </w:num>
  <w:num w:numId="4">
    <w:abstractNumId w:val="5"/>
  </w:num>
  <w:num w:numId="5">
    <w:abstractNumId w:val="29"/>
  </w:num>
  <w:num w:numId="6">
    <w:abstractNumId w:val="39"/>
  </w:num>
  <w:num w:numId="7">
    <w:abstractNumId w:val="34"/>
  </w:num>
  <w:num w:numId="8">
    <w:abstractNumId w:val="24"/>
  </w:num>
  <w:num w:numId="9">
    <w:abstractNumId w:val="31"/>
  </w:num>
  <w:num w:numId="10">
    <w:abstractNumId w:val="18"/>
  </w:num>
  <w:num w:numId="11">
    <w:abstractNumId w:val="42"/>
  </w:num>
  <w:num w:numId="12">
    <w:abstractNumId w:val="37"/>
  </w:num>
  <w:num w:numId="13">
    <w:abstractNumId w:val="40"/>
  </w:num>
  <w:num w:numId="14">
    <w:abstractNumId w:val="48"/>
  </w:num>
  <w:num w:numId="15">
    <w:abstractNumId w:val="1"/>
  </w:num>
  <w:num w:numId="16">
    <w:abstractNumId w:val="0"/>
  </w:num>
  <w:num w:numId="17">
    <w:abstractNumId w:val="49"/>
  </w:num>
  <w:num w:numId="18">
    <w:abstractNumId w:val="4"/>
  </w:num>
  <w:num w:numId="19">
    <w:abstractNumId w:val="17"/>
  </w:num>
  <w:num w:numId="20">
    <w:abstractNumId w:val="12"/>
  </w:num>
  <w:num w:numId="21">
    <w:abstractNumId w:val="35"/>
  </w:num>
  <w:num w:numId="22">
    <w:abstractNumId w:val="7"/>
  </w:num>
  <w:num w:numId="23">
    <w:abstractNumId w:val="14"/>
  </w:num>
  <w:num w:numId="24">
    <w:abstractNumId w:val="26"/>
  </w:num>
  <w:num w:numId="25">
    <w:abstractNumId w:val="10"/>
  </w:num>
  <w:num w:numId="26">
    <w:abstractNumId w:val="38"/>
  </w:num>
  <w:num w:numId="27">
    <w:abstractNumId w:val="13"/>
  </w:num>
  <w:num w:numId="28">
    <w:abstractNumId w:val="47"/>
  </w:num>
  <w:num w:numId="29">
    <w:abstractNumId w:val="3"/>
  </w:num>
  <w:num w:numId="30">
    <w:abstractNumId w:val="27"/>
  </w:num>
  <w:num w:numId="31">
    <w:abstractNumId w:val="2"/>
  </w:num>
  <w:num w:numId="32">
    <w:abstractNumId w:val="28"/>
  </w:num>
  <w:num w:numId="33">
    <w:abstractNumId w:val="43"/>
  </w:num>
  <w:num w:numId="34">
    <w:abstractNumId w:val="33"/>
  </w:num>
  <w:num w:numId="35">
    <w:abstractNumId w:val="46"/>
  </w:num>
  <w:num w:numId="36">
    <w:abstractNumId w:val="25"/>
  </w:num>
  <w:num w:numId="37">
    <w:abstractNumId w:val="32"/>
  </w:num>
  <w:num w:numId="38">
    <w:abstractNumId w:val="19"/>
  </w:num>
  <w:num w:numId="39">
    <w:abstractNumId w:val="44"/>
  </w:num>
  <w:num w:numId="40">
    <w:abstractNumId w:val="6"/>
  </w:num>
  <w:num w:numId="41">
    <w:abstractNumId w:val="41"/>
  </w:num>
  <w:num w:numId="42">
    <w:abstractNumId w:val="36"/>
  </w:num>
  <w:num w:numId="43">
    <w:abstractNumId w:val="20"/>
  </w:num>
  <w:num w:numId="44">
    <w:abstractNumId w:val="21"/>
  </w:num>
  <w:num w:numId="45">
    <w:abstractNumId w:val="23"/>
  </w:num>
  <w:num w:numId="46">
    <w:abstractNumId w:val="16"/>
  </w:num>
  <w:num w:numId="47">
    <w:abstractNumId w:val="15"/>
  </w:num>
  <w:num w:numId="48">
    <w:abstractNumId w:val="9"/>
  </w:num>
  <w:num w:numId="49">
    <w:abstractNumId w:val="3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37"/>
    <w:rsid w:val="00011F78"/>
    <w:rsid w:val="000227DD"/>
    <w:rsid w:val="00022DB6"/>
    <w:rsid w:val="00024680"/>
    <w:rsid w:val="00031AC0"/>
    <w:rsid w:val="000354B1"/>
    <w:rsid w:val="00041864"/>
    <w:rsid w:val="00046343"/>
    <w:rsid w:val="00046DDA"/>
    <w:rsid w:val="0004776A"/>
    <w:rsid w:val="000477CB"/>
    <w:rsid w:val="00051288"/>
    <w:rsid w:val="00053C02"/>
    <w:rsid w:val="0005599D"/>
    <w:rsid w:val="00060A29"/>
    <w:rsid w:val="0007067C"/>
    <w:rsid w:val="00072527"/>
    <w:rsid w:val="00073553"/>
    <w:rsid w:val="000746E2"/>
    <w:rsid w:val="00075FE4"/>
    <w:rsid w:val="00076B5D"/>
    <w:rsid w:val="000833EF"/>
    <w:rsid w:val="00086598"/>
    <w:rsid w:val="0008662F"/>
    <w:rsid w:val="00091D5C"/>
    <w:rsid w:val="00091E21"/>
    <w:rsid w:val="0009571A"/>
    <w:rsid w:val="000958B1"/>
    <w:rsid w:val="00095B85"/>
    <w:rsid w:val="000A0C1B"/>
    <w:rsid w:val="000A1620"/>
    <w:rsid w:val="000B1468"/>
    <w:rsid w:val="000B5CC2"/>
    <w:rsid w:val="000C04D7"/>
    <w:rsid w:val="000C56B9"/>
    <w:rsid w:val="000D3900"/>
    <w:rsid w:val="000D42E7"/>
    <w:rsid w:val="000D730F"/>
    <w:rsid w:val="000D78B1"/>
    <w:rsid w:val="000E1F47"/>
    <w:rsid w:val="000E3A88"/>
    <w:rsid w:val="000E4B38"/>
    <w:rsid w:val="000E4C12"/>
    <w:rsid w:val="000E6988"/>
    <w:rsid w:val="000F0C06"/>
    <w:rsid w:val="000F1601"/>
    <w:rsid w:val="000F4E59"/>
    <w:rsid w:val="001007EE"/>
    <w:rsid w:val="001103DF"/>
    <w:rsid w:val="00116F59"/>
    <w:rsid w:val="001229A7"/>
    <w:rsid w:val="00122F8B"/>
    <w:rsid w:val="001249C9"/>
    <w:rsid w:val="00130248"/>
    <w:rsid w:val="001344B2"/>
    <w:rsid w:val="001362FD"/>
    <w:rsid w:val="001366BB"/>
    <w:rsid w:val="001367D8"/>
    <w:rsid w:val="001369FB"/>
    <w:rsid w:val="001372F2"/>
    <w:rsid w:val="00152AC4"/>
    <w:rsid w:val="00153F85"/>
    <w:rsid w:val="00163F03"/>
    <w:rsid w:val="00164AAA"/>
    <w:rsid w:val="00172115"/>
    <w:rsid w:val="0017385F"/>
    <w:rsid w:val="00176C0B"/>
    <w:rsid w:val="001804E8"/>
    <w:rsid w:val="00180A06"/>
    <w:rsid w:val="00182783"/>
    <w:rsid w:val="00184123"/>
    <w:rsid w:val="001901D1"/>
    <w:rsid w:val="00195F8E"/>
    <w:rsid w:val="001961C0"/>
    <w:rsid w:val="00196CBE"/>
    <w:rsid w:val="00197932"/>
    <w:rsid w:val="001A0AF6"/>
    <w:rsid w:val="001A1AD1"/>
    <w:rsid w:val="001A327F"/>
    <w:rsid w:val="001A54FA"/>
    <w:rsid w:val="001A7DEC"/>
    <w:rsid w:val="001B05C8"/>
    <w:rsid w:val="001B6DF9"/>
    <w:rsid w:val="001C1B39"/>
    <w:rsid w:val="001C4C1B"/>
    <w:rsid w:val="001D55BC"/>
    <w:rsid w:val="001D7FB3"/>
    <w:rsid w:val="001E3657"/>
    <w:rsid w:val="001E4334"/>
    <w:rsid w:val="001F45F1"/>
    <w:rsid w:val="002009C2"/>
    <w:rsid w:val="00205E7B"/>
    <w:rsid w:val="00206761"/>
    <w:rsid w:val="00211C37"/>
    <w:rsid w:val="00212D24"/>
    <w:rsid w:val="00217581"/>
    <w:rsid w:val="0022057C"/>
    <w:rsid w:val="002335B0"/>
    <w:rsid w:val="002338A1"/>
    <w:rsid w:val="002358FB"/>
    <w:rsid w:val="00235D7E"/>
    <w:rsid w:val="0023664E"/>
    <w:rsid w:val="00243D51"/>
    <w:rsid w:val="00245C6D"/>
    <w:rsid w:val="00250559"/>
    <w:rsid w:val="00257CEE"/>
    <w:rsid w:val="00261C5E"/>
    <w:rsid w:val="00261F69"/>
    <w:rsid w:val="00266064"/>
    <w:rsid w:val="0027611C"/>
    <w:rsid w:val="00280B4A"/>
    <w:rsid w:val="00283613"/>
    <w:rsid w:val="002840D0"/>
    <w:rsid w:val="002857F4"/>
    <w:rsid w:val="0028798F"/>
    <w:rsid w:val="0029038F"/>
    <w:rsid w:val="00295EFC"/>
    <w:rsid w:val="00297991"/>
    <w:rsid w:val="002A18B1"/>
    <w:rsid w:val="002A21DE"/>
    <w:rsid w:val="002A65FA"/>
    <w:rsid w:val="002B0AC9"/>
    <w:rsid w:val="002B4958"/>
    <w:rsid w:val="002B651E"/>
    <w:rsid w:val="002B6B93"/>
    <w:rsid w:val="002B7397"/>
    <w:rsid w:val="002C122B"/>
    <w:rsid w:val="002C1FBA"/>
    <w:rsid w:val="002C34AA"/>
    <w:rsid w:val="002D14E8"/>
    <w:rsid w:val="002D1929"/>
    <w:rsid w:val="002D2A7A"/>
    <w:rsid w:val="002E28FA"/>
    <w:rsid w:val="002E3870"/>
    <w:rsid w:val="002F23FA"/>
    <w:rsid w:val="002F6F44"/>
    <w:rsid w:val="003022AA"/>
    <w:rsid w:val="00305937"/>
    <w:rsid w:val="00310708"/>
    <w:rsid w:val="00312BD3"/>
    <w:rsid w:val="00314240"/>
    <w:rsid w:val="00321418"/>
    <w:rsid w:val="0032284D"/>
    <w:rsid w:val="00347A3B"/>
    <w:rsid w:val="00352EF0"/>
    <w:rsid w:val="00353F76"/>
    <w:rsid w:val="003551B6"/>
    <w:rsid w:val="003577B5"/>
    <w:rsid w:val="00360051"/>
    <w:rsid w:val="00367C49"/>
    <w:rsid w:val="00367E5F"/>
    <w:rsid w:val="00367EEB"/>
    <w:rsid w:val="00370895"/>
    <w:rsid w:val="00376746"/>
    <w:rsid w:val="00376795"/>
    <w:rsid w:val="00377634"/>
    <w:rsid w:val="00380648"/>
    <w:rsid w:val="003811D7"/>
    <w:rsid w:val="003842A0"/>
    <w:rsid w:val="003903F3"/>
    <w:rsid w:val="00392AE9"/>
    <w:rsid w:val="003B32D3"/>
    <w:rsid w:val="003B47A0"/>
    <w:rsid w:val="003B4AA3"/>
    <w:rsid w:val="003B4DAA"/>
    <w:rsid w:val="003B78F9"/>
    <w:rsid w:val="003C4615"/>
    <w:rsid w:val="003D017B"/>
    <w:rsid w:val="003D10D3"/>
    <w:rsid w:val="003D308A"/>
    <w:rsid w:val="003D4E9E"/>
    <w:rsid w:val="003D74A2"/>
    <w:rsid w:val="003D7A13"/>
    <w:rsid w:val="003E1B86"/>
    <w:rsid w:val="003E64C0"/>
    <w:rsid w:val="003E6F61"/>
    <w:rsid w:val="003F074C"/>
    <w:rsid w:val="003F0FE9"/>
    <w:rsid w:val="003F10CB"/>
    <w:rsid w:val="003F1C3A"/>
    <w:rsid w:val="003F3701"/>
    <w:rsid w:val="004025C7"/>
    <w:rsid w:val="00402829"/>
    <w:rsid w:val="00403998"/>
    <w:rsid w:val="00410839"/>
    <w:rsid w:val="004261B7"/>
    <w:rsid w:val="00430DC5"/>
    <w:rsid w:val="00432F52"/>
    <w:rsid w:val="0043469F"/>
    <w:rsid w:val="004363FA"/>
    <w:rsid w:val="00437710"/>
    <w:rsid w:val="004403A8"/>
    <w:rsid w:val="00441E25"/>
    <w:rsid w:val="00450D89"/>
    <w:rsid w:val="004533A7"/>
    <w:rsid w:val="0045787F"/>
    <w:rsid w:val="00457A33"/>
    <w:rsid w:val="00460505"/>
    <w:rsid w:val="00461B1E"/>
    <w:rsid w:val="00461B66"/>
    <w:rsid w:val="00463122"/>
    <w:rsid w:val="00470A24"/>
    <w:rsid w:val="00471278"/>
    <w:rsid w:val="004718D8"/>
    <w:rsid w:val="004751A4"/>
    <w:rsid w:val="004803E0"/>
    <w:rsid w:val="00480E77"/>
    <w:rsid w:val="00480EC6"/>
    <w:rsid w:val="00484C39"/>
    <w:rsid w:val="00484FB7"/>
    <w:rsid w:val="004917F2"/>
    <w:rsid w:val="004955D9"/>
    <w:rsid w:val="004A62C7"/>
    <w:rsid w:val="004A7361"/>
    <w:rsid w:val="004A7D81"/>
    <w:rsid w:val="004B0435"/>
    <w:rsid w:val="004B1E30"/>
    <w:rsid w:val="004B341D"/>
    <w:rsid w:val="004D3DA1"/>
    <w:rsid w:val="004D56AA"/>
    <w:rsid w:val="004D7FCE"/>
    <w:rsid w:val="004E03D9"/>
    <w:rsid w:val="004E06DD"/>
    <w:rsid w:val="004E633C"/>
    <w:rsid w:val="004E717A"/>
    <w:rsid w:val="004E7B30"/>
    <w:rsid w:val="004F07DA"/>
    <w:rsid w:val="004F252A"/>
    <w:rsid w:val="004F715F"/>
    <w:rsid w:val="005038EA"/>
    <w:rsid w:val="00511CA5"/>
    <w:rsid w:val="00512543"/>
    <w:rsid w:val="00512A18"/>
    <w:rsid w:val="00514CA3"/>
    <w:rsid w:val="005150CE"/>
    <w:rsid w:val="00516950"/>
    <w:rsid w:val="00517652"/>
    <w:rsid w:val="00527B2B"/>
    <w:rsid w:val="00530814"/>
    <w:rsid w:val="00530A66"/>
    <w:rsid w:val="005370A1"/>
    <w:rsid w:val="005439B0"/>
    <w:rsid w:val="00543F90"/>
    <w:rsid w:val="00545301"/>
    <w:rsid w:val="005605BE"/>
    <w:rsid w:val="00565333"/>
    <w:rsid w:val="00567597"/>
    <w:rsid w:val="00567BE5"/>
    <w:rsid w:val="00571FE8"/>
    <w:rsid w:val="00591342"/>
    <w:rsid w:val="00591B39"/>
    <w:rsid w:val="00592B2A"/>
    <w:rsid w:val="005957C5"/>
    <w:rsid w:val="0059677C"/>
    <w:rsid w:val="005A0B3F"/>
    <w:rsid w:val="005A339B"/>
    <w:rsid w:val="005B1CC3"/>
    <w:rsid w:val="005B5A07"/>
    <w:rsid w:val="005B76B0"/>
    <w:rsid w:val="005C1372"/>
    <w:rsid w:val="005C6B28"/>
    <w:rsid w:val="005D499F"/>
    <w:rsid w:val="005D5D00"/>
    <w:rsid w:val="005E0677"/>
    <w:rsid w:val="005E1E66"/>
    <w:rsid w:val="005E1FF4"/>
    <w:rsid w:val="005E5EF7"/>
    <w:rsid w:val="00602135"/>
    <w:rsid w:val="00607A4B"/>
    <w:rsid w:val="00612D59"/>
    <w:rsid w:val="0061767F"/>
    <w:rsid w:val="00626734"/>
    <w:rsid w:val="0062704E"/>
    <w:rsid w:val="00627F5C"/>
    <w:rsid w:val="00634682"/>
    <w:rsid w:val="0063507E"/>
    <w:rsid w:val="00635930"/>
    <w:rsid w:val="006363E9"/>
    <w:rsid w:val="006426FF"/>
    <w:rsid w:val="00644411"/>
    <w:rsid w:val="00644CE4"/>
    <w:rsid w:val="00647661"/>
    <w:rsid w:val="006506D7"/>
    <w:rsid w:val="00653A4E"/>
    <w:rsid w:val="006556B6"/>
    <w:rsid w:val="00663758"/>
    <w:rsid w:val="00670C1E"/>
    <w:rsid w:val="006738A2"/>
    <w:rsid w:val="006742AA"/>
    <w:rsid w:val="00682430"/>
    <w:rsid w:val="006858D6"/>
    <w:rsid w:val="00687908"/>
    <w:rsid w:val="0069359F"/>
    <w:rsid w:val="00694ADF"/>
    <w:rsid w:val="006962AD"/>
    <w:rsid w:val="006A0189"/>
    <w:rsid w:val="006A0604"/>
    <w:rsid w:val="006A1127"/>
    <w:rsid w:val="006A2F72"/>
    <w:rsid w:val="006A3278"/>
    <w:rsid w:val="006A55E1"/>
    <w:rsid w:val="006B2464"/>
    <w:rsid w:val="006B6EF0"/>
    <w:rsid w:val="006B7D6B"/>
    <w:rsid w:val="006C3FD7"/>
    <w:rsid w:val="006C4AC1"/>
    <w:rsid w:val="006C5604"/>
    <w:rsid w:val="006C79F6"/>
    <w:rsid w:val="006D3EBD"/>
    <w:rsid w:val="006D74EA"/>
    <w:rsid w:val="006E274C"/>
    <w:rsid w:val="006E6F0B"/>
    <w:rsid w:val="006E7766"/>
    <w:rsid w:val="007104E4"/>
    <w:rsid w:val="00725098"/>
    <w:rsid w:val="00734E55"/>
    <w:rsid w:val="0074127E"/>
    <w:rsid w:val="00741DCE"/>
    <w:rsid w:val="007442BB"/>
    <w:rsid w:val="007457D4"/>
    <w:rsid w:val="007463C5"/>
    <w:rsid w:val="00746846"/>
    <w:rsid w:val="00746A3B"/>
    <w:rsid w:val="007510C3"/>
    <w:rsid w:val="00752445"/>
    <w:rsid w:val="00756245"/>
    <w:rsid w:val="007563E8"/>
    <w:rsid w:val="007573FE"/>
    <w:rsid w:val="00757964"/>
    <w:rsid w:val="00762431"/>
    <w:rsid w:val="0076458E"/>
    <w:rsid w:val="00764680"/>
    <w:rsid w:val="00767063"/>
    <w:rsid w:val="007711AC"/>
    <w:rsid w:val="0077240B"/>
    <w:rsid w:val="00774AD1"/>
    <w:rsid w:val="00775AFE"/>
    <w:rsid w:val="00782FE4"/>
    <w:rsid w:val="00783BA8"/>
    <w:rsid w:val="0078546A"/>
    <w:rsid w:val="00785823"/>
    <w:rsid w:val="00790C52"/>
    <w:rsid w:val="0079294B"/>
    <w:rsid w:val="007940AE"/>
    <w:rsid w:val="007A10F9"/>
    <w:rsid w:val="007A4C02"/>
    <w:rsid w:val="007B0474"/>
    <w:rsid w:val="007B057A"/>
    <w:rsid w:val="007B27E6"/>
    <w:rsid w:val="007B49CD"/>
    <w:rsid w:val="007B593B"/>
    <w:rsid w:val="007B5A46"/>
    <w:rsid w:val="007C1BC2"/>
    <w:rsid w:val="007C1FEB"/>
    <w:rsid w:val="007D0DBA"/>
    <w:rsid w:val="007D35D5"/>
    <w:rsid w:val="007D4700"/>
    <w:rsid w:val="007D4DB0"/>
    <w:rsid w:val="007D529B"/>
    <w:rsid w:val="007D5D93"/>
    <w:rsid w:val="007F073B"/>
    <w:rsid w:val="007F1846"/>
    <w:rsid w:val="00801F29"/>
    <w:rsid w:val="00805C72"/>
    <w:rsid w:val="008110CD"/>
    <w:rsid w:val="00813AE9"/>
    <w:rsid w:val="00820BD0"/>
    <w:rsid w:val="00825BA0"/>
    <w:rsid w:val="008261BE"/>
    <w:rsid w:val="00826E88"/>
    <w:rsid w:val="00831225"/>
    <w:rsid w:val="00833141"/>
    <w:rsid w:val="008428AB"/>
    <w:rsid w:val="00842A5D"/>
    <w:rsid w:val="00847289"/>
    <w:rsid w:val="00851495"/>
    <w:rsid w:val="00851FF0"/>
    <w:rsid w:val="0085351C"/>
    <w:rsid w:val="00855B6F"/>
    <w:rsid w:val="00862E30"/>
    <w:rsid w:val="00863664"/>
    <w:rsid w:val="00867E7A"/>
    <w:rsid w:val="008751FA"/>
    <w:rsid w:val="0088151C"/>
    <w:rsid w:val="008817AB"/>
    <w:rsid w:val="008843A4"/>
    <w:rsid w:val="00890EBE"/>
    <w:rsid w:val="0089521F"/>
    <w:rsid w:val="008A2DDD"/>
    <w:rsid w:val="008A5C70"/>
    <w:rsid w:val="008A6F0F"/>
    <w:rsid w:val="008A796A"/>
    <w:rsid w:val="008B1C49"/>
    <w:rsid w:val="008B5497"/>
    <w:rsid w:val="008B67CC"/>
    <w:rsid w:val="008C0AA7"/>
    <w:rsid w:val="008C5C95"/>
    <w:rsid w:val="008D1228"/>
    <w:rsid w:val="008E3BDA"/>
    <w:rsid w:val="008E46CB"/>
    <w:rsid w:val="008E7553"/>
    <w:rsid w:val="008F228C"/>
    <w:rsid w:val="008F2A46"/>
    <w:rsid w:val="008F2B58"/>
    <w:rsid w:val="008F452F"/>
    <w:rsid w:val="009008AC"/>
    <w:rsid w:val="0090521C"/>
    <w:rsid w:val="00905ADC"/>
    <w:rsid w:val="00906C33"/>
    <w:rsid w:val="00916D53"/>
    <w:rsid w:val="009173AF"/>
    <w:rsid w:val="00921323"/>
    <w:rsid w:val="0092141D"/>
    <w:rsid w:val="00926742"/>
    <w:rsid w:val="00926F25"/>
    <w:rsid w:val="00932946"/>
    <w:rsid w:val="009378CE"/>
    <w:rsid w:val="009424FA"/>
    <w:rsid w:val="009426CB"/>
    <w:rsid w:val="00942B1C"/>
    <w:rsid w:val="00947D18"/>
    <w:rsid w:val="00960897"/>
    <w:rsid w:val="00963073"/>
    <w:rsid w:val="00964DAD"/>
    <w:rsid w:val="00967A14"/>
    <w:rsid w:val="0097315A"/>
    <w:rsid w:val="009732FD"/>
    <w:rsid w:val="009762E1"/>
    <w:rsid w:val="00981534"/>
    <w:rsid w:val="009827E0"/>
    <w:rsid w:val="009835B1"/>
    <w:rsid w:val="00995926"/>
    <w:rsid w:val="009A0F19"/>
    <w:rsid w:val="009A35CE"/>
    <w:rsid w:val="009A3F0A"/>
    <w:rsid w:val="009A54ED"/>
    <w:rsid w:val="009B3EFE"/>
    <w:rsid w:val="009B493A"/>
    <w:rsid w:val="009C4888"/>
    <w:rsid w:val="009D3D73"/>
    <w:rsid w:val="009E578E"/>
    <w:rsid w:val="009E73AD"/>
    <w:rsid w:val="009F267A"/>
    <w:rsid w:val="009F5357"/>
    <w:rsid w:val="009F5D06"/>
    <w:rsid w:val="009F7653"/>
    <w:rsid w:val="00A00569"/>
    <w:rsid w:val="00A03422"/>
    <w:rsid w:val="00A07091"/>
    <w:rsid w:val="00A07E53"/>
    <w:rsid w:val="00A151C8"/>
    <w:rsid w:val="00A15691"/>
    <w:rsid w:val="00A1656C"/>
    <w:rsid w:val="00A21E85"/>
    <w:rsid w:val="00A2336F"/>
    <w:rsid w:val="00A2712A"/>
    <w:rsid w:val="00A27264"/>
    <w:rsid w:val="00A27504"/>
    <w:rsid w:val="00A27B35"/>
    <w:rsid w:val="00A3306B"/>
    <w:rsid w:val="00A36044"/>
    <w:rsid w:val="00A3611D"/>
    <w:rsid w:val="00A366A9"/>
    <w:rsid w:val="00A40261"/>
    <w:rsid w:val="00A42C35"/>
    <w:rsid w:val="00A46912"/>
    <w:rsid w:val="00A52ADD"/>
    <w:rsid w:val="00A624E2"/>
    <w:rsid w:val="00A63C5B"/>
    <w:rsid w:val="00A64099"/>
    <w:rsid w:val="00A65523"/>
    <w:rsid w:val="00A65F2C"/>
    <w:rsid w:val="00A7368B"/>
    <w:rsid w:val="00A736AB"/>
    <w:rsid w:val="00A7775C"/>
    <w:rsid w:val="00A82596"/>
    <w:rsid w:val="00A85A17"/>
    <w:rsid w:val="00A87D74"/>
    <w:rsid w:val="00A90713"/>
    <w:rsid w:val="00A91808"/>
    <w:rsid w:val="00A96425"/>
    <w:rsid w:val="00AA1F91"/>
    <w:rsid w:val="00AA596D"/>
    <w:rsid w:val="00AB2F37"/>
    <w:rsid w:val="00AB50CB"/>
    <w:rsid w:val="00AB6016"/>
    <w:rsid w:val="00AC2A37"/>
    <w:rsid w:val="00AC5424"/>
    <w:rsid w:val="00AD01CB"/>
    <w:rsid w:val="00AD0E50"/>
    <w:rsid w:val="00AD0F9D"/>
    <w:rsid w:val="00AD11B6"/>
    <w:rsid w:val="00AD1665"/>
    <w:rsid w:val="00AD2876"/>
    <w:rsid w:val="00AD309C"/>
    <w:rsid w:val="00AD632D"/>
    <w:rsid w:val="00AE7E6E"/>
    <w:rsid w:val="00AF0554"/>
    <w:rsid w:val="00AF1C07"/>
    <w:rsid w:val="00AF22E1"/>
    <w:rsid w:val="00AF2FD5"/>
    <w:rsid w:val="00AF5B69"/>
    <w:rsid w:val="00AF737F"/>
    <w:rsid w:val="00B006DF"/>
    <w:rsid w:val="00B007D0"/>
    <w:rsid w:val="00B01E7B"/>
    <w:rsid w:val="00B05ECD"/>
    <w:rsid w:val="00B06172"/>
    <w:rsid w:val="00B06B3C"/>
    <w:rsid w:val="00B07B14"/>
    <w:rsid w:val="00B154AB"/>
    <w:rsid w:val="00B15F92"/>
    <w:rsid w:val="00B1619E"/>
    <w:rsid w:val="00B16A24"/>
    <w:rsid w:val="00B16A8C"/>
    <w:rsid w:val="00B17A97"/>
    <w:rsid w:val="00B2039A"/>
    <w:rsid w:val="00B20BD0"/>
    <w:rsid w:val="00B21C6E"/>
    <w:rsid w:val="00B275C1"/>
    <w:rsid w:val="00B27CDF"/>
    <w:rsid w:val="00B30E17"/>
    <w:rsid w:val="00B343B8"/>
    <w:rsid w:val="00B35E3C"/>
    <w:rsid w:val="00B37C4E"/>
    <w:rsid w:val="00B417FE"/>
    <w:rsid w:val="00B419D7"/>
    <w:rsid w:val="00B42F22"/>
    <w:rsid w:val="00B432ED"/>
    <w:rsid w:val="00B46661"/>
    <w:rsid w:val="00B47211"/>
    <w:rsid w:val="00B474D6"/>
    <w:rsid w:val="00B52F03"/>
    <w:rsid w:val="00B55DE9"/>
    <w:rsid w:val="00B624F2"/>
    <w:rsid w:val="00B6522B"/>
    <w:rsid w:val="00B65709"/>
    <w:rsid w:val="00B67DF2"/>
    <w:rsid w:val="00B70824"/>
    <w:rsid w:val="00B70D65"/>
    <w:rsid w:val="00B77D01"/>
    <w:rsid w:val="00B80FE8"/>
    <w:rsid w:val="00B85BF7"/>
    <w:rsid w:val="00B939CC"/>
    <w:rsid w:val="00BA2BE5"/>
    <w:rsid w:val="00BA2E8D"/>
    <w:rsid w:val="00BA50CA"/>
    <w:rsid w:val="00BA7653"/>
    <w:rsid w:val="00BB694D"/>
    <w:rsid w:val="00BB787B"/>
    <w:rsid w:val="00BC2909"/>
    <w:rsid w:val="00BC547B"/>
    <w:rsid w:val="00BD11C0"/>
    <w:rsid w:val="00BD22A4"/>
    <w:rsid w:val="00BD4B6C"/>
    <w:rsid w:val="00BE0DFC"/>
    <w:rsid w:val="00BE6043"/>
    <w:rsid w:val="00BF6F96"/>
    <w:rsid w:val="00C1030D"/>
    <w:rsid w:val="00C16416"/>
    <w:rsid w:val="00C2147A"/>
    <w:rsid w:val="00C2621E"/>
    <w:rsid w:val="00C26FE3"/>
    <w:rsid w:val="00C302BE"/>
    <w:rsid w:val="00C3271F"/>
    <w:rsid w:val="00C36C75"/>
    <w:rsid w:val="00C37933"/>
    <w:rsid w:val="00C408C7"/>
    <w:rsid w:val="00C40E74"/>
    <w:rsid w:val="00C45D2A"/>
    <w:rsid w:val="00C45FCC"/>
    <w:rsid w:val="00C47EEA"/>
    <w:rsid w:val="00C519D0"/>
    <w:rsid w:val="00C640C5"/>
    <w:rsid w:val="00C650B9"/>
    <w:rsid w:val="00C70ACB"/>
    <w:rsid w:val="00C77C41"/>
    <w:rsid w:val="00C80ADA"/>
    <w:rsid w:val="00C818F9"/>
    <w:rsid w:val="00C87CB1"/>
    <w:rsid w:val="00C92939"/>
    <w:rsid w:val="00C94FD9"/>
    <w:rsid w:val="00C97165"/>
    <w:rsid w:val="00CA473C"/>
    <w:rsid w:val="00CA4FEC"/>
    <w:rsid w:val="00CB055A"/>
    <w:rsid w:val="00CB4083"/>
    <w:rsid w:val="00CC20DA"/>
    <w:rsid w:val="00CC34E2"/>
    <w:rsid w:val="00CD147F"/>
    <w:rsid w:val="00CD56EF"/>
    <w:rsid w:val="00CD7921"/>
    <w:rsid w:val="00CE084B"/>
    <w:rsid w:val="00CE0D00"/>
    <w:rsid w:val="00CE38DE"/>
    <w:rsid w:val="00CE6B03"/>
    <w:rsid w:val="00CF1628"/>
    <w:rsid w:val="00CF4495"/>
    <w:rsid w:val="00CF7D45"/>
    <w:rsid w:val="00D005CD"/>
    <w:rsid w:val="00D019B5"/>
    <w:rsid w:val="00D02D57"/>
    <w:rsid w:val="00D031EE"/>
    <w:rsid w:val="00D0721A"/>
    <w:rsid w:val="00D118D6"/>
    <w:rsid w:val="00D11E13"/>
    <w:rsid w:val="00D129C7"/>
    <w:rsid w:val="00D20266"/>
    <w:rsid w:val="00D20C29"/>
    <w:rsid w:val="00D21C08"/>
    <w:rsid w:val="00D22000"/>
    <w:rsid w:val="00D220A0"/>
    <w:rsid w:val="00D22877"/>
    <w:rsid w:val="00D22A12"/>
    <w:rsid w:val="00D30296"/>
    <w:rsid w:val="00D30AE9"/>
    <w:rsid w:val="00D3314B"/>
    <w:rsid w:val="00D33842"/>
    <w:rsid w:val="00D47915"/>
    <w:rsid w:val="00D57D6E"/>
    <w:rsid w:val="00D61F5A"/>
    <w:rsid w:val="00D61F66"/>
    <w:rsid w:val="00D647BF"/>
    <w:rsid w:val="00D656C2"/>
    <w:rsid w:val="00D66162"/>
    <w:rsid w:val="00D74774"/>
    <w:rsid w:val="00D749C8"/>
    <w:rsid w:val="00D75774"/>
    <w:rsid w:val="00D85937"/>
    <w:rsid w:val="00D93AF1"/>
    <w:rsid w:val="00DB10B3"/>
    <w:rsid w:val="00DB16E1"/>
    <w:rsid w:val="00DB4C12"/>
    <w:rsid w:val="00DB7C6C"/>
    <w:rsid w:val="00DC2D7C"/>
    <w:rsid w:val="00DC4FD4"/>
    <w:rsid w:val="00DD0DB2"/>
    <w:rsid w:val="00DD2057"/>
    <w:rsid w:val="00DD22FA"/>
    <w:rsid w:val="00DE7764"/>
    <w:rsid w:val="00DE7B01"/>
    <w:rsid w:val="00DF14DC"/>
    <w:rsid w:val="00DF488C"/>
    <w:rsid w:val="00DF4CAB"/>
    <w:rsid w:val="00DF7042"/>
    <w:rsid w:val="00E0081E"/>
    <w:rsid w:val="00E02094"/>
    <w:rsid w:val="00E02AA0"/>
    <w:rsid w:val="00E07DBB"/>
    <w:rsid w:val="00E101C2"/>
    <w:rsid w:val="00E10F4C"/>
    <w:rsid w:val="00E16662"/>
    <w:rsid w:val="00E21325"/>
    <w:rsid w:val="00E2419F"/>
    <w:rsid w:val="00E265F7"/>
    <w:rsid w:val="00E302F3"/>
    <w:rsid w:val="00E30CCF"/>
    <w:rsid w:val="00E31D08"/>
    <w:rsid w:val="00E33FED"/>
    <w:rsid w:val="00E366D6"/>
    <w:rsid w:val="00E4370E"/>
    <w:rsid w:val="00E45034"/>
    <w:rsid w:val="00E533C5"/>
    <w:rsid w:val="00E53B12"/>
    <w:rsid w:val="00E5516D"/>
    <w:rsid w:val="00E551BF"/>
    <w:rsid w:val="00E61270"/>
    <w:rsid w:val="00E63D8B"/>
    <w:rsid w:val="00E66113"/>
    <w:rsid w:val="00E764FF"/>
    <w:rsid w:val="00E77F49"/>
    <w:rsid w:val="00E81BB4"/>
    <w:rsid w:val="00E81CFB"/>
    <w:rsid w:val="00E81F4B"/>
    <w:rsid w:val="00E85016"/>
    <w:rsid w:val="00E85F5C"/>
    <w:rsid w:val="00E8659F"/>
    <w:rsid w:val="00E91DC7"/>
    <w:rsid w:val="00E933EF"/>
    <w:rsid w:val="00E96DDF"/>
    <w:rsid w:val="00E96F51"/>
    <w:rsid w:val="00EA11BE"/>
    <w:rsid w:val="00EA5470"/>
    <w:rsid w:val="00EA5B42"/>
    <w:rsid w:val="00EA5EDE"/>
    <w:rsid w:val="00EA7D6E"/>
    <w:rsid w:val="00EB0EEC"/>
    <w:rsid w:val="00EB101F"/>
    <w:rsid w:val="00EB1624"/>
    <w:rsid w:val="00EB1880"/>
    <w:rsid w:val="00EB2092"/>
    <w:rsid w:val="00EB3316"/>
    <w:rsid w:val="00EB5A2D"/>
    <w:rsid w:val="00EB6655"/>
    <w:rsid w:val="00EB73EF"/>
    <w:rsid w:val="00EC644A"/>
    <w:rsid w:val="00EC6A3F"/>
    <w:rsid w:val="00EC778D"/>
    <w:rsid w:val="00EC7911"/>
    <w:rsid w:val="00ED3E27"/>
    <w:rsid w:val="00ED7A5E"/>
    <w:rsid w:val="00EE0FB9"/>
    <w:rsid w:val="00EE5BE7"/>
    <w:rsid w:val="00EE67FE"/>
    <w:rsid w:val="00EE6B7D"/>
    <w:rsid w:val="00EF3C20"/>
    <w:rsid w:val="00EF4B44"/>
    <w:rsid w:val="00F0748B"/>
    <w:rsid w:val="00F20E45"/>
    <w:rsid w:val="00F27015"/>
    <w:rsid w:val="00F2755E"/>
    <w:rsid w:val="00F30554"/>
    <w:rsid w:val="00F31240"/>
    <w:rsid w:val="00F313F9"/>
    <w:rsid w:val="00F32906"/>
    <w:rsid w:val="00F348D2"/>
    <w:rsid w:val="00F4485F"/>
    <w:rsid w:val="00F44B6A"/>
    <w:rsid w:val="00F44C99"/>
    <w:rsid w:val="00F44EA4"/>
    <w:rsid w:val="00F46D92"/>
    <w:rsid w:val="00F47F69"/>
    <w:rsid w:val="00F510BF"/>
    <w:rsid w:val="00F521C7"/>
    <w:rsid w:val="00F53920"/>
    <w:rsid w:val="00F60BF8"/>
    <w:rsid w:val="00F6434C"/>
    <w:rsid w:val="00F64863"/>
    <w:rsid w:val="00F75F46"/>
    <w:rsid w:val="00F76E85"/>
    <w:rsid w:val="00F82860"/>
    <w:rsid w:val="00F960C1"/>
    <w:rsid w:val="00F97C94"/>
    <w:rsid w:val="00FA0331"/>
    <w:rsid w:val="00FA7224"/>
    <w:rsid w:val="00FB1A2B"/>
    <w:rsid w:val="00FB2299"/>
    <w:rsid w:val="00FB51C5"/>
    <w:rsid w:val="00FC049C"/>
    <w:rsid w:val="00FC1C0E"/>
    <w:rsid w:val="00FC5ED8"/>
    <w:rsid w:val="00FD3339"/>
    <w:rsid w:val="00FE1874"/>
    <w:rsid w:val="00FE5393"/>
    <w:rsid w:val="00FE5A8A"/>
    <w:rsid w:val="00FE7BAC"/>
    <w:rsid w:val="00FF0A7E"/>
    <w:rsid w:val="00FF137E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765A8"/>
  <w15:docId w15:val="{1245D9D0-5C44-4529-80C3-40FCDD0E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CEC24BA925D4599EEE9FC09FB56F1" ma:contentTypeVersion="16" ma:contentTypeDescription="Create a new document." ma:contentTypeScope="" ma:versionID="e0e2d35aaab069d9ca53f1e3d057e85a">
  <xsd:schema xmlns:xsd="http://www.w3.org/2001/XMLSchema" xmlns:xs="http://www.w3.org/2001/XMLSchema" xmlns:p="http://schemas.microsoft.com/office/2006/metadata/properties" xmlns:ns1="http://schemas.microsoft.com/sharepoint/v3" xmlns:ns2="4259d123-e6a2-4a39-9cc4-e247171b8278" xmlns:ns3="01d2705b-266c-471f-bbad-ca9cc3733704" xmlns:ns4="9f3f92a8-473c-4608-bac3-6eb86d935198" targetNamespace="http://schemas.microsoft.com/office/2006/metadata/properties" ma:root="true" ma:fieldsID="59a0ead6a53778180f515fdd8825b556" ns1:_="" ns2:_="" ns3:_="" ns4:_="">
    <xsd:import namespace="http://schemas.microsoft.com/sharepoint/v3"/>
    <xsd:import namespace="4259d123-e6a2-4a39-9cc4-e247171b8278"/>
    <xsd:import namespace="01d2705b-266c-471f-bbad-ca9cc3733704"/>
    <xsd:import namespace="9f3f92a8-473c-4608-bac3-6eb86d9351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2:b11dec6ce0c448c0844aaa6ccb665a34" minOccurs="0"/>
                <xsd:element ref="ns2:TaxCatchAll" minOccurs="0"/>
                <xsd:element ref="ns4:h5181134883947a99a38d116ffff0102" minOccurs="0"/>
                <xsd:element ref="ns2:ce5af11cf85042fda4c4f1f7f633f15b" minOccurs="0"/>
                <xsd:element ref="ns4:h5181134883947a99a38d116ffff0006" minOccurs="0"/>
                <xsd:element ref="ns2:fcfa2e3a102f492eb9989c5396408ed9" minOccurs="0"/>
                <xsd:element ref="ns2:ba8d4f2c4b764194bae6c355bbdcc1eb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6" nillable="true" ma:displayName="Declared Record" ma:description="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9d123-e6a2-4a39-9cc4-e247171b82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11dec6ce0c448c0844aaa6ccb665a34" ma:index="14" nillable="true" ma:taxonomy="true" ma:internalName="b11dec6ce0c448c0844aaa6ccb665a34" ma:taxonomyFieldName="IWPFunction" ma:displayName="Function" ma:readOnly="false" ma:fieldId="{b11dec6c-e0c4-48c0-844a-aa6ccb665a34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da1b62f6-7c55-4857-80e2-86b00f747f63}" ma:internalName="TaxCatchAll" ma:showField="CatchAllData" ma:web="4259d123-e6a2-4a39-9cc4-e247171b8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e5af11cf85042fda4c4f1f7f633f15b" ma:index="19" ma:taxonomy="true" ma:internalName="ce5af11cf85042fda4c4f1f7f633f15b" ma:taxonomyFieldName="IWPRightsProtectiveMarking" ma:displayName="Rights: Protective Marking" ma:readOnly="false" ma:default="1;#Official|0884c477-2e62-47ea-b19c-5af6e91124c5" ma:fieldId="{ce5af11c-f850-42fd-a4c4-f1f7f633f15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fa2e3a102f492eb9989c5396408ed9" ma:index="23" nillable="true" ma:taxonomy="true" ma:internalName="fcfa2e3a102f492eb9989c5396408ed9" ma:taxonomyFieldName="IWPSiteType" ma:displayName="Site Type" ma:readOnly="false" ma:fieldId="{fcfa2e3a-102f-492e-b998-9c5396408ed9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8d4f2c4b764194bae6c355bbdcc1eb" ma:index="25" nillable="true" ma:taxonomy="true" ma:internalName="ba8d4f2c4b764194bae6c355bbdcc1eb" ma:taxonomyFieldName="IWPOrganisationalUnit" ma:displayName="Organisational Unit" ma:readOnly="false" ma:default="2;#DfE|cc08a6d4-dfde-4d0f-bd85-069ebcef80d5" ma:fieldId="{ba8d4f2c-4b76-4194-bae6-c355bbdcc1eb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2705b-266c-471f-bbad-ca9cc37337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92a8-473c-4608-bac3-6eb86d935198" elementFormDefault="qualified">
    <xsd:import namespace="http://schemas.microsoft.com/office/2006/documentManagement/types"/>
    <xsd:import namespace="http://schemas.microsoft.com/office/infopath/2007/PartnerControls"/>
    <xsd:element name="h5181134883947a99a38d116ffff0102" ma:index="17" ma:taxonomy="true" ma:internalName="h5181134883947a99a38d116ffff0102" ma:taxonomyFieldName="IWPOwner" ma:displayName="Owner" ma:readOnly="false" ma:default="3;#DfE|a484111e-5b24-4ad9-9778-c536c8c88985" ma:fieldId="{15181134-8839-47a9-9a38-d116ffff0102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181134883947a99a38d116ffff0006" ma:index="21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Contributor xmlns="01d2705b-266c-471f-bbad-ca9cc3733704">
      <UserInfo>
        <DisplayName/>
        <AccountId xsi:nil="true"/>
        <AccountType/>
      </UserInfo>
    </IWPContributor>
    <Comments xmlns="http://schemas.microsoft.com/sharepoint/v3" xsi:nil="true"/>
    <TaxCatchAll xmlns="4259d123-e6a2-4a39-9cc4-e247171b8278">
      <Value>3</Value>
      <Value>100</Value>
      <Value>1</Value>
    </TaxCatchAll>
    <_dlc_DocId xmlns="4259d123-e6a2-4a39-9cc4-e247171b8278">HKPH4XM4QHZ4-1883831546-33131</_dlc_DocId>
    <_dlc_DocIdUrl xmlns="4259d123-e6a2-4a39-9cc4-e247171b8278">
      <Url>https://educationgovuk.sharepoint.com/sites/ttg/d/_layouts/15/DocIdRedir.aspx?ID=HKPH4XM4QHZ4-1883831546-33131</Url>
      <Description>HKPH4XM4QHZ4-1883831546-33131</Description>
    </_dlc_DocIdUrl>
    <fcfa2e3a102f492eb9989c5396408ed9 xmlns="4259d123-e6a2-4a39-9cc4-e247171b8278">
      <Terms xmlns="http://schemas.microsoft.com/office/infopath/2007/PartnerControls"/>
    </fcfa2e3a102f492eb9989c5396408ed9>
    <ce5af11cf85042fda4c4f1f7f633f15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e5af11cf85042fda4c4f1f7f633f15b>
    <ba8d4f2c4b764194bae6c355bbdcc1eb xmlns="4259d123-e6a2-4a39-9cc4-e247171b82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Teachers’ Pensions Team</TermName>
          <TermId xmlns="http://schemas.microsoft.com/office/infopath/2007/PartnerControls">b50531d8-7efc-4e04-b305-bf0d23eef1ba</TermId>
        </TermInfo>
      </Terms>
    </ba8d4f2c4b764194bae6c355bbdcc1eb>
    <_vti_ItemDeclaredRecord xmlns="http://schemas.microsoft.com/sharepoint/v3" xsi:nil="true"/>
    <b11dec6ce0c448c0844aaa6ccb665a34 xmlns="4259d123-e6a2-4a39-9cc4-e247171b8278">
      <Terms xmlns="http://schemas.microsoft.com/office/infopath/2007/PartnerControls"/>
    </b11dec6ce0c448c0844aaa6ccb665a34>
    <h5181134883947a99a38d116ffff0102 xmlns="9f3f92a8-473c-4608-bac3-6eb86d9351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h5181134883947a99a38d116ffff0102>
    <h5181134883947a99a38d116ffff0006 xmlns="9f3f92a8-473c-4608-bac3-6eb86d935198">
      <Terms xmlns="http://schemas.microsoft.com/office/infopath/2007/PartnerControls"/>
    </h5181134883947a99a38d116ffff0006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FB7A-2D05-498B-8F31-979E3C67A1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57559-AA6F-4B39-84B3-CCB57189E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9d123-e6a2-4a39-9cc4-e247171b8278"/>
    <ds:schemaRef ds:uri="01d2705b-266c-471f-bbad-ca9cc3733704"/>
    <ds:schemaRef ds:uri="9f3f92a8-473c-4608-bac3-6eb86d935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3523-D2FC-4011-82D0-C844F3C4CEA9}">
  <ds:schemaRefs>
    <ds:schemaRef ds:uri="http://schemas.microsoft.com/office/2006/metadata/properties"/>
    <ds:schemaRef ds:uri="http://schemas.microsoft.com/office/infopath/2007/PartnerControls"/>
    <ds:schemaRef ds:uri="01d2705b-266c-471f-bbad-ca9cc3733704"/>
    <ds:schemaRef ds:uri="http://schemas.microsoft.com/sharepoint/v3"/>
    <ds:schemaRef ds:uri="4259d123-e6a2-4a39-9cc4-e247171b8278"/>
    <ds:schemaRef ds:uri="9f3f92a8-473c-4608-bac3-6eb86d935198"/>
  </ds:schemaRefs>
</ds:datastoreItem>
</file>

<file path=customXml/itemProps5.xml><?xml version="1.0" encoding="utf-8"?>
<ds:datastoreItem xmlns:ds="http://schemas.openxmlformats.org/officeDocument/2006/customXml" ds:itemID="{6A8ED834-71ED-4727-8CA1-5D8DD556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 with amends from SC, SB, MR,DH final check to MR</vt:lpstr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with amends from SC, SB, MR,DH final check to MR</dc:title>
  <dc:creator>CAMMACK, Karen</dc:creator>
  <cp:lastModifiedBy>LAUNDY, Fiona</cp:lastModifiedBy>
  <cp:revision>4</cp:revision>
  <cp:lastPrinted>2016-09-16T09:28:00Z</cp:lastPrinted>
  <dcterms:created xsi:type="dcterms:W3CDTF">2017-02-06T11:25:00Z</dcterms:created>
  <dcterms:modified xsi:type="dcterms:W3CDTF">2017-02-06T11:35:00Z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0x0101004C0CEC24BA925D4599EEE9FC09FB56F1</vt:lpwstr>
  </property>
  <property fmtid="{D5CDD505-2E9C-101B-9397-08002B2CF9AE}" pid="3" name="_dlc_DocIdItemGuid">
    <vt:lpwstr>e183ba38-799b-4390-b5a5-cec3fed5aec5</vt:lpwstr>
  </property>
  <property fmtid="{D5CDD505-2E9C-101B-9397-08002B2CF9AE}" pid="4" name="IWPOrganisationalUnit">
    <vt:lpwstr>100;#Teachers’ Pensions Team|b50531d8-7efc-4e04-b305-bf0d23eef1ba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</Properties>
</file>