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13ED" w14:textId="77777777" w:rsidR="00794BF4" w:rsidRDefault="00794BF4" w:rsidP="00305937">
      <w:pPr>
        <w:pStyle w:val="DeptBullets"/>
        <w:numPr>
          <w:ilvl w:val="0"/>
          <w:numId w:val="0"/>
        </w:numPr>
        <w:jc w:val="center"/>
        <w:rPr>
          <w:b/>
        </w:rPr>
      </w:pPr>
      <w:r>
        <w:rPr>
          <w:b/>
        </w:rPr>
        <w:t>Managing Risk and Internal Controls Sub-Com</w:t>
      </w:r>
      <w:r w:rsidR="00B27CDF">
        <w:rPr>
          <w:b/>
        </w:rPr>
        <w:t xml:space="preserve"> </w:t>
      </w:r>
      <w:r>
        <w:rPr>
          <w:b/>
        </w:rPr>
        <w:t>Board Meeting</w:t>
      </w:r>
      <w:r w:rsidR="0078546A">
        <w:rPr>
          <w:b/>
        </w:rPr>
        <w:t>:</w:t>
      </w:r>
      <w:r w:rsidR="00DE7B01">
        <w:rPr>
          <w:b/>
        </w:rPr>
        <w:t xml:space="preserve"> </w:t>
      </w:r>
    </w:p>
    <w:p w14:paraId="6B0C4DDA" w14:textId="77777777" w:rsidR="00305937" w:rsidRDefault="00794BF4" w:rsidP="00305937">
      <w:pPr>
        <w:pStyle w:val="DeptBullets"/>
        <w:numPr>
          <w:ilvl w:val="0"/>
          <w:numId w:val="0"/>
        </w:numPr>
        <w:jc w:val="center"/>
        <w:rPr>
          <w:b/>
        </w:rPr>
      </w:pPr>
      <w:r>
        <w:rPr>
          <w:b/>
        </w:rPr>
        <w:t>8</w:t>
      </w:r>
      <w:r w:rsidR="00B27CDF">
        <w:rPr>
          <w:b/>
        </w:rPr>
        <w:t xml:space="preserve"> </w:t>
      </w:r>
      <w:r>
        <w:rPr>
          <w:b/>
        </w:rPr>
        <w:t>November</w:t>
      </w:r>
      <w:r w:rsidR="00A52ADD">
        <w:rPr>
          <w:b/>
        </w:rPr>
        <w:t xml:space="preserve"> </w:t>
      </w:r>
      <w:r w:rsidR="00305937" w:rsidRPr="00305937">
        <w:rPr>
          <w:b/>
        </w:rPr>
        <w:t>201</w:t>
      </w:r>
      <w:r w:rsidR="00A52ADD">
        <w:rPr>
          <w:b/>
        </w:rPr>
        <w:t>6</w:t>
      </w:r>
    </w:p>
    <w:p w14:paraId="52138D78" w14:textId="77777777" w:rsidR="00305937" w:rsidRDefault="00305937" w:rsidP="00305937">
      <w:pPr>
        <w:pStyle w:val="DeptBullets"/>
        <w:numPr>
          <w:ilvl w:val="0"/>
          <w:numId w:val="0"/>
        </w:numPr>
        <w:jc w:val="center"/>
        <w:rPr>
          <w:b/>
        </w:rPr>
      </w:pPr>
      <w:r>
        <w:rPr>
          <w:b/>
        </w:rPr>
        <w:t>MINUTES</w:t>
      </w: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709"/>
        <w:gridCol w:w="4649"/>
        <w:gridCol w:w="567"/>
      </w:tblGrid>
      <w:tr w:rsidR="0090521C" w:rsidRPr="00C650B9" w14:paraId="65FEED6E" w14:textId="77777777" w:rsidTr="005D26C2">
        <w:tc>
          <w:tcPr>
            <w:tcW w:w="3148" w:type="dxa"/>
            <w:shd w:val="clear" w:color="auto" w:fill="F2F2F2" w:themeFill="background1" w:themeFillShade="F2"/>
          </w:tcPr>
          <w:p w14:paraId="53271660" w14:textId="77777777" w:rsidR="0090521C" w:rsidRPr="00D6385F" w:rsidRDefault="0090521C" w:rsidP="005675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  <w:r w:rsidRPr="00D6385F">
              <w:rPr>
                <w:b/>
                <w:szCs w:val="24"/>
              </w:rPr>
              <w:t>Present: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923C4A" w14:textId="77777777" w:rsidR="0090521C" w:rsidRPr="00D6385F" w:rsidRDefault="0090521C" w:rsidP="005675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1FAD71" w14:textId="77777777" w:rsidR="0090521C" w:rsidRPr="00D6385F" w:rsidRDefault="00B20BD0" w:rsidP="0090521C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  <w:r w:rsidRPr="00D6385F">
              <w:rPr>
                <w:b/>
                <w:szCs w:val="24"/>
              </w:rPr>
              <w:t>Also Attending 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4D7142" w14:textId="77777777" w:rsidR="0090521C" w:rsidRPr="00D6385F" w:rsidRDefault="0090521C" w:rsidP="005675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</w:tc>
      </w:tr>
      <w:tr w:rsidR="00C36C75" w:rsidRPr="00C650B9" w14:paraId="016DAA83" w14:textId="77777777" w:rsidTr="005D26C2">
        <w:tc>
          <w:tcPr>
            <w:tcW w:w="3148" w:type="dxa"/>
          </w:tcPr>
          <w:p w14:paraId="7FE789EC" w14:textId="77777777" w:rsidR="00C36C75" w:rsidRPr="00D6385F" w:rsidRDefault="0077566B" w:rsidP="00257CEE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David Butcher</w:t>
            </w:r>
            <w:r w:rsidR="00976C11">
              <w:rPr>
                <w:szCs w:val="24"/>
              </w:rPr>
              <w:t xml:space="preserve"> (Employer Representative)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A31153" w14:textId="77777777" w:rsidR="00C36C75" w:rsidRPr="00D6385F" w:rsidRDefault="0077566B" w:rsidP="00257CEE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DB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</w:tcBorders>
          </w:tcPr>
          <w:p w14:paraId="3ADCA140" w14:textId="77777777" w:rsidR="00C36C75" w:rsidRPr="00D6385F" w:rsidRDefault="00976C11" w:rsidP="00257CEE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>Keith Barker (Capita, TP – Senior Finance Manager) Guest Speaker</w:t>
            </w:r>
            <w:r w:rsidR="001063B0">
              <w:rPr>
                <w:szCs w:val="24"/>
              </w:rPr>
              <w:t>, agenda item 6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D22F715" w14:textId="77777777" w:rsidR="00C36C75" w:rsidRPr="00D6385F" w:rsidRDefault="00976C11" w:rsidP="00257CEE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rPr>
                <w:szCs w:val="24"/>
              </w:rPr>
              <w:t>KB</w:t>
            </w:r>
          </w:p>
        </w:tc>
      </w:tr>
      <w:tr w:rsidR="00976C11" w:rsidRPr="00C650B9" w14:paraId="2571544D" w14:textId="77777777" w:rsidTr="005D26C2">
        <w:tc>
          <w:tcPr>
            <w:tcW w:w="3148" w:type="dxa"/>
          </w:tcPr>
          <w:p w14:paraId="67331ACF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Jerry Glazier (Chair</w:t>
            </w:r>
            <w:r>
              <w:rPr>
                <w:szCs w:val="24"/>
              </w:rPr>
              <w:t xml:space="preserve"> – Member Representative</w:t>
            </w:r>
            <w:r w:rsidRPr="00D6385F">
              <w:rPr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987262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JG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</w:tcBorders>
          </w:tcPr>
          <w:p w14:paraId="2968F038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Sue Crane (DfE - Senior Contract Manager)</w:t>
            </w:r>
            <w:r>
              <w:rPr>
                <w:szCs w:val="24"/>
              </w:rPr>
              <w:t xml:space="preserve"> - Observer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9D46D49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SC</w:t>
            </w:r>
          </w:p>
        </w:tc>
      </w:tr>
      <w:tr w:rsidR="00976C11" w:rsidRPr="00C650B9" w14:paraId="5889F8FB" w14:textId="77777777" w:rsidTr="005D26C2">
        <w:tc>
          <w:tcPr>
            <w:tcW w:w="3148" w:type="dxa"/>
          </w:tcPr>
          <w:p w14:paraId="07BBCC18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Lee Probert</w:t>
            </w:r>
            <w:r>
              <w:rPr>
                <w:szCs w:val="24"/>
              </w:rPr>
              <w:t xml:space="preserve"> (Employer Representative)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915816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LP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13A4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David Heslop (Capita TP</w:t>
            </w:r>
            <w:r>
              <w:rPr>
                <w:szCs w:val="24"/>
              </w:rPr>
              <w:t>, Director</w:t>
            </w:r>
            <w:r w:rsidRPr="00D6385F">
              <w:rPr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7A3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DH</w:t>
            </w:r>
          </w:p>
        </w:tc>
      </w:tr>
      <w:tr w:rsidR="00976C11" w:rsidRPr="00C650B9" w14:paraId="54C47D56" w14:textId="77777777" w:rsidTr="005D26C2">
        <w:tc>
          <w:tcPr>
            <w:tcW w:w="3148" w:type="dxa"/>
          </w:tcPr>
          <w:p w14:paraId="40219D2F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Alice Robinson</w:t>
            </w:r>
            <w:r>
              <w:rPr>
                <w:szCs w:val="24"/>
              </w:rPr>
              <w:t xml:space="preserve"> (Member Representative)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97F268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AR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3EC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Deborah Knight (DfE – Finance Manager)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D0A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DK</w:t>
            </w:r>
          </w:p>
        </w:tc>
      </w:tr>
      <w:tr w:rsidR="00976C11" w:rsidRPr="00C650B9" w14:paraId="2474B076" w14:textId="77777777" w:rsidTr="005D26C2">
        <w:tc>
          <w:tcPr>
            <w:tcW w:w="3148" w:type="dxa"/>
          </w:tcPr>
          <w:p w14:paraId="11092AE1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David Wilkinson</w:t>
            </w:r>
            <w:r>
              <w:rPr>
                <w:szCs w:val="24"/>
              </w:rPr>
              <w:t xml:space="preserve"> (</w:t>
            </w:r>
            <w:r w:rsidR="005D26C2">
              <w:rPr>
                <w:szCs w:val="24"/>
              </w:rPr>
              <w:t>Employer Representative)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BEBD07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DW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D5D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Fiona Laundy (DfE – Secretariat)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EFE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FL</w:t>
            </w:r>
          </w:p>
        </w:tc>
      </w:tr>
      <w:tr w:rsidR="00976C11" w:rsidRPr="00C650B9" w14:paraId="44CC835B" w14:textId="77777777" w:rsidTr="005D26C2">
        <w:tc>
          <w:tcPr>
            <w:tcW w:w="3148" w:type="dxa"/>
          </w:tcPr>
          <w:p w14:paraId="2BA25C76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C1DA2F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335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Peter Springhall (DfE Senior Finance Manager)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2B1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szCs w:val="24"/>
              </w:rPr>
              <w:t>PS</w:t>
            </w:r>
          </w:p>
        </w:tc>
      </w:tr>
      <w:tr w:rsidR="00976C11" w:rsidRPr="00C650B9" w14:paraId="213DE7B1" w14:textId="77777777" w:rsidTr="00794BF4">
        <w:trPr>
          <w:trHeight w:val="391"/>
        </w:trPr>
        <w:tc>
          <w:tcPr>
            <w:tcW w:w="907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D818D7" w14:textId="77777777" w:rsidR="00976C11" w:rsidRPr="00D6385F" w:rsidRDefault="00976C11" w:rsidP="00976C11">
            <w:pPr>
              <w:pStyle w:val="DeptBullets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 w:rsidRPr="00D6385F">
              <w:rPr>
                <w:b/>
                <w:szCs w:val="24"/>
              </w:rPr>
              <w:t>Apologies :</w:t>
            </w:r>
          </w:p>
        </w:tc>
      </w:tr>
    </w:tbl>
    <w:p w14:paraId="5EEE473E" w14:textId="77777777" w:rsidR="00567597" w:rsidRDefault="00567597" w:rsidP="00305937">
      <w:pPr>
        <w:pStyle w:val="DeptBullets"/>
        <w:numPr>
          <w:ilvl w:val="0"/>
          <w:numId w:val="0"/>
        </w:numPr>
        <w:jc w:val="center"/>
        <w:rPr>
          <w:b/>
        </w:rPr>
      </w:pP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6379"/>
        <w:gridCol w:w="1530"/>
      </w:tblGrid>
      <w:tr w:rsidR="00305937" w:rsidRPr="008E7553" w14:paraId="7EF243C5" w14:textId="77777777" w:rsidTr="00F86059">
        <w:tc>
          <w:tcPr>
            <w:tcW w:w="1164" w:type="dxa"/>
            <w:shd w:val="clear" w:color="auto" w:fill="F2F2F2" w:themeFill="background1" w:themeFillShade="F2"/>
          </w:tcPr>
          <w:p w14:paraId="762FFC79" w14:textId="77777777" w:rsidR="00305937" w:rsidRPr="008E7553" w:rsidRDefault="00305937" w:rsidP="00305937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9F59DD4" w14:textId="77777777" w:rsidR="00305937" w:rsidRPr="008E7553" w:rsidRDefault="00305937" w:rsidP="00305937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8E7553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EB488D5" w14:textId="77777777" w:rsidR="00305937" w:rsidRPr="008E7553" w:rsidRDefault="00305937" w:rsidP="00305937">
            <w:pPr>
              <w:pStyle w:val="Dept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8E7553">
              <w:rPr>
                <w:b/>
                <w:sz w:val="22"/>
                <w:szCs w:val="22"/>
              </w:rPr>
              <w:t>Action</w:t>
            </w:r>
          </w:p>
        </w:tc>
      </w:tr>
      <w:tr w:rsidR="00305937" w:rsidRPr="008E7553" w14:paraId="3D1EC10B" w14:textId="77777777" w:rsidTr="00F86059">
        <w:tc>
          <w:tcPr>
            <w:tcW w:w="1164" w:type="dxa"/>
          </w:tcPr>
          <w:p w14:paraId="2F1EC817" w14:textId="77777777" w:rsidR="00305937" w:rsidRPr="00D22000" w:rsidRDefault="00BC2909" w:rsidP="00BC290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22000">
              <w:rPr>
                <w:sz w:val="22"/>
                <w:szCs w:val="22"/>
              </w:rPr>
              <w:t>Agenda item 1</w:t>
            </w:r>
          </w:p>
        </w:tc>
        <w:tc>
          <w:tcPr>
            <w:tcW w:w="6379" w:type="dxa"/>
          </w:tcPr>
          <w:p w14:paraId="4AEEE702" w14:textId="77777777" w:rsidR="00D6385F" w:rsidRDefault="00CA5A10" w:rsidP="00D6385F">
            <w:pPr>
              <w:rPr>
                <w:rStyle w:val="Emphasis"/>
                <w:b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 xml:space="preserve">Attendance / apologies </w:t>
            </w:r>
          </w:p>
          <w:p w14:paraId="4A210A99" w14:textId="77777777" w:rsidR="00D6385F" w:rsidRDefault="00951580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The Chair </w:t>
            </w:r>
            <w:r w:rsidR="000119E4">
              <w:rPr>
                <w:rStyle w:val="Emphasis"/>
                <w:i w:val="0"/>
              </w:rPr>
              <w:t xml:space="preserve">welcomed </w:t>
            </w:r>
            <w:r>
              <w:rPr>
                <w:rStyle w:val="Emphasis"/>
                <w:i w:val="0"/>
              </w:rPr>
              <w:t xml:space="preserve">the Board </w:t>
            </w:r>
            <w:r w:rsidR="00D6385F">
              <w:rPr>
                <w:rStyle w:val="Emphasis"/>
                <w:i w:val="0"/>
              </w:rPr>
              <w:t xml:space="preserve">and </w:t>
            </w:r>
            <w:r w:rsidR="000119E4">
              <w:rPr>
                <w:rStyle w:val="Emphasis"/>
                <w:i w:val="0"/>
              </w:rPr>
              <w:t xml:space="preserve">thanked </w:t>
            </w:r>
            <w:r w:rsidR="00BD465B">
              <w:rPr>
                <w:rStyle w:val="Emphasis"/>
                <w:i w:val="0"/>
              </w:rPr>
              <w:t>TP</w:t>
            </w:r>
            <w:r w:rsidR="00D6385F">
              <w:rPr>
                <w:rStyle w:val="Emphasis"/>
                <w:i w:val="0"/>
              </w:rPr>
              <w:t xml:space="preserve"> / DfE colleagues for </w:t>
            </w:r>
            <w:r w:rsidR="005D26C2">
              <w:rPr>
                <w:rStyle w:val="Emphasis"/>
                <w:i w:val="0"/>
              </w:rPr>
              <w:t>arranging the meeting</w:t>
            </w:r>
            <w:r w:rsidR="00D6385F">
              <w:rPr>
                <w:rStyle w:val="Emphasis"/>
                <w:i w:val="0"/>
              </w:rPr>
              <w:t xml:space="preserve">. </w:t>
            </w:r>
          </w:p>
          <w:p w14:paraId="70A0655F" w14:textId="77777777" w:rsidR="00D6385F" w:rsidRPr="00D6385F" w:rsidRDefault="00CA5A10" w:rsidP="00D6385F">
            <w:pPr>
              <w:rPr>
                <w:rStyle w:val="Emphasis"/>
                <w:b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 xml:space="preserve"> </w:t>
            </w:r>
          </w:p>
          <w:p w14:paraId="545DECE4" w14:textId="77777777" w:rsidR="005D26C2" w:rsidRDefault="00D6385F" w:rsidP="005D26C2">
            <w:pPr>
              <w:rPr>
                <w:rStyle w:val="Emphasis"/>
                <w:i w:val="0"/>
              </w:rPr>
            </w:pPr>
            <w:r w:rsidRPr="00D6385F">
              <w:rPr>
                <w:rStyle w:val="Emphasis"/>
                <w:i w:val="0"/>
              </w:rPr>
              <w:t>The Chair expressed a preference</w:t>
            </w:r>
            <w:r w:rsidR="00CA5A10" w:rsidRPr="00D6385F">
              <w:rPr>
                <w:rStyle w:val="Emphasis"/>
                <w:i w:val="0"/>
              </w:rPr>
              <w:t xml:space="preserve"> to overse</w:t>
            </w:r>
            <w:r w:rsidR="00006C8A" w:rsidRPr="00D6385F">
              <w:rPr>
                <w:rStyle w:val="Emphasis"/>
                <w:i w:val="0"/>
              </w:rPr>
              <w:t>e</w:t>
            </w:r>
            <w:r w:rsidR="00CA5A10" w:rsidRPr="00D6385F">
              <w:rPr>
                <w:rStyle w:val="Emphasis"/>
                <w:i w:val="0"/>
              </w:rPr>
              <w:t xml:space="preserve"> and </w:t>
            </w:r>
            <w:r w:rsidR="0086216B">
              <w:rPr>
                <w:rStyle w:val="Emphasis"/>
                <w:i w:val="0"/>
              </w:rPr>
              <w:t>consider</w:t>
            </w:r>
            <w:r w:rsidR="0086216B" w:rsidRPr="00D6385F">
              <w:rPr>
                <w:rStyle w:val="Emphasis"/>
                <w:i w:val="0"/>
              </w:rPr>
              <w:t xml:space="preserve"> </w:t>
            </w:r>
            <w:r w:rsidR="00CA5A10" w:rsidRPr="00D6385F">
              <w:rPr>
                <w:rStyle w:val="Emphasis"/>
                <w:i w:val="0"/>
              </w:rPr>
              <w:t xml:space="preserve">agenda items individually by discussing and determining responsibilities between Board members and TP. </w:t>
            </w:r>
          </w:p>
          <w:p w14:paraId="3255B893" w14:textId="77777777" w:rsidR="005D26C2" w:rsidRPr="00D6385F" w:rsidRDefault="005D26C2" w:rsidP="005D26C2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1D96BFC3" w14:textId="77777777" w:rsidR="00567597" w:rsidRPr="000D78B1" w:rsidRDefault="00567597" w:rsidP="003B4DAA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3B4765F2" w14:textId="77777777" w:rsidR="00E96F51" w:rsidRPr="000D78B1" w:rsidRDefault="00E96F51" w:rsidP="004E7B3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</w:tr>
      <w:tr w:rsidR="00C36C75" w:rsidRPr="008E7553" w14:paraId="670B8DBE" w14:textId="77777777" w:rsidTr="00F86059">
        <w:tc>
          <w:tcPr>
            <w:tcW w:w="1164" w:type="dxa"/>
          </w:tcPr>
          <w:p w14:paraId="5FE08B73" w14:textId="77777777" w:rsidR="00C36C75" w:rsidRPr="00D22000" w:rsidRDefault="00C36C75" w:rsidP="00DB7C6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D22000">
              <w:rPr>
                <w:sz w:val="22"/>
                <w:szCs w:val="22"/>
              </w:rPr>
              <w:t xml:space="preserve">Agenda item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4452AD6B" w14:textId="77777777" w:rsidR="005E0B73" w:rsidRPr="00D6385F" w:rsidRDefault="00CA5A10" w:rsidP="00D6385F">
            <w:pPr>
              <w:rPr>
                <w:rStyle w:val="Emphasis"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>Review Fin</w:t>
            </w:r>
            <w:r w:rsidR="00D6385F">
              <w:rPr>
                <w:rStyle w:val="Emphasis"/>
                <w:b/>
                <w:i w:val="0"/>
              </w:rPr>
              <w:t>ance, Risk and Audit Narrative R</w:t>
            </w:r>
            <w:r w:rsidRPr="00D6385F">
              <w:rPr>
                <w:rStyle w:val="Emphasis"/>
                <w:b/>
                <w:i w:val="0"/>
              </w:rPr>
              <w:t>eport</w:t>
            </w:r>
            <w:r w:rsidRPr="00D6385F">
              <w:rPr>
                <w:rStyle w:val="Emphasis"/>
                <w:i w:val="0"/>
              </w:rPr>
              <w:t xml:space="preserve"> </w:t>
            </w:r>
          </w:p>
          <w:p w14:paraId="32D3B844" w14:textId="77777777" w:rsidR="00157EC3" w:rsidRDefault="00951580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The Chair requested TP colleagues to highlight risk areas of the report. </w:t>
            </w:r>
            <w:r w:rsidR="00157EC3">
              <w:rPr>
                <w:rStyle w:val="Emphasis"/>
                <w:i w:val="0"/>
              </w:rPr>
              <w:t>PS highlighted that the</w:t>
            </w:r>
            <w:r>
              <w:rPr>
                <w:rStyle w:val="Emphasis"/>
                <w:i w:val="0"/>
              </w:rPr>
              <w:t xml:space="preserve"> outstanding</w:t>
            </w:r>
            <w:r w:rsidR="00157EC3">
              <w:rPr>
                <w:rStyle w:val="Emphasis"/>
                <w:i w:val="0"/>
              </w:rPr>
              <w:t xml:space="preserve"> debt </w:t>
            </w:r>
            <w:r>
              <w:rPr>
                <w:rStyle w:val="Emphasis"/>
                <w:i w:val="0"/>
              </w:rPr>
              <w:t xml:space="preserve">owed by scheme members has increased due to the ongoing re-marriage declaration exercise. </w:t>
            </w:r>
          </w:p>
          <w:p w14:paraId="7F50CCBC" w14:textId="77777777" w:rsidR="00951580" w:rsidRDefault="00951580" w:rsidP="00D6385F">
            <w:pPr>
              <w:rPr>
                <w:rStyle w:val="Emphasis"/>
                <w:i w:val="0"/>
              </w:rPr>
            </w:pPr>
          </w:p>
          <w:p w14:paraId="59CB45CD" w14:textId="77777777" w:rsidR="00916B7C" w:rsidRPr="00D6385F" w:rsidRDefault="00951580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PS </w:t>
            </w:r>
            <w:r w:rsidR="00157EC3">
              <w:rPr>
                <w:rStyle w:val="Emphasis"/>
                <w:i w:val="0"/>
              </w:rPr>
              <w:t>assured Board members that the</w:t>
            </w:r>
            <w:r w:rsidR="00657476">
              <w:rPr>
                <w:rStyle w:val="Emphasis"/>
                <w:i w:val="0"/>
              </w:rPr>
              <w:t xml:space="preserve">re are no concerns </w:t>
            </w:r>
            <w:r w:rsidR="001063B0">
              <w:rPr>
                <w:rStyle w:val="Emphasis"/>
                <w:i w:val="0"/>
              </w:rPr>
              <w:t xml:space="preserve">regarding wider </w:t>
            </w:r>
            <w:r w:rsidR="00157EC3">
              <w:rPr>
                <w:rStyle w:val="Emphasis"/>
                <w:i w:val="0"/>
              </w:rPr>
              <w:t xml:space="preserve">debt control </w:t>
            </w:r>
            <w:r w:rsidR="001063B0">
              <w:rPr>
                <w:rStyle w:val="Emphasis"/>
                <w:i w:val="0"/>
              </w:rPr>
              <w:t xml:space="preserve">as </w:t>
            </w:r>
            <w:r w:rsidR="00BB0A9F">
              <w:rPr>
                <w:rStyle w:val="Emphasis"/>
                <w:i w:val="0"/>
              </w:rPr>
              <w:t xml:space="preserve">a </w:t>
            </w:r>
            <w:r w:rsidR="001063B0">
              <w:rPr>
                <w:rStyle w:val="Emphasis"/>
                <w:i w:val="0"/>
              </w:rPr>
              <w:t>result of this specific exercise</w:t>
            </w:r>
            <w:r w:rsidR="0086216B">
              <w:rPr>
                <w:rStyle w:val="Emphasis"/>
                <w:i w:val="0"/>
              </w:rPr>
              <w:t>,</w:t>
            </w:r>
            <w:r w:rsidR="001063B0">
              <w:rPr>
                <w:rStyle w:val="Emphasis"/>
                <w:i w:val="0"/>
              </w:rPr>
              <w:t xml:space="preserve"> </w:t>
            </w:r>
            <w:r w:rsidR="00157EC3">
              <w:rPr>
                <w:rStyle w:val="Emphasis"/>
                <w:i w:val="0"/>
              </w:rPr>
              <w:t xml:space="preserve">and that TP is actively </w:t>
            </w:r>
            <w:r>
              <w:rPr>
                <w:rStyle w:val="Emphasis"/>
                <w:i w:val="0"/>
              </w:rPr>
              <w:t xml:space="preserve">working with members to </w:t>
            </w:r>
            <w:r w:rsidR="0016723E">
              <w:rPr>
                <w:rStyle w:val="Emphasis"/>
                <w:i w:val="0"/>
              </w:rPr>
              <w:t xml:space="preserve">recover the monies outright or via </w:t>
            </w:r>
            <w:r>
              <w:rPr>
                <w:rStyle w:val="Emphasis"/>
                <w:i w:val="0"/>
              </w:rPr>
              <w:t>repayment plans.</w:t>
            </w:r>
            <w:r w:rsidR="00157EC3">
              <w:rPr>
                <w:rStyle w:val="Emphasis"/>
                <w:i w:val="0"/>
              </w:rPr>
              <w:t xml:space="preserve"> </w:t>
            </w:r>
          </w:p>
          <w:p w14:paraId="6641ACE7" w14:textId="77777777" w:rsidR="00916B7C" w:rsidRPr="00D6385F" w:rsidRDefault="00916B7C" w:rsidP="00D6385F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0092F52F" w14:textId="77777777" w:rsidR="00851495" w:rsidRPr="00851495" w:rsidRDefault="00851495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20D4C8B2" w14:textId="77777777" w:rsidR="00091D5C" w:rsidRPr="00851495" w:rsidRDefault="00091D5C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1E24061F" w14:textId="77777777" w:rsidR="001249C9" w:rsidRPr="00851495" w:rsidRDefault="001249C9" w:rsidP="0022057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</w:tr>
      <w:tr w:rsidR="00B343B8" w:rsidRPr="008E7553" w14:paraId="10055B1D" w14:textId="77777777" w:rsidTr="00F86059">
        <w:tc>
          <w:tcPr>
            <w:tcW w:w="1164" w:type="dxa"/>
          </w:tcPr>
          <w:p w14:paraId="4149963E" w14:textId="77777777" w:rsidR="00B343B8" w:rsidRPr="008E7553" w:rsidRDefault="00FD3339" w:rsidP="0030593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 3</w:t>
            </w:r>
          </w:p>
        </w:tc>
        <w:tc>
          <w:tcPr>
            <w:tcW w:w="6379" w:type="dxa"/>
          </w:tcPr>
          <w:p w14:paraId="3F158D02" w14:textId="77777777" w:rsidR="00006C8A" w:rsidRDefault="00D6385F" w:rsidP="00E96F90">
            <w:pPr>
              <w:rPr>
                <w:rStyle w:val="Emphasis"/>
                <w:i w:val="0"/>
              </w:rPr>
            </w:pPr>
            <w:r>
              <w:rPr>
                <w:rStyle w:val="Emphasis"/>
                <w:b/>
                <w:i w:val="0"/>
              </w:rPr>
              <w:t>Review Scheme Strategic R</w:t>
            </w:r>
            <w:r w:rsidR="00CA5A10" w:rsidRPr="00D6385F">
              <w:rPr>
                <w:rStyle w:val="Emphasis"/>
                <w:b/>
                <w:i w:val="0"/>
              </w:rPr>
              <w:t>egister</w:t>
            </w:r>
            <w:r w:rsidR="00006C8A" w:rsidRPr="00D6385F">
              <w:rPr>
                <w:rStyle w:val="Emphasis"/>
                <w:i w:val="0"/>
              </w:rPr>
              <w:t xml:space="preserve"> </w:t>
            </w:r>
          </w:p>
          <w:p w14:paraId="38CF6051" w14:textId="77777777" w:rsidR="00DA20A2" w:rsidRDefault="00DA20A2" w:rsidP="00DA20A2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DH </w:t>
            </w:r>
            <w:r w:rsidRPr="00D6385F">
              <w:rPr>
                <w:rStyle w:val="Emphasis"/>
                <w:i w:val="0"/>
              </w:rPr>
              <w:t>advised that the new</w:t>
            </w:r>
            <w:r w:rsidR="003064F1">
              <w:rPr>
                <w:rStyle w:val="Emphasis"/>
                <w:i w:val="0"/>
              </w:rPr>
              <w:t xml:space="preserve"> structure and design of the register</w:t>
            </w:r>
            <w:r w:rsidRPr="00D6385F">
              <w:rPr>
                <w:rStyle w:val="Emphasis"/>
                <w:i w:val="0"/>
              </w:rPr>
              <w:t xml:space="preserve"> </w:t>
            </w:r>
            <w:proofErr w:type="gramStart"/>
            <w:r>
              <w:rPr>
                <w:rStyle w:val="Emphasis"/>
                <w:i w:val="0"/>
              </w:rPr>
              <w:t>has been developed</w:t>
            </w:r>
            <w:proofErr w:type="gramEnd"/>
            <w:r>
              <w:rPr>
                <w:rStyle w:val="Emphasis"/>
                <w:i w:val="0"/>
              </w:rPr>
              <w:t xml:space="preserve"> to</w:t>
            </w:r>
            <w:r w:rsidR="005D26C2">
              <w:rPr>
                <w:rStyle w:val="Emphasis"/>
                <w:i w:val="0"/>
              </w:rPr>
              <w:t xml:space="preserve"> improve</w:t>
            </w:r>
            <w:r w:rsidR="0086216B">
              <w:rPr>
                <w:rStyle w:val="Emphasis"/>
                <w:i w:val="0"/>
              </w:rPr>
              <w:t xml:space="preserve"> and</w:t>
            </w:r>
            <w:r w:rsidRPr="00D6385F">
              <w:rPr>
                <w:rStyle w:val="Emphasis"/>
                <w:i w:val="0"/>
              </w:rPr>
              <w:t xml:space="preserve"> </w:t>
            </w:r>
            <w:r w:rsidR="00BB0A9F">
              <w:rPr>
                <w:rStyle w:val="Emphasis"/>
                <w:i w:val="0"/>
              </w:rPr>
              <w:t>focus thinking on risk</w:t>
            </w:r>
            <w:r w:rsidR="00BD465B">
              <w:rPr>
                <w:rStyle w:val="Emphasis"/>
                <w:i w:val="0"/>
              </w:rPr>
              <w:t>-</w:t>
            </w:r>
            <w:r w:rsidR="00BB0A9F">
              <w:rPr>
                <w:rStyle w:val="Emphasis"/>
                <w:i w:val="0"/>
              </w:rPr>
              <w:t xml:space="preserve">specific mitigation.  The feedback from the sub-committee </w:t>
            </w:r>
            <w:r w:rsidR="00BA1E75">
              <w:rPr>
                <w:rStyle w:val="Emphasis"/>
                <w:i w:val="0"/>
              </w:rPr>
              <w:t xml:space="preserve">is that </w:t>
            </w:r>
            <w:r w:rsidR="00BB0A9F">
              <w:rPr>
                <w:rStyle w:val="Emphasis"/>
                <w:i w:val="0"/>
              </w:rPr>
              <w:t>this approach had resulted in a very clearly documented co</w:t>
            </w:r>
            <w:r w:rsidRPr="00D6385F">
              <w:rPr>
                <w:rStyle w:val="Emphasis"/>
                <w:i w:val="0"/>
              </w:rPr>
              <w:t xml:space="preserve">ntrol </w:t>
            </w:r>
            <w:proofErr w:type="gramStart"/>
            <w:r w:rsidR="00BB0A9F">
              <w:rPr>
                <w:rStyle w:val="Emphasis"/>
                <w:i w:val="0"/>
              </w:rPr>
              <w:t>framework which</w:t>
            </w:r>
            <w:proofErr w:type="gramEnd"/>
            <w:r w:rsidR="00BB0A9F">
              <w:rPr>
                <w:rStyle w:val="Emphasis"/>
                <w:i w:val="0"/>
              </w:rPr>
              <w:t xml:space="preserve"> </w:t>
            </w:r>
            <w:r>
              <w:rPr>
                <w:rStyle w:val="Emphasis"/>
                <w:i w:val="0"/>
              </w:rPr>
              <w:lastRenderedPageBreak/>
              <w:t>improve</w:t>
            </w:r>
            <w:r w:rsidR="00BA1E75">
              <w:rPr>
                <w:rStyle w:val="Emphasis"/>
                <w:i w:val="0"/>
              </w:rPr>
              <w:t>s</w:t>
            </w:r>
            <w:r>
              <w:rPr>
                <w:rStyle w:val="Emphasis"/>
                <w:i w:val="0"/>
              </w:rPr>
              <w:t xml:space="preserve"> horizon scanning.</w:t>
            </w:r>
          </w:p>
          <w:p w14:paraId="06AECE0F" w14:textId="77777777" w:rsidR="00657476" w:rsidRDefault="00657476" w:rsidP="00E96F90">
            <w:pPr>
              <w:rPr>
                <w:rStyle w:val="Emphasis"/>
                <w:i w:val="0"/>
              </w:rPr>
            </w:pPr>
          </w:p>
          <w:p w14:paraId="7B23C5A0" w14:textId="77777777" w:rsidR="00006C8A" w:rsidRPr="00D6385F" w:rsidRDefault="00DA20A2" w:rsidP="00E96F90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The Chair</w:t>
            </w:r>
            <w:r w:rsidR="00B77A55">
              <w:rPr>
                <w:rStyle w:val="Emphasis"/>
                <w:i w:val="0"/>
              </w:rPr>
              <w:t xml:space="preserve"> suggested linking risks </w:t>
            </w:r>
            <w:r w:rsidR="006602CE" w:rsidRPr="00D6385F">
              <w:rPr>
                <w:rStyle w:val="Emphasis"/>
                <w:i w:val="0"/>
              </w:rPr>
              <w:t>to</w:t>
            </w:r>
            <w:r w:rsidR="00B77A55">
              <w:rPr>
                <w:rStyle w:val="Emphasis"/>
                <w:i w:val="0"/>
              </w:rPr>
              <w:t xml:space="preserve"> sub-</w:t>
            </w:r>
            <w:r w:rsidR="00657476">
              <w:rPr>
                <w:rStyle w:val="Emphasis"/>
                <w:i w:val="0"/>
              </w:rPr>
              <w:t>groups (for example the sub-committee</w:t>
            </w:r>
            <w:r>
              <w:rPr>
                <w:rStyle w:val="Emphasis"/>
                <w:i w:val="0"/>
              </w:rPr>
              <w:t>s, Service D</w:t>
            </w:r>
            <w:r w:rsidR="00657476">
              <w:rPr>
                <w:rStyle w:val="Emphasis"/>
                <w:i w:val="0"/>
              </w:rPr>
              <w:t>elivery</w:t>
            </w:r>
            <w:r>
              <w:rPr>
                <w:rStyle w:val="Emphasis"/>
                <w:i w:val="0"/>
              </w:rPr>
              <w:t xml:space="preserve"> Board</w:t>
            </w:r>
            <w:r w:rsidR="00657476">
              <w:rPr>
                <w:rStyle w:val="Emphasis"/>
                <w:i w:val="0"/>
              </w:rPr>
              <w:t>,</w:t>
            </w:r>
            <w:r w:rsidR="006602CE" w:rsidRPr="00D6385F">
              <w:rPr>
                <w:rStyle w:val="Emphasis"/>
                <w:i w:val="0"/>
              </w:rPr>
              <w:t xml:space="preserve"> TPSPB</w:t>
            </w:r>
            <w:r w:rsidR="00657476">
              <w:rPr>
                <w:rStyle w:val="Emphasis"/>
                <w:i w:val="0"/>
              </w:rPr>
              <w:t xml:space="preserve">, etc.) </w:t>
            </w:r>
            <w:r w:rsidR="005D26C2">
              <w:rPr>
                <w:rStyle w:val="Emphasis"/>
                <w:i w:val="0"/>
              </w:rPr>
              <w:t xml:space="preserve"> </w:t>
            </w:r>
            <w:proofErr w:type="gramStart"/>
            <w:r w:rsidR="005D26C2">
              <w:rPr>
                <w:rStyle w:val="Emphasis"/>
                <w:i w:val="0"/>
              </w:rPr>
              <w:t>for</w:t>
            </w:r>
            <w:proofErr w:type="gramEnd"/>
            <w:r w:rsidR="005D26C2">
              <w:rPr>
                <w:rStyle w:val="Emphasis"/>
                <w:i w:val="0"/>
              </w:rPr>
              <w:t xml:space="preserve"> clarification of where each </w:t>
            </w:r>
            <w:r w:rsidR="003064F1">
              <w:rPr>
                <w:rStyle w:val="Emphasis"/>
                <w:i w:val="0"/>
              </w:rPr>
              <w:t>issue is linked</w:t>
            </w:r>
            <w:r w:rsidR="00B77A55">
              <w:rPr>
                <w:rStyle w:val="Emphasis"/>
                <w:i w:val="0"/>
              </w:rPr>
              <w:t xml:space="preserve">. </w:t>
            </w:r>
            <w:r w:rsidR="006602CE" w:rsidRPr="00D6385F">
              <w:rPr>
                <w:rStyle w:val="Emphasis"/>
                <w:i w:val="0"/>
              </w:rPr>
              <w:t xml:space="preserve"> </w:t>
            </w:r>
          </w:p>
          <w:p w14:paraId="26618376" w14:textId="77777777" w:rsidR="005E0B73" w:rsidRPr="00D6385F" w:rsidRDefault="005E0B73" w:rsidP="00E96F90">
            <w:pPr>
              <w:rPr>
                <w:rStyle w:val="Emphasis"/>
                <w:i w:val="0"/>
              </w:rPr>
            </w:pPr>
          </w:p>
          <w:p w14:paraId="05FD14EC" w14:textId="77777777" w:rsidR="005E0B73" w:rsidRDefault="00E96F90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LP queried </w:t>
            </w:r>
            <w:r w:rsidR="00DA20A2">
              <w:rPr>
                <w:rStyle w:val="Emphasis"/>
                <w:i w:val="0"/>
              </w:rPr>
              <w:t xml:space="preserve">how TP determine actions / owners between DfE and </w:t>
            </w:r>
            <w:r w:rsidR="00BD465B">
              <w:rPr>
                <w:rStyle w:val="Emphasis"/>
                <w:i w:val="0"/>
              </w:rPr>
              <w:t>TP</w:t>
            </w:r>
            <w:r w:rsidR="00DA20A2">
              <w:rPr>
                <w:rStyle w:val="Emphasis"/>
                <w:i w:val="0"/>
              </w:rPr>
              <w:t>.</w:t>
            </w:r>
            <w:r w:rsidR="005E0B73" w:rsidRPr="00D6385F">
              <w:rPr>
                <w:rStyle w:val="Emphasis"/>
                <w:i w:val="0"/>
              </w:rPr>
              <w:t xml:space="preserve"> DH assured </w:t>
            </w:r>
            <w:r w:rsidR="0086216B">
              <w:rPr>
                <w:rStyle w:val="Emphasis"/>
                <w:i w:val="0"/>
              </w:rPr>
              <w:t xml:space="preserve">the committee </w:t>
            </w:r>
            <w:r w:rsidR="005E0B73" w:rsidRPr="00D6385F">
              <w:rPr>
                <w:rStyle w:val="Emphasis"/>
                <w:i w:val="0"/>
              </w:rPr>
              <w:t xml:space="preserve">that </w:t>
            </w:r>
            <w:r w:rsidR="00DA20A2">
              <w:rPr>
                <w:rStyle w:val="Emphasis"/>
                <w:i w:val="0"/>
              </w:rPr>
              <w:t xml:space="preserve">risks are collective and </w:t>
            </w:r>
            <w:proofErr w:type="gramStart"/>
            <w:r w:rsidR="00DA20A2">
              <w:rPr>
                <w:rStyle w:val="Emphasis"/>
                <w:i w:val="0"/>
              </w:rPr>
              <w:t>are dealt with</w:t>
            </w:r>
            <w:proofErr w:type="gramEnd"/>
            <w:r w:rsidR="00DA20A2">
              <w:rPr>
                <w:rStyle w:val="Emphasis"/>
                <w:i w:val="0"/>
              </w:rPr>
              <w:t xml:space="preserve"> </w:t>
            </w:r>
            <w:r w:rsidR="0086216B">
              <w:rPr>
                <w:rStyle w:val="Emphasis"/>
                <w:i w:val="0"/>
              </w:rPr>
              <w:t xml:space="preserve">by </w:t>
            </w:r>
            <w:r w:rsidR="00DA20A2">
              <w:rPr>
                <w:rStyle w:val="Emphasis"/>
                <w:i w:val="0"/>
              </w:rPr>
              <w:t>a join</w:t>
            </w:r>
            <w:r w:rsidR="0086216B">
              <w:rPr>
                <w:rStyle w:val="Emphasis"/>
                <w:i w:val="0"/>
              </w:rPr>
              <w:t>ed-</w:t>
            </w:r>
            <w:r w:rsidR="00DA20A2">
              <w:rPr>
                <w:rStyle w:val="Emphasis"/>
                <w:i w:val="0"/>
              </w:rPr>
              <w:t>up approach.</w:t>
            </w:r>
            <w:r w:rsidR="005E0B73" w:rsidRPr="00D6385F">
              <w:rPr>
                <w:rStyle w:val="Emphasis"/>
                <w:i w:val="0"/>
              </w:rPr>
              <w:t xml:space="preserve"> </w:t>
            </w:r>
          </w:p>
          <w:p w14:paraId="5918470C" w14:textId="77777777" w:rsidR="00DA20A2" w:rsidRDefault="00DA20A2" w:rsidP="00D6385F">
            <w:pPr>
              <w:rPr>
                <w:rStyle w:val="Emphasis"/>
                <w:i w:val="0"/>
              </w:rPr>
            </w:pPr>
          </w:p>
          <w:p w14:paraId="136A82BC" w14:textId="77777777" w:rsidR="00DA20A2" w:rsidRPr="00D6385F" w:rsidRDefault="00394086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The Chair emphasised the importance of communication strategies between DfE and </w:t>
            </w:r>
            <w:r w:rsidR="00BD465B">
              <w:rPr>
                <w:rStyle w:val="Emphasis"/>
                <w:i w:val="0"/>
              </w:rPr>
              <w:t>TP</w:t>
            </w:r>
            <w:r>
              <w:rPr>
                <w:rStyle w:val="Emphasis"/>
                <w:i w:val="0"/>
              </w:rPr>
              <w:t xml:space="preserve"> outside of monthly and quarterly meetings. TP colleagues assured the Board that discussions and 1:1 meetings </w:t>
            </w:r>
            <w:proofErr w:type="gramStart"/>
            <w:r>
              <w:rPr>
                <w:rStyle w:val="Emphasis"/>
                <w:i w:val="0"/>
              </w:rPr>
              <w:t>are carried out</w:t>
            </w:r>
            <w:proofErr w:type="gramEnd"/>
            <w:r>
              <w:rPr>
                <w:rStyle w:val="Emphasis"/>
                <w:i w:val="0"/>
              </w:rPr>
              <w:t xml:space="preserve"> between colleagues </w:t>
            </w:r>
            <w:r w:rsidR="00BB0A9F">
              <w:rPr>
                <w:rStyle w:val="Emphasis"/>
                <w:i w:val="0"/>
              </w:rPr>
              <w:t>as business required</w:t>
            </w:r>
            <w:r w:rsidR="0086216B">
              <w:rPr>
                <w:rStyle w:val="Emphasis"/>
                <w:i w:val="0"/>
              </w:rPr>
              <w:t>,</w:t>
            </w:r>
            <w:r w:rsidR="00BB0A9F">
              <w:rPr>
                <w:rStyle w:val="Emphasis"/>
                <w:i w:val="0"/>
              </w:rPr>
              <w:t xml:space="preserve"> and this was sometimes </w:t>
            </w:r>
            <w:r>
              <w:rPr>
                <w:rStyle w:val="Emphasis"/>
                <w:i w:val="0"/>
              </w:rPr>
              <w:t xml:space="preserve">daily. </w:t>
            </w:r>
          </w:p>
          <w:p w14:paraId="782624EF" w14:textId="77777777" w:rsidR="00916B7C" w:rsidRDefault="00916B7C" w:rsidP="00D6385F">
            <w:pPr>
              <w:rPr>
                <w:rStyle w:val="Emphasis"/>
                <w:i w:val="0"/>
              </w:rPr>
            </w:pPr>
          </w:p>
          <w:p w14:paraId="6A63DF54" w14:textId="77777777" w:rsidR="00394086" w:rsidRDefault="00394086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The Board asked for clarification on how TP establish risks and what protocols are in place to tackle these. DH confirmed that </w:t>
            </w:r>
            <w:r w:rsidR="00815BD3">
              <w:rPr>
                <w:rStyle w:val="Emphasis"/>
                <w:i w:val="0"/>
              </w:rPr>
              <w:t xml:space="preserve">fundamentally TP determine </w:t>
            </w:r>
            <w:proofErr w:type="gramStart"/>
            <w:r w:rsidR="00815BD3">
              <w:rPr>
                <w:rStyle w:val="Emphasis"/>
                <w:i w:val="0"/>
              </w:rPr>
              <w:t>the cause, what the risk is and consequence</w:t>
            </w:r>
            <w:proofErr w:type="gramEnd"/>
            <w:r w:rsidR="00815BD3">
              <w:rPr>
                <w:rStyle w:val="Emphasis"/>
                <w:i w:val="0"/>
              </w:rPr>
              <w:t xml:space="preserve"> before implementing the control framework and </w:t>
            </w:r>
            <w:r w:rsidR="00600569">
              <w:rPr>
                <w:rStyle w:val="Emphasis"/>
                <w:i w:val="0"/>
              </w:rPr>
              <w:t xml:space="preserve">actions to resolve. </w:t>
            </w:r>
          </w:p>
          <w:p w14:paraId="147B991F" w14:textId="77777777" w:rsidR="00394086" w:rsidRDefault="00394086" w:rsidP="00D6385F">
            <w:pPr>
              <w:rPr>
                <w:rStyle w:val="Emphasis"/>
                <w:i w:val="0"/>
              </w:rPr>
            </w:pPr>
          </w:p>
          <w:p w14:paraId="64ADFA8C" w14:textId="77777777" w:rsidR="000119E4" w:rsidRDefault="0086216B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AR queried whether TP </w:t>
            </w:r>
            <w:r w:rsidR="003E6E48">
              <w:rPr>
                <w:rStyle w:val="Emphasis"/>
                <w:i w:val="0"/>
              </w:rPr>
              <w:t>record and categorise</w:t>
            </w:r>
            <w:r w:rsidR="000119E4">
              <w:rPr>
                <w:rStyle w:val="Emphasis"/>
                <w:i w:val="0"/>
              </w:rPr>
              <w:t xml:space="preserve"> internal and external </w:t>
            </w:r>
            <w:r w:rsidR="003E6E48">
              <w:rPr>
                <w:rStyle w:val="Emphasis"/>
                <w:i w:val="0"/>
              </w:rPr>
              <w:t>risks</w:t>
            </w:r>
            <w:r w:rsidR="00E342C4">
              <w:rPr>
                <w:rStyle w:val="Emphasis"/>
                <w:i w:val="0"/>
              </w:rPr>
              <w:t xml:space="preserve">. DH </w:t>
            </w:r>
            <w:r>
              <w:rPr>
                <w:rStyle w:val="Emphasis"/>
                <w:i w:val="0"/>
              </w:rPr>
              <w:t>confirmed</w:t>
            </w:r>
            <w:r w:rsidR="00E342C4">
              <w:rPr>
                <w:rStyle w:val="Emphasis"/>
                <w:i w:val="0"/>
              </w:rPr>
              <w:t xml:space="preserve"> that internal and external is </w:t>
            </w:r>
            <w:r w:rsidR="003E6E48">
              <w:rPr>
                <w:rStyle w:val="Emphasis"/>
                <w:i w:val="0"/>
              </w:rPr>
              <w:t xml:space="preserve">not categorised because of elements of risks linking the two.  </w:t>
            </w:r>
          </w:p>
          <w:p w14:paraId="0171C739" w14:textId="77777777" w:rsidR="003D4966" w:rsidRDefault="003D4966" w:rsidP="00D6385F">
            <w:pPr>
              <w:rPr>
                <w:rStyle w:val="Emphasis"/>
                <w:i w:val="0"/>
              </w:rPr>
            </w:pPr>
          </w:p>
          <w:p w14:paraId="04F47A93" w14:textId="77777777" w:rsidR="0089193B" w:rsidRPr="00D6385F" w:rsidRDefault="003D4966" w:rsidP="003D38C7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The Board challenged TP on </w:t>
            </w:r>
            <w:proofErr w:type="gramStart"/>
            <w:r>
              <w:rPr>
                <w:rStyle w:val="Emphasis"/>
                <w:i w:val="0"/>
              </w:rPr>
              <w:t>the risk register content and whether all risks had been included</w:t>
            </w:r>
            <w:proofErr w:type="gramEnd"/>
            <w:r>
              <w:rPr>
                <w:rStyle w:val="Emphasis"/>
                <w:i w:val="0"/>
              </w:rPr>
              <w:t xml:space="preserve">. PS </w:t>
            </w:r>
            <w:r w:rsidR="003D38C7">
              <w:rPr>
                <w:rStyle w:val="Emphasis"/>
                <w:i w:val="0"/>
              </w:rPr>
              <w:t xml:space="preserve">explained </w:t>
            </w:r>
            <w:r>
              <w:rPr>
                <w:rStyle w:val="Emphasis"/>
                <w:i w:val="0"/>
              </w:rPr>
              <w:t xml:space="preserve">that Second Bite PI has not yet been included on the register because TP has not yet determined how this assignment </w:t>
            </w:r>
            <w:proofErr w:type="gramStart"/>
            <w:r>
              <w:rPr>
                <w:rStyle w:val="Emphasis"/>
                <w:i w:val="0"/>
              </w:rPr>
              <w:t>will be implemented</w:t>
            </w:r>
            <w:proofErr w:type="gramEnd"/>
            <w:r>
              <w:rPr>
                <w:rStyle w:val="Emphasis"/>
                <w:i w:val="0"/>
              </w:rPr>
              <w:t>. DH assured the Board that workshops are taking place to determine how to proceed</w:t>
            </w:r>
            <w:r w:rsidR="0089193B">
              <w:rPr>
                <w:rStyle w:val="Emphasis"/>
                <w:i w:val="0"/>
              </w:rPr>
              <w:t xml:space="preserve"> and will inform the Board at the next </w:t>
            </w:r>
            <w:r w:rsidR="003064F1">
              <w:rPr>
                <w:rStyle w:val="Emphasis"/>
                <w:i w:val="0"/>
              </w:rPr>
              <w:t xml:space="preserve">meeting. </w:t>
            </w:r>
            <w:r w:rsidR="0089193B">
              <w:rPr>
                <w:rStyle w:val="Emphasis"/>
                <w:i w:val="0"/>
              </w:rPr>
              <w:t xml:space="preserve"> </w:t>
            </w:r>
            <w:r>
              <w:rPr>
                <w:rStyle w:val="Emphasis"/>
                <w:i w:val="0"/>
              </w:rPr>
              <w:t xml:space="preserve">  </w:t>
            </w:r>
          </w:p>
        </w:tc>
        <w:tc>
          <w:tcPr>
            <w:tcW w:w="1530" w:type="dxa"/>
          </w:tcPr>
          <w:p w14:paraId="320F1AF8" w14:textId="77777777" w:rsidR="00B01E7B" w:rsidRDefault="00B01E7B" w:rsidP="00E96F90"/>
          <w:p w14:paraId="088A5899" w14:textId="77777777" w:rsidR="005E0B73" w:rsidRDefault="005E0B73" w:rsidP="00E96F90"/>
          <w:p w14:paraId="3E75981F" w14:textId="77777777" w:rsidR="00951580" w:rsidRPr="00E96F90" w:rsidRDefault="00951580" w:rsidP="00E96F90">
            <w:pPr>
              <w:rPr>
                <w:b/>
                <w:sz w:val="22"/>
                <w:szCs w:val="22"/>
              </w:rPr>
            </w:pPr>
          </w:p>
          <w:p w14:paraId="4059B7BD" w14:textId="77777777" w:rsidR="00E96F90" w:rsidRDefault="00E96F90" w:rsidP="00E96F90">
            <w:pPr>
              <w:rPr>
                <w:b/>
                <w:sz w:val="22"/>
                <w:szCs w:val="22"/>
              </w:rPr>
            </w:pPr>
          </w:p>
          <w:p w14:paraId="4CEAA0FB" w14:textId="77777777" w:rsidR="00E96F90" w:rsidRDefault="00E96F90" w:rsidP="00E96F90">
            <w:pPr>
              <w:rPr>
                <w:b/>
                <w:sz w:val="22"/>
                <w:szCs w:val="22"/>
              </w:rPr>
            </w:pPr>
          </w:p>
          <w:p w14:paraId="602E966C" w14:textId="77777777" w:rsidR="00DA20A2" w:rsidRDefault="00DA20A2" w:rsidP="00E96F90">
            <w:pPr>
              <w:rPr>
                <w:b/>
                <w:sz w:val="22"/>
                <w:szCs w:val="22"/>
              </w:rPr>
            </w:pPr>
          </w:p>
          <w:p w14:paraId="764D93E2" w14:textId="77777777" w:rsidR="00DA20A2" w:rsidRDefault="00DA20A2" w:rsidP="00E96F90">
            <w:pPr>
              <w:rPr>
                <w:b/>
                <w:sz w:val="22"/>
                <w:szCs w:val="22"/>
              </w:rPr>
            </w:pPr>
          </w:p>
          <w:p w14:paraId="192F3F76" w14:textId="77777777" w:rsidR="00DA20A2" w:rsidRDefault="00DA20A2" w:rsidP="00E96F90">
            <w:pPr>
              <w:rPr>
                <w:b/>
                <w:sz w:val="22"/>
                <w:szCs w:val="22"/>
              </w:rPr>
            </w:pPr>
          </w:p>
          <w:p w14:paraId="44A25D2C" w14:textId="77777777" w:rsidR="005E0B73" w:rsidRDefault="005E0B73" w:rsidP="00E96F90">
            <w:pPr>
              <w:rPr>
                <w:b/>
                <w:sz w:val="22"/>
                <w:szCs w:val="22"/>
              </w:rPr>
            </w:pPr>
            <w:r w:rsidRPr="00E96F90">
              <w:rPr>
                <w:b/>
                <w:sz w:val="22"/>
                <w:szCs w:val="22"/>
              </w:rPr>
              <w:t>Action</w:t>
            </w:r>
          </w:p>
          <w:p w14:paraId="23DD2984" w14:textId="77777777" w:rsidR="0089193B" w:rsidRDefault="00BA1E75" w:rsidP="00E96F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MR1/081116</w:t>
            </w:r>
          </w:p>
          <w:p w14:paraId="768E8032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53D8F6CC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4580DB08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7B5FA376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1F0ED2BE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16B773A8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16DCA317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29695F88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4A82A465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10E9952E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6C0CBB0F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3F7114E0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703ABAE6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18210E7B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47354127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61113F0C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6DAC8CF1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0FA7F4BC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39649B73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63AC6BBC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68ADE6C8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727B7E8A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06B265F4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04FDF1D3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</w:p>
          <w:p w14:paraId="1D32D743" w14:textId="77777777" w:rsidR="003064F1" w:rsidRDefault="003064F1" w:rsidP="00E96F90">
            <w:pPr>
              <w:rPr>
                <w:b/>
                <w:sz w:val="22"/>
                <w:szCs w:val="22"/>
              </w:rPr>
            </w:pPr>
          </w:p>
          <w:p w14:paraId="4278F43D" w14:textId="77777777" w:rsidR="003554DA" w:rsidRDefault="003554DA" w:rsidP="00E96F90">
            <w:pPr>
              <w:rPr>
                <w:b/>
                <w:sz w:val="22"/>
                <w:szCs w:val="22"/>
              </w:rPr>
            </w:pPr>
          </w:p>
          <w:p w14:paraId="353EAC44" w14:textId="77777777" w:rsidR="003554DA" w:rsidRDefault="003554DA" w:rsidP="00E96F90">
            <w:pPr>
              <w:rPr>
                <w:b/>
                <w:sz w:val="22"/>
                <w:szCs w:val="22"/>
              </w:rPr>
            </w:pPr>
          </w:p>
          <w:p w14:paraId="406379F4" w14:textId="77777777" w:rsidR="003554DA" w:rsidRDefault="003554DA" w:rsidP="00E96F90">
            <w:pPr>
              <w:rPr>
                <w:b/>
                <w:sz w:val="22"/>
                <w:szCs w:val="22"/>
              </w:rPr>
            </w:pPr>
          </w:p>
          <w:p w14:paraId="434A69E5" w14:textId="77777777" w:rsidR="0086216B" w:rsidRDefault="0086216B" w:rsidP="00E96F90">
            <w:pPr>
              <w:rPr>
                <w:b/>
                <w:sz w:val="22"/>
                <w:szCs w:val="22"/>
              </w:rPr>
            </w:pPr>
          </w:p>
          <w:p w14:paraId="18CD5162" w14:textId="77777777" w:rsidR="0086216B" w:rsidRDefault="0086216B" w:rsidP="00E96F90">
            <w:pPr>
              <w:rPr>
                <w:b/>
                <w:sz w:val="22"/>
                <w:szCs w:val="22"/>
              </w:rPr>
            </w:pPr>
          </w:p>
          <w:p w14:paraId="17B7D241" w14:textId="77777777" w:rsidR="0086216B" w:rsidRDefault="0086216B" w:rsidP="00E96F90">
            <w:pPr>
              <w:rPr>
                <w:b/>
                <w:sz w:val="22"/>
                <w:szCs w:val="22"/>
              </w:rPr>
            </w:pPr>
          </w:p>
          <w:p w14:paraId="0209BD31" w14:textId="77777777" w:rsidR="0086216B" w:rsidRDefault="0086216B" w:rsidP="00E96F90">
            <w:pPr>
              <w:rPr>
                <w:b/>
                <w:sz w:val="22"/>
                <w:szCs w:val="22"/>
              </w:rPr>
            </w:pPr>
          </w:p>
          <w:p w14:paraId="4AABAF68" w14:textId="77777777" w:rsidR="0086216B" w:rsidRDefault="0086216B" w:rsidP="00E96F90">
            <w:pPr>
              <w:rPr>
                <w:b/>
                <w:sz w:val="22"/>
                <w:szCs w:val="22"/>
              </w:rPr>
            </w:pPr>
          </w:p>
          <w:p w14:paraId="377501E0" w14:textId="77777777" w:rsidR="0089193B" w:rsidRDefault="0089193B" w:rsidP="00E96F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Action </w:t>
            </w:r>
          </w:p>
          <w:p w14:paraId="1ED5B7BB" w14:textId="77777777" w:rsidR="0089193B" w:rsidRDefault="003554DA" w:rsidP="00E96F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MR2/081116</w:t>
            </w:r>
          </w:p>
          <w:p w14:paraId="07F6541C" w14:textId="77777777" w:rsidR="0089193B" w:rsidRPr="00E96F90" w:rsidRDefault="0089193B" w:rsidP="00E96F90">
            <w:pPr>
              <w:rPr>
                <w:b/>
                <w:sz w:val="22"/>
                <w:szCs w:val="22"/>
              </w:rPr>
            </w:pPr>
          </w:p>
        </w:tc>
      </w:tr>
      <w:tr w:rsidR="00D74774" w:rsidRPr="008E7553" w14:paraId="235345F0" w14:textId="77777777" w:rsidTr="00F86059">
        <w:tc>
          <w:tcPr>
            <w:tcW w:w="1164" w:type="dxa"/>
          </w:tcPr>
          <w:p w14:paraId="38853011" w14:textId="77777777" w:rsidR="00D74774" w:rsidRDefault="00D74774" w:rsidP="0030593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Agenda item 4</w:t>
            </w:r>
          </w:p>
        </w:tc>
        <w:tc>
          <w:tcPr>
            <w:tcW w:w="6379" w:type="dxa"/>
          </w:tcPr>
          <w:p w14:paraId="6891CF6B" w14:textId="77777777" w:rsidR="00B52F03" w:rsidRDefault="00D6385F" w:rsidP="00D6385F">
            <w:pPr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i w:val="0"/>
              </w:rPr>
              <w:t>Detailed Consideration of O</w:t>
            </w:r>
            <w:r w:rsidR="00CA5A10" w:rsidRPr="00D6385F">
              <w:rPr>
                <w:rStyle w:val="Emphasis"/>
                <w:b/>
                <w:i w:val="0"/>
              </w:rPr>
              <w:t xml:space="preserve">ne </w:t>
            </w:r>
            <w:r w:rsidR="006700D5">
              <w:rPr>
                <w:rStyle w:val="Emphasis"/>
                <w:b/>
                <w:i w:val="0"/>
              </w:rPr>
              <w:t>R</w:t>
            </w:r>
            <w:r w:rsidR="006700D5" w:rsidRPr="00D6385F">
              <w:rPr>
                <w:rStyle w:val="Emphasis"/>
                <w:b/>
                <w:i w:val="0"/>
              </w:rPr>
              <w:t>isk</w:t>
            </w:r>
            <w:r w:rsidR="006700D5">
              <w:rPr>
                <w:rStyle w:val="Emphasis"/>
                <w:b/>
                <w:i w:val="0"/>
              </w:rPr>
              <w:t>: -</w:t>
            </w:r>
            <w:r w:rsidR="0086216B">
              <w:rPr>
                <w:rStyle w:val="Emphasis"/>
                <w:b/>
                <w:i w:val="0"/>
              </w:rPr>
              <w:t xml:space="preserve"> ‘Qualification</w:t>
            </w:r>
            <w:r w:rsidR="00CA5A10" w:rsidRPr="00D6385F">
              <w:rPr>
                <w:rStyle w:val="Emphasis"/>
                <w:b/>
                <w:i w:val="0"/>
              </w:rPr>
              <w:t xml:space="preserve"> of Accounts’</w:t>
            </w:r>
          </w:p>
          <w:p w14:paraId="3CCF3482" w14:textId="77777777" w:rsidR="0016723E" w:rsidRPr="00F86059" w:rsidRDefault="0016723E" w:rsidP="00D6385F">
            <w:pPr>
              <w:rPr>
                <w:rStyle w:val="Emphasis"/>
                <w:i w:val="0"/>
              </w:rPr>
            </w:pPr>
            <w:r w:rsidRPr="00F86059">
              <w:rPr>
                <w:rStyle w:val="Emphasis"/>
                <w:i w:val="0"/>
              </w:rPr>
              <w:t xml:space="preserve">PS explained the systematic approach the risk committee had taken to understand the component </w:t>
            </w:r>
            <w:proofErr w:type="gramStart"/>
            <w:r w:rsidRPr="00F86059">
              <w:rPr>
                <w:rStyle w:val="Emphasis"/>
                <w:i w:val="0"/>
              </w:rPr>
              <w:t>events which</w:t>
            </w:r>
            <w:proofErr w:type="gramEnd"/>
            <w:r w:rsidRPr="00F86059">
              <w:rPr>
                <w:rStyle w:val="Emphasis"/>
                <w:i w:val="0"/>
              </w:rPr>
              <w:t xml:space="preserve"> m</w:t>
            </w:r>
            <w:r>
              <w:rPr>
                <w:rStyle w:val="Emphasis"/>
                <w:i w:val="0"/>
              </w:rPr>
              <w:t>a</w:t>
            </w:r>
            <w:r w:rsidRPr="00F86059">
              <w:rPr>
                <w:rStyle w:val="Emphasis"/>
                <w:i w:val="0"/>
              </w:rPr>
              <w:t xml:space="preserve">y result in qualification of accounts.  </w:t>
            </w:r>
            <w:r w:rsidR="00BB0A9F">
              <w:rPr>
                <w:rStyle w:val="Emphasis"/>
                <w:i w:val="0"/>
              </w:rPr>
              <w:t>Bringing other expertise into the discussion</w:t>
            </w:r>
            <w:r w:rsidR="0086216B">
              <w:rPr>
                <w:rStyle w:val="Emphasis"/>
                <w:i w:val="0"/>
              </w:rPr>
              <w:t>,</w:t>
            </w:r>
            <w:r w:rsidR="00BB0A9F">
              <w:rPr>
                <w:rStyle w:val="Emphasis"/>
                <w:i w:val="0"/>
              </w:rPr>
              <w:t xml:space="preserve"> and reviewing the rationale </w:t>
            </w:r>
            <w:r w:rsidR="0086216B">
              <w:rPr>
                <w:rStyle w:val="Emphasis"/>
                <w:i w:val="0"/>
              </w:rPr>
              <w:t xml:space="preserve">as to </w:t>
            </w:r>
            <w:r w:rsidR="00BB0A9F">
              <w:rPr>
                <w:rStyle w:val="Emphasis"/>
                <w:i w:val="0"/>
              </w:rPr>
              <w:t>why other scheme</w:t>
            </w:r>
            <w:r w:rsidR="0086216B">
              <w:rPr>
                <w:rStyle w:val="Emphasis"/>
                <w:i w:val="0"/>
              </w:rPr>
              <w:t>s</w:t>
            </w:r>
            <w:r w:rsidR="00BB0A9F">
              <w:rPr>
                <w:rStyle w:val="Emphasis"/>
                <w:i w:val="0"/>
              </w:rPr>
              <w:t xml:space="preserve"> accounts had been qualified</w:t>
            </w:r>
            <w:r w:rsidR="0086216B">
              <w:rPr>
                <w:rStyle w:val="Emphasis"/>
                <w:i w:val="0"/>
              </w:rPr>
              <w:t>,</w:t>
            </w:r>
            <w:r w:rsidR="00BB0A9F">
              <w:rPr>
                <w:rStyle w:val="Emphasis"/>
                <w:i w:val="0"/>
              </w:rPr>
              <w:t xml:space="preserve"> resulted in a small list of </w:t>
            </w:r>
            <w:proofErr w:type="gramStart"/>
            <w:r w:rsidR="00BB0A9F">
              <w:rPr>
                <w:rStyle w:val="Emphasis"/>
                <w:i w:val="0"/>
              </w:rPr>
              <w:t>events which</w:t>
            </w:r>
            <w:proofErr w:type="gramEnd"/>
            <w:r w:rsidR="00BB0A9F">
              <w:rPr>
                <w:rStyle w:val="Emphasis"/>
                <w:i w:val="0"/>
              </w:rPr>
              <w:t xml:space="preserve"> may result in qualification.  This </w:t>
            </w:r>
            <w:proofErr w:type="gramStart"/>
            <w:r w:rsidR="00BB0A9F">
              <w:rPr>
                <w:rStyle w:val="Emphasis"/>
                <w:i w:val="0"/>
              </w:rPr>
              <w:t>had been used</w:t>
            </w:r>
            <w:proofErr w:type="gramEnd"/>
            <w:r w:rsidR="00BB0A9F">
              <w:rPr>
                <w:rStyle w:val="Emphasis"/>
                <w:i w:val="0"/>
              </w:rPr>
              <w:t xml:space="preserve"> as the foundation </w:t>
            </w:r>
            <w:r w:rsidR="0072160F">
              <w:rPr>
                <w:rStyle w:val="Emphasis"/>
                <w:i w:val="0"/>
              </w:rPr>
              <w:t>for the</w:t>
            </w:r>
            <w:r w:rsidR="00BB0A9F">
              <w:rPr>
                <w:rStyle w:val="Emphasis"/>
                <w:i w:val="0"/>
              </w:rPr>
              <w:t xml:space="preserve"> scheme</w:t>
            </w:r>
            <w:r w:rsidR="0072160F">
              <w:rPr>
                <w:rStyle w:val="Emphasis"/>
                <w:i w:val="0"/>
              </w:rPr>
              <w:t>’s</w:t>
            </w:r>
            <w:r w:rsidR="00BB0A9F">
              <w:rPr>
                <w:rStyle w:val="Emphasis"/>
                <w:i w:val="0"/>
              </w:rPr>
              <w:t xml:space="preserve"> approach to mitigation of this specific risk</w:t>
            </w:r>
            <w:r w:rsidR="003554DA">
              <w:rPr>
                <w:rStyle w:val="Emphasis"/>
                <w:i w:val="0"/>
              </w:rPr>
              <w:t>.</w:t>
            </w:r>
            <w:r w:rsidR="00BB0A9F">
              <w:rPr>
                <w:rStyle w:val="Emphasis"/>
                <w:i w:val="0"/>
              </w:rPr>
              <w:t xml:space="preserve"> </w:t>
            </w:r>
          </w:p>
          <w:p w14:paraId="741E23A2" w14:textId="77777777" w:rsidR="0016723E" w:rsidRDefault="0016723E" w:rsidP="00D6385F">
            <w:pPr>
              <w:rPr>
                <w:rStyle w:val="Emphasis"/>
                <w:b/>
                <w:i w:val="0"/>
              </w:rPr>
            </w:pPr>
          </w:p>
          <w:p w14:paraId="4349F7D6" w14:textId="77777777" w:rsidR="00394086" w:rsidRDefault="009A263D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LP queried</w:t>
            </w:r>
            <w:r w:rsidR="00407B5A">
              <w:rPr>
                <w:rStyle w:val="Emphasis"/>
                <w:i w:val="0"/>
              </w:rPr>
              <w:t xml:space="preserve"> </w:t>
            </w:r>
            <w:r w:rsidR="006F1B3A">
              <w:rPr>
                <w:rStyle w:val="Emphasis"/>
                <w:i w:val="0"/>
              </w:rPr>
              <w:t xml:space="preserve">what consequences </w:t>
            </w:r>
            <w:r w:rsidR="00BD465B">
              <w:rPr>
                <w:rStyle w:val="Emphasis"/>
                <w:i w:val="0"/>
              </w:rPr>
              <w:t>q</w:t>
            </w:r>
            <w:r w:rsidR="0016723E">
              <w:rPr>
                <w:rStyle w:val="Emphasis"/>
                <w:i w:val="0"/>
              </w:rPr>
              <w:t xml:space="preserve">ualification of </w:t>
            </w:r>
            <w:r w:rsidR="00BD465B">
              <w:rPr>
                <w:rStyle w:val="Emphasis"/>
                <w:i w:val="0"/>
              </w:rPr>
              <w:t>a</w:t>
            </w:r>
            <w:r w:rsidR="0016723E">
              <w:rPr>
                <w:rStyle w:val="Emphasis"/>
                <w:i w:val="0"/>
              </w:rPr>
              <w:t>ccounts may have on members</w:t>
            </w:r>
            <w:r w:rsidR="006F1B3A">
              <w:rPr>
                <w:rStyle w:val="Emphasis"/>
                <w:i w:val="0"/>
              </w:rPr>
              <w:t>. DH advised</w:t>
            </w:r>
            <w:r w:rsidR="0089193B">
              <w:rPr>
                <w:rStyle w:val="Emphasis"/>
                <w:i w:val="0"/>
              </w:rPr>
              <w:t xml:space="preserve"> </w:t>
            </w:r>
            <w:r w:rsidR="00F6514A">
              <w:rPr>
                <w:rStyle w:val="Emphasis"/>
                <w:i w:val="0"/>
              </w:rPr>
              <w:t>that</w:t>
            </w:r>
            <w:r w:rsidR="0016723E">
              <w:rPr>
                <w:rStyle w:val="Emphasis"/>
                <w:i w:val="0"/>
              </w:rPr>
              <w:t xml:space="preserve"> at a member level </w:t>
            </w:r>
            <w:r w:rsidR="00BD465B">
              <w:rPr>
                <w:rStyle w:val="Emphasis"/>
                <w:i w:val="0"/>
              </w:rPr>
              <w:t>q</w:t>
            </w:r>
            <w:r w:rsidR="0016723E">
              <w:rPr>
                <w:rStyle w:val="Emphasis"/>
                <w:i w:val="0"/>
              </w:rPr>
              <w:t xml:space="preserve">ualification of </w:t>
            </w:r>
            <w:r w:rsidR="00BD465B">
              <w:rPr>
                <w:rStyle w:val="Emphasis"/>
                <w:i w:val="0"/>
              </w:rPr>
              <w:t>a</w:t>
            </w:r>
            <w:r w:rsidR="0016723E">
              <w:rPr>
                <w:rStyle w:val="Emphasis"/>
                <w:i w:val="0"/>
              </w:rPr>
              <w:t xml:space="preserve">ccounts </w:t>
            </w:r>
            <w:proofErr w:type="gramStart"/>
            <w:r w:rsidR="0016723E">
              <w:rPr>
                <w:rStyle w:val="Emphasis"/>
                <w:i w:val="0"/>
              </w:rPr>
              <w:t>may</w:t>
            </w:r>
            <w:proofErr w:type="gramEnd"/>
            <w:r w:rsidR="0016723E">
              <w:rPr>
                <w:rStyle w:val="Emphasis"/>
                <w:i w:val="0"/>
              </w:rPr>
              <w:t xml:space="preserve"> erode </w:t>
            </w:r>
            <w:r w:rsidR="008B55C9">
              <w:rPr>
                <w:rStyle w:val="Emphasis"/>
                <w:i w:val="0"/>
              </w:rPr>
              <w:t xml:space="preserve">confidence </w:t>
            </w:r>
            <w:r w:rsidR="0016723E">
              <w:rPr>
                <w:rStyle w:val="Emphasis"/>
                <w:i w:val="0"/>
              </w:rPr>
              <w:t xml:space="preserve">in </w:t>
            </w:r>
            <w:r w:rsidR="0016723E">
              <w:rPr>
                <w:rStyle w:val="Emphasis"/>
                <w:i w:val="0"/>
              </w:rPr>
              <w:lastRenderedPageBreak/>
              <w:t>the scheme and impact member behaviours.</w:t>
            </w:r>
            <w:r w:rsidR="008B55C9">
              <w:rPr>
                <w:rStyle w:val="Emphasis"/>
                <w:i w:val="0"/>
              </w:rPr>
              <w:t xml:space="preserve"> </w:t>
            </w:r>
          </w:p>
          <w:p w14:paraId="07B59B7F" w14:textId="77777777" w:rsidR="0047206C" w:rsidRDefault="0047206C" w:rsidP="00D6385F">
            <w:pPr>
              <w:rPr>
                <w:rStyle w:val="Emphasis"/>
                <w:i w:val="0"/>
              </w:rPr>
            </w:pPr>
          </w:p>
          <w:p w14:paraId="5D1B06F1" w14:textId="77777777" w:rsidR="003064F1" w:rsidRDefault="0016723E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The </w:t>
            </w:r>
            <w:r w:rsidR="003064F1">
              <w:rPr>
                <w:rStyle w:val="Emphasis"/>
                <w:i w:val="0"/>
              </w:rPr>
              <w:t xml:space="preserve">Board </w:t>
            </w:r>
            <w:r>
              <w:rPr>
                <w:rStyle w:val="Emphasis"/>
                <w:i w:val="0"/>
              </w:rPr>
              <w:t xml:space="preserve">accepted that </w:t>
            </w:r>
            <w:r w:rsidR="003064F1">
              <w:rPr>
                <w:rStyle w:val="Emphasis"/>
                <w:i w:val="0"/>
              </w:rPr>
              <w:t xml:space="preserve">there are no financial </w:t>
            </w:r>
            <w:proofErr w:type="gramStart"/>
            <w:r w:rsidR="003064F1">
              <w:rPr>
                <w:rStyle w:val="Emphasis"/>
                <w:i w:val="0"/>
              </w:rPr>
              <w:t>concerns</w:t>
            </w:r>
            <w:r>
              <w:rPr>
                <w:rStyle w:val="Emphasis"/>
                <w:i w:val="0"/>
              </w:rPr>
              <w:t xml:space="preserve"> which</w:t>
            </w:r>
            <w:proofErr w:type="gramEnd"/>
            <w:r>
              <w:rPr>
                <w:rStyle w:val="Emphasis"/>
                <w:i w:val="0"/>
              </w:rPr>
              <w:t xml:space="preserve"> have a direct impact on members due to how the scheme is funded</w:t>
            </w:r>
            <w:r w:rsidR="003064F1">
              <w:rPr>
                <w:rStyle w:val="Emphasis"/>
                <w:i w:val="0"/>
              </w:rPr>
              <w:t xml:space="preserve">.  </w:t>
            </w:r>
          </w:p>
          <w:p w14:paraId="70E6210B" w14:textId="77777777" w:rsidR="003064F1" w:rsidRPr="00394086" w:rsidRDefault="003064F1" w:rsidP="00D6385F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478E8680" w14:textId="77777777" w:rsidR="0023664E" w:rsidRDefault="0023664E" w:rsidP="008C5C9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41CABEBB" w14:textId="77777777" w:rsidR="00B52F03" w:rsidRDefault="00B52F03" w:rsidP="008C5C95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1A03EACC" w14:textId="77777777" w:rsidR="00D0721A" w:rsidRPr="00184123" w:rsidRDefault="00D0721A" w:rsidP="00794BF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</w:tr>
      <w:tr w:rsidR="00B343B8" w:rsidRPr="004A7D81" w14:paraId="4B7CF27B" w14:textId="77777777" w:rsidTr="00F86059">
        <w:tc>
          <w:tcPr>
            <w:tcW w:w="1164" w:type="dxa"/>
          </w:tcPr>
          <w:p w14:paraId="4CAEDA02" w14:textId="77777777" w:rsidR="00FF0A7E" w:rsidRPr="008E7553" w:rsidRDefault="00764680" w:rsidP="00243D51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 item </w:t>
            </w:r>
            <w:r w:rsidR="00D74774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6AEE660D" w14:textId="77777777" w:rsidR="00783BA8" w:rsidRDefault="00CA5A10" w:rsidP="00D6385F">
            <w:pPr>
              <w:rPr>
                <w:rStyle w:val="Emphasis"/>
                <w:b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 xml:space="preserve">Accounts timetable and forward look </w:t>
            </w:r>
            <w:r w:rsidR="00916B7C" w:rsidRPr="00D6385F">
              <w:rPr>
                <w:rStyle w:val="Emphasis"/>
                <w:b/>
                <w:i w:val="0"/>
              </w:rPr>
              <w:t xml:space="preserve">on scheme accounts </w:t>
            </w:r>
          </w:p>
          <w:p w14:paraId="56CDED11" w14:textId="77777777" w:rsidR="00AB7D61" w:rsidRDefault="00B57356" w:rsidP="00D6385F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PS outlined the accounts timetable with the </w:t>
            </w:r>
            <w:r w:rsidR="00BD465B">
              <w:rPr>
                <w:rStyle w:val="Emphasis"/>
                <w:i w:val="0"/>
              </w:rPr>
              <w:t>s</w:t>
            </w:r>
            <w:r>
              <w:rPr>
                <w:rStyle w:val="Emphasis"/>
                <w:i w:val="0"/>
              </w:rPr>
              <w:t>ub-</w:t>
            </w:r>
            <w:r w:rsidR="00BD465B">
              <w:rPr>
                <w:rStyle w:val="Emphasis"/>
                <w:i w:val="0"/>
              </w:rPr>
              <w:t>c</w:t>
            </w:r>
            <w:r>
              <w:rPr>
                <w:rStyle w:val="Emphasis"/>
                <w:i w:val="0"/>
              </w:rPr>
              <w:t xml:space="preserve">ommittee and explained that </w:t>
            </w:r>
            <w:r w:rsidR="0016723E">
              <w:rPr>
                <w:rStyle w:val="Emphasis"/>
                <w:i w:val="0"/>
              </w:rPr>
              <w:t xml:space="preserve">interim accounts papers are likely to be produced in late January which is </w:t>
            </w:r>
            <w:r>
              <w:rPr>
                <w:rStyle w:val="Emphasis"/>
                <w:i w:val="0"/>
              </w:rPr>
              <w:t>out of sync with meeting</w:t>
            </w:r>
            <w:r w:rsidR="0016723E">
              <w:rPr>
                <w:rStyle w:val="Emphasis"/>
                <w:i w:val="0"/>
              </w:rPr>
              <w:t xml:space="preserve"> schedules</w:t>
            </w:r>
            <w:r>
              <w:rPr>
                <w:rStyle w:val="Emphasis"/>
                <w:i w:val="0"/>
              </w:rPr>
              <w:t xml:space="preserve">.  </w:t>
            </w:r>
            <w:r w:rsidR="0016723E">
              <w:rPr>
                <w:rStyle w:val="Emphasis"/>
                <w:i w:val="0"/>
              </w:rPr>
              <w:t xml:space="preserve">PS indicated his intention to engage </w:t>
            </w:r>
            <w:r>
              <w:rPr>
                <w:rStyle w:val="Emphasis"/>
                <w:i w:val="0"/>
              </w:rPr>
              <w:t xml:space="preserve">with </w:t>
            </w:r>
            <w:r w:rsidR="00BD465B">
              <w:rPr>
                <w:rStyle w:val="Emphasis"/>
                <w:i w:val="0"/>
              </w:rPr>
              <w:t>s</w:t>
            </w:r>
            <w:r w:rsidR="001072FF">
              <w:rPr>
                <w:rStyle w:val="Emphasis"/>
                <w:i w:val="0"/>
              </w:rPr>
              <w:t>ub-</w:t>
            </w:r>
            <w:r w:rsidR="00BD465B">
              <w:rPr>
                <w:rStyle w:val="Emphasis"/>
                <w:i w:val="0"/>
              </w:rPr>
              <w:t>c</w:t>
            </w:r>
            <w:r w:rsidR="001072FF">
              <w:rPr>
                <w:rStyle w:val="Emphasis"/>
                <w:i w:val="0"/>
              </w:rPr>
              <w:t>ommittee members via an extraordinary meeting.  Sub-</w:t>
            </w:r>
            <w:r w:rsidR="00BD465B">
              <w:rPr>
                <w:rStyle w:val="Emphasis"/>
                <w:i w:val="0"/>
              </w:rPr>
              <w:t>c</w:t>
            </w:r>
            <w:r w:rsidR="001072FF">
              <w:rPr>
                <w:rStyle w:val="Emphasis"/>
                <w:i w:val="0"/>
              </w:rPr>
              <w:t xml:space="preserve">ommittee members welcomed </w:t>
            </w:r>
            <w:r>
              <w:rPr>
                <w:rStyle w:val="Emphasis"/>
                <w:i w:val="0"/>
              </w:rPr>
              <w:t xml:space="preserve">this.  A conference call </w:t>
            </w:r>
            <w:r w:rsidR="007314CE">
              <w:rPr>
                <w:rStyle w:val="Emphasis"/>
                <w:i w:val="0"/>
              </w:rPr>
              <w:t xml:space="preserve">(likely late January) </w:t>
            </w:r>
            <w:r>
              <w:rPr>
                <w:rStyle w:val="Emphasis"/>
                <w:i w:val="0"/>
              </w:rPr>
              <w:t xml:space="preserve">would be scheduled to discuss the interim Governance Statement.  Date to </w:t>
            </w:r>
            <w:proofErr w:type="gramStart"/>
            <w:r>
              <w:rPr>
                <w:rStyle w:val="Emphasis"/>
                <w:i w:val="0"/>
              </w:rPr>
              <w:t>be agreed</w:t>
            </w:r>
            <w:proofErr w:type="gramEnd"/>
            <w:r>
              <w:rPr>
                <w:rStyle w:val="Emphasis"/>
                <w:i w:val="0"/>
              </w:rPr>
              <w:t xml:space="preserve"> with Secretariat.</w:t>
            </w:r>
          </w:p>
          <w:p w14:paraId="350C9831" w14:textId="77777777" w:rsidR="0072160F" w:rsidRDefault="0072160F" w:rsidP="00D6385F">
            <w:pPr>
              <w:rPr>
                <w:rStyle w:val="Emphasis"/>
                <w:i w:val="0"/>
              </w:rPr>
            </w:pPr>
          </w:p>
          <w:p w14:paraId="3F3762AC" w14:textId="77777777" w:rsidR="003554DA" w:rsidRDefault="003610D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PS notified the Board that the account auditors, Del</w:t>
            </w:r>
            <w:r w:rsidR="001072FF">
              <w:rPr>
                <w:rStyle w:val="Emphasis"/>
                <w:i w:val="0"/>
              </w:rPr>
              <w:t>oi</w:t>
            </w:r>
            <w:r>
              <w:rPr>
                <w:rStyle w:val="Emphasis"/>
                <w:i w:val="0"/>
              </w:rPr>
              <w:t xml:space="preserve">tte, </w:t>
            </w:r>
            <w:r w:rsidR="004B66CA">
              <w:rPr>
                <w:rStyle w:val="Emphasis"/>
                <w:i w:val="0"/>
              </w:rPr>
              <w:t>have successfully extended their contract f</w:t>
            </w:r>
            <w:r>
              <w:rPr>
                <w:rStyle w:val="Emphasis"/>
                <w:i w:val="0"/>
              </w:rPr>
              <w:t>or another three years</w:t>
            </w:r>
            <w:r w:rsidR="001072FF">
              <w:rPr>
                <w:rStyle w:val="Emphasis"/>
                <w:i w:val="0"/>
              </w:rPr>
              <w:t xml:space="preserve"> and the formal project to prepare the 2017 accounts was starting on 16 November.</w:t>
            </w:r>
          </w:p>
          <w:p w14:paraId="4AD13647" w14:textId="77777777" w:rsidR="009A263D" w:rsidRPr="00D6385F" w:rsidRDefault="009A263D">
            <w:pPr>
              <w:rPr>
                <w:rStyle w:val="Emphasis"/>
                <w:b/>
                <w:i w:val="0"/>
              </w:rPr>
            </w:pPr>
          </w:p>
        </w:tc>
        <w:tc>
          <w:tcPr>
            <w:tcW w:w="1530" w:type="dxa"/>
          </w:tcPr>
          <w:p w14:paraId="571C1ACF" w14:textId="77777777" w:rsidR="00B624F2" w:rsidRPr="004A7D81" w:rsidRDefault="00B624F2" w:rsidP="0030593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6C3D48F2" w14:textId="77777777" w:rsidR="004E717A" w:rsidRDefault="004E717A" w:rsidP="0030593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06244C47" w14:textId="77777777" w:rsidR="006A55E1" w:rsidRDefault="006A55E1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398EE3AF" w14:textId="77777777" w:rsidR="0072160F" w:rsidRDefault="0072160F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39C18AA4" w14:textId="77777777" w:rsidR="0072160F" w:rsidRDefault="0072160F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50F075CA" w14:textId="77777777" w:rsidR="0072160F" w:rsidRDefault="0072160F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33E3B9C6" w14:textId="77777777" w:rsidR="0072160F" w:rsidRDefault="0072160F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425AB047" w14:textId="77777777" w:rsidR="0072160F" w:rsidRDefault="0072160F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C297B58" w14:textId="77777777" w:rsidR="0072160F" w:rsidRDefault="0072160F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4E6DB9DB" w14:textId="77777777" w:rsidR="00BD465B" w:rsidRDefault="00BD465B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627FED0F" w14:textId="77777777" w:rsidR="00AB7D61" w:rsidRDefault="003610DD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</w:t>
            </w:r>
          </w:p>
          <w:p w14:paraId="60B644DE" w14:textId="77777777" w:rsidR="003554DA" w:rsidRPr="00AB7D61" w:rsidRDefault="003554DA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MR3/081116</w:t>
            </w:r>
          </w:p>
        </w:tc>
      </w:tr>
      <w:tr w:rsidR="00B343B8" w:rsidRPr="008E7553" w14:paraId="6D7818E3" w14:textId="77777777" w:rsidTr="00F86059">
        <w:tc>
          <w:tcPr>
            <w:tcW w:w="1164" w:type="dxa"/>
          </w:tcPr>
          <w:p w14:paraId="136F3FDD" w14:textId="77777777" w:rsidR="00FF0A7E" w:rsidRPr="00C40E74" w:rsidRDefault="00C40E74" w:rsidP="002D192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C40E74">
              <w:rPr>
                <w:sz w:val="22"/>
                <w:szCs w:val="22"/>
              </w:rPr>
              <w:t xml:space="preserve">Agenda item </w:t>
            </w:r>
            <w:r w:rsidR="002D1929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2DF1B955" w14:textId="77777777" w:rsidR="00091D5C" w:rsidRDefault="00916B7C" w:rsidP="00D6385F">
            <w:pPr>
              <w:rPr>
                <w:rStyle w:val="Emphasis"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>OBR financial forecasting / reporting</w:t>
            </w:r>
            <w:r w:rsidRPr="00D6385F">
              <w:rPr>
                <w:rStyle w:val="Emphasis"/>
                <w:i w:val="0"/>
              </w:rPr>
              <w:t xml:space="preserve"> </w:t>
            </w:r>
          </w:p>
          <w:p w14:paraId="2D5FC6A0" w14:textId="77777777" w:rsidR="00146440" w:rsidRDefault="00146440" w:rsidP="00D6385F">
            <w:pPr>
              <w:rPr>
                <w:rStyle w:val="Emphasis"/>
                <w:i w:val="0"/>
              </w:rPr>
            </w:pPr>
          </w:p>
          <w:p w14:paraId="4E53AC4F" w14:textId="77777777" w:rsidR="00767806" w:rsidRPr="00767806" w:rsidRDefault="00146440" w:rsidP="00146440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146440">
              <w:rPr>
                <w:rStyle w:val="Emphasis"/>
                <w:i w:val="0"/>
              </w:rPr>
              <w:t xml:space="preserve">KB </w:t>
            </w:r>
            <w:r w:rsidR="003064F1">
              <w:rPr>
                <w:rStyle w:val="Emphasis"/>
                <w:i w:val="0"/>
              </w:rPr>
              <w:t>joined the meeting and</w:t>
            </w:r>
            <w:r w:rsidR="00C50FC3">
              <w:rPr>
                <w:rStyle w:val="Emphasis"/>
                <w:i w:val="0"/>
              </w:rPr>
              <w:t xml:space="preserve"> </w:t>
            </w:r>
            <w:r w:rsidR="007314CE">
              <w:rPr>
                <w:rStyle w:val="Emphasis"/>
                <w:i w:val="0"/>
              </w:rPr>
              <w:t>provide</w:t>
            </w:r>
            <w:r w:rsidR="00AD0A47">
              <w:rPr>
                <w:rStyle w:val="Emphasis"/>
                <w:i w:val="0"/>
              </w:rPr>
              <w:t>d</w:t>
            </w:r>
            <w:r w:rsidR="007314CE">
              <w:rPr>
                <w:rStyle w:val="Emphasis"/>
                <w:i w:val="0"/>
              </w:rPr>
              <w:t xml:space="preserve"> </w:t>
            </w:r>
            <w:r w:rsidR="00AD0A47">
              <w:rPr>
                <w:rStyle w:val="Emphasis"/>
                <w:i w:val="0"/>
              </w:rPr>
              <w:t>a</w:t>
            </w:r>
            <w:r w:rsidR="007314CE">
              <w:rPr>
                <w:rStyle w:val="Emphasis"/>
                <w:i w:val="0"/>
              </w:rPr>
              <w:t xml:space="preserve"> verbal </w:t>
            </w:r>
            <w:r w:rsidR="00AD0A47">
              <w:rPr>
                <w:rStyle w:val="Emphasis"/>
                <w:i w:val="0"/>
              </w:rPr>
              <w:t>update</w:t>
            </w:r>
            <w:r w:rsidR="007314CE">
              <w:rPr>
                <w:rStyle w:val="Emphasis"/>
                <w:i w:val="0"/>
              </w:rPr>
              <w:t xml:space="preserve"> on the Autumn</w:t>
            </w:r>
            <w:r w:rsidR="00AD0A47">
              <w:rPr>
                <w:rStyle w:val="Emphasis"/>
                <w:i w:val="0"/>
              </w:rPr>
              <w:t xml:space="preserve"> OBR </w:t>
            </w:r>
            <w:proofErr w:type="gramStart"/>
            <w:r w:rsidR="00AD0A47">
              <w:rPr>
                <w:rStyle w:val="Emphasis"/>
                <w:i w:val="0"/>
              </w:rPr>
              <w:t>process which</w:t>
            </w:r>
            <w:proofErr w:type="gramEnd"/>
            <w:r w:rsidR="00AD0A47">
              <w:rPr>
                <w:rStyle w:val="Emphasis"/>
                <w:i w:val="0"/>
              </w:rPr>
              <w:t xml:space="preserve"> had been successful.  KB </w:t>
            </w:r>
            <w:r w:rsidR="007314CE">
              <w:rPr>
                <w:rStyle w:val="Emphasis"/>
                <w:i w:val="0"/>
              </w:rPr>
              <w:t xml:space="preserve">advised that the focus was now on lessons learned </w:t>
            </w:r>
            <w:r w:rsidR="00AD0A47">
              <w:rPr>
                <w:rStyle w:val="Emphasis"/>
                <w:i w:val="0"/>
              </w:rPr>
              <w:t>from</w:t>
            </w:r>
            <w:r w:rsidR="007314CE">
              <w:rPr>
                <w:rStyle w:val="Emphasis"/>
                <w:i w:val="0"/>
              </w:rPr>
              <w:t xml:space="preserve"> the exercise</w:t>
            </w:r>
            <w:r w:rsidR="00AD0A47">
              <w:rPr>
                <w:rStyle w:val="Emphasis"/>
                <w:i w:val="0"/>
              </w:rPr>
              <w:t xml:space="preserve"> and h</w:t>
            </w:r>
            <w:r w:rsidRPr="00146440">
              <w:rPr>
                <w:rStyle w:val="Emphasis"/>
                <w:i w:val="0"/>
                <w:szCs w:val="24"/>
              </w:rPr>
              <w:t xml:space="preserve">orizon scanning is </w:t>
            </w:r>
            <w:r w:rsidR="00AD0A47">
              <w:rPr>
                <w:rStyle w:val="Emphasis"/>
                <w:i w:val="0"/>
                <w:szCs w:val="24"/>
              </w:rPr>
              <w:t xml:space="preserve">now underway to consider future enhancement to the OBR Model.   </w:t>
            </w:r>
          </w:p>
          <w:p w14:paraId="7B0637C6" w14:textId="77777777" w:rsidR="00D931F3" w:rsidRDefault="00D931F3" w:rsidP="00767806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  <w:p w14:paraId="3896A868" w14:textId="77777777" w:rsidR="003064F1" w:rsidRDefault="003064F1" w:rsidP="00767806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TP assured the Board that </w:t>
            </w:r>
            <w:r w:rsidR="00BE2447">
              <w:rPr>
                <w:szCs w:val="24"/>
              </w:rPr>
              <w:t>interactions between other schemes, OBR and GAD</w:t>
            </w:r>
            <w:r w:rsidR="00974875">
              <w:rPr>
                <w:szCs w:val="24"/>
              </w:rPr>
              <w:t xml:space="preserve"> are regular occurrences. </w:t>
            </w:r>
          </w:p>
          <w:p w14:paraId="06C772D4" w14:textId="77777777" w:rsidR="00B57356" w:rsidRDefault="00B57356" w:rsidP="00767806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  <w:p w14:paraId="2C8CE8B6" w14:textId="77777777" w:rsidR="00B57356" w:rsidRPr="003064F1" w:rsidRDefault="00B57356" w:rsidP="00767806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The Chair noted the work </w:t>
            </w:r>
            <w:r w:rsidR="0072160F">
              <w:rPr>
                <w:szCs w:val="24"/>
              </w:rPr>
              <w:t>under</w:t>
            </w:r>
            <w:r>
              <w:rPr>
                <w:szCs w:val="24"/>
              </w:rPr>
              <w:t>taken on</w:t>
            </w:r>
            <w:r w:rsidR="008831FB">
              <w:rPr>
                <w:szCs w:val="24"/>
              </w:rPr>
              <w:t xml:space="preserve"> OBR.</w:t>
            </w:r>
          </w:p>
          <w:p w14:paraId="34C862B6" w14:textId="77777777" w:rsidR="003610DD" w:rsidRPr="00D6385F" w:rsidRDefault="003610DD" w:rsidP="00D6385F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067FBCBB" w14:textId="77777777" w:rsidR="0023664E" w:rsidRPr="00A27B35" w:rsidRDefault="0023664E" w:rsidP="00942B1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</w:tc>
      </w:tr>
      <w:tr w:rsidR="00B343B8" w:rsidRPr="008E7553" w14:paraId="258B3623" w14:textId="77777777" w:rsidTr="00F86059">
        <w:tc>
          <w:tcPr>
            <w:tcW w:w="1164" w:type="dxa"/>
          </w:tcPr>
          <w:p w14:paraId="335FBD31" w14:textId="77777777" w:rsidR="00B343B8" w:rsidRPr="008E7553" w:rsidRDefault="0069359F" w:rsidP="00261F69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 item </w:t>
            </w:r>
            <w:r w:rsidR="00E30CCF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14:paraId="7AE9DD09" w14:textId="77777777" w:rsidR="002D14E8" w:rsidRDefault="00916B7C" w:rsidP="00D6385F">
            <w:pPr>
              <w:rPr>
                <w:rStyle w:val="Emphasis"/>
                <w:b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>Agree actions and owners</w:t>
            </w:r>
          </w:p>
          <w:p w14:paraId="78D1931C" w14:textId="77777777" w:rsidR="00767806" w:rsidRPr="00767806" w:rsidRDefault="00767806" w:rsidP="0081558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The Board were content with actions</w:t>
            </w:r>
            <w:r w:rsidR="00815589">
              <w:rPr>
                <w:rStyle w:val="Emphasis"/>
                <w:i w:val="0"/>
              </w:rPr>
              <w:t xml:space="preserve"> and owners</w:t>
            </w:r>
            <w:r>
              <w:rPr>
                <w:rStyle w:val="Emphasis"/>
                <w:i w:val="0"/>
              </w:rPr>
              <w:t xml:space="preserve">. </w:t>
            </w:r>
          </w:p>
        </w:tc>
        <w:tc>
          <w:tcPr>
            <w:tcW w:w="1530" w:type="dxa"/>
          </w:tcPr>
          <w:p w14:paraId="1B05884B" w14:textId="77777777" w:rsidR="00A07E53" w:rsidRPr="009827E0" w:rsidRDefault="00A07E53" w:rsidP="00FF0A7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3E4A671C" w14:textId="77777777" w:rsidR="001E4334" w:rsidRPr="009827E0" w:rsidRDefault="001E4334" w:rsidP="00FF0A7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  <w:p w14:paraId="47626A0C" w14:textId="77777777" w:rsidR="001E4334" w:rsidRPr="0022057C" w:rsidRDefault="001E4334" w:rsidP="0022057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</w:tr>
      <w:tr w:rsidR="00B343B8" w:rsidRPr="008E7553" w14:paraId="16AE387F" w14:textId="77777777" w:rsidTr="00F86059">
        <w:tc>
          <w:tcPr>
            <w:tcW w:w="1164" w:type="dxa"/>
          </w:tcPr>
          <w:p w14:paraId="68A8A624" w14:textId="77777777" w:rsidR="00CF7D45" w:rsidRPr="00CF7D45" w:rsidRDefault="00A27504" w:rsidP="00E30CCF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 item </w:t>
            </w:r>
            <w:r w:rsidR="00E30CCF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14:paraId="28FAB395" w14:textId="77777777" w:rsidR="008A796A" w:rsidRPr="00D6385F" w:rsidRDefault="00916B7C" w:rsidP="00D6385F">
            <w:pPr>
              <w:rPr>
                <w:rStyle w:val="Emphasis"/>
                <w:b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 xml:space="preserve">AOB </w:t>
            </w:r>
          </w:p>
          <w:p w14:paraId="34C82250" w14:textId="77777777" w:rsidR="00916B7C" w:rsidRDefault="00916B7C" w:rsidP="00D6385F">
            <w:pPr>
              <w:rPr>
                <w:rStyle w:val="Emphasis"/>
                <w:i w:val="0"/>
              </w:rPr>
            </w:pPr>
            <w:r w:rsidRPr="00D6385F">
              <w:rPr>
                <w:rStyle w:val="Emphasis"/>
                <w:b/>
                <w:i w:val="0"/>
              </w:rPr>
              <w:t>Teacher leavers and potential impacts</w:t>
            </w:r>
          </w:p>
          <w:p w14:paraId="7CD91FF7" w14:textId="77777777" w:rsidR="00815589" w:rsidRDefault="00940CD9" w:rsidP="0081558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LP qu</w:t>
            </w:r>
            <w:r w:rsidR="00A537EA">
              <w:rPr>
                <w:rStyle w:val="Emphasis"/>
                <w:i w:val="0"/>
              </w:rPr>
              <w:t xml:space="preserve">eried </w:t>
            </w:r>
            <w:r>
              <w:rPr>
                <w:rStyle w:val="Emphasis"/>
                <w:i w:val="0"/>
              </w:rPr>
              <w:t>potential impacts</w:t>
            </w:r>
            <w:r w:rsidR="00A537EA">
              <w:rPr>
                <w:rStyle w:val="Emphasis"/>
                <w:i w:val="0"/>
              </w:rPr>
              <w:t xml:space="preserve"> for teacher leavers</w:t>
            </w:r>
            <w:r w:rsidR="00C11CD3">
              <w:rPr>
                <w:rStyle w:val="Emphasis"/>
                <w:i w:val="0"/>
              </w:rPr>
              <w:t xml:space="preserve"> and whether there</w:t>
            </w:r>
            <w:r w:rsidR="00A537EA">
              <w:rPr>
                <w:rStyle w:val="Emphasis"/>
                <w:i w:val="0"/>
              </w:rPr>
              <w:t xml:space="preserve"> is an increase in member deferment</w:t>
            </w:r>
            <w:r w:rsidR="00C11CD3">
              <w:rPr>
                <w:rStyle w:val="Emphasis"/>
                <w:i w:val="0"/>
              </w:rPr>
              <w:t>; if so wh</w:t>
            </w:r>
            <w:r>
              <w:rPr>
                <w:rStyle w:val="Emphasis"/>
                <w:i w:val="0"/>
              </w:rPr>
              <w:t xml:space="preserve">at controls are in </w:t>
            </w:r>
            <w:proofErr w:type="gramStart"/>
            <w:r>
              <w:rPr>
                <w:rStyle w:val="Emphasis"/>
                <w:i w:val="0"/>
              </w:rPr>
              <w:t>place</w:t>
            </w:r>
            <w:r w:rsidR="00C11CD3">
              <w:rPr>
                <w:rStyle w:val="Emphasis"/>
                <w:i w:val="0"/>
              </w:rPr>
              <w:t>?</w:t>
            </w:r>
            <w:proofErr w:type="gramEnd"/>
            <w:r w:rsidR="00C11CD3">
              <w:rPr>
                <w:rStyle w:val="Emphasis"/>
                <w:i w:val="0"/>
              </w:rPr>
              <w:t xml:space="preserve"> DH advised that the Deferred Project </w:t>
            </w:r>
            <w:proofErr w:type="gramStart"/>
            <w:r w:rsidR="00C11CD3">
              <w:rPr>
                <w:rStyle w:val="Emphasis"/>
                <w:i w:val="0"/>
              </w:rPr>
              <w:t>covers</w:t>
            </w:r>
            <w:proofErr w:type="gramEnd"/>
            <w:r w:rsidR="00C11CD3">
              <w:rPr>
                <w:rStyle w:val="Emphasis"/>
                <w:i w:val="0"/>
              </w:rPr>
              <w:t xml:space="preserve"> member activity which enables TP to ‘horizon scan’ and overse</w:t>
            </w:r>
            <w:r w:rsidR="003D38C7">
              <w:rPr>
                <w:rStyle w:val="Emphasis"/>
                <w:i w:val="0"/>
              </w:rPr>
              <w:t>e</w:t>
            </w:r>
            <w:r w:rsidR="00C11CD3">
              <w:rPr>
                <w:rStyle w:val="Emphasis"/>
                <w:i w:val="0"/>
              </w:rPr>
              <w:t xml:space="preserve"> potential risks. </w:t>
            </w:r>
            <w:r w:rsidR="00A537EA">
              <w:rPr>
                <w:rStyle w:val="Emphasis"/>
                <w:i w:val="0"/>
              </w:rPr>
              <w:t xml:space="preserve"> </w:t>
            </w:r>
          </w:p>
          <w:p w14:paraId="30AC3CD2" w14:textId="77777777" w:rsidR="00815589" w:rsidRDefault="00815589" w:rsidP="00815589">
            <w:pPr>
              <w:rPr>
                <w:rStyle w:val="Emphasis"/>
                <w:i w:val="0"/>
              </w:rPr>
            </w:pPr>
          </w:p>
          <w:p w14:paraId="5AA601F4" w14:textId="77777777" w:rsidR="00815589" w:rsidRDefault="00815589" w:rsidP="0081558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AR </w:t>
            </w:r>
            <w:r w:rsidR="001C395F">
              <w:rPr>
                <w:rStyle w:val="Emphasis"/>
                <w:i w:val="0"/>
              </w:rPr>
              <w:t xml:space="preserve">queried </w:t>
            </w:r>
            <w:r w:rsidR="00361384">
              <w:rPr>
                <w:rStyle w:val="Emphasis"/>
                <w:i w:val="0"/>
              </w:rPr>
              <w:t xml:space="preserve">whether </w:t>
            </w:r>
            <w:r>
              <w:rPr>
                <w:rStyle w:val="Emphasis"/>
                <w:i w:val="0"/>
              </w:rPr>
              <w:t>gender and geographical demographics</w:t>
            </w:r>
            <w:r w:rsidR="00361384">
              <w:rPr>
                <w:rStyle w:val="Emphasis"/>
                <w:i w:val="0"/>
              </w:rPr>
              <w:t xml:space="preserve"> (</w:t>
            </w:r>
            <w:r>
              <w:rPr>
                <w:rStyle w:val="Emphasis"/>
                <w:i w:val="0"/>
              </w:rPr>
              <w:t xml:space="preserve">specifically, women staying on later in order to make up </w:t>
            </w:r>
            <w:r w:rsidR="00C11CD3">
              <w:rPr>
                <w:rStyle w:val="Emphasis"/>
                <w:i w:val="0"/>
              </w:rPr>
              <w:t xml:space="preserve">for </w:t>
            </w:r>
            <w:r>
              <w:rPr>
                <w:rStyle w:val="Emphasis"/>
                <w:i w:val="0"/>
              </w:rPr>
              <w:t>earlier career breaks</w:t>
            </w:r>
            <w:r w:rsidR="00361384">
              <w:rPr>
                <w:rStyle w:val="Emphasis"/>
                <w:i w:val="0"/>
              </w:rPr>
              <w:t>) were captured</w:t>
            </w:r>
            <w:r>
              <w:rPr>
                <w:rStyle w:val="Emphasis"/>
                <w:i w:val="0"/>
              </w:rPr>
              <w:t xml:space="preserve">. </w:t>
            </w:r>
            <w:r w:rsidR="001C395F">
              <w:rPr>
                <w:rStyle w:val="Emphasis"/>
                <w:i w:val="0"/>
              </w:rPr>
              <w:t>PS advised that OBR does not look at</w:t>
            </w:r>
            <w:r w:rsidR="00F13508">
              <w:rPr>
                <w:rStyle w:val="Emphasis"/>
                <w:i w:val="0"/>
              </w:rPr>
              <w:t xml:space="preserve"> member</w:t>
            </w:r>
            <w:r w:rsidR="001C395F">
              <w:rPr>
                <w:rStyle w:val="Emphasis"/>
                <w:i w:val="0"/>
              </w:rPr>
              <w:t xml:space="preserve"> </w:t>
            </w:r>
            <w:r w:rsidR="00F13508">
              <w:rPr>
                <w:rStyle w:val="Emphasis"/>
                <w:i w:val="0"/>
              </w:rPr>
              <w:t xml:space="preserve">statistics / </w:t>
            </w:r>
            <w:proofErr w:type="gramStart"/>
            <w:r w:rsidR="005028EE">
              <w:rPr>
                <w:rStyle w:val="Emphasis"/>
                <w:i w:val="0"/>
              </w:rPr>
              <w:lastRenderedPageBreak/>
              <w:t>demographics</w:t>
            </w:r>
            <w:proofErr w:type="gramEnd"/>
            <w:r w:rsidR="00AD0A47">
              <w:rPr>
                <w:rStyle w:val="Emphasis"/>
                <w:i w:val="0"/>
              </w:rPr>
              <w:t xml:space="preserve"> as this was part of wider DfE workforce planning.  That said</w:t>
            </w:r>
            <w:proofErr w:type="gramStart"/>
            <w:r w:rsidR="00AD0A47">
              <w:rPr>
                <w:rStyle w:val="Emphasis"/>
                <w:i w:val="0"/>
              </w:rPr>
              <w:t>,</w:t>
            </w:r>
            <w:proofErr w:type="gramEnd"/>
            <w:r w:rsidR="00AD0A47">
              <w:rPr>
                <w:rStyle w:val="Emphasis"/>
                <w:i w:val="0"/>
              </w:rPr>
              <w:t xml:space="preserve"> the OBR submission did include workforce demographic information where that reinforced the narrative or supported an assumption that had been made.</w:t>
            </w:r>
          </w:p>
          <w:p w14:paraId="2DA5DA4A" w14:textId="77777777" w:rsidR="00815589" w:rsidRDefault="00815589" w:rsidP="00815589">
            <w:pPr>
              <w:rPr>
                <w:rStyle w:val="Emphasis"/>
                <w:i w:val="0"/>
              </w:rPr>
            </w:pPr>
          </w:p>
          <w:p w14:paraId="4EB40AE5" w14:textId="77777777" w:rsidR="00F13508" w:rsidRDefault="00F13508" w:rsidP="00F13508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DW shared concerns </w:t>
            </w:r>
            <w:r w:rsidR="0072160F">
              <w:rPr>
                <w:szCs w:val="24"/>
              </w:rPr>
              <w:t>regarding</w:t>
            </w:r>
            <w:r>
              <w:rPr>
                <w:szCs w:val="24"/>
              </w:rPr>
              <w:t xml:space="preserve"> teachers with short service</w:t>
            </w:r>
            <w:r w:rsidR="0072160F">
              <w:rPr>
                <w:szCs w:val="24"/>
              </w:rPr>
              <w:t>, and with</w:t>
            </w:r>
            <w:r>
              <w:rPr>
                <w:szCs w:val="24"/>
              </w:rPr>
              <w:t xml:space="preserve"> whom TP do not communicate.  </w:t>
            </w:r>
          </w:p>
          <w:p w14:paraId="6C12CE01" w14:textId="77777777" w:rsidR="00F13508" w:rsidRPr="00146440" w:rsidRDefault="00F13508" w:rsidP="00F135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1F497D"/>
                <w:szCs w:val="24"/>
                <w:lang w:eastAsia="en-GB"/>
              </w:rPr>
            </w:pPr>
          </w:p>
          <w:p w14:paraId="2875DBE6" w14:textId="77777777" w:rsidR="00815589" w:rsidRDefault="00815589" w:rsidP="00815589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146440">
              <w:rPr>
                <w:rStyle w:val="Emphasis"/>
                <w:i w:val="0"/>
                <w:szCs w:val="24"/>
              </w:rPr>
              <w:t xml:space="preserve">The </w:t>
            </w:r>
            <w:r w:rsidR="00A537EA">
              <w:rPr>
                <w:rStyle w:val="Emphasis"/>
                <w:i w:val="0"/>
                <w:szCs w:val="24"/>
              </w:rPr>
              <w:t>Board</w:t>
            </w:r>
            <w:r w:rsidRPr="00146440">
              <w:rPr>
                <w:rStyle w:val="Emphasis"/>
                <w:i w:val="0"/>
                <w:szCs w:val="24"/>
              </w:rPr>
              <w:t xml:space="preserve"> </w:t>
            </w:r>
            <w:r w:rsidR="0072160F">
              <w:rPr>
                <w:rStyle w:val="Emphasis"/>
                <w:i w:val="0"/>
                <w:szCs w:val="24"/>
              </w:rPr>
              <w:t xml:space="preserve">discussed a </w:t>
            </w:r>
            <w:r w:rsidRPr="00146440">
              <w:rPr>
                <w:rStyle w:val="Emphasis"/>
                <w:i w:val="0"/>
                <w:szCs w:val="24"/>
              </w:rPr>
              <w:t xml:space="preserve">shared </w:t>
            </w:r>
            <w:r w:rsidR="0072160F">
              <w:rPr>
                <w:rStyle w:val="Emphasis"/>
                <w:i w:val="0"/>
                <w:szCs w:val="24"/>
              </w:rPr>
              <w:t>i</w:t>
            </w:r>
            <w:r w:rsidRPr="00146440">
              <w:rPr>
                <w:rStyle w:val="Emphasis"/>
                <w:i w:val="0"/>
                <w:szCs w:val="24"/>
              </w:rPr>
              <w:t xml:space="preserve">nterest </w:t>
            </w:r>
            <w:r w:rsidR="0072160F">
              <w:rPr>
                <w:rStyle w:val="Emphasis"/>
                <w:i w:val="0"/>
                <w:szCs w:val="24"/>
              </w:rPr>
              <w:t>regarding</w:t>
            </w:r>
            <w:r>
              <w:rPr>
                <w:rStyle w:val="Emphasis"/>
                <w:i w:val="0"/>
                <w:szCs w:val="24"/>
              </w:rPr>
              <w:t xml:space="preserve"> trends </w:t>
            </w:r>
            <w:r w:rsidRPr="00146440">
              <w:rPr>
                <w:szCs w:val="24"/>
              </w:rPr>
              <w:t xml:space="preserve">around new teachers leaving the profession completely within first 5 years, </w:t>
            </w:r>
            <w:r w:rsidR="0072160F">
              <w:rPr>
                <w:szCs w:val="24"/>
              </w:rPr>
              <w:t xml:space="preserve">the consequential </w:t>
            </w:r>
            <w:r w:rsidRPr="00146440">
              <w:rPr>
                <w:szCs w:val="24"/>
              </w:rPr>
              <w:t xml:space="preserve">increase </w:t>
            </w:r>
            <w:r w:rsidR="0072160F">
              <w:rPr>
                <w:szCs w:val="24"/>
              </w:rPr>
              <w:t>in</w:t>
            </w:r>
            <w:r w:rsidRPr="00146440">
              <w:rPr>
                <w:szCs w:val="24"/>
              </w:rPr>
              <w:t xml:space="preserve"> </w:t>
            </w:r>
            <w:r w:rsidR="0072160F">
              <w:rPr>
                <w:szCs w:val="24"/>
              </w:rPr>
              <w:t xml:space="preserve">the </w:t>
            </w:r>
            <w:r w:rsidRPr="00146440">
              <w:rPr>
                <w:szCs w:val="24"/>
              </w:rPr>
              <w:t>deferred population (</w:t>
            </w:r>
            <w:r w:rsidR="0072160F">
              <w:rPr>
                <w:szCs w:val="24"/>
              </w:rPr>
              <w:t xml:space="preserve">and associated concerns </w:t>
            </w:r>
            <w:r w:rsidRPr="00146440">
              <w:rPr>
                <w:szCs w:val="24"/>
              </w:rPr>
              <w:t xml:space="preserve">around staying in contact) </w:t>
            </w:r>
            <w:r w:rsidR="0072160F">
              <w:rPr>
                <w:szCs w:val="24"/>
              </w:rPr>
              <w:t xml:space="preserve">and the </w:t>
            </w:r>
            <w:r w:rsidRPr="00146440">
              <w:rPr>
                <w:szCs w:val="24"/>
              </w:rPr>
              <w:t>impact on income.</w:t>
            </w:r>
            <w:r w:rsidR="001C395F">
              <w:rPr>
                <w:szCs w:val="24"/>
              </w:rPr>
              <w:t xml:space="preserve"> </w:t>
            </w:r>
          </w:p>
          <w:p w14:paraId="4C81D0CF" w14:textId="77777777" w:rsidR="00F13508" w:rsidRDefault="00F13508" w:rsidP="00815589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  <w:p w14:paraId="2B346F44" w14:textId="77777777" w:rsidR="00767806" w:rsidRDefault="00F13508" w:rsidP="00F13508">
            <w:pPr>
              <w:widowControl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The Chair </w:t>
            </w:r>
            <w:r w:rsidR="00F53D27">
              <w:rPr>
                <w:szCs w:val="24"/>
              </w:rPr>
              <w:t>speculated as to whether</w:t>
            </w:r>
            <w:r>
              <w:rPr>
                <w:szCs w:val="24"/>
              </w:rPr>
              <w:t xml:space="preserve"> senior teachers leaving later </w:t>
            </w:r>
            <w:r w:rsidR="00F53D27">
              <w:rPr>
                <w:szCs w:val="24"/>
              </w:rPr>
              <w:t>would have</w:t>
            </w:r>
            <w:r>
              <w:rPr>
                <w:szCs w:val="24"/>
              </w:rPr>
              <w:t xml:space="preserve"> an impact on</w:t>
            </w:r>
            <w:r w:rsidR="00F53D27">
              <w:rPr>
                <w:szCs w:val="24"/>
              </w:rPr>
              <w:t xml:space="preserve"> volumes of new</w:t>
            </w:r>
            <w:r>
              <w:rPr>
                <w:szCs w:val="24"/>
              </w:rPr>
              <w:t xml:space="preserve"> teachers.  </w:t>
            </w:r>
          </w:p>
          <w:p w14:paraId="159D43EB" w14:textId="77777777" w:rsidR="003D38C7" w:rsidRDefault="003D38C7" w:rsidP="00F13508">
            <w:pPr>
              <w:widowControl/>
              <w:overflowPunct/>
              <w:autoSpaceDE/>
              <w:autoSpaceDN/>
              <w:adjustRightInd/>
              <w:textAlignment w:val="auto"/>
              <w:rPr>
                <w:rStyle w:val="Emphasis"/>
                <w:i w:val="0"/>
              </w:rPr>
            </w:pPr>
          </w:p>
          <w:p w14:paraId="4D435B66" w14:textId="77777777" w:rsidR="003D38C7" w:rsidRDefault="003D38C7" w:rsidP="00F13508">
            <w:pPr>
              <w:widowControl/>
              <w:overflowPunct/>
              <w:autoSpaceDE/>
              <w:autoSpaceDN/>
              <w:adjustRightInd/>
              <w:textAlignment w:val="auto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TP agreed to look at </w:t>
            </w:r>
            <w:r w:rsidR="0072160F">
              <w:rPr>
                <w:rStyle w:val="Emphasis"/>
                <w:i w:val="0"/>
              </w:rPr>
              <w:t xml:space="preserve">a range of </w:t>
            </w:r>
            <w:r>
              <w:rPr>
                <w:rStyle w:val="Emphasis"/>
                <w:i w:val="0"/>
              </w:rPr>
              <w:t>demographics.</w:t>
            </w:r>
          </w:p>
          <w:p w14:paraId="2C162768" w14:textId="77777777" w:rsidR="00767806" w:rsidRPr="00D6385F" w:rsidRDefault="00767806" w:rsidP="00D6385F">
            <w:pPr>
              <w:rPr>
                <w:rStyle w:val="Emphasis"/>
                <w:i w:val="0"/>
              </w:rPr>
            </w:pPr>
          </w:p>
        </w:tc>
        <w:tc>
          <w:tcPr>
            <w:tcW w:w="1530" w:type="dxa"/>
          </w:tcPr>
          <w:p w14:paraId="68F281F7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3A70E1FC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179A40B0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13B06600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7145BB1B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1B27E1FD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64155F08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22EB919F" w14:textId="77777777" w:rsidR="005028EE" w:rsidRPr="00F86059" w:rsidRDefault="005028EE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423E40D3" w14:textId="77777777" w:rsidR="00F13508" w:rsidRPr="00F86059" w:rsidRDefault="00F13508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6949C41A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4DF51766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4E8F8ADB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73CED57D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60E105C2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33A6CC4D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20F8843C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78F5B89A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05B7DEBD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79E8B69F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6FB2FA47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40387433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50CE8C7D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1EF06796" w14:textId="77777777" w:rsidR="00F13508" w:rsidRPr="00F86059" w:rsidRDefault="00F13508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07C2A69C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517E5C3A" w14:textId="77777777" w:rsidR="00F86059" w:rsidRPr="00F86059" w:rsidRDefault="00F86059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77A507B1" w14:textId="77777777" w:rsidR="00F13508" w:rsidRPr="00F86059" w:rsidRDefault="00F13508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</w:p>
          <w:p w14:paraId="1124FD5A" w14:textId="77777777" w:rsidR="00F86059" w:rsidRDefault="00F86059" w:rsidP="00F86059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53181679" w14:textId="77777777" w:rsidR="00F86059" w:rsidRDefault="00F86059" w:rsidP="007E4B4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5E23034F" w14:textId="77777777" w:rsidR="00BD465B" w:rsidRDefault="00BD465B" w:rsidP="007E4B4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0042E85C" w14:textId="77777777" w:rsidR="00BD465B" w:rsidRDefault="00BD465B" w:rsidP="007E4B4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  <w:p w14:paraId="21D8D229" w14:textId="77777777" w:rsidR="00CC34E2" w:rsidRPr="007E4B42" w:rsidRDefault="001C395F" w:rsidP="007E4B4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7E4B42">
              <w:rPr>
                <w:b/>
                <w:sz w:val="22"/>
                <w:szCs w:val="22"/>
              </w:rPr>
              <w:t xml:space="preserve">Action </w:t>
            </w:r>
          </w:p>
          <w:p w14:paraId="16034657" w14:textId="77777777" w:rsidR="00F86059" w:rsidRPr="007E4B42" w:rsidRDefault="00F86059" w:rsidP="007E4B42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Cs w:val="24"/>
              </w:rPr>
            </w:pPr>
            <w:r w:rsidRPr="007E4B42">
              <w:rPr>
                <w:b/>
                <w:sz w:val="22"/>
                <w:szCs w:val="22"/>
              </w:rPr>
              <w:t>MR4/081116</w:t>
            </w:r>
          </w:p>
        </w:tc>
      </w:tr>
      <w:tr w:rsidR="00BD22A4" w:rsidRPr="008E7553" w14:paraId="15CDCA5C" w14:textId="77777777" w:rsidTr="00F86059">
        <w:tc>
          <w:tcPr>
            <w:tcW w:w="1164" w:type="dxa"/>
          </w:tcPr>
          <w:p w14:paraId="34BA1F27" w14:textId="77777777" w:rsidR="00BD22A4" w:rsidRDefault="00916B7C" w:rsidP="00072527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Next meeting</w:t>
            </w:r>
          </w:p>
        </w:tc>
        <w:tc>
          <w:tcPr>
            <w:tcW w:w="6379" w:type="dxa"/>
          </w:tcPr>
          <w:p w14:paraId="6349EBCA" w14:textId="77777777" w:rsidR="008B55C9" w:rsidRDefault="008B55C9" w:rsidP="0094703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Interim meeting via conference call to take p</w:t>
            </w:r>
            <w:r w:rsidR="0072160F">
              <w:rPr>
                <w:sz w:val="22"/>
                <w:szCs w:val="22"/>
              </w:rPr>
              <w:t>lace at the end of January 2017.</w:t>
            </w:r>
          </w:p>
          <w:p w14:paraId="25E78F4F" w14:textId="77777777" w:rsidR="008B55C9" w:rsidRDefault="008B55C9" w:rsidP="0094703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3F7184E5" w14:textId="77777777" w:rsidR="008B55C9" w:rsidRDefault="008B55C9" w:rsidP="0094703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01040BB4" w14:textId="1DC9370F" w:rsidR="00091D5C" w:rsidRDefault="00947032" w:rsidP="0094703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next Sub-Committee meeting </w:t>
            </w:r>
            <w:r w:rsidR="00F40277">
              <w:rPr>
                <w:sz w:val="22"/>
                <w:szCs w:val="22"/>
              </w:rPr>
              <w:t>will take place on 29 March 2017 in Darlington</w:t>
            </w:r>
            <w:bookmarkStart w:id="0" w:name="_GoBack"/>
            <w:bookmarkEnd w:id="0"/>
          </w:p>
          <w:p w14:paraId="1341A8F2" w14:textId="77777777" w:rsidR="0072160F" w:rsidRPr="00BD22A4" w:rsidRDefault="0072160F" w:rsidP="00947032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8FB1A5D" w14:textId="77777777" w:rsidR="008B55C9" w:rsidRDefault="008B55C9" w:rsidP="00EB18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Date/time TBC </w:t>
            </w:r>
          </w:p>
          <w:p w14:paraId="342F4DF2" w14:textId="77777777" w:rsidR="008B55C9" w:rsidRDefault="008B55C9" w:rsidP="00EB18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5CE0B24" w14:textId="77777777" w:rsidR="008B55C9" w:rsidRDefault="008B55C9" w:rsidP="00EB18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</w:p>
          <w:p w14:paraId="1C8E2FD5" w14:textId="77777777" w:rsidR="00BD22A4" w:rsidRPr="00BD22A4" w:rsidRDefault="00947032" w:rsidP="00EB188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TBC</w:t>
            </w:r>
          </w:p>
        </w:tc>
      </w:tr>
    </w:tbl>
    <w:p w14:paraId="12D8E5F2" w14:textId="77777777" w:rsidR="00053C02" w:rsidRDefault="00053C02" w:rsidP="00403998">
      <w:pPr>
        <w:pStyle w:val="DeptBullets"/>
        <w:numPr>
          <w:ilvl w:val="0"/>
          <w:numId w:val="0"/>
        </w:numPr>
        <w:rPr>
          <w:sz w:val="22"/>
          <w:szCs w:val="22"/>
        </w:rPr>
      </w:pPr>
    </w:p>
    <w:p w14:paraId="25FA2312" w14:textId="77777777" w:rsidR="006700D5" w:rsidRDefault="00403998" w:rsidP="00403998">
      <w:pPr>
        <w:pStyle w:val="DeptBullets"/>
        <w:numPr>
          <w:ilvl w:val="0"/>
          <w:numId w:val="0"/>
        </w:numPr>
        <w:rPr>
          <w:sz w:val="22"/>
          <w:szCs w:val="22"/>
        </w:rPr>
      </w:pPr>
      <w:r w:rsidRPr="0059677C">
        <w:rPr>
          <w:sz w:val="22"/>
          <w:szCs w:val="22"/>
        </w:rPr>
        <w:t>Minutes agreed</w:t>
      </w:r>
      <w:r w:rsidR="00380648">
        <w:rPr>
          <w:sz w:val="22"/>
          <w:szCs w:val="22"/>
        </w:rPr>
        <w:t xml:space="preserve"> (Chair)</w:t>
      </w:r>
      <w:r w:rsidRPr="0059677C">
        <w:rPr>
          <w:sz w:val="22"/>
          <w:szCs w:val="22"/>
        </w:rPr>
        <w:t xml:space="preserve">: </w:t>
      </w:r>
      <w:r w:rsidR="0059677C">
        <w:rPr>
          <w:sz w:val="22"/>
          <w:szCs w:val="22"/>
        </w:rPr>
        <w:t xml:space="preserve">          </w:t>
      </w:r>
    </w:p>
    <w:p w14:paraId="08203F30" w14:textId="77777777" w:rsidR="006700D5" w:rsidRDefault="006700D5" w:rsidP="00403998">
      <w:pPr>
        <w:pStyle w:val="DeptBullets"/>
        <w:numPr>
          <w:ilvl w:val="0"/>
          <w:numId w:val="0"/>
        </w:num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13DFE729" wp14:editId="0FB3C925">
            <wp:extent cx="1448593" cy="45696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33" cy="46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4B927" w14:textId="77777777" w:rsidR="00380648" w:rsidRDefault="005B76B0" w:rsidP="00403998">
      <w:pPr>
        <w:pStyle w:val="DeptBullet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006C8A">
        <w:rPr>
          <w:sz w:val="22"/>
          <w:szCs w:val="22"/>
        </w:rPr>
        <w:t>ate</w:t>
      </w:r>
      <w:r w:rsidR="006700D5">
        <w:rPr>
          <w:sz w:val="22"/>
          <w:szCs w:val="22"/>
        </w:rPr>
        <w:t>: 17 November 2016</w:t>
      </w:r>
      <w:r w:rsidR="00C2621E" w:rsidRPr="0059677C">
        <w:rPr>
          <w:sz w:val="22"/>
          <w:szCs w:val="22"/>
        </w:rPr>
        <w:t xml:space="preserve">  </w:t>
      </w:r>
    </w:p>
    <w:sectPr w:rsidR="00380648" w:rsidSect="00F47F69">
      <w:footerReference w:type="default" r:id="rId13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9FFC" w14:textId="77777777" w:rsidR="007A58C7" w:rsidRDefault="007A58C7">
      <w:r>
        <w:separator/>
      </w:r>
    </w:p>
  </w:endnote>
  <w:endnote w:type="continuationSeparator" w:id="0">
    <w:p w14:paraId="60C6F47F" w14:textId="77777777" w:rsidR="007A58C7" w:rsidRDefault="007A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F59B7" w14:textId="3F6ABA16" w:rsidR="00006C8A" w:rsidRDefault="00006C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2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D19028" w14:textId="77777777" w:rsidR="00006C8A" w:rsidRDefault="00006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C2D2" w14:textId="77777777" w:rsidR="007A58C7" w:rsidRDefault="007A58C7">
      <w:r>
        <w:separator/>
      </w:r>
    </w:p>
  </w:footnote>
  <w:footnote w:type="continuationSeparator" w:id="0">
    <w:p w14:paraId="41C0472D" w14:textId="77777777" w:rsidR="007A58C7" w:rsidRDefault="007A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A39"/>
    <w:multiLevelType w:val="hybridMultilevel"/>
    <w:tmpl w:val="0FB0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3B61"/>
    <w:multiLevelType w:val="hybridMultilevel"/>
    <w:tmpl w:val="564C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4FF7"/>
    <w:multiLevelType w:val="hybridMultilevel"/>
    <w:tmpl w:val="FDB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C75"/>
    <w:multiLevelType w:val="hybridMultilevel"/>
    <w:tmpl w:val="D48A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79DB"/>
    <w:multiLevelType w:val="hybridMultilevel"/>
    <w:tmpl w:val="0FE2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BD2468"/>
    <w:multiLevelType w:val="hybridMultilevel"/>
    <w:tmpl w:val="CA8C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815"/>
    <w:multiLevelType w:val="hybridMultilevel"/>
    <w:tmpl w:val="0ED2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BCC"/>
    <w:multiLevelType w:val="hybridMultilevel"/>
    <w:tmpl w:val="E33C2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61631"/>
    <w:multiLevelType w:val="hybridMultilevel"/>
    <w:tmpl w:val="F920EDB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27010005"/>
    <w:multiLevelType w:val="hybridMultilevel"/>
    <w:tmpl w:val="74C0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FF8"/>
    <w:multiLevelType w:val="hybridMultilevel"/>
    <w:tmpl w:val="B36E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C430F"/>
    <w:multiLevelType w:val="hybridMultilevel"/>
    <w:tmpl w:val="8FD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E4587"/>
    <w:multiLevelType w:val="hybridMultilevel"/>
    <w:tmpl w:val="2ABE1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457BC"/>
    <w:multiLevelType w:val="hybridMultilevel"/>
    <w:tmpl w:val="18B2E9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1F77C1"/>
    <w:multiLevelType w:val="hybridMultilevel"/>
    <w:tmpl w:val="C11C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151F"/>
    <w:multiLevelType w:val="hybridMultilevel"/>
    <w:tmpl w:val="E59C2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A07B7"/>
    <w:multiLevelType w:val="hybridMultilevel"/>
    <w:tmpl w:val="29B42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018BD"/>
    <w:multiLevelType w:val="hybridMultilevel"/>
    <w:tmpl w:val="F3B883AA"/>
    <w:lvl w:ilvl="0" w:tplc="98F0C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C54D0"/>
    <w:multiLevelType w:val="hybridMultilevel"/>
    <w:tmpl w:val="E14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8D0274"/>
    <w:multiLevelType w:val="hybridMultilevel"/>
    <w:tmpl w:val="ABDA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49E65128"/>
    <w:multiLevelType w:val="hybridMultilevel"/>
    <w:tmpl w:val="960C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91A"/>
    <w:multiLevelType w:val="hybridMultilevel"/>
    <w:tmpl w:val="C33ED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705FD"/>
    <w:multiLevelType w:val="hybridMultilevel"/>
    <w:tmpl w:val="5466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1220"/>
    <w:multiLevelType w:val="hybridMultilevel"/>
    <w:tmpl w:val="2B969B54"/>
    <w:lvl w:ilvl="0" w:tplc="9CDE6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C6387"/>
    <w:multiLevelType w:val="hybridMultilevel"/>
    <w:tmpl w:val="F21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22096"/>
    <w:multiLevelType w:val="hybridMultilevel"/>
    <w:tmpl w:val="1C78989E"/>
    <w:lvl w:ilvl="0" w:tplc="3FBA4770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496553"/>
    <w:multiLevelType w:val="hybridMultilevel"/>
    <w:tmpl w:val="CC1C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E326C"/>
    <w:multiLevelType w:val="hybridMultilevel"/>
    <w:tmpl w:val="E1A6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E61EA"/>
    <w:multiLevelType w:val="hybridMultilevel"/>
    <w:tmpl w:val="A064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173B3"/>
    <w:multiLevelType w:val="hybridMultilevel"/>
    <w:tmpl w:val="8474E062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82A04"/>
    <w:multiLevelType w:val="hybridMultilevel"/>
    <w:tmpl w:val="2E40A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237E7"/>
    <w:multiLevelType w:val="hybridMultilevel"/>
    <w:tmpl w:val="A20C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30130"/>
    <w:multiLevelType w:val="hybridMultilevel"/>
    <w:tmpl w:val="925ECD2E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8" w15:restartNumberingAfterBreak="0">
    <w:nsid w:val="6A4D5D50"/>
    <w:multiLevelType w:val="hybridMultilevel"/>
    <w:tmpl w:val="0A3298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1736B"/>
    <w:multiLevelType w:val="hybridMultilevel"/>
    <w:tmpl w:val="60B8D4D8"/>
    <w:lvl w:ilvl="0" w:tplc="E2DA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52897"/>
    <w:multiLevelType w:val="hybridMultilevel"/>
    <w:tmpl w:val="A0D0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D47F3"/>
    <w:multiLevelType w:val="hybridMultilevel"/>
    <w:tmpl w:val="D4962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995251"/>
    <w:multiLevelType w:val="hybridMultilevel"/>
    <w:tmpl w:val="4E3CB15C"/>
    <w:lvl w:ilvl="0" w:tplc="3FBA4770">
      <w:numFmt w:val="bullet"/>
      <w:lvlText w:val="-"/>
      <w:lvlJc w:val="left"/>
      <w:pPr>
        <w:ind w:left="99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4" w15:restartNumberingAfterBreak="0">
    <w:nsid w:val="76E50826"/>
    <w:multiLevelType w:val="hybridMultilevel"/>
    <w:tmpl w:val="84148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D4C2178"/>
    <w:multiLevelType w:val="hybridMultilevel"/>
    <w:tmpl w:val="7E14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40FA0"/>
    <w:multiLevelType w:val="hybridMultilevel"/>
    <w:tmpl w:val="E4B6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E1E08"/>
    <w:multiLevelType w:val="hybridMultilevel"/>
    <w:tmpl w:val="9486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868A1"/>
    <w:multiLevelType w:val="hybridMultilevel"/>
    <w:tmpl w:val="61D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5"/>
  </w:num>
  <w:num w:numId="4">
    <w:abstractNumId w:val="5"/>
  </w:num>
  <w:num w:numId="5">
    <w:abstractNumId w:val="29"/>
  </w:num>
  <w:num w:numId="6">
    <w:abstractNumId w:val="39"/>
  </w:num>
  <w:num w:numId="7">
    <w:abstractNumId w:val="34"/>
  </w:num>
  <w:num w:numId="8">
    <w:abstractNumId w:val="24"/>
  </w:num>
  <w:num w:numId="9">
    <w:abstractNumId w:val="31"/>
  </w:num>
  <w:num w:numId="10">
    <w:abstractNumId w:val="18"/>
  </w:num>
  <w:num w:numId="11">
    <w:abstractNumId w:val="42"/>
  </w:num>
  <w:num w:numId="12">
    <w:abstractNumId w:val="37"/>
  </w:num>
  <w:num w:numId="13">
    <w:abstractNumId w:val="40"/>
  </w:num>
  <w:num w:numId="14">
    <w:abstractNumId w:val="48"/>
  </w:num>
  <w:num w:numId="15">
    <w:abstractNumId w:val="1"/>
  </w:num>
  <w:num w:numId="16">
    <w:abstractNumId w:val="0"/>
  </w:num>
  <w:num w:numId="17">
    <w:abstractNumId w:val="49"/>
  </w:num>
  <w:num w:numId="18">
    <w:abstractNumId w:val="4"/>
  </w:num>
  <w:num w:numId="19">
    <w:abstractNumId w:val="17"/>
  </w:num>
  <w:num w:numId="20">
    <w:abstractNumId w:val="11"/>
  </w:num>
  <w:num w:numId="21">
    <w:abstractNumId w:val="35"/>
  </w:num>
  <w:num w:numId="22">
    <w:abstractNumId w:val="7"/>
  </w:num>
  <w:num w:numId="23">
    <w:abstractNumId w:val="13"/>
  </w:num>
  <w:num w:numId="24">
    <w:abstractNumId w:val="26"/>
  </w:num>
  <w:num w:numId="25">
    <w:abstractNumId w:val="9"/>
  </w:num>
  <w:num w:numId="26">
    <w:abstractNumId w:val="38"/>
  </w:num>
  <w:num w:numId="27">
    <w:abstractNumId w:val="12"/>
  </w:num>
  <w:num w:numId="28">
    <w:abstractNumId w:val="47"/>
  </w:num>
  <w:num w:numId="29">
    <w:abstractNumId w:val="3"/>
  </w:num>
  <w:num w:numId="30">
    <w:abstractNumId w:val="27"/>
  </w:num>
  <w:num w:numId="31">
    <w:abstractNumId w:val="2"/>
  </w:num>
  <w:num w:numId="32">
    <w:abstractNumId w:val="28"/>
  </w:num>
  <w:num w:numId="33">
    <w:abstractNumId w:val="43"/>
  </w:num>
  <w:num w:numId="34">
    <w:abstractNumId w:val="33"/>
  </w:num>
  <w:num w:numId="35">
    <w:abstractNumId w:val="46"/>
  </w:num>
  <w:num w:numId="36">
    <w:abstractNumId w:val="25"/>
  </w:num>
  <w:num w:numId="37">
    <w:abstractNumId w:val="32"/>
  </w:num>
  <w:num w:numId="38">
    <w:abstractNumId w:val="19"/>
  </w:num>
  <w:num w:numId="39">
    <w:abstractNumId w:val="44"/>
  </w:num>
  <w:num w:numId="40">
    <w:abstractNumId w:val="6"/>
  </w:num>
  <w:num w:numId="41">
    <w:abstractNumId w:val="41"/>
  </w:num>
  <w:num w:numId="42">
    <w:abstractNumId w:val="36"/>
  </w:num>
  <w:num w:numId="43">
    <w:abstractNumId w:val="20"/>
  </w:num>
  <w:num w:numId="44">
    <w:abstractNumId w:val="21"/>
  </w:num>
  <w:num w:numId="45">
    <w:abstractNumId w:val="23"/>
  </w:num>
  <w:num w:numId="46">
    <w:abstractNumId w:val="16"/>
  </w:num>
  <w:num w:numId="47">
    <w:abstractNumId w:val="15"/>
  </w:num>
  <w:num w:numId="48">
    <w:abstractNumId w:val="8"/>
  </w:num>
  <w:num w:numId="49">
    <w:abstractNumId w:val="3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37"/>
    <w:rsid w:val="00006C8A"/>
    <w:rsid w:val="000119E4"/>
    <w:rsid w:val="00011F78"/>
    <w:rsid w:val="000227DD"/>
    <w:rsid w:val="00022DB6"/>
    <w:rsid w:val="00024680"/>
    <w:rsid w:val="00031AC0"/>
    <w:rsid w:val="00031C7E"/>
    <w:rsid w:val="000354B1"/>
    <w:rsid w:val="00041864"/>
    <w:rsid w:val="00046343"/>
    <w:rsid w:val="00046DDA"/>
    <w:rsid w:val="0004776A"/>
    <w:rsid w:val="000477CB"/>
    <w:rsid w:val="00051288"/>
    <w:rsid w:val="00053C02"/>
    <w:rsid w:val="0005599D"/>
    <w:rsid w:val="00060A29"/>
    <w:rsid w:val="0007067C"/>
    <w:rsid w:val="00072527"/>
    <w:rsid w:val="000746E2"/>
    <w:rsid w:val="00075FE4"/>
    <w:rsid w:val="00076B5D"/>
    <w:rsid w:val="000833EF"/>
    <w:rsid w:val="00086598"/>
    <w:rsid w:val="0008662F"/>
    <w:rsid w:val="00091D5C"/>
    <w:rsid w:val="00091E21"/>
    <w:rsid w:val="0009571A"/>
    <w:rsid w:val="000958B1"/>
    <w:rsid w:val="00095B85"/>
    <w:rsid w:val="000A0C1B"/>
    <w:rsid w:val="000A1620"/>
    <w:rsid w:val="000B1468"/>
    <w:rsid w:val="000B3157"/>
    <w:rsid w:val="000B5CC2"/>
    <w:rsid w:val="000C04D7"/>
    <w:rsid w:val="000C56B9"/>
    <w:rsid w:val="000D2FEB"/>
    <w:rsid w:val="000D3900"/>
    <w:rsid w:val="000D42E7"/>
    <w:rsid w:val="000D730F"/>
    <w:rsid w:val="000D78B1"/>
    <w:rsid w:val="000E1F47"/>
    <w:rsid w:val="000E3A88"/>
    <w:rsid w:val="000E4B38"/>
    <w:rsid w:val="000E4C12"/>
    <w:rsid w:val="000E6988"/>
    <w:rsid w:val="000F0C06"/>
    <w:rsid w:val="000F1601"/>
    <w:rsid w:val="000F4E59"/>
    <w:rsid w:val="001007EE"/>
    <w:rsid w:val="001063B0"/>
    <w:rsid w:val="001072FF"/>
    <w:rsid w:val="001103DF"/>
    <w:rsid w:val="00116F59"/>
    <w:rsid w:val="00122F8B"/>
    <w:rsid w:val="0012441D"/>
    <w:rsid w:val="001249C9"/>
    <w:rsid w:val="00130248"/>
    <w:rsid w:val="00130317"/>
    <w:rsid w:val="001321E6"/>
    <w:rsid w:val="001344B2"/>
    <w:rsid w:val="001362FD"/>
    <w:rsid w:val="001366BB"/>
    <w:rsid w:val="001369FB"/>
    <w:rsid w:val="001372F2"/>
    <w:rsid w:val="00146440"/>
    <w:rsid w:val="00152AC4"/>
    <w:rsid w:val="00153F85"/>
    <w:rsid w:val="00157EC3"/>
    <w:rsid w:val="00163F03"/>
    <w:rsid w:val="00164AAA"/>
    <w:rsid w:val="0016723E"/>
    <w:rsid w:val="00172115"/>
    <w:rsid w:val="0017385F"/>
    <w:rsid w:val="00176C0B"/>
    <w:rsid w:val="001804E8"/>
    <w:rsid w:val="00180A06"/>
    <w:rsid w:val="00182783"/>
    <w:rsid w:val="00184123"/>
    <w:rsid w:val="001901D1"/>
    <w:rsid w:val="00195F8E"/>
    <w:rsid w:val="001961C0"/>
    <w:rsid w:val="00196CBE"/>
    <w:rsid w:val="00197932"/>
    <w:rsid w:val="001A0AF6"/>
    <w:rsid w:val="001A1AD1"/>
    <w:rsid w:val="001A327F"/>
    <w:rsid w:val="001A54FA"/>
    <w:rsid w:val="001B05C8"/>
    <w:rsid w:val="001B6DF9"/>
    <w:rsid w:val="001C1B39"/>
    <w:rsid w:val="001C395F"/>
    <w:rsid w:val="001C4C1B"/>
    <w:rsid w:val="001D55BC"/>
    <w:rsid w:val="001D7FB3"/>
    <w:rsid w:val="001E3657"/>
    <w:rsid w:val="001E4334"/>
    <w:rsid w:val="001F45F1"/>
    <w:rsid w:val="002009C2"/>
    <w:rsid w:val="00205E7B"/>
    <w:rsid w:val="00206761"/>
    <w:rsid w:val="00211C37"/>
    <w:rsid w:val="00212D24"/>
    <w:rsid w:val="00217581"/>
    <w:rsid w:val="0022057C"/>
    <w:rsid w:val="002335B0"/>
    <w:rsid w:val="002338A1"/>
    <w:rsid w:val="002358FB"/>
    <w:rsid w:val="00235D7E"/>
    <w:rsid w:val="0023664E"/>
    <w:rsid w:val="00240983"/>
    <w:rsid w:val="00243D51"/>
    <w:rsid w:val="00245C6D"/>
    <w:rsid w:val="00250559"/>
    <w:rsid w:val="00257CEE"/>
    <w:rsid w:val="00261C5E"/>
    <w:rsid w:val="00261F69"/>
    <w:rsid w:val="00266064"/>
    <w:rsid w:val="0027611C"/>
    <w:rsid w:val="00280B4A"/>
    <w:rsid w:val="00283613"/>
    <w:rsid w:val="002840D0"/>
    <w:rsid w:val="002857F4"/>
    <w:rsid w:val="0029038F"/>
    <w:rsid w:val="00295EFC"/>
    <w:rsid w:val="00297991"/>
    <w:rsid w:val="002A18B1"/>
    <w:rsid w:val="002A21DE"/>
    <w:rsid w:val="002B0AC9"/>
    <w:rsid w:val="002B1479"/>
    <w:rsid w:val="002B4958"/>
    <w:rsid w:val="002B651E"/>
    <w:rsid w:val="002B6B93"/>
    <w:rsid w:val="002B7397"/>
    <w:rsid w:val="002C122B"/>
    <w:rsid w:val="002C1FBA"/>
    <w:rsid w:val="002C34AA"/>
    <w:rsid w:val="002D14E8"/>
    <w:rsid w:val="002D1929"/>
    <w:rsid w:val="002D2A7A"/>
    <w:rsid w:val="002E28FA"/>
    <w:rsid w:val="002E3870"/>
    <w:rsid w:val="002F23FA"/>
    <w:rsid w:val="002F6F44"/>
    <w:rsid w:val="003022AA"/>
    <w:rsid w:val="00305937"/>
    <w:rsid w:val="003064F1"/>
    <w:rsid w:val="00310708"/>
    <w:rsid w:val="00312BD3"/>
    <w:rsid w:val="00314240"/>
    <w:rsid w:val="0031494C"/>
    <w:rsid w:val="00321418"/>
    <w:rsid w:val="0032284D"/>
    <w:rsid w:val="00347A3B"/>
    <w:rsid w:val="00352EF0"/>
    <w:rsid w:val="00353F76"/>
    <w:rsid w:val="003551B6"/>
    <w:rsid w:val="003554DA"/>
    <w:rsid w:val="003577B5"/>
    <w:rsid w:val="00360051"/>
    <w:rsid w:val="003610DD"/>
    <w:rsid w:val="00361384"/>
    <w:rsid w:val="00367C49"/>
    <w:rsid w:val="00367E5F"/>
    <w:rsid w:val="00367EEB"/>
    <w:rsid w:val="00370895"/>
    <w:rsid w:val="00376746"/>
    <w:rsid w:val="00376795"/>
    <w:rsid w:val="00377634"/>
    <w:rsid w:val="00380648"/>
    <w:rsid w:val="003811D7"/>
    <w:rsid w:val="003842A0"/>
    <w:rsid w:val="003903F3"/>
    <w:rsid w:val="00392AE9"/>
    <w:rsid w:val="00394086"/>
    <w:rsid w:val="003A642B"/>
    <w:rsid w:val="003B47A0"/>
    <w:rsid w:val="003B4AA3"/>
    <w:rsid w:val="003B4DAA"/>
    <w:rsid w:val="003B78F9"/>
    <w:rsid w:val="003C4615"/>
    <w:rsid w:val="003D017B"/>
    <w:rsid w:val="003D10D3"/>
    <w:rsid w:val="003D308A"/>
    <w:rsid w:val="003D38C7"/>
    <w:rsid w:val="003D4966"/>
    <w:rsid w:val="003D4E9E"/>
    <w:rsid w:val="003D74A2"/>
    <w:rsid w:val="003D7A13"/>
    <w:rsid w:val="003E1B86"/>
    <w:rsid w:val="003E64C0"/>
    <w:rsid w:val="003E6E48"/>
    <w:rsid w:val="003E6F61"/>
    <w:rsid w:val="003F074C"/>
    <w:rsid w:val="003F0FE9"/>
    <w:rsid w:val="003F10CB"/>
    <w:rsid w:val="003F1C3A"/>
    <w:rsid w:val="003F3701"/>
    <w:rsid w:val="004025C7"/>
    <w:rsid w:val="00402829"/>
    <w:rsid w:val="00403998"/>
    <w:rsid w:val="00407B5A"/>
    <w:rsid w:val="00410839"/>
    <w:rsid w:val="004261B7"/>
    <w:rsid w:val="00430DC5"/>
    <w:rsid w:val="0043469F"/>
    <w:rsid w:val="004363FA"/>
    <w:rsid w:val="00437710"/>
    <w:rsid w:val="004403A8"/>
    <w:rsid w:val="00441E25"/>
    <w:rsid w:val="00450D89"/>
    <w:rsid w:val="00452590"/>
    <w:rsid w:val="004533A7"/>
    <w:rsid w:val="0045787F"/>
    <w:rsid w:val="00457A33"/>
    <w:rsid w:val="00460505"/>
    <w:rsid w:val="00461B1E"/>
    <w:rsid w:val="00461B66"/>
    <w:rsid w:val="00463122"/>
    <w:rsid w:val="00470A24"/>
    <w:rsid w:val="00471278"/>
    <w:rsid w:val="004718D8"/>
    <w:rsid w:val="0047206C"/>
    <w:rsid w:val="004751A4"/>
    <w:rsid w:val="004803E0"/>
    <w:rsid w:val="00480E77"/>
    <w:rsid w:val="00480EC6"/>
    <w:rsid w:val="00484C39"/>
    <w:rsid w:val="00484FB7"/>
    <w:rsid w:val="004955D9"/>
    <w:rsid w:val="004A62C7"/>
    <w:rsid w:val="004A7361"/>
    <w:rsid w:val="004A7D81"/>
    <w:rsid w:val="004B0435"/>
    <w:rsid w:val="004B1E30"/>
    <w:rsid w:val="004B341D"/>
    <w:rsid w:val="004B66CA"/>
    <w:rsid w:val="004D3DA1"/>
    <w:rsid w:val="004D56AA"/>
    <w:rsid w:val="004E03D9"/>
    <w:rsid w:val="004E06DD"/>
    <w:rsid w:val="004E633C"/>
    <w:rsid w:val="004E717A"/>
    <w:rsid w:val="004E7B30"/>
    <w:rsid w:val="004F07DA"/>
    <w:rsid w:val="004F252A"/>
    <w:rsid w:val="004F715F"/>
    <w:rsid w:val="005028EE"/>
    <w:rsid w:val="005038EA"/>
    <w:rsid w:val="00511CA5"/>
    <w:rsid w:val="00512543"/>
    <w:rsid w:val="00512A18"/>
    <w:rsid w:val="00514CA3"/>
    <w:rsid w:val="005150CE"/>
    <w:rsid w:val="00516950"/>
    <w:rsid w:val="00517652"/>
    <w:rsid w:val="00530814"/>
    <w:rsid w:val="00530A66"/>
    <w:rsid w:val="005370A1"/>
    <w:rsid w:val="005439B0"/>
    <w:rsid w:val="00543F90"/>
    <w:rsid w:val="00545301"/>
    <w:rsid w:val="005605BE"/>
    <w:rsid w:val="00565333"/>
    <w:rsid w:val="00567597"/>
    <w:rsid w:val="00567BE5"/>
    <w:rsid w:val="00571FE8"/>
    <w:rsid w:val="005768C7"/>
    <w:rsid w:val="00591342"/>
    <w:rsid w:val="00591B39"/>
    <w:rsid w:val="00592B2A"/>
    <w:rsid w:val="005957C5"/>
    <w:rsid w:val="0059677C"/>
    <w:rsid w:val="005A0B3F"/>
    <w:rsid w:val="005A339B"/>
    <w:rsid w:val="005B1CC3"/>
    <w:rsid w:val="005B5A07"/>
    <w:rsid w:val="005B76B0"/>
    <w:rsid w:val="005C1372"/>
    <w:rsid w:val="005C6B28"/>
    <w:rsid w:val="005D26C2"/>
    <w:rsid w:val="005D499F"/>
    <w:rsid w:val="005D5D00"/>
    <w:rsid w:val="005E0677"/>
    <w:rsid w:val="005E0B73"/>
    <w:rsid w:val="005E1E66"/>
    <w:rsid w:val="005E1FF4"/>
    <w:rsid w:val="005E5EF7"/>
    <w:rsid w:val="00600569"/>
    <w:rsid w:val="00602135"/>
    <w:rsid w:val="00607A4B"/>
    <w:rsid w:val="0061767F"/>
    <w:rsid w:val="00626734"/>
    <w:rsid w:val="0062704E"/>
    <w:rsid w:val="00627F5C"/>
    <w:rsid w:val="00634682"/>
    <w:rsid w:val="0063507E"/>
    <w:rsid w:val="00635930"/>
    <w:rsid w:val="006363E9"/>
    <w:rsid w:val="006426FF"/>
    <w:rsid w:val="00644411"/>
    <w:rsid w:val="00644CE4"/>
    <w:rsid w:val="00647661"/>
    <w:rsid w:val="006506D7"/>
    <w:rsid w:val="00653A4E"/>
    <w:rsid w:val="0065523F"/>
    <w:rsid w:val="006556B6"/>
    <w:rsid w:val="00657476"/>
    <w:rsid w:val="006602CE"/>
    <w:rsid w:val="00663758"/>
    <w:rsid w:val="006700D5"/>
    <w:rsid w:val="00670C1E"/>
    <w:rsid w:val="006738A2"/>
    <w:rsid w:val="006742AA"/>
    <w:rsid w:val="00682430"/>
    <w:rsid w:val="006858D6"/>
    <w:rsid w:val="00687908"/>
    <w:rsid w:val="0069359F"/>
    <w:rsid w:val="00694ADF"/>
    <w:rsid w:val="006962AD"/>
    <w:rsid w:val="006A0189"/>
    <w:rsid w:val="006A0604"/>
    <w:rsid w:val="006A1127"/>
    <w:rsid w:val="006A2F72"/>
    <w:rsid w:val="006A3278"/>
    <w:rsid w:val="006A55E1"/>
    <w:rsid w:val="006B2464"/>
    <w:rsid w:val="006B6EF0"/>
    <w:rsid w:val="006B7D6B"/>
    <w:rsid w:val="006C3FD7"/>
    <w:rsid w:val="006C4AC1"/>
    <w:rsid w:val="006C5604"/>
    <w:rsid w:val="006C79F6"/>
    <w:rsid w:val="006D3EBD"/>
    <w:rsid w:val="006D74EA"/>
    <w:rsid w:val="006E274C"/>
    <w:rsid w:val="006E6F0B"/>
    <w:rsid w:val="006E7766"/>
    <w:rsid w:val="006F1B3A"/>
    <w:rsid w:val="007104E4"/>
    <w:rsid w:val="0072160F"/>
    <w:rsid w:val="00725098"/>
    <w:rsid w:val="007314CE"/>
    <w:rsid w:val="00734E55"/>
    <w:rsid w:val="0074127E"/>
    <w:rsid w:val="00741DCE"/>
    <w:rsid w:val="007442BB"/>
    <w:rsid w:val="007457D4"/>
    <w:rsid w:val="007463C5"/>
    <w:rsid w:val="00746846"/>
    <w:rsid w:val="00746A3B"/>
    <w:rsid w:val="007510C3"/>
    <w:rsid w:val="00752445"/>
    <w:rsid w:val="00756245"/>
    <w:rsid w:val="007563E8"/>
    <w:rsid w:val="007573FE"/>
    <w:rsid w:val="00757964"/>
    <w:rsid w:val="00762431"/>
    <w:rsid w:val="0076458E"/>
    <w:rsid w:val="00764680"/>
    <w:rsid w:val="00767063"/>
    <w:rsid w:val="00767806"/>
    <w:rsid w:val="007711AC"/>
    <w:rsid w:val="0077240B"/>
    <w:rsid w:val="00774AD1"/>
    <w:rsid w:val="0077566B"/>
    <w:rsid w:val="00775AFE"/>
    <w:rsid w:val="00782FE4"/>
    <w:rsid w:val="00783BA8"/>
    <w:rsid w:val="0078546A"/>
    <w:rsid w:val="00785823"/>
    <w:rsid w:val="00790C52"/>
    <w:rsid w:val="007940AE"/>
    <w:rsid w:val="00794BF4"/>
    <w:rsid w:val="007A10F9"/>
    <w:rsid w:val="007A4C02"/>
    <w:rsid w:val="007A58C7"/>
    <w:rsid w:val="007B0474"/>
    <w:rsid w:val="007B057A"/>
    <w:rsid w:val="007B27E6"/>
    <w:rsid w:val="007B49CD"/>
    <w:rsid w:val="007B593B"/>
    <w:rsid w:val="007B5A46"/>
    <w:rsid w:val="007C1BC2"/>
    <w:rsid w:val="007C1FEB"/>
    <w:rsid w:val="007D0DBA"/>
    <w:rsid w:val="007D35D5"/>
    <w:rsid w:val="007D4700"/>
    <w:rsid w:val="007D4DB0"/>
    <w:rsid w:val="007D529B"/>
    <w:rsid w:val="007D5D93"/>
    <w:rsid w:val="007E4B42"/>
    <w:rsid w:val="007F073B"/>
    <w:rsid w:val="007F1846"/>
    <w:rsid w:val="00805C72"/>
    <w:rsid w:val="008110CD"/>
    <w:rsid w:val="00813AE9"/>
    <w:rsid w:val="00815589"/>
    <w:rsid w:val="00815BD3"/>
    <w:rsid w:val="00820BD0"/>
    <w:rsid w:val="00825BA0"/>
    <w:rsid w:val="008261BE"/>
    <w:rsid w:val="00831225"/>
    <w:rsid w:val="00833141"/>
    <w:rsid w:val="008428AB"/>
    <w:rsid w:val="00842A5D"/>
    <w:rsid w:val="00847289"/>
    <w:rsid w:val="00851495"/>
    <w:rsid w:val="00851FF0"/>
    <w:rsid w:val="0085351C"/>
    <w:rsid w:val="00855B6F"/>
    <w:rsid w:val="0086216B"/>
    <w:rsid w:val="00862E30"/>
    <w:rsid w:val="00863664"/>
    <w:rsid w:val="00867E7A"/>
    <w:rsid w:val="00870030"/>
    <w:rsid w:val="008751FA"/>
    <w:rsid w:val="0088151C"/>
    <w:rsid w:val="008817AB"/>
    <w:rsid w:val="00881D95"/>
    <w:rsid w:val="008831FB"/>
    <w:rsid w:val="008843A4"/>
    <w:rsid w:val="00890EBE"/>
    <w:rsid w:val="0089193B"/>
    <w:rsid w:val="0089521F"/>
    <w:rsid w:val="008A2DDD"/>
    <w:rsid w:val="008A5C70"/>
    <w:rsid w:val="008A6F0F"/>
    <w:rsid w:val="008A76D5"/>
    <w:rsid w:val="008A796A"/>
    <w:rsid w:val="008B1C49"/>
    <w:rsid w:val="008B5497"/>
    <w:rsid w:val="008B55C9"/>
    <w:rsid w:val="008B67CC"/>
    <w:rsid w:val="008C0AA7"/>
    <w:rsid w:val="008C5C95"/>
    <w:rsid w:val="008D1228"/>
    <w:rsid w:val="008E3BDA"/>
    <w:rsid w:val="008E46CB"/>
    <w:rsid w:val="008E7553"/>
    <w:rsid w:val="008F0BC5"/>
    <w:rsid w:val="008F228C"/>
    <w:rsid w:val="008F2B58"/>
    <w:rsid w:val="008F452F"/>
    <w:rsid w:val="009008AC"/>
    <w:rsid w:val="0090521C"/>
    <w:rsid w:val="00905ADC"/>
    <w:rsid w:val="0090602A"/>
    <w:rsid w:val="00906C33"/>
    <w:rsid w:val="009150A5"/>
    <w:rsid w:val="00916B7C"/>
    <w:rsid w:val="00916D53"/>
    <w:rsid w:val="009173AF"/>
    <w:rsid w:val="009203C4"/>
    <w:rsid w:val="00921323"/>
    <w:rsid w:val="0092141D"/>
    <w:rsid w:val="00926742"/>
    <w:rsid w:val="00926F25"/>
    <w:rsid w:val="00932946"/>
    <w:rsid w:val="00936DBB"/>
    <w:rsid w:val="009378CE"/>
    <w:rsid w:val="00940CD9"/>
    <w:rsid w:val="009424FA"/>
    <w:rsid w:val="009426CB"/>
    <w:rsid w:val="00942B1C"/>
    <w:rsid w:val="00943101"/>
    <w:rsid w:val="00947032"/>
    <w:rsid w:val="00947D18"/>
    <w:rsid w:val="00951580"/>
    <w:rsid w:val="00960897"/>
    <w:rsid w:val="00963073"/>
    <w:rsid w:val="00964DAD"/>
    <w:rsid w:val="00967A14"/>
    <w:rsid w:val="0097315A"/>
    <w:rsid w:val="009732FD"/>
    <w:rsid w:val="00974875"/>
    <w:rsid w:val="009762E1"/>
    <w:rsid w:val="00976C11"/>
    <w:rsid w:val="00981534"/>
    <w:rsid w:val="009827E0"/>
    <w:rsid w:val="009835B1"/>
    <w:rsid w:val="00995926"/>
    <w:rsid w:val="009A0F19"/>
    <w:rsid w:val="009A263D"/>
    <w:rsid w:val="009A35CE"/>
    <w:rsid w:val="009A3F0A"/>
    <w:rsid w:val="009A54ED"/>
    <w:rsid w:val="009B3EFE"/>
    <w:rsid w:val="009B493A"/>
    <w:rsid w:val="009C4888"/>
    <w:rsid w:val="009D3D73"/>
    <w:rsid w:val="009E73AD"/>
    <w:rsid w:val="009F267A"/>
    <w:rsid w:val="009F5357"/>
    <w:rsid w:val="009F5D06"/>
    <w:rsid w:val="009F7653"/>
    <w:rsid w:val="00A00569"/>
    <w:rsid w:val="00A03422"/>
    <w:rsid w:val="00A07091"/>
    <w:rsid w:val="00A07E53"/>
    <w:rsid w:val="00A151C8"/>
    <w:rsid w:val="00A15691"/>
    <w:rsid w:val="00A1656C"/>
    <w:rsid w:val="00A21E85"/>
    <w:rsid w:val="00A2712A"/>
    <w:rsid w:val="00A27264"/>
    <w:rsid w:val="00A27504"/>
    <w:rsid w:val="00A27B35"/>
    <w:rsid w:val="00A3306B"/>
    <w:rsid w:val="00A36044"/>
    <w:rsid w:val="00A366A9"/>
    <w:rsid w:val="00A40261"/>
    <w:rsid w:val="00A42C35"/>
    <w:rsid w:val="00A46912"/>
    <w:rsid w:val="00A52ADD"/>
    <w:rsid w:val="00A537EA"/>
    <w:rsid w:val="00A63C5B"/>
    <w:rsid w:val="00A64099"/>
    <w:rsid w:val="00A65F2C"/>
    <w:rsid w:val="00A7775C"/>
    <w:rsid w:val="00A82596"/>
    <w:rsid w:val="00A85A17"/>
    <w:rsid w:val="00A87D74"/>
    <w:rsid w:val="00A90713"/>
    <w:rsid w:val="00A91808"/>
    <w:rsid w:val="00A96425"/>
    <w:rsid w:val="00AA1F91"/>
    <w:rsid w:val="00AA596D"/>
    <w:rsid w:val="00AB2F37"/>
    <w:rsid w:val="00AB50CB"/>
    <w:rsid w:val="00AB6016"/>
    <w:rsid w:val="00AB7D61"/>
    <w:rsid w:val="00AC2A37"/>
    <w:rsid w:val="00AC5424"/>
    <w:rsid w:val="00AD01CB"/>
    <w:rsid w:val="00AD0A47"/>
    <w:rsid w:val="00AD0E50"/>
    <w:rsid w:val="00AD0F9D"/>
    <w:rsid w:val="00AD11B6"/>
    <w:rsid w:val="00AD1665"/>
    <w:rsid w:val="00AD2876"/>
    <w:rsid w:val="00AD309C"/>
    <w:rsid w:val="00AD632D"/>
    <w:rsid w:val="00AE7E6E"/>
    <w:rsid w:val="00AF0554"/>
    <w:rsid w:val="00AF1C07"/>
    <w:rsid w:val="00AF22E1"/>
    <w:rsid w:val="00AF2FD5"/>
    <w:rsid w:val="00AF5B69"/>
    <w:rsid w:val="00AF737F"/>
    <w:rsid w:val="00B006DF"/>
    <w:rsid w:val="00B007D0"/>
    <w:rsid w:val="00B01E7B"/>
    <w:rsid w:val="00B05ECD"/>
    <w:rsid w:val="00B06172"/>
    <w:rsid w:val="00B06B3C"/>
    <w:rsid w:val="00B07B14"/>
    <w:rsid w:val="00B154AB"/>
    <w:rsid w:val="00B15F92"/>
    <w:rsid w:val="00B1619E"/>
    <w:rsid w:val="00B16A24"/>
    <w:rsid w:val="00B16A8C"/>
    <w:rsid w:val="00B17A97"/>
    <w:rsid w:val="00B2039A"/>
    <w:rsid w:val="00B20BD0"/>
    <w:rsid w:val="00B21C6E"/>
    <w:rsid w:val="00B275C1"/>
    <w:rsid w:val="00B27CDF"/>
    <w:rsid w:val="00B30E17"/>
    <w:rsid w:val="00B343B8"/>
    <w:rsid w:val="00B35E3C"/>
    <w:rsid w:val="00B36CE1"/>
    <w:rsid w:val="00B37C4E"/>
    <w:rsid w:val="00B417FE"/>
    <w:rsid w:val="00B419D7"/>
    <w:rsid w:val="00B42F22"/>
    <w:rsid w:val="00B432ED"/>
    <w:rsid w:val="00B46661"/>
    <w:rsid w:val="00B47211"/>
    <w:rsid w:val="00B474D6"/>
    <w:rsid w:val="00B52F03"/>
    <w:rsid w:val="00B55DE9"/>
    <w:rsid w:val="00B57356"/>
    <w:rsid w:val="00B624F2"/>
    <w:rsid w:val="00B6522B"/>
    <w:rsid w:val="00B65709"/>
    <w:rsid w:val="00B67DF2"/>
    <w:rsid w:val="00B70824"/>
    <w:rsid w:val="00B77A55"/>
    <w:rsid w:val="00B77D01"/>
    <w:rsid w:val="00B80FE8"/>
    <w:rsid w:val="00B85BF7"/>
    <w:rsid w:val="00B939CC"/>
    <w:rsid w:val="00BA1E75"/>
    <w:rsid w:val="00BA2BE5"/>
    <w:rsid w:val="00BA2E8D"/>
    <w:rsid w:val="00BA50CA"/>
    <w:rsid w:val="00BA7653"/>
    <w:rsid w:val="00BB0A9F"/>
    <w:rsid w:val="00BB694D"/>
    <w:rsid w:val="00BB787B"/>
    <w:rsid w:val="00BC2909"/>
    <w:rsid w:val="00BC51EA"/>
    <w:rsid w:val="00BC547B"/>
    <w:rsid w:val="00BD11C0"/>
    <w:rsid w:val="00BD22A4"/>
    <w:rsid w:val="00BD465B"/>
    <w:rsid w:val="00BD4B6C"/>
    <w:rsid w:val="00BE0DFC"/>
    <w:rsid w:val="00BE2447"/>
    <w:rsid w:val="00BE6043"/>
    <w:rsid w:val="00BF6F96"/>
    <w:rsid w:val="00C1030D"/>
    <w:rsid w:val="00C11CD3"/>
    <w:rsid w:val="00C16416"/>
    <w:rsid w:val="00C2147A"/>
    <w:rsid w:val="00C2621E"/>
    <w:rsid w:val="00C26FE3"/>
    <w:rsid w:val="00C302BE"/>
    <w:rsid w:val="00C3271F"/>
    <w:rsid w:val="00C3300C"/>
    <w:rsid w:val="00C36C75"/>
    <w:rsid w:val="00C37933"/>
    <w:rsid w:val="00C408C7"/>
    <w:rsid w:val="00C40E74"/>
    <w:rsid w:val="00C45D2A"/>
    <w:rsid w:val="00C45FCC"/>
    <w:rsid w:val="00C47EEA"/>
    <w:rsid w:val="00C50FC3"/>
    <w:rsid w:val="00C519D0"/>
    <w:rsid w:val="00C57717"/>
    <w:rsid w:val="00C640C5"/>
    <w:rsid w:val="00C650B9"/>
    <w:rsid w:val="00C70ACB"/>
    <w:rsid w:val="00C77C41"/>
    <w:rsid w:val="00C80ADA"/>
    <w:rsid w:val="00C818F9"/>
    <w:rsid w:val="00C87CB1"/>
    <w:rsid w:val="00C92939"/>
    <w:rsid w:val="00C94FD9"/>
    <w:rsid w:val="00C97165"/>
    <w:rsid w:val="00CA473C"/>
    <w:rsid w:val="00CA4FEC"/>
    <w:rsid w:val="00CA5A10"/>
    <w:rsid w:val="00CB055A"/>
    <w:rsid w:val="00CB4083"/>
    <w:rsid w:val="00CC20DA"/>
    <w:rsid w:val="00CC34E2"/>
    <w:rsid w:val="00CC40A9"/>
    <w:rsid w:val="00CD147F"/>
    <w:rsid w:val="00CD56EF"/>
    <w:rsid w:val="00CD7921"/>
    <w:rsid w:val="00CE036D"/>
    <w:rsid w:val="00CE084B"/>
    <w:rsid w:val="00CE0D00"/>
    <w:rsid w:val="00CE38DE"/>
    <w:rsid w:val="00CE6B03"/>
    <w:rsid w:val="00CF1628"/>
    <w:rsid w:val="00CF4495"/>
    <w:rsid w:val="00CF7D45"/>
    <w:rsid w:val="00D005CD"/>
    <w:rsid w:val="00D019B5"/>
    <w:rsid w:val="00D02D57"/>
    <w:rsid w:val="00D0721A"/>
    <w:rsid w:val="00D118D6"/>
    <w:rsid w:val="00D11E13"/>
    <w:rsid w:val="00D129C7"/>
    <w:rsid w:val="00D20266"/>
    <w:rsid w:val="00D20C29"/>
    <w:rsid w:val="00D21C08"/>
    <w:rsid w:val="00D22000"/>
    <w:rsid w:val="00D22877"/>
    <w:rsid w:val="00D30296"/>
    <w:rsid w:val="00D30AE9"/>
    <w:rsid w:val="00D313CB"/>
    <w:rsid w:val="00D3314B"/>
    <w:rsid w:val="00D33842"/>
    <w:rsid w:val="00D47915"/>
    <w:rsid w:val="00D57D6E"/>
    <w:rsid w:val="00D61F5A"/>
    <w:rsid w:val="00D61F66"/>
    <w:rsid w:val="00D6385F"/>
    <w:rsid w:val="00D647BF"/>
    <w:rsid w:val="00D656C2"/>
    <w:rsid w:val="00D74774"/>
    <w:rsid w:val="00D749C8"/>
    <w:rsid w:val="00D75774"/>
    <w:rsid w:val="00D85937"/>
    <w:rsid w:val="00D931F3"/>
    <w:rsid w:val="00D93AF1"/>
    <w:rsid w:val="00DA20A2"/>
    <w:rsid w:val="00DB10B3"/>
    <w:rsid w:val="00DB16E1"/>
    <w:rsid w:val="00DB4C12"/>
    <w:rsid w:val="00DB7C6C"/>
    <w:rsid w:val="00DC2D7C"/>
    <w:rsid w:val="00DC4FD4"/>
    <w:rsid w:val="00DD0DB2"/>
    <w:rsid w:val="00DD22FA"/>
    <w:rsid w:val="00DE7764"/>
    <w:rsid w:val="00DE7B01"/>
    <w:rsid w:val="00DF14DC"/>
    <w:rsid w:val="00DF488C"/>
    <w:rsid w:val="00DF4CAB"/>
    <w:rsid w:val="00DF7042"/>
    <w:rsid w:val="00E0081E"/>
    <w:rsid w:val="00E02094"/>
    <w:rsid w:val="00E02AA0"/>
    <w:rsid w:val="00E07DBB"/>
    <w:rsid w:val="00E101C2"/>
    <w:rsid w:val="00E10F4C"/>
    <w:rsid w:val="00E16662"/>
    <w:rsid w:val="00E21325"/>
    <w:rsid w:val="00E2419F"/>
    <w:rsid w:val="00E265F7"/>
    <w:rsid w:val="00E302F3"/>
    <w:rsid w:val="00E30CCF"/>
    <w:rsid w:val="00E31D08"/>
    <w:rsid w:val="00E33FED"/>
    <w:rsid w:val="00E342C4"/>
    <w:rsid w:val="00E366D6"/>
    <w:rsid w:val="00E4370E"/>
    <w:rsid w:val="00E45034"/>
    <w:rsid w:val="00E533C5"/>
    <w:rsid w:val="00E53B12"/>
    <w:rsid w:val="00E5516D"/>
    <w:rsid w:val="00E61270"/>
    <w:rsid w:val="00E63D8B"/>
    <w:rsid w:val="00E66113"/>
    <w:rsid w:val="00E764FF"/>
    <w:rsid w:val="00E81BB4"/>
    <w:rsid w:val="00E81CFB"/>
    <w:rsid w:val="00E81F4B"/>
    <w:rsid w:val="00E85016"/>
    <w:rsid w:val="00E85F5C"/>
    <w:rsid w:val="00E8659F"/>
    <w:rsid w:val="00E87A96"/>
    <w:rsid w:val="00E933EF"/>
    <w:rsid w:val="00E96DDF"/>
    <w:rsid w:val="00E96F51"/>
    <w:rsid w:val="00E96F90"/>
    <w:rsid w:val="00EA11BE"/>
    <w:rsid w:val="00EA5470"/>
    <w:rsid w:val="00EA5B42"/>
    <w:rsid w:val="00EB101F"/>
    <w:rsid w:val="00EB1624"/>
    <w:rsid w:val="00EB1880"/>
    <w:rsid w:val="00EB2092"/>
    <w:rsid w:val="00EB3316"/>
    <w:rsid w:val="00EB5A2D"/>
    <w:rsid w:val="00EB6655"/>
    <w:rsid w:val="00EB73EF"/>
    <w:rsid w:val="00EC300D"/>
    <w:rsid w:val="00EC644A"/>
    <w:rsid w:val="00EC6A3F"/>
    <w:rsid w:val="00EC778D"/>
    <w:rsid w:val="00EC7911"/>
    <w:rsid w:val="00ED11BC"/>
    <w:rsid w:val="00ED3E27"/>
    <w:rsid w:val="00ED7A5E"/>
    <w:rsid w:val="00EE0FB9"/>
    <w:rsid w:val="00EE5BE7"/>
    <w:rsid w:val="00EE6B7D"/>
    <w:rsid w:val="00EF3C20"/>
    <w:rsid w:val="00EF4B44"/>
    <w:rsid w:val="00F0748B"/>
    <w:rsid w:val="00F13508"/>
    <w:rsid w:val="00F20E45"/>
    <w:rsid w:val="00F2412C"/>
    <w:rsid w:val="00F27015"/>
    <w:rsid w:val="00F2755E"/>
    <w:rsid w:val="00F30554"/>
    <w:rsid w:val="00F31240"/>
    <w:rsid w:val="00F313F9"/>
    <w:rsid w:val="00F348D2"/>
    <w:rsid w:val="00F40277"/>
    <w:rsid w:val="00F4421F"/>
    <w:rsid w:val="00F4485F"/>
    <w:rsid w:val="00F44B6A"/>
    <w:rsid w:val="00F44C99"/>
    <w:rsid w:val="00F44EA4"/>
    <w:rsid w:val="00F46D92"/>
    <w:rsid w:val="00F47F69"/>
    <w:rsid w:val="00F510BF"/>
    <w:rsid w:val="00F521C7"/>
    <w:rsid w:val="00F53920"/>
    <w:rsid w:val="00F53D27"/>
    <w:rsid w:val="00F60BF8"/>
    <w:rsid w:val="00F6434C"/>
    <w:rsid w:val="00F64863"/>
    <w:rsid w:val="00F6514A"/>
    <w:rsid w:val="00F75F46"/>
    <w:rsid w:val="00F76E85"/>
    <w:rsid w:val="00F82860"/>
    <w:rsid w:val="00F86059"/>
    <w:rsid w:val="00F92A97"/>
    <w:rsid w:val="00F960C1"/>
    <w:rsid w:val="00F97C94"/>
    <w:rsid w:val="00FA0331"/>
    <w:rsid w:val="00FA7224"/>
    <w:rsid w:val="00FB015C"/>
    <w:rsid w:val="00FB1A2B"/>
    <w:rsid w:val="00FB2299"/>
    <w:rsid w:val="00FB51C5"/>
    <w:rsid w:val="00FC049C"/>
    <w:rsid w:val="00FC1C0E"/>
    <w:rsid w:val="00FC5ED8"/>
    <w:rsid w:val="00FD3339"/>
    <w:rsid w:val="00FD4063"/>
    <w:rsid w:val="00FE1874"/>
    <w:rsid w:val="00FE5393"/>
    <w:rsid w:val="00FE5A8A"/>
    <w:rsid w:val="00FE7BAC"/>
    <w:rsid w:val="00FF0A7E"/>
    <w:rsid w:val="00FF137E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AE31E"/>
  <w15:docId w15:val="{F556F85C-94DA-4478-BCE2-48DC74CC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Emphasis">
    <w:name w:val="Emphasis"/>
    <w:basedOn w:val="DefaultParagraphFont"/>
    <w:qFormat/>
    <w:rsid w:val="00D63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briefing" ma:contentTypeID="0x0101003D8DE97B5F6A5E4385284C1FFBEDADD60900885B21747AAC4445B8D0C35AA84078F6" ma:contentTypeVersion="33" ma:contentTypeDescription="For any briefing which is not in relation to a department policy. Records retained for 10 years." ma:contentTypeScope="" ma:versionID="43763b8ab96a24a8288888dfbfc92597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01d2705b-266c-471f-bbad-ca9cc3733704" xmlns:ns4="9f3f92a8-473c-4608-bac3-6eb86d935198" targetNamespace="http://schemas.microsoft.com/office/2006/metadata/properties" ma:root="true" ma:fieldsID="10a070bbdd7a0a322a8e1e8648011e42" ns1:_="" ns2:_="" ns3:_="" ns4:_="">
    <xsd:import namespace="http://schemas.microsoft.com/sharepoint/v3"/>
    <xsd:import namespace="4259d123-e6a2-4a39-9cc4-e247171b8278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b11dec6ce0c448c0844aaa6ccb665a34" minOccurs="0"/>
                <xsd:element ref="ns2:ce5af11cf85042fda4c4f1f7f633f15b" minOccurs="0"/>
                <xsd:element ref="ns2:fcfa2e3a102f492eb9989c5396408ed9" minOccurs="0"/>
                <xsd:element ref="ns2:ba8d4f2c4b764194bae6c355bbdcc1eb" minOccurs="0"/>
                <xsd:element ref="ns3:IWPContributor" minOccurs="0"/>
                <xsd:element ref="ns4:h5181134883947a99a38d116ffff0102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8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da1b62f6-7c55-4857-80e2-86b00f747f63}" ma:internalName="TaxCatchAll" ma:readOnly="false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da1b62f6-7c55-4857-80e2-86b00f747f63}" ma:internalName="TaxCatchAllLabel" ma:readOnly="false" ma:showField="CatchAllDataLabel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1dec6ce0c448c0844aaa6ccb665a34" ma:index="22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af11cf85042fda4c4f1f7f633f15b" ma:index="23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4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26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2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TaxCatchAll xmlns="4259d123-e6a2-4a39-9cc4-e247171b8278">
      <Value>3</Value>
      <Value>2</Value>
      <Value>1</Value>
    </TaxCatchAll>
    <_dlc_DocId xmlns="4259d123-e6a2-4a39-9cc4-e247171b8278">HKPH4XM4QHZ4-1883831546-32940</_dlc_DocId>
    <_dlc_DocIdUrl xmlns="4259d123-e6a2-4a39-9cc4-e247171b8278">
      <Url>https://educationgovuk.sharepoint.com/sites/ttg/d/_layouts/15/DocIdRedir.aspx?ID=HKPH4XM4QHZ4-1883831546-32940</Url>
      <Description>HKPH4XM4QHZ4-1883831546-32940</Description>
    </_dlc_DocIdUrl>
    <fcfa2e3a102f492eb9989c5396408ed9 xmlns="4259d123-e6a2-4a39-9cc4-e247171b8278">
      <Terms xmlns="http://schemas.microsoft.com/office/infopath/2007/PartnerControls"/>
    </fcfa2e3a102f492eb9989c5396408ed9>
    <TaxCatchAllLabel xmlns="4259d123-e6a2-4a39-9cc4-e247171b8278"/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809A-94FB-4422-BA5F-FD14C82C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63523-D2FC-4011-82D0-C844F3C4CEA9}">
  <ds:schemaRefs>
    <ds:schemaRef ds:uri="http://schemas.microsoft.com/office/2006/metadata/properties"/>
    <ds:schemaRef ds:uri="http://schemas.microsoft.com/office/infopath/2007/PartnerControls"/>
    <ds:schemaRef ds:uri="01d2705b-266c-471f-bbad-ca9cc3733704"/>
    <ds:schemaRef ds:uri="http://schemas.microsoft.com/sharepoint/v3"/>
    <ds:schemaRef ds:uri="4259d123-e6a2-4a39-9cc4-e247171b8278"/>
    <ds:schemaRef ds:uri="9f3f92a8-473c-4608-bac3-6eb86d935198"/>
  </ds:schemaRefs>
</ds:datastoreItem>
</file>

<file path=customXml/itemProps3.xml><?xml version="1.0" encoding="utf-8"?>
<ds:datastoreItem xmlns:ds="http://schemas.openxmlformats.org/officeDocument/2006/customXml" ds:itemID="{86E47836-104C-47AF-B0F9-43CE9A2909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6BC7E0-6432-4611-B817-A4E36876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MRandIC minutes signed by Chair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MRandIC minutes signed by Chair</dc:title>
  <dc:creator>CAMMACK, Karen</dc:creator>
  <cp:lastModifiedBy>LAUNDY, Fiona</cp:lastModifiedBy>
  <cp:revision>4</cp:revision>
  <cp:lastPrinted>2016-11-15T10:07:00Z</cp:lastPrinted>
  <dcterms:created xsi:type="dcterms:W3CDTF">2017-02-06T11:00:00Z</dcterms:created>
  <dcterms:modified xsi:type="dcterms:W3CDTF">2017-02-06T11:34:00Z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0x0101003D8DE97B5F6A5E4385284C1FFBEDADD60900885B21747AAC4445B8D0C35AA84078F6</vt:lpwstr>
  </property>
  <property fmtid="{D5CDD505-2E9C-101B-9397-08002B2CF9AE}" pid="3" name="_dlc_DocIdItemGuid">
    <vt:lpwstr>57930000-2c35-43c4-a51b-5ea6ed6ad56c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</Properties>
</file>