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89E07" w14:textId="77777777" w:rsidR="00794BF4" w:rsidRDefault="00794BF4" w:rsidP="00394E61">
      <w:pPr>
        <w:pStyle w:val="DeptBullets"/>
        <w:numPr>
          <w:ilvl w:val="0"/>
          <w:numId w:val="0"/>
        </w:num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Managing Risk and Internal Controls Sub-Com</w:t>
      </w:r>
      <w:r w:rsidR="00B27CDF">
        <w:rPr>
          <w:b/>
        </w:rPr>
        <w:t xml:space="preserve"> </w:t>
      </w:r>
      <w:r>
        <w:rPr>
          <w:b/>
        </w:rPr>
        <w:t>Board Meeting</w:t>
      </w:r>
      <w:r w:rsidR="0078546A">
        <w:rPr>
          <w:b/>
        </w:rPr>
        <w:t>:</w:t>
      </w:r>
      <w:r w:rsidR="00DE7B01">
        <w:rPr>
          <w:b/>
        </w:rPr>
        <w:t xml:space="preserve"> </w:t>
      </w:r>
    </w:p>
    <w:p w14:paraId="6BBDF01F" w14:textId="03230727" w:rsidR="00394E61" w:rsidRDefault="00644886" w:rsidP="00394E61">
      <w:pPr>
        <w:pStyle w:val="DeptBullets"/>
        <w:numPr>
          <w:ilvl w:val="0"/>
          <w:numId w:val="0"/>
        </w:numPr>
        <w:spacing w:after="120"/>
        <w:jc w:val="center"/>
        <w:rPr>
          <w:b/>
        </w:rPr>
      </w:pPr>
      <w:r>
        <w:rPr>
          <w:b/>
        </w:rPr>
        <w:t>26 September</w:t>
      </w:r>
      <w:r w:rsidR="009550DF">
        <w:rPr>
          <w:b/>
        </w:rPr>
        <w:t xml:space="preserve"> 2018 - </w:t>
      </w:r>
      <w:r w:rsidR="00305937">
        <w:rPr>
          <w:b/>
        </w:rPr>
        <w:t>MINUTES</w:t>
      </w:r>
    </w:p>
    <w:tbl>
      <w:tblPr>
        <w:tblStyle w:val="TableGrid"/>
        <w:tblW w:w="808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4678"/>
        <w:gridCol w:w="709"/>
      </w:tblGrid>
      <w:tr w:rsidR="001D4252" w:rsidRPr="000D4B21" w14:paraId="40B375A4" w14:textId="77777777" w:rsidTr="00DD43A1">
        <w:tc>
          <w:tcPr>
            <w:tcW w:w="2693" w:type="dxa"/>
            <w:shd w:val="clear" w:color="auto" w:fill="F2F2F2" w:themeFill="background1" w:themeFillShade="F2"/>
          </w:tcPr>
          <w:p w14:paraId="4995967E" w14:textId="77777777" w:rsidR="001D4252" w:rsidRPr="000D4B21" w:rsidRDefault="001D4252" w:rsidP="005B79D9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0D4B21">
              <w:rPr>
                <w:b/>
                <w:sz w:val="22"/>
                <w:szCs w:val="22"/>
              </w:rPr>
              <w:t>Present: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BB3738" w14:textId="77777777" w:rsidR="001D4252" w:rsidRPr="000D4B21" w:rsidRDefault="001D4252" w:rsidP="005B79D9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4211D8" w14:textId="77777777" w:rsidR="001D4252" w:rsidRPr="000D4B21" w:rsidRDefault="001D4252" w:rsidP="005B79D9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</w:tc>
      </w:tr>
      <w:tr w:rsidR="006E3A58" w:rsidRPr="006E3A58" w14:paraId="7EE433A2" w14:textId="77777777" w:rsidTr="00DD43A1">
        <w:tc>
          <w:tcPr>
            <w:tcW w:w="2693" w:type="dxa"/>
          </w:tcPr>
          <w:p w14:paraId="3FB4FD2E" w14:textId="77777777" w:rsidR="001D4252" w:rsidRPr="006E3A58" w:rsidRDefault="00441C0D" w:rsidP="005B79D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Jerry Glazier (c</w:t>
            </w:r>
            <w:r w:rsidR="006E3A58" w:rsidRPr="006E3A58">
              <w:rPr>
                <w:sz w:val="22"/>
                <w:szCs w:val="22"/>
              </w:rPr>
              <w:t>hair)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9711" w14:textId="77777777" w:rsidR="001D4252" w:rsidRPr="006E3A58" w:rsidRDefault="006E3A58" w:rsidP="005B79D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6E3A58">
              <w:rPr>
                <w:sz w:val="22"/>
                <w:szCs w:val="22"/>
              </w:rPr>
              <w:t xml:space="preserve">Member </w:t>
            </w:r>
            <w:r w:rsidR="00A5300C" w:rsidRPr="006E3A58">
              <w:rPr>
                <w:sz w:val="22"/>
                <w:szCs w:val="22"/>
              </w:rPr>
              <w:t>Representative</w:t>
            </w:r>
            <w:r w:rsidRPr="006E3A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A59" w14:textId="77777777" w:rsidR="001D4252" w:rsidRPr="006E3A58" w:rsidRDefault="006E3A58" w:rsidP="005B79D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6E3A58">
              <w:rPr>
                <w:sz w:val="22"/>
                <w:szCs w:val="22"/>
              </w:rPr>
              <w:t>JG</w:t>
            </w:r>
          </w:p>
        </w:tc>
      </w:tr>
      <w:tr w:rsidR="00C733C7" w:rsidRPr="006E3A58" w14:paraId="32535D52" w14:textId="77777777" w:rsidTr="00DD43A1">
        <w:tc>
          <w:tcPr>
            <w:tcW w:w="2693" w:type="dxa"/>
          </w:tcPr>
          <w:p w14:paraId="3FAED3E4" w14:textId="77777777" w:rsidR="00C733C7" w:rsidRPr="006E3A58" w:rsidRDefault="00C733C7" w:rsidP="00441C0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6E3A58">
              <w:rPr>
                <w:sz w:val="22"/>
                <w:szCs w:val="22"/>
              </w:rPr>
              <w:t>David Butcher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A094" w14:textId="77777777" w:rsidR="00C733C7" w:rsidRPr="006E3A58" w:rsidRDefault="00C733C7" w:rsidP="005B79D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6E3A58">
              <w:rPr>
                <w:sz w:val="22"/>
                <w:szCs w:val="22"/>
              </w:rPr>
              <w:t>Employer Representative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23EE" w14:textId="77777777" w:rsidR="00C733C7" w:rsidRPr="006E3A58" w:rsidRDefault="00C733C7" w:rsidP="005B79D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DB</w:t>
            </w:r>
          </w:p>
        </w:tc>
      </w:tr>
      <w:tr w:rsidR="006E3A58" w:rsidRPr="006E3A58" w14:paraId="3F003D10" w14:textId="77777777" w:rsidTr="00DD43A1">
        <w:tc>
          <w:tcPr>
            <w:tcW w:w="2693" w:type="dxa"/>
          </w:tcPr>
          <w:p w14:paraId="5B47E62E" w14:textId="77777777" w:rsidR="001D4252" w:rsidRPr="006E3A58" w:rsidRDefault="006E3A58" w:rsidP="0064488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6E3A58">
              <w:rPr>
                <w:sz w:val="22"/>
                <w:szCs w:val="22"/>
              </w:rPr>
              <w:t xml:space="preserve">Chris Jones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6BCB" w14:textId="77777777" w:rsidR="001D4252" w:rsidRPr="006E3A58" w:rsidRDefault="006E3A58" w:rsidP="005B79D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6E3A58">
              <w:rPr>
                <w:sz w:val="22"/>
                <w:szCs w:val="22"/>
              </w:rPr>
              <w:t xml:space="preserve">Member </w:t>
            </w:r>
            <w:r w:rsidR="00A5300C" w:rsidRPr="006E3A58">
              <w:rPr>
                <w:sz w:val="22"/>
                <w:szCs w:val="22"/>
              </w:rPr>
              <w:t>Representative</w:t>
            </w:r>
            <w:r w:rsidRPr="006E3A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38F7" w14:textId="77777777" w:rsidR="001D4252" w:rsidRPr="006E3A58" w:rsidRDefault="006E3A58" w:rsidP="005B79D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6E3A58">
              <w:rPr>
                <w:sz w:val="22"/>
                <w:szCs w:val="22"/>
              </w:rPr>
              <w:t>CJ</w:t>
            </w:r>
          </w:p>
        </w:tc>
      </w:tr>
      <w:tr w:rsidR="006E3A58" w:rsidRPr="006E3A58" w14:paraId="6721E9CA" w14:textId="77777777" w:rsidTr="00DD43A1">
        <w:tc>
          <w:tcPr>
            <w:tcW w:w="2693" w:type="dxa"/>
          </w:tcPr>
          <w:p w14:paraId="073366C8" w14:textId="77777777" w:rsidR="001D4252" w:rsidRPr="006E3A58" w:rsidRDefault="006E3A58" w:rsidP="005B79D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6E3A58">
              <w:rPr>
                <w:sz w:val="22"/>
                <w:szCs w:val="22"/>
              </w:rPr>
              <w:t>Lee Probert (dialled in)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C392" w14:textId="77777777" w:rsidR="001D4252" w:rsidRPr="006E3A58" w:rsidRDefault="006E3A58" w:rsidP="005B79D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6E3A58">
              <w:rPr>
                <w:sz w:val="22"/>
                <w:szCs w:val="22"/>
              </w:rPr>
              <w:t xml:space="preserve">Employer Representative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ABBB" w14:textId="77777777" w:rsidR="001D4252" w:rsidRPr="006E3A58" w:rsidRDefault="006E3A58" w:rsidP="005B79D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6E3A58">
              <w:rPr>
                <w:sz w:val="22"/>
                <w:szCs w:val="22"/>
              </w:rPr>
              <w:t>LP</w:t>
            </w:r>
          </w:p>
        </w:tc>
      </w:tr>
      <w:tr w:rsidR="006E3A58" w:rsidRPr="006E3A58" w14:paraId="0C6B6908" w14:textId="77777777" w:rsidTr="00DD43A1">
        <w:tc>
          <w:tcPr>
            <w:tcW w:w="2693" w:type="dxa"/>
          </w:tcPr>
          <w:p w14:paraId="1B12E7D1" w14:textId="77777777" w:rsidR="00B879C2" w:rsidRPr="006E3A58" w:rsidRDefault="006E3A58" w:rsidP="005B79D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6E3A58">
              <w:rPr>
                <w:sz w:val="22"/>
                <w:szCs w:val="22"/>
              </w:rPr>
              <w:t>Dave Wilkinson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F2F3" w14:textId="77777777" w:rsidR="00B879C2" w:rsidRPr="006E3A58" w:rsidRDefault="006E3A58" w:rsidP="005B79D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6E3A58">
              <w:rPr>
                <w:sz w:val="22"/>
                <w:szCs w:val="22"/>
              </w:rPr>
              <w:t xml:space="preserve">Member Representative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2CB2" w14:textId="77777777" w:rsidR="00B879C2" w:rsidRPr="006E3A58" w:rsidRDefault="006E3A58" w:rsidP="005B79D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6E3A58">
              <w:rPr>
                <w:sz w:val="22"/>
                <w:szCs w:val="22"/>
              </w:rPr>
              <w:t>DW</w:t>
            </w:r>
          </w:p>
        </w:tc>
      </w:tr>
      <w:tr w:rsidR="00441C0D" w:rsidRPr="006E3A58" w14:paraId="609DB78E" w14:textId="77777777" w:rsidTr="00DD43A1">
        <w:tc>
          <w:tcPr>
            <w:tcW w:w="2693" w:type="dxa"/>
          </w:tcPr>
          <w:p w14:paraId="0FA90C82" w14:textId="77777777" w:rsidR="00441C0D" w:rsidRPr="006E3A58" w:rsidRDefault="00644886" w:rsidP="00441C0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Neneh Binning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9E55" w14:textId="77777777" w:rsidR="00441C0D" w:rsidRPr="006E3A58" w:rsidRDefault="00644886" w:rsidP="00441C0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DfE Senior Risk and Finance Manager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0B2E" w14:textId="77777777" w:rsidR="00441C0D" w:rsidRPr="006E3A58" w:rsidRDefault="00644886" w:rsidP="00441C0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NB</w:t>
            </w:r>
          </w:p>
        </w:tc>
      </w:tr>
      <w:tr w:rsidR="00441C0D" w:rsidRPr="006E3A58" w14:paraId="163C7C4B" w14:textId="77777777" w:rsidTr="00DD43A1">
        <w:tc>
          <w:tcPr>
            <w:tcW w:w="2693" w:type="dxa"/>
          </w:tcPr>
          <w:p w14:paraId="1D97A63E" w14:textId="77777777" w:rsidR="00441C0D" w:rsidRDefault="00441C0D" w:rsidP="00441C0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Kathryn Symms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6254" w14:textId="77777777" w:rsidR="00441C0D" w:rsidRDefault="00441C0D" w:rsidP="00441C0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DfE </w:t>
            </w:r>
            <w:r>
              <w:rPr>
                <w:rFonts w:cs="Arial"/>
                <w:sz w:val="22"/>
                <w:szCs w:val="22"/>
              </w:rPr>
              <w:t>Policy &amp; Governance team leader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0722" w14:textId="77777777" w:rsidR="00441C0D" w:rsidRDefault="00441C0D" w:rsidP="00441C0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</w:tr>
      <w:tr w:rsidR="00644886" w:rsidRPr="006E3A58" w14:paraId="252B2247" w14:textId="77777777" w:rsidTr="00DD43A1">
        <w:tc>
          <w:tcPr>
            <w:tcW w:w="2693" w:type="dxa"/>
          </w:tcPr>
          <w:p w14:paraId="29791407" w14:textId="77777777" w:rsidR="00644886" w:rsidRDefault="00644886" w:rsidP="00441C0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John Brown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0EA9" w14:textId="77777777" w:rsidR="00644886" w:rsidRDefault="00644886" w:rsidP="00441C0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DfE </w:t>
            </w:r>
            <w:r w:rsidR="0069271B">
              <w:rPr>
                <w:sz w:val="22"/>
                <w:szCs w:val="22"/>
              </w:rPr>
              <w:t xml:space="preserve">Policy Manager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331F" w14:textId="77777777" w:rsidR="00644886" w:rsidRDefault="0069271B" w:rsidP="00441C0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JB</w:t>
            </w:r>
          </w:p>
        </w:tc>
      </w:tr>
      <w:tr w:rsidR="00441C0D" w:rsidRPr="006E3A58" w14:paraId="446529AB" w14:textId="77777777" w:rsidTr="00DD43A1">
        <w:tc>
          <w:tcPr>
            <w:tcW w:w="2693" w:type="dxa"/>
          </w:tcPr>
          <w:p w14:paraId="02CEB47F" w14:textId="77777777" w:rsidR="00441C0D" w:rsidRPr="006E3A58" w:rsidRDefault="00441C0D" w:rsidP="00441C0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Fiona Laundy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102D" w14:textId="77777777" w:rsidR="00441C0D" w:rsidRPr="006E3A58" w:rsidRDefault="00441C0D" w:rsidP="00441C0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DfE Secretariat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765A" w14:textId="77777777" w:rsidR="00441C0D" w:rsidRPr="006E3A58" w:rsidRDefault="00441C0D" w:rsidP="00441C0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</w:p>
        </w:tc>
      </w:tr>
      <w:tr w:rsidR="00441C0D" w:rsidRPr="006E3A58" w14:paraId="1B9D550B" w14:textId="77777777" w:rsidTr="00DD43A1">
        <w:tc>
          <w:tcPr>
            <w:tcW w:w="2693" w:type="dxa"/>
          </w:tcPr>
          <w:p w14:paraId="77FC7031" w14:textId="77777777" w:rsidR="00441C0D" w:rsidRDefault="00441C0D" w:rsidP="00441C0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Neil Crombie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F74C" w14:textId="77777777" w:rsidR="00441C0D" w:rsidRDefault="00DD43A1" w:rsidP="00441C0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TP </w:t>
            </w:r>
            <w:r w:rsidR="00441C0D">
              <w:rPr>
                <w:sz w:val="22"/>
                <w:szCs w:val="22"/>
              </w:rPr>
              <w:t>Head of Policy and Technical Team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DCE1" w14:textId="77777777" w:rsidR="00441C0D" w:rsidRDefault="00441C0D" w:rsidP="00441C0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</w:tr>
      <w:tr w:rsidR="00DD43A1" w:rsidRPr="006E3A58" w14:paraId="64073DE6" w14:textId="77777777" w:rsidTr="00DD43A1">
        <w:tc>
          <w:tcPr>
            <w:tcW w:w="2693" w:type="dxa"/>
          </w:tcPr>
          <w:p w14:paraId="7DD44E66" w14:textId="77777777" w:rsidR="00DD43A1" w:rsidRDefault="00DD43A1" w:rsidP="00441C0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Matthew McNaughton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33A" w14:textId="77777777" w:rsidR="00DD43A1" w:rsidRDefault="00DD43A1" w:rsidP="00DD43A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 Risk Management and MCR Project Lead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D1CB" w14:textId="77777777" w:rsidR="00DD43A1" w:rsidRDefault="00DD43A1" w:rsidP="00441C0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</w:t>
            </w:r>
          </w:p>
        </w:tc>
      </w:tr>
      <w:tr w:rsidR="00EB265F" w:rsidRPr="006E3A58" w14:paraId="360F0F29" w14:textId="77777777" w:rsidTr="00DD43A1">
        <w:tc>
          <w:tcPr>
            <w:tcW w:w="2693" w:type="dxa"/>
          </w:tcPr>
          <w:p w14:paraId="56BEC292" w14:textId="3EC33173" w:rsidR="00EB265F" w:rsidRDefault="00EB265F" w:rsidP="00EB265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6E3A58">
              <w:rPr>
                <w:sz w:val="22"/>
                <w:szCs w:val="22"/>
              </w:rPr>
              <w:t>Geoff Ashton (</w:t>
            </w:r>
            <w:r>
              <w:rPr>
                <w:sz w:val="22"/>
                <w:szCs w:val="22"/>
              </w:rPr>
              <w:t>guest</w:t>
            </w:r>
            <w:r w:rsidRPr="006E3A58">
              <w:rPr>
                <w:sz w:val="22"/>
                <w:szCs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3E17" w14:textId="458C0F9A" w:rsidR="00EB265F" w:rsidRDefault="00EB265F" w:rsidP="00EB265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6E3A58">
              <w:rPr>
                <w:sz w:val="22"/>
                <w:szCs w:val="22"/>
              </w:rPr>
              <w:t xml:space="preserve">Independent Pension Specialist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FD81" w14:textId="32015F7D" w:rsidR="00EB265F" w:rsidRDefault="00EB265F" w:rsidP="00EB265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</w:t>
            </w:r>
          </w:p>
        </w:tc>
      </w:tr>
      <w:tr w:rsidR="00EB265F" w:rsidRPr="006E3A58" w14:paraId="39B05C48" w14:textId="77777777" w:rsidTr="00DD43A1">
        <w:tc>
          <w:tcPr>
            <w:tcW w:w="2693" w:type="dxa"/>
          </w:tcPr>
          <w:p w14:paraId="70A48314" w14:textId="4B9FDA3C" w:rsidR="00EB265F" w:rsidRDefault="00EB265F" w:rsidP="00EB265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Neville Mackay (guest)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8947" w14:textId="337FCE98" w:rsidR="00EB265F" w:rsidRDefault="00EB265F" w:rsidP="00EB265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TPSPB Chair (Guest)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6219" w14:textId="4751C0E9" w:rsidR="00EB265F" w:rsidRDefault="00EB265F" w:rsidP="00EB265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NM</w:t>
            </w:r>
          </w:p>
        </w:tc>
      </w:tr>
      <w:tr w:rsidR="00EB265F" w:rsidRPr="006E3A58" w14:paraId="462DFDE1" w14:textId="77777777" w:rsidTr="00DD43A1">
        <w:tc>
          <w:tcPr>
            <w:tcW w:w="2693" w:type="dxa"/>
          </w:tcPr>
          <w:p w14:paraId="04DE82A4" w14:textId="4D875259" w:rsidR="00EB265F" w:rsidRDefault="00EB265F" w:rsidP="00EB265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Helen Fisher (observer)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7823" w14:textId="77777777" w:rsidR="00EB265F" w:rsidRDefault="00EB265F" w:rsidP="00EB265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DfE Secretariat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B727" w14:textId="15287E70" w:rsidR="00EB265F" w:rsidRDefault="00EB265F" w:rsidP="00EB265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</w:tr>
      <w:tr w:rsidR="00EB265F" w:rsidRPr="006E3A58" w14:paraId="32CC3038" w14:textId="77777777" w:rsidTr="005270F0">
        <w:tc>
          <w:tcPr>
            <w:tcW w:w="8080" w:type="dxa"/>
            <w:gridSpan w:val="3"/>
            <w:tcBorders>
              <w:right w:val="single" w:sz="4" w:space="0" w:color="auto"/>
            </w:tcBorders>
          </w:tcPr>
          <w:p w14:paraId="6D7168BE" w14:textId="4F629CDC" w:rsidR="00EB265F" w:rsidRPr="006E3A58" w:rsidRDefault="00EB265F" w:rsidP="00EB265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6E3A58">
              <w:rPr>
                <w:b/>
                <w:sz w:val="22"/>
                <w:szCs w:val="22"/>
              </w:rPr>
              <w:t xml:space="preserve">Apologies : </w:t>
            </w:r>
            <w:r w:rsidRPr="00EB265F">
              <w:rPr>
                <w:sz w:val="22"/>
                <w:szCs w:val="22"/>
              </w:rPr>
              <w:t>None</w:t>
            </w:r>
          </w:p>
        </w:tc>
      </w:tr>
    </w:tbl>
    <w:p w14:paraId="5E629D19" w14:textId="77777777" w:rsidR="001D4252" w:rsidRPr="006E3A58" w:rsidRDefault="001D4252" w:rsidP="00394E61">
      <w:pPr>
        <w:pStyle w:val="DeptBullets"/>
        <w:numPr>
          <w:ilvl w:val="0"/>
          <w:numId w:val="0"/>
        </w:numPr>
        <w:spacing w:after="120"/>
        <w:jc w:val="center"/>
        <w:rPr>
          <w:b/>
        </w:rPr>
      </w:pPr>
    </w:p>
    <w:tbl>
      <w:tblPr>
        <w:tblStyle w:val="TableGrid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64"/>
        <w:gridCol w:w="6379"/>
        <w:gridCol w:w="1530"/>
      </w:tblGrid>
      <w:tr w:rsidR="006E3A58" w:rsidRPr="006E3A58" w14:paraId="41199BF0" w14:textId="77777777" w:rsidTr="004D30A1">
        <w:tc>
          <w:tcPr>
            <w:tcW w:w="1164" w:type="dxa"/>
            <w:shd w:val="clear" w:color="auto" w:fill="F2F2F2" w:themeFill="background1" w:themeFillShade="F2"/>
          </w:tcPr>
          <w:p w14:paraId="0831B03C" w14:textId="77777777" w:rsidR="00305937" w:rsidRPr="006E3A58" w:rsidRDefault="00305937" w:rsidP="00305937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7542B3B4" w14:textId="77777777" w:rsidR="00305937" w:rsidRPr="006E3A58" w:rsidRDefault="00305937" w:rsidP="00394E61">
            <w:pPr>
              <w:pStyle w:val="DeptBullets"/>
              <w:numPr>
                <w:ilvl w:val="0"/>
                <w:numId w:val="0"/>
              </w:numPr>
              <w:spacing w:after="120"/>
              <w:rPr>
                <w:rFonts w:cs="Arial"/>
                <w:b/>
                <w:sz w:val="22"/>
                <w:szCs w:val="22"/>
              </w:rPr>
            </w:pPr>
            <w:r w:rsidRPr="006E3A58">
              <w:rPr>
                <w:rFonts w:cs="Arial"/>
                <w:b/>
                <w:sz w:val="22"/>
                <w:szCs w:val="22"/>
              </w:rPr>
              <w:t>Item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1AF4EC4A" w14:textId="77777777" w:rsidR="00305937" w:rsidRPr="006E3A58" w:rsidRDefault="00305937" w:rsidP="00394E6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6E3A58">
              <w:rPr>
                <w:rFonts w:cs="Arial"/>
                <w:b/>
                <w:sz w:val="22"/>
                <w:szCs w:val="22"/>
              </w:rPr>
              <w:t>Action</w:t>
            </w:r>
          </w:p>
        </w:tc>
      </w:tr>
      <w:tr w:rsidR="006E3A58" w:rsidRPr="006E3A58" w14:paraId="2AF48110" w14:textId="77777777" w:rsidTr="004D30A1">
        <w:tc>
          <w:tcPr>
            <w:tcW w:w="1164" w:type="dxa"/>
          </w:tcPr>
          <w:p w14:paraId="0E8023DA" w14:textId="77777777" w:rsidR="00305937" w:rsidRPr="006E3A58" w:rsidRDefault="00BC2909" w:rsidP="00BC2909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6E3A58">
              <w:rPr>
                <w:rFonts w:cs="Arial"/>
                <w:sz w:val="22"/>
                <w:szCs w:val="22"/>
              </w:rPr>
              <w:t>Agenda item 1</w:t>
            </w:r>
          </w:p>
        </w:tc>
        <w:tc>
          <w:tcPr>
            <w:tcW w:w="6379" w:type="dxa"/>
          </w:tcPr>
          <w:p w14:paraId="64EC179E" w14:textId="77777777" w:rsidR="00D6385F" w:rsidRDefault="00DD43A1" w:rsidP="00D6385F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b/>
                <w:i w:val="0"/>
                <w:sz w:val="22"/>
                <w:szCs w:val="22"/>
              </w:rPr>
              <w:t xml:space="preserve">Welcome </w:t>
            </w:r>
            <w:r w:rsidR="00CA5A10" w:rsidRPr="00F65F52">
              <w:rPr>
                <w:rStyle w:val="Emphasis"/>
                <w:rFonts w:cs="Arial"/>
                <w:b/>
                <w:i w:val="0"/>
                <w:sz w:val="22"/>
                <w:szCs w:val="22"/>
              </w:rPr>
              <w:t xml:space="preserve">/ </w:t>
            </w:r>
            <w:r w:rsidR="00AD4D8D">
              <w:rPr>
                <w:rStyle w:val="Emphasis"/>
                <w:rFonts w:cs="Arial"/>
                <w:b/>
                <w:i w:val="0"/>
                <w:sz w:val="22"/>
                <w:szCs w:val="22"/>
              </w:rPr>
              <w:t>A</w:t>
            </w:r>
            <w:r w:rsidR="00CA5A10" w:rsidRPr="00F65F52">
              <w:rPr>
                <w:rStyle w:val="Emphasis"/>
                <w:rFonts w:cs="Arial"/>
                <w:b/>
                <w:i w:val="0"/>
                <w:sz w:val="22"/>
                <w:szCs w:val="22"/>
              </w:rPr>
              <w:t xml:space="preserve">pologies </w:t>
            </w:r>
          </w:p>
          <w:p w14:paraId="5052F5CB" w14:textId="77777777" w:rsidR="00AD4D8D" w:rsidRPr="00F65F52" w:rsidRDefault="00AD4D8D" w:rsidP="00D6385F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</w:p>
          <w:p w14:paraId="19AC4E15" w14:textId="2AAEFFF9" w:rsidR="001A74D3" w:rsidRDefault="00441C0D" w:rsidP="00AD4D8D">
            <w:pPr>
              <w:pStyle w:val="ListParagraph"/>
              <w:numPr>
                <w:ilvl w:val="0"/>
                <w:numId w:val="5"/>
              </w:numPr>
              <w:ind w:left="323" w:hanging="283"/>
              <w:rPr>
                <w:rStyle w:val="Emphasis"/>
                <w:rFonts w:cs="Arial"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>The Chair welcomed all in attendance</w:t>
            </w:r>
            <w:r w:rsidR="00DD43A1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and introduced Matthew McNaughton</w:t>
            </w:r>
            <w:r w:rsidR="000C57ED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  <w:r w:rsidR="00A96BB3">
              <w:rPr>
                <w:rStyle w:val="Emphasis"/>
                <w:rFonts w:cs="Arial"/>
                <w:i w:val="0"/>
                <w:sz w:val="22"/>
                <w:szCs w:val="22"/>
              </w:rPr>
              <w:t>(</w:t>
            </w:r>
            <w:r w:rsidR="006A7503">
              <w:rPr>
                <w:rStyle w:val="Emphasis"/>
                <w:rFonts w:cs="Arial"/>
                <w:i w:val="0"/>
                <w:sz w:val="22"/>
                <w:szCs w:val="22"/>
              </w:rPr>
              <w:t xml:space="preserve">Employer Portfolio Manager, </w:t>
            </w:r>
            <w:r w:rsidR="00A96BB3">
              <w:rPr>
                <w:rStyle w:val="Emphasis"/>
                <w:rFonts w:cs="Arial"/>
                <w:i w:val="0"/>
                <w:sz w:val="22"/>
                <w:szCs w:val="22"/>
              </w:rPr>
              <w:t xml:space="preserve">covering risk management) </w:t>
            </w:r>
            <w:r w:rsidR="00994497">
              <w:rPr>
                <w:rStyle w:val="Emphasis"/>
                <w:rFonts w:cs="Arial"/>
                <w:i w:val="0"/>
                <w:sz w:val="22"/>
                <w:szCs w:val="22"/>
              </w:rPr>
              <w:t xml:space="preserve">and John Brown </w:t>
            </w:r>
            <w:r w:rsidR="00A96BB3">
              <w:rPr>
                <w:rStyle w:val="Emphasis"/>
                <w:rFonts w:cs="Arial"/>
                <w:i w:val="0"/>
                <w:sz w:val="22"/>
                <w:szCs w:val="22"/>
              </w:rPr>
              <w:t>(DfE policy lead on</w:t>
            </w:r>
            <w:r w:rsidR="00994497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v</w:t>
            </w:r>
            <w:r w:rsidR="000C57ED">
              <w:rPr>
                <w:rStyle w:val="Emphasis"/>
                <w:rFonts w:cs="Arial"/>
                <w:i w:val="0"/>
                <w:sz w:val="22"/>
                <w:szCs w:val="22"/>
              </w:rPr>
              <w:t>aluation</w:t>
            </w:r>
            <w:r w:rsidR="00A96BB3">
              <w:rPr>
                <w:rStyle w:val="Emphasis"/>
                <w:rFonts w:cs="Arial"/>
                <w:i w:val="0"/>
                <w:sz w:val="22"/>
                <w:szCs w:val="22"/>
              </w:rPr>
              <w:t>)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>.</w:t>
            </w:r>
            <w:r w:rsidR="00C733C7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</w:p>
          <w:p w14:paraId="023C2D3C" w14:textId="77777777" w:rsidR="00441C0D" w:rsidRPr="00F65F52" w:rsidRDefault="00441C0D" w:rsidP="00441C0D">
            <w:pPr>
              <w:pStyle w:val="ListParagraph"/>
              <w:ind w:left="323"/>
              <w:rPr>
                <w:rStyle w:val="Emphasis"/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9A013B6" w14:textId="77777777" w:rsidR="00567597" w:rsidRPr="006E3A58" w:rsidRDefault="00567597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D2120CE" w14:textId="77777777" w:rsidR="00E96F51" w:rsidRPr="006E3A58" w:rsidRDefault="00E96F51" w:rsidP="004E7B3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DD43A1" w:rsidRPr="006E3A58" w14:paraId="0D45838D" w14:textId="77777777" w:rsidTr="004D30A1">
        <w:tc>
          <w:tcPr>
            <w:tcW w:w="1164" w:type="dxa"/>
          </w:tcPr>
          <w:p w14:paraId="010810F8" w14:textId="77777777" w:rsidR="00DD43A1" w:rsidRPr="006E3A58" w:rsidRDefault="00DD43A1" w:rsidP="00BC2909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Agenda item 2 </w:t>
            </w:r>
          </w:p>
        </w:tc>
        <w:tc>
          <w:tcPr>
            <w:tcW w:w="6379" w:type="dxa"/>
          </w:tcPr>
          <w:p w14:paraId="2D7F9884" w14:textId="77777777" w:rsidR="00DD43A1" w:rsidRDefault="00DD43A1" w:rsidP="00D6385F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b/>
                <w:i w:val="0"/>
                <w:sz w:val="22"/>
                <w:szCs w:val="22"/>
              </w:rPr>
              <w:t>Review previous minutes from 20/06/18</w:t>
            </w:r>
          </w:p>
          <w:p w14:paraId="130AD00E" w14:textId="77777777" w:rsidR="00DD43A1" w:rsidRDefault="00DD43A1" w:rsidP="00D6385F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</w:p>
          <w:p w14:paraId="20DC6EBC" w14:textId="77777777" w:rsidR="00DD43A1" w:rsidRPr="00DD43A1" w:rsidRDefault="00DD43A1" w:rsidP="00543AA5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>The sub-committee agreed that the</w:t>
            </w:r>
            <w:r w:rsidR="00A96BB3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previous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min</w:t>
            </w:r>
            <w:r w:rsidR="000C57ED">
              <w:rPr>
                <w:rStyle w:val="Emphasis"/>
                <w:rFonts w:cs="Arial"/>
                <w:i w:val="0"/>
                <w:sz w:val="22"/>
                <w:szCs w:val="22"/>
              </w:rPr>
              <w:t>utes were an accurate record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of the meeting held in June. </w:t>
            </w:r>
          </w:p>
          <w:p w14:paraId="4390E29F" w14:textId="77777777" w:rsidR="00DD43A1" w:rsidRDefault="00DD43A1" w:rsidP="00DD43A1">
            <w:pPr>
              <w:pStyle w:val="ListParagraph"/>
              <w:ind w:left="459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852D86D" w14:textId="77777777" w:rsidR="00DD43A1" w:rsidRPr="006E3A58" w:rsidRDefault="00DD43A1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6E3A58" w:rsidRPr="006E3A58" w14:paraId="47BB6CEB" w14:textId="77777777" w:rsidTr="004D30A1">
        <w:tc>
          <w:tcPr>
            <w:tcW w:w="1164" w:type="dxa"/>
          </w:tcPr>
          <w:p w14:paraId="3ED4634F" w14:textId="77777777" w:rsidR="00E24221" w:rsidRPr="006E3A58" w:rsidRDefault="00E24221" w:rsidP="00BC2909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6E3A58">
              <w:rPr>
                <w:rFonts w:cs="Arial"/>
                <w:sz w:val="22"/>
                <w:szCs w:val="22"/>
              </w:rPr>
              <w:t xml:space="preserve">Agenda </w:t>
            </w:r>
            <w:r w:rsidR="0047069D" w:rsidRPr="006E3A58">
              <w:rPr>
                <w:rFonts w:cs="Arial"/>
                <w:sz w:val="22"/>
                <w:szCs w:val="22"/>
              </w:rPr>
              <w:t xml:space="preserve">Item </w:t>
            </w:r>
            <w:r w:rsidR="00DD43A1">
              <w:rPr>
                <w:rFonts w:cs="Arial"/>
                <w:sz w:val="22"/>
                <w:szCs w:val="22"/>
              </w:rPr>
              <w:t>3</w:t>
            </w:r>
            <w:r w:rsidRPr="006E3A5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</w:tcPr>
          <w:p w14:paraId="74F2922E" w14:textId="77777777" w:rsidR="00E24221" w:rsidRDefault="001A74D3" w:rsidP="00D6385F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 w:rsidRPr="00F65F52">
              <w:rPr>
                <w:rStyle w:val="Emphasis"/>
                <w:rFonts w:cs="Arial"/>
                <w:b/>
                <w:i w:val="0"/>
                <w:sz w:val="22"/>
                <w:szCs w:val="22"/>
              </w:rPr>
              <w:t xml:space="preserve">Actions from the previous meeting </w:t>
            </w:r>
          </w:p>
          <w:p w14:paraId="18DEEFAA" w14:textId="77777777" w:rsidR="00AD4D8D" w:rsidRPr="00F65F52" w:rsidRDefault="00AD4D8D" w:rsidP="00D6385F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</w:p>
          <w:p w14:paraId="3B9D1776" w14:textId="6E2B66BB" w:rsidR="003924F8" w:rsidRDefault="00441C0D" w:rsidP="00A43DEA">
            <w:pPr>
              <w:pStyle w:val="ListParagraph"/>
              <w:numPr>
                <w:ilvl w:val="0"/>
                <w:numId w:val="6"/>
              </w:numPr>
              <w:ind w:left="323" w:hanging="283"/>
              <w:rPr>
                <w:rStyle w:val="Emphasis"/>
                <w:rFonts w:cs="Arial"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MR5/210318 </w:t>
            </w:r>
            <w:r w:rsidR="00D702FA">
              <w:rPr>
                <w:rStyle w:val="Emphasis"/>
                <w:rFonts w:cs="Arial"/>
                <w:i w:val="0"/>
                <w:sz w:val="22"/>
                <w:szCs w:val="22"/>
              </w:rPr>
              <w:t>–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  <w:r w:rsidR="00D702F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NC </w:t>
            </w:r>
            <w:r w:rsidR="00BF594C">
              <w:rPr>
                <w:rStyle w:val="Emphasis"/>
                <w:rFonts w:cs="Arial"/>
                <w:i w:val="0"/>
                <w:sz w:val="22"/>
                <w:szCs w:val="22"/>
              </w:rPr>
              <w:t>advised that discussions</w:t>
            </w:r>
            <w:r w:rsidR="00D77D4E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are ongoing </w:t>
            </w:r>
            <w:r w:rsidR="00B71FD7">
              <w:rPr>
                <w:rStyle w:val="Emphasis"/>
                <w:rFonts w:cs="Arial"/>
                <w:i w:val="0"/>
                <w:sz w:val="22"/>
                <w:szCs w:val="22"/>
              </w:rPr>
              <w:t xml:space="preserve">with </w:t>
            </w:r>
            <w:r w:rsidR="00D77D4E">
              <w:rPr>
                <w:rStyle w:val="Emphasis"/>
                <w:rFonts w:cs="Arial"/>
                <w:i w:val="0"/>
                <w:sz w:val="22"/>
                <w:szCs w:val="22"/>
              </w:rPr>
              <w:t>HMRC and HMT reg</w:t>
            </w:r>
            <w:r w:rsidR="00A43DEA">
              <w:rPr>
                <w:rStyle w:val="Emphasis"/>
                <w:rFonts w:cs="Arial"/>
                <w:i w:val="0"/>
                <w:sz w:val="22"/>
                <w:szCs w:val="22"/>
              </w:rPr>
              <w:t>arding GMP reconciliation</w:t>
            </w:r>
            <w:r w:rsidR="00BF594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. </w:t>
            </w:r>
            <w:r w:rsidR="00A43DE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It </w:t>
            </w:r>
            <w:r w:rsidR="00B71FD7">
              <w:rPr>
                <w:rStyle w:val="Emphasis"/>
                <w:rFonts w:cs="Arial"/>
                <w:i w:val="0"/>
                <w:sz w:val="22"/>
                <w:szCs w:val="22"/>
              </w:rPr>
              <w:t xml:space="preserve">is expected </w:t>
            </w:r>
            <w:r w:rsidR="00A43DEA">
              <w:rPr>
                <w:rStyle w:val="Emphasis"/>
                <w:rFonts w:cs="Arial"/>
                <w:i w:val="0"/>
                <w:sz w:val="22"/>
                <w:szCs w:val="22"/>
              </w:rPr>
              <w:t>that m</w:t>
            </w:r>
            <w:r w:rsidR="00BF594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embers </w:t>
            </w:r>
            <w:r w:rsidR="0063657F">
              <w:rPr>
                <w:rStyle w:val="Emphasis"/>
                <w:rFonts w:cs="Arial"/>
                <w:i w:val="0"/>
                <w:sz w:val="22"/>
                <w:szCs w:val="22"/>
              </w:rPr>
              <w:t>a</w:t>
            </w:r>
            <w:r w:rsidR="008A3D27">
              <w:rPr>
                <w:rStyle w:val="Emphasis"/>
                <w:rFonts w:cs="Arial"/>
                <w:i w:val="0"/>
                <w:sz w:val="22"/>
                <w:szCs w:val="22"/>
              </w:rPr>
              <w:t xml:space="preserve">ffected by GMP </w:t>
            </w:r>
            <w:r w:rsidR="00B71FD7">
              <w:rPr>
                <w:rStyle w:val="Emphasis"/>
                <w:rFonts w:cs="Arial"/>
                <w:i w:val="0"/>
                <w:sz w:val="22"/>
                <w:szCs w:val="22"/>
              </w:rPr>
              <w:t xml:space="preserve">rectification </w:t>
            </w:r>
            <w:r w:rsidR="00413061">
              <w:rPr>
                <w:rStyle w:val="Emphasis"/>
                <w:rFonts w:cs="Arial"/>
                <w:i w:val="0"/>
                <w:sz w:val="22"/>
                <w:szCs w:val="22"/>
              </w:rPr>
              <w:t>would</w:t>
            </w:r>
            <w:r w:rsidR="008A3D27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be identified </w:t>
            </w:r>
            <w:r w:rsidR="00B71FD7">
              <w:rPr>
                <w:rStyle w:val="Emphasis"/>
                <w:rFonts w:cs="Arial"/>
                <w:i w:val="0"/>
                <w:sz w:val="22"/>
                <w:szCs w:val="22"/>
              </w:rPr>
              <w:t xml:space="preserve">and communicated with </w:t>
            </w:r>
            <w:r w:rsidR="00543AA5">
              <w:rPr>
                <w:rStyle w:val="Emphasis"/>
                <w:rFonts w:cs="Arial"/>
                <w:i w:val="0"/>
                <w:sz w:val="22"/>
                <w:szCs w:val="22"/>
              </w:rPr>
              <w:t xml:space="preserve">in </w:t>
            </w:r>
            <w:r w:rsidR="005854D0">
              <w:rPr>
                <w:rStyle w:val="Emphasis"/>
                <w:rFonts w:cs="Arial"/>
                <w:i w:val="0"/>
                <w:sz w:val="22"/>
                <w:szCs w:val="22"/>
              </w:rPr>
              <w:t>January</w:t>
            </w:r>
            <w:r w:rsidR="00543AA5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to March 2019. </w:t>
            </w:r>
            <w:r w:rsidR="00543AA5" w:rsidRPr="00A43DE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NC advised that </w:t>
            </w:r>
            <w:r w:rsidR="00B71FD7">
              <w:rPr>
                <w:rStyle w:val="Emphasis"/>
                <w:rFonts w:cs="Arial"/>
                <w:i w:val="0"/>
                <w:sz w:val="22"/>
                <w:szCs w:val="22"/>
              </w:rPr>
              <w:t>around</w:t>
            </w:r>
            <w:r w:rsidR="00BF594C" w:rsidRPr="00A43DE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20k members </w:t>
            </w:r>
            <w:r w:rsidR="00B71FD7">
              <w:rPr>
                <w:rStyle w:val="Emphasis"/>
                <w:rFonts w:cs="Arial"/>
                <w:i w:val="0"/>
                <w:sz w:val="22"/>
                <w:szCs w:val="22"/>
              </w:rPr>
              <w:t>might</w:t>
            </w:r>
            <w:r w:rsidR="00B71FD7" w:rsidRPr="00A43DE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  <w:r w:rsidR="00BF594C" w:rsidRPr="00A43DE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be </w:t>
            </w:r>
            <w:r w:rsidR="0063657F">
              <w:rPr>
                <w:rStyle w:val="Emphasis"/>
                <w:rFonts w:cs="Arial"/>
                <w:i w:val="0"/>
                <w:sz w:val="22"/>
                <w:szCs w:val="22"/>
              </w:rPr>
              <w:t>a</w:t>
            </w:r>
            <w:r w:rsidR="00543AA5" w:rsidRPr="00A43DEA">
              <w:rPr>
                <w:rStyle w:val="Emphasis"/>
                <w:rFonts w:cs="Arial"/>
                <w:i w:val="0"/>
                <w:sz w:val="22"/>
                <w:szCs w:val="22"/>
              </w:rPr>
              <w:t>ffected</w:t>
            </w:r>
            <w:r w:rsidR="00A43DEA" w:rsidRPr="00A43DEA">
              <w:rPr>
                <w:rStyle w:val="Emphasis"/>
                <w:rFonts w:cs="Arial"/>
                <w:i w:val="0"/>
                <w:sz w:val="22"/>
                <w:szCs w:val="22"/>
              </w:rPr>
              <w:t>. A small number are</w:t>
            </w:r>
            <w:r w:rsidR="00B71FD7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likely to be</w:t>
            </w:r>
            <w:r w:rsidR="00A43DEA" w:rsidRPr="00A43DE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underpaid</w:t>
            </w:r>
            <w:r w:rsidR="00B71FD7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but the </w:t>
            </w:r>
            <w:r w:rsidR="00543AA5" w:rsidRPr="00A43DE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vast majority </w:t>
            </w:r>
            <w:r w:rsidR="00B71FD7">
              <w:rPr>
                <w:rStyle w:val="Emphasis"/>
                <w:rFonts w:cs="Arial"/>
                <w:i w:val="0"/>
                <w:sz w:val="22"/>
                <w:szCs w:val="22"/>
              </w:rPr>
              <w:t xml:space="preserve">are likely to </w:t>
            </w:r>
            <w:r w:rsidR="00543AA5" w:rsidRPr="00A43DEA">
              <w:rPr>
                <w:rStyle w:val="Emphasis"/>
                <w:rFonts w:cs="Arial"/>
                <w:i w:val="0"/>
                <w:sz w:val="22"/>
                <w:szCs w:val="22"/>
              </w:rPr>
              <w:t>have been overpaid</w:t>
            </w:r>
            <w:r w:rsidR="00A443FC" w:rsidRPr="00A43DE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. </w:t>
            </w:r>
            <w:r w:rsidR="00394E61">
              <w:rPr>
                <w:rStyle w:val="Emphasis"/>
                <w:rFonts w:cs="Arial"/>
                <w:i w:val="0"/>
                <w:sz w:val="22"/>
                <w:szCs w:val="22"/>
              </w:rPr>
              <w:t>He</w:t>
            </w:r>
            <w:r w:rsidR="00A443FC" w:rsidRPr="00A43DE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confirmed </w:t>
            </w:r>
            <w:r w:rsidR="00B71FD7">
              <w:rPr>
                <w:rStyle w:val="Emphasis"/>
                <w:rFonts w:cs="Arial"/>
                <w:i w:val="0"/>
                <w:sz w:val="22"/>
                <w:szCs w:val="22"/>
              </w:rPr>
              <w:t xml:space="preserve">the impact on individual members is low and the overall impact on the TPS is small.  </w:t>
            </w:r>
            <w:r w:rsidR="00BF594C" w:rsidRPr="00A43DE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NC advised </w:t>
            </w:r>
            <w:r w:rsidR="00394E61">
              <w:rPr>
                <w:rStyle w:val="Emphasis"/>
                <w:rFonts w:cs="Arial"/>
                <w:i w:val="0"/>
                <w:sz w:val="22"/>
                <w:szCs w:val="22"/>
              </w:rPr>
              <w:t xml:space="preserve">that </w:t>
            </w:r>
            <w:r w:rsidR="00994497" w:rsidRPr="00A43DE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discussions around </w:t>
            </w:r>
            <w:r w:rsidR="00B71FD7">
              <w:rPr>
                <w:rStyle w:val="Emphasis"/>
                <w:rFonts w:cs="Arial"/>
                <w:i w:val="0"/>
                <w:sz w:val="22"/>
                <w:szCs w:val="22"/>
              </w:rPr>
              <w:t>how to communicate with any affected</w:t>
            </w:r>
            <w:r w:rsidR="00B71FD7" w:rsidRPr="00A43DE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  <w:r w:rsidR="00994497" w:rsidRPr="00A43DEA">
              <w:rPr>
                <w:rStyle w:val="Emphasis"/>
                <w:rFonts w:cs="Arial"/>
                <w:i w:val="0"/>
                <w:sz w:val="22"/>
                <w:szCs w:val="22"/>
              </w:rPr>
              <w:t>member</w:t>
            </w:r>
            <w:r w:rsidR="00A43DEA" w:rsidRPr="00A43DEA">
              <w:rPr>
                <w:rStyle w:val="Emphasis"/>
                <w:rFonts w:cs="Arial"/>
                <w:i w:val="0"/>
                <w:sz w:val="22"/>
                <w:szCs w:val="22"/>
              </w:rPr>
              <w:t>s are</w:t>
            </w:r>
            <w:r w:rsidR="00BF594C" w:rsidRPr="00A43DE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taking place. </w:t>
            </w:r>
            <w:r w:rsidR="00B768F3" w:rsidRPr="00A43DEA">
              <w:rPr>
                <w:rStyle w:val="Emphasis"/>
                <w:rFonts w:cs="Arial"/>
                <w:i w:val="0"/>
                <w:sz w:val="22"/>
                <w:szCs w:val="22"/>
              </w:rPr>
              <w:t>An update will be given at the next sub-committee meeting</w:t>
            </w:r>
            <w:r w:rsidR="00066D0C" w:rsidRPr="00A43DE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. </w:t>
            </w:r>
          </w:p>
          <w:p w14:paraId="1499E761" w14:textId="77777777" w:rsidR="00066D0C" w:rsidRPr="00F65F52" w:rsidRDefault="00066D0C" w:rsidP="00066D0C">
            <w:pPr>
              <w:pStyle w:val="ListParagraph"/>
              <w:ind w:left="323"/>
              <w:rPr>
                <w:rStyle w:val="Emphasis"/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F4E4216" w14:textId="77777777" w:rsidR="00E24221" w:rsidRDefault="00E24221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84A3BA2" w14:textId="77777777" w:rsidR="00066D0C" w:rsidRDefault="00066D0C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2DE7039" w14:textId="77777777" w:rsidR="00BF594C" w:rsidRDefault="00BF594C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A84014A" w14:textId="77777777" w:rsidR="00BF594C" w:rsidRDefault="00BF594C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53251C4" w14:textId="77777777" w:rsidR="00BF594C" w:rsidRDefault="00BF594C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677BCE5" w14:textId="77777777" w:rsidR="00BF594C" w:rsidRDefault="00BF594C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A967E39" w14:textId="77777777" w:rsidR="00BF594C" w:rsidRDefault="00BF594C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A75332B" w14:textId="77777777" w:rsidR="00BF594C" w:rsidRDefault="00BF594C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D389FA9" w14:textId="77777777" w:rsidR="00BF594C" w:rsidRDefault="00BF594C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051E23A" w14:textId="77777777" w:rsidR="00BF594C" w:rsidRDefault="00BF594C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06077A7" w14:textId="77777777" w:rsidR="00A43DEA" w:rsidRDefault="00A43DEA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FDB1E6D" w14:textId="77777777" w:rsidR="00A43DEA" w:rsidRDefault="00A43DEA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42B36DC" w14:textId="77777777" w:rsidR="00BF594C" w:rsidRDefault="00BF594C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8E441C1" w14:textId="77777777" w:rsidR="00066D0C" w:rsidRPr="00227136" w:rsidRDefault="00066D0C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 w:rsidRPr="00227136">
              <w:rPr>
                <w:rFonts w:cs="Arial"/>
                <w:sz w:val="20"/>
              </w:rPr>
              <w:t>MR5/210318</w:t>
            </w:r>
          </w:p>
        </w:tc>
      </w:tr>
      <w:tr w:rsidR="00365B1E" w:rsidRPr="001D4252" w14:paraId="5CA64EA1" w14:textId="77777777" w:rsidTr="004D30A1">
        <w:tc>
          <w:tcPr>
            <w:tcW w:w="1164" w:type="dxa"/>
          </w:tcPr>
          <w:p w14:paraId="7C4E4B1C" w14:textId="77777777" w:rsidR="00365B1E" w:rsidRPr="001D4252" w:rsidRDefault="001579B1" w:rsidP="00DD43A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1D4252">
              <w:rPr>
                <w:rFonts w:cs="Arial"/>
                <w:sz w:val="22"/>
                <w:szCs w:val="22"/>
              </w:rPr>
              <w:t>Agenda</w:t>
            </w:r>
            <w:r w:rsidR="0047069D" w:rsidRPr="001D4252">
              <w:rPr>
                <w:rFonts w:cs="Arial"/>
                <w:sz w:val="22"/>
                <w:szCs w:val="22"/>
              </w:rPr>
              <w:t xml:space="preserve"> Item</w:t>
            </w:r>
            <w:r w:rsidRPr="001D4252">
              <w:rPr>
                <w:rFonts w:cs="Arial"/>
                <w:sz w:val="22"/>
                <w:szCs w:val="22"/>
              </w:rPr>
              <w:t xml:space="preserve"> </w:t>
            </w:r>
            <w:r w:rsidR="00DD43A1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6379" w:type="dxa"/>
          </w:tcPr>
          <w:p w14:paraId="62A465E9" w14:textId="77777777" w:rsidR="001579B1" w:rsidRDefault="001A74D3" w:rsidP="00D6385F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 w:rsidRPr="00F65F52">
              <w:rPr>
                <w:rStyle w:val="Emphasis"/>
                <w:rFonts w:cs="Arial"/>
                <w:b/>
                <w:i w:val="0"/>
                <w:sz w:val="22"/>
                <w:szCs w:val="22"/>
              </w:rPr>
              <w:t xml:space="preserve">Review of Dashboard, Overview and Finance, Risk and Audit Report </w:t>
            </w:r>
            <w:r w:rsidR="00E66E69">
              <w:rPr>
                <w:rStyle w:val="Emphasis"/>
                <w:rFonts w:cs="Arial"/>
                <w:b/>
                <w:i w:val="0"/>
                <w:sz w:val="22"/>
                <w:szCs w:val="22"/>
              </w:rPr>
              <w:t xml:space="preserve">and Monthly Contribution Reconciliation </w:t>
            </w:r>
          </w:p>
          <w:p w14:paraId="57E6757B" w14:textId="77777777" w:rsidR="00AD4D8D" w:rsidRPr="00F65F52" w:rsidRDefault="00AD4D8D" w:rsidP="00D6385F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</w:p>
          <w:p w14:paraId="3F35E7B8" w14:textId="77777777" w:rsidR="00D07BED" w:rsidRPr="005854D0" w:rsidRDefault="007C55C0" w:rsidP="00F268C9">
            <w:pPr>
              <w:pStyle w:val="ListParagraph"/>
              <w:numPr>
                <w:ilvl w:val="0"/>
                <w:numId w:val="6"/>
              </w:numPr>
              <w:ind w:left="323" w:hanging="323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>The Chair invited the sub-committee to comment on the Dashboard</w:t>
            </w:r>
            <w:r w:rsidR="001213FF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and report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>.</w:t>
            </w:r>
          </w:p>
          <w:p w14:paraId="1207573D" w14:textId="5AEFDE56" w:rsidR="00CD0AB5" w:rsidRPr="00E80F2B" w:rsidRDefault="005854D0" w:rsidP="009771E1">
            <w:pPr>
              <w:pStyle w:val="ListParagraph"/>
              <w:numPr>
                <w:ilvl w:val="0"/>
                <w:numId w:val="6"/>
              </w:numPr>
              <w:ind w:left="323" w:hanging="323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 w:rsidRPr="00E35A7A">
              <w:rPr>
                <w:rStyle w:val="Emphasis"/>
                <w:rFonts w:cs="Arial"/>
                <w:i w:val="0"/>
                <w:sz w:val="22"/>
                <w:szCs w:val="22"/>
              </w:rPr>
              <w:lastRenderedPageBreak/>
              <w:t>NB highlighted that the transition from Restricted Managed Host (RMH) environment to Microsoft</w:t>
            </w:r>
            <w:r w:rsidR="00A96BB3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Azure</w:t>
            </w:r>
            <w:r w:rsidRPr="00E35A7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has </w:t>
            </w:r>
            <w:r w:rsidR="00B71FD7">
              <w:rPr>
                <w:rStyle w:val="Emphasis"/>
                <w:rFonts w:cs="Arial"/>
                <w:i w:val="0"/>
                <w:sz w:val="22"/>
                <w:szCs w:val="22"/>
              </w:rPr>
              <w:t xml:space="preserve">previously </w:t>
            </w:r>
            <w:r w:rsidRPr="00E35A7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been delayed until October due to </w:t>
            </w:r>
            <w:r w:rsidR="00A96BB3">
              <w:rPr>
                <w:rStyle w:val="Emphasis"/>
                <w:rFonts w:cs="Arial"/>
                <w:i w:val="0"/>
                <w:sz w:val="22"/>
                <w:szCs w:val="22"/>
              </w:rPr>
              <w:t>a network connection issue</w:t>
            </w:r>
            <w:r w:rsidR="00394E61">
              <w:rPr>
                <w:rStyle w:val="Emphasis"/>
                <w:rFonts w:cs="Arial"/>
                <w:i w:val="0"/>
                <w:sz w:val="22"/>
                <w:szCs w:val="22"/>
              </w:rPr>
              <w:t>,</w:t>
            </w:r>
            <w:r w:rsidR="00A96BB3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which would have caused the project to over run into </w:t>
            </w:r>
            <w:r w:rsidRPr="00E35A7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summer retirements. This </w:t>
            </w:r>
            <w:r w:rsidR="00B71FD7">
              <w:rPr>
                <w:rStyle w:val="Emphasis"/>
                <w:rFonts w:cs="Arial"/>
                <w:i w:val="0"/>
                <w:sz w:val="22"/>
                <w:szCs w:val="22"/>
              </w:rPr>
              <w:t xml:space="preserve">decision </w:t>
            </w:r>
            <w:r w:rsidRPr="00E35A7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was </w:t>
            </w:r>
            <w:r w:rsidR="00B71FD7">
              <w:rPr>
                <w:rStyle w:val="Emphasis"/>
                <w:rFonts w:cs="Arial"/>
                <w:i w:val="0"/>
                <w:sz w:val="22"/>
                <w:szCs w:val="22"/>
              </w:rPr>
              <w:t xml:space="preserve">taken at </w:t>
            </w:r>
            <w:r w:rsidR="00A96BB3">
              <w:rPr>
                <w:rStyle w:val="Emphasis"/>
                <w:rFonts w:cs="Arial"/>
                <w:i w:val="0"/>
                <w:sz w:val="22"/>
                <w:szCs w:val="22"/>
              </w:rPr>
              <w:t xml:space="preserve">QSB </w:t>
            </w:r>
            <w:r w:rsidRPr="00E35A7A">
              <w:rPr>
                <w:rStyle w:val="Emphasis"/>
                <w:rFonts w:cs="Arial"/>
                <w:i w:val="0"/>
                <w:sz w:val="22"/>
                <w:szCs w:val="22"/>
              </w:rPr>
              <w:t>to ensure summer retirements were complete</w:t>
            </w:r>
            <w:r w:rsidR="00394E61">
              <w:rPr>
                <w:rStyle w:val="Emphasis"/>
                <w:rFonts w:cs="Arial"/>
                <w:i w:val="0"/>
                <w:sz w:val="22"/>
                <w:szCs w:val="22"/>
              </w:rPr>
              <w:t>d</w:t>
            </w:r>
            <w:r w:rsidRPr="00E35A7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efficiently. </w:t>
            </w:r>
          </w:p>
          <w:p w14:paraId="3EAA6706" w14:textId="149158B1" w:rsidR="00E80F2B" w:rsidRPr="00D42821" w:rsidRDefault="00227136" w:rsidP="009771E1">
            <w:pPr>
              <w:pStyle w:val="ListParagraph"/>
              <w:numPr>
                <w:ilvl w:val="0"/>
                <w:numId w:val="6"/>
              </w:numPr>
              <w:ind w:left="323" w:hanging="323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NB confirmed that the </w:t>
            </w:r>
            <w:r w:rsidR="00322192">
              <w:rPr>
                <w:rStyle w:val="Emphasis"/>
                <w:rFonts w:cs="Arial"/>
                <w:i w:val="0"/>
                <w:sz w:val="22"/>
                <w:szCs w:val="22"/>
              </w:rPr>
              <w:t>autumn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  <w:r w:rsidR="00A96BB3">
              <w:rPr>
                <w:rStyle w:val="Emphasis"/>
                <w:rFonts w:cs="Arial"/>
                <w:i w:val="0"/>
                <w:sz w:val="22"/>
                <w:szCs w:val="22"/>
              </w:rPr>
              <w:t>OBR exercise was completed a week</w:t>
            </w:r>
            <w:r w:rsidR="00B71FD7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>ahead of schedule</w:t>
            </w:r>
            <w:r w:rsidR="00A96BB3">
              <w:rPr>
                <w:rStyle w:val="Emphasis"/>
                <w:rFonts w:cs="Arial"/>
                <w:i w:val="0"/>
                <w:sz w:val="22"/>
                <w:szCs w:val="22"/>
              </w:rPr>
              <w:t>, with a successful challenge meeting completed. There were a few data questions which were resolved outside of the challenge meeting. Preparation for the Winter OBR exercise will commence in the upcoming months.</w:t>
            </w:r>
          </w:p>
          <w:p w14:paraId="2A3F1CEF" w14:textId="71F1CF28" w:rsidR="0082200D" w:rsidRPr="0082200D" w:rsidRDefault="00D42821" w:rsidP="0082200D">
            <w:pPr>
              <w:pStyle w:val="ListParagraph"/>
              <w:numPr>
                <w:ilvl w:val="0"/>
                <w:numId w:val="6"/>
              </w:numPr>
              <w:ind w:left="323" w:hanging="323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NC advised that </w:t>
            </w:r>
            <w:r w:rsidR="00B71FD7">
              <w:rPr>
                <w:rStyle w:val="Emphasis"/>
                <w:rFonts w:cs="Arial"/>
                <w:i w:val="0"/>
                <w:sz w:val="22"/>
                <w:szCs w:val="22"/>
              </w:rPr>
              <w:t>the volume of casework remains high, meaning there are pressures on TP resources.  However, prioritisation is being given to areas such as bereavement.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JG </w:t>
            </w:r>
            <w:r w:rsidR="00413061" w:rsidRPr="0082200D">
              <w:rPr>
                <w:rStyle w:val="Emphasis"/>
                <w:rFonts w:cs="Arial"/>
                <w:i w:val="0"/>
                <w:sz w:val="22"/>
                <w:szCs w:val="22"/>
              </w:rPr>
              <w:t>shared</w:t>
            </w:r>
            <w:r w:rsidR="005636A3" w:rsidRPr="0082200D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concerns about reputational</w:t>
            </w:r>
            <w:r w:rsidR="0082200D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damage around operational delivery. </w:t>
            </w:r>
          </w:p>
          <w:p w14:paraId="5245C8CD" w14:textId="175D5282" w:rsidR="003804A8" w:rsidRPr="00E331FF" w:rsidRDefault="0082200D">
            <w:pPr>
              <w:pStyle w:val="ListParagraph"/>
              <w:numPr>
                <w:ilvl w:val="0"/>
                <w:numId w:val="6"/>
              </w:numPr>
              <w:ind w:left="323" w:hanging="323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 w:rsidRPr="00BA283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GA raised concerns </w:t>
            </w:r>
            <w:r w:rsidR="00BA283C" w:rsidRPr="00BA283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around </w:t>
            </w:r>
            <w:r w:rsidR="00BA283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delays in reaching agreement to contract changes in response </w:t>
            </w:r>
            <w:r w:rsidR="00BA283C" w:rsidRPr="00BA283C">
              <w:rPr>
                <w:rStyle w:val="Emphasis"/>
                <w:rFonts w:cs="Arial"/>
                <w:i w:val="0"/>
                <w:sz w:val="22"/>
                <w:szCs w:val="22"/>
              </w:rPr>
              <w:t>to the increased membership</w:t>
            </w:r>
            <w:r w:rsidRPr="00BA283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. NC advised that </w:t>
            </w:r>
            <w:r w:rsidR="003804A8" w:rsidRPr="00BA283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internal </w:t>
            </w:r>
            <w:r w:rsidRPr="00BA283C">
              <w:rPr>
                <w:rStyle w:val="Emphasis"/>
                <w:rFonts w:cs="Arial"/>
                <w:i w:val="0"/>
                <w:sz w:val="22"/>
                <w:szCs w:val="22"/>
              </w:rPr>
              <w:t>discussions on</w:t>
            </w:r>
            <w:r w:rsidR="003804A8" w:rsidRPr="00BA283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the impact</w:t>
            </w:r>
            <w:r w:rsidRPr="00BA283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on areas</w:t>
            </w:r>
            <w:r w:rsidR="001213FF" w:rsidRPr="00BA283C">
              <w:rPr>
                <w:rStyle w:val="Emphasis"/>
                <w:rFonts w:cs="Arial"/>
                <w:i w:val="0"/>
                <w:sz w:val="22"/>
                <w:szCs w:val="22"/>
              </w:rPr>
              <w:t>,</w:t>
            </w:r>
            <w:r w:rsidR="003804A8" w:rsidRPr="00BA283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in particular the quality of service members receive</w:t>
            </w:r>
            <w:r w:rsidR="001213FF" w:rsidRPr="00BA283C">
              <w:rPr>
                <w:rStyle w:val="Emphasis"/>
                <w:rFonts w:cs="Arial"/>
                <w:i w:val="0"/>
                <w:sz w:val="22"/>
                <w:szCs w:val="22"/>
              </w:rPr>
              <w:t>, are taking place</w:t>
            </w:r>
            <w:r w:rsidR="00BA283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and prioritisation is being given to certain areas, as noted above.</w:t>
            </w:r>
          </w:p>
          <w:p w14:paraId="72330CDB" w14:textId="77777777" w:rsidR="00E331FF" w:rsidRPr="00BA283C" w:rsidRDefault="00E331FF" w:rsidP="00E331FF">
            <w:pPr>
              <w:pStyle w:val="ListParagraph"/>
              <w:ind w:left="323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</w:p>
          <w:p w14:paraId="5A35415B" w14:textId="77777777" w:rsidR="005B1674" w:rsidRPr="005B1674" w:rsidRDefault="005B1674" w:rsidP="005B1674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b/>
                <w:i w:val="0"/>
                <w:sz w:val="22"/>
                <w:szCs w:val="22"/>
              </w:rPr>
              <w:t xml:space="preserve">Valuation </w:t>
            </w:r>
          </w:p>
          <w:p w14:paraId="48191494" w14:textId="543AA721" w:rsidR="003804A8" w:rsidRPr="00D36164" w:rsidRDefault="003804A8" w:rsidP="003804A8">
            <w:pPr>
              <w:pStyle w:val="ListParagraph"/>
              <w:numPr>
                <w:ilvl w:val="0"/>
                <w:numId w:val="6"/>
              </w:numPr>
              <w:ind w:left="323" w:hanging="323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>J</w:t>
            </w:r>
            <w:r w:rsidR="001213FF">
              <w:rPr>
                <w:rStyle w:val="Emphasis"/>
                <w:rFonts w:cs="Arial"/>
                <w:i w:val="0"/>
                <w:sz w:val="22"/>
                <w:szCs w:val="22"/>
              </w:rPr>
              <w:t>B led on v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>aluation by stating that</w:t>
            </w:r>
            <w:r w:rsidR="005B1674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it is unlikely that HM Treasury will mak</w:t>
            </w:r>
            <w:r w:rsidR="00D36164">
              <w:rPr>
                <w:rStyle w:val="Emphasis"/>
                <w:rFonts w:cs="Arial"/>
                <w:i w:val="0"/>
                <w:sz w:val="22"/>
                <w:szCs w:val="22"/>
              </w:rPr>
              <w:t>e</w:t>
            </w:r>
            <w:r w:rsidR="005B1674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changes to their proposed </w:t>
            </w:r>
            <w:r w:rsidR="00BA283C">
              <w:rPr>
                <w:rStyle w:val="Emphasis"/>
                <w:rFonts w:cs="Arial"/>
                <w:i w:val="0"/>
                <w:sz w:val="22"/>
                <w:szCs w:val="22"/>
              </w:rPr>
              <w:t>draft D</w:t>
            </w:r>
            <w:r w:rsidR="005B1674">
              <w:rPr>
                <w:rStyle w:val="Emphasis"/>
                <w:rFonts w:cs="Arial"/>
                <w:i w:val="0"/>
                <w:sz w:val="22"/>
                <w:szCs w:val="22"/>
              </w:rPr>
              <w:t>irection</w:t>
            </w:r>
            <w:r w:rsidR="00D36164">
              <w:rPr>
                <w:rStyle w:val="Emphasis"/>
                <w:rFonts w:cs="Arial"/>
                <w:i w:val="0"/>
                <w:sz w:val="22"/>
                <w:szCs w:val="22"/>
              </w:rPr>
              <w:t xml:space="preserve">s. </w:t>
            </w:r>
          </w:p>
          <w:p w14:paraId="0537476A" w14:textId="77777777" w:rsidR="00D36164" w:rsidRPr="00D36164" w:rsidRDefault="00D36164" w:rsidP="00124D7C">
            <w:pPr>
              <w:pStyle w:val="ListParagraph"/>
              <w:numPr>
                <w:ilvl w:val="0"/>
                <w:numId w:val="6"/>
              </w:numPr>
              <w:ind w:left="323" w:hanging="323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 w:rsidRPr="00D36164">
              <w:rPr>
                <w:rStyle w:val="Emphasis"/>
                <w:rFonts w:cs="Arial"/>
                <w:i w:val="0"/>
                <w:sz w:val="22"/>
                <w:szCs w:val="22"/>
              </w:rPr>
              <w:t>It was confirmed that Project Manager</w:t>
            </w:r>
            <w:r w:rsidR="00A96BB3">
              <w:rPr>
                <w:rStyle w:val="Emphasis"/>
                <w:rFonts w:cs="Arial"/>
                <w:i w:val="0"/>
                <w:sz w:val="22"/>
                <w:szCs w:val="22"/>
              </w:rPr>
              <w:t>s (TP and DfE)</w:t>
            </w:r>
            <w:r w:rsidRPr="00D36164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will be appointed </w:t>
            </w:r>
            <w:r w:rsidR="001213FF">
              <w:rPr>
                <w:rStyle w:val="Emphasis"/>
                <w:rFonts w:cs="Arial"/>
                <w:i w:val="0"/>
                <w:sz w:val="22"/>
                <w:szCs w:val="22"/>
              </w:rPr>
              <w:t>to focus on v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>aluation</w:t>
            </w:r>
            <w:r w:rsidR="00A96BB3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implementation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. </w:t>
            </w:r>
          </w:p>
          <w:p w14:paraId="34BB5239" w14:textId="07BFF74F" w:rsidR="00E06D28" w:rsidRPr="00E06D28" w:rsidRDefault="00E06D28" w:rsidP="00E06D28">
            <w:pPr>
              <w:pStyle w:val="ListParagraph"/>
              <w:numPr>
                <w:ilvl w:val="0"/>
                <w:numId w:val="6"/>
              </w:numPr>
              <w:ind w:left="323" w:hanging="323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DW highlighted his concerns regarding </w:t>
            </w:r>
            <w:r w:rsidR="00BA283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the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increase </w:t>
            </w:r>
            <w:r w:rsidR="00BA283C">
              <w:rPr>
                <w:rStyle w:val="Emphasis"/>
                <w:rFonts w:cs="Arial"/>
                <w:i w:val="0"/>
                <w:sz w:val="22"/>
                <w:szCs w:val="22"/>
              </w:rPr>
              <w:t>to the employers’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contribution rate and the impact it will have</w:t>
            </w:r>
            <w:r w:rsidR="00726752">
              <w:rPr>
                <w:rStyle w:val="Emphasis"/>
                <w:rFonts w:cs="Arial"/>
                <w:i w:val="0"/>
                <w:sz w:val="22"/>
                <w:szCs w:val="22"/>
              </w:rPr>
              <w:t>,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  <w:r w:rsidR="00726752">
              <w:rPr>
                <w:rStyle w:val="Emphasis"/>
                <w:rFonts w:cs="Arial"/>
                <w:i w:val="0"/>
                <w:sz w:val="22"/>
                <w:szCs w:val="22"/>
              </w:rPr>
              <w:t>p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articularly the independent </w:t>
            </w:r>
            <w:r w:rsidR="00BA283C">
              <w:rPr>
                <w:rStyle w:val="Emphasis"/>
                <w:rFonts w:cs="Arial"/>
                <w:i w:val="0"/>
                <w:sz w:val="22"/>
                <w:szCs w:val="22"/>
              </w:rPr>
              <w:t>and further education sectors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>. Questions wer</w:t>
            </w:r>
            <w:r w:rsidR="001213FF">
              <w:rPr>
                <w:rStyle w:val="Emphasis"/>
                <w:rFonts w:cs="Arial"/>
                <w:i w:val="0"/>
                <w:sz w:val="22"/>
                <w:szCs w:val="22"/>
              </w:rPr>
              <w:t>e raised on how to mitigate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risk</w:t>
            </w:r>
            <w:r w:rsidR="001213FF">
              <w:rPr>
                <w:rStyle w:val="Emphasis"/>
                <w:rFonts w:cs="Arial"/>
                <w:i w:val="0"/>
                <w:sz w:val="22"/>
                <w:szCs w:val="22"/>
              </w:rPr>
              <w:t>s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and what are the implications </w:t>
            </w:r>
            <w:r w:rsidR="00726752">
              <w:rPr>
                <w:rStyle w:val="Emphasis"/>
                <w:rFonts w:cs="Arial"/>
                <w:i w:val="0"/>
                <w:sz w:val="22"/>
                <w:szCs w:val="22"/>
              </w:rPr>
              <w:t xml:space="preserve">for members and employers. </w:t>
            </w:r>
            <w:r w:rsidR="00A96BB3">
              <w:rPr>
                <w:rStyle w:val="Emphasis"/>
                <w:rFonts w:cs="Arial"/>
                <w:i w:val="0"/>
                <w:sz w:val="22"/>
                <w:szCs w:val="22"/>
              </w:rPr>
              <w:t>NB will work with TP to map out valuation risks.</w:t>
            </w:r>
          </w:p>
          <w:p w14:paraId="114E2EB3" w14:textId="77777777" w:rsidR="00396F46" w:rsidRPr="00396F46" w:rsidRDefault="00726752" w:rsidP="00E06D28">
            <w:pPr>
              <w:pStyle w:val="ListParagraph"/>
              <w:numPr>
                <w:ilvl w:val="0"/>
                <w:numId w:val="6"/>
              </w:numPr>
              <w:ind w:left="323" w:hanging="323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>JB highlighted that the department will allocate funding to schools s</w:t>
            </w:r>
            <w:r w:rsidR="00396F46">
              <w:rPr>
                <w:rStyle w:val="Emphasis"/>
                <w:rFonts w:cs="Arial"/>
                <w:i w:val="0"/>
                <w:sz w:val="22"/>
                <w:szCs w:val="22"/>
              </w:rPr>
              <w:t xml:space="preserve">tarting in 2019. </w:t>
            </w:r>
          </w:p>
          <w:p w14:paraId="7F624245" w14:textId="73B2175C" w:rsidR="00396F46" w:rsidRPr="00396F46" w:rsidRDefault="00396F46" w:rsidP="00E06D28">
            <w:pPr>
              <w:pStyle w:val="ListParagraph"/>
              <w:numPr>
                <w:ilvl w:val="0"/>
                <w:numId w:val="6"/>
              </w:numPr>
              <w:ind w:left="323" w:hanging="323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The sub-committee </w:t>
            </w:r>
            <w:r w:rsidR="00EB4203">
              <w:rPr>
                <w:rStyle w:val="Emphasis"/>
                <w:rFonts w:cs="Arial"/>
                <w:i w:val="0"/>
                <w:sz w:val="22"/>
                <w:szCs w:val="22"/>
              </w:rPr>
              <w:t>would like to</w:t>
            </w:r>
            <w:r w:rsidR="00A96BB3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understand the risks associated with valuation.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</w:p>
          <w:p w14:paraId="77954893" w14:textId="77777777" w:rsidR="000A008D" w:rsidRPr="000A008D" w:rsidRDefault="00396F46" w:rsidP="00E06D28">
            <w:pPr>
              <w:pStyle w:val="ListParagraph"/>
              <w:numPr>
                <w:ilvl w:val="0"/>
                <w:numId w:val="6"/>
              </w:numPr>
              <w:ind w:left="323" w:hanging="323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CJ highlighted the risk of educational establishments not being able to meet financial </w:t>
            </w:r>
            <w:r w:rsidR="000A008D">
              <w:rPr>
                <w:rStyle w:val="Emphasis"/>
                <w:rFonts w:cs="Arial"/>
                <w:i w:val="0"/>
                <w:sz w:val="22"/>
                <w:szCs w:val="22"/>
              </w:rPr>
              <w:t xml:space="preserve">agreements which may cause redundancies due to lack of funding available. </w:t>
            </w:r>
          </w:p>
          <w:p w14:paraId="350E24D1" w14:textId="358A44F6" w:rsidR="00D36164" w:rsidRPr="000A008D" w:rsidRDefault="000A008D" w:rsidP="00E06D28">
            <w:pPr>
              <w:pStyle w:val="ListParagraph"/>
              <w:numPr>
                <w:ilvl w:val="0"/>
                <w:numId w:val="6"/>
              </w:numPr>
              <w:ind w:left="323" w:hanging="323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A </w:t>
            </w:r>
            <w:r w:rsidR="00322192">
              <w:rPr>
                <w:rStyle w:val="Emphasis"/>
                <w:rFonts w:cs="Arial"/>
                <w:i w:val="0"/>
                <w:sz w:val="22"/>
                <w:szCs w:val="22"/>
              </w:rPr>
              <w:t>query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was </w:t>
            </w:r>
            <w:r w:rsidR="00322192">
              <w:rPr>
                <w:rStyle w:val="Emphasis"/>
                <w:rFonts w:cs="Arial"/>
                <w:i w:val="0"/>
                <w:sz w:val="22"/>
                <w:szCs w:val="22"/>
              </w:rPr>
              <w:t>raised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regarding independent schools, JB advised </w:t>
            </w:r>
            <w:r w:rsidR="00BA283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there will be a consultation on additional funding, to be carried out by the </w:t>
            </w:r>
            <w:r w:rsidR="00B3144E">
              <w:rPr>
                <w:rStyle w:val="Emphasis"/>
                <w:rFonts w:cs="Arial"/>
                <w:i w:val="0"/>
                <w:sz w:val="22"/>
                <w:szCs w:val="22"/>
              </w:rPr>
              <w:t>D</w:t>
            </w:r>
            <w:r w:rsidR="00BA283C">
              <w:rPr>
                <w:rStyle w:val="Emphasis"/>
                <w:rFonts w:cs="Arial"/>
                <w:i w:val="0"/>
                <w:sz w:val="22"/>
                <w:szCs w:val="22"/>
              </w:rPr>
              <w:t>f</w:t>
            </w:r>
            <w:r w:rsidR="00B3144E">
              <w:rPr>
                <w:rStyle w:val="Emphasis"/>
                <w:rFonts w:cs="Arial"/>
                <w:i w:val="0"/>
                <w:sz w:val="22"/>
                <w:szCs w:val="22"/>
              </w:rPr>
              <w:t>E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. </w:t>
            </w:r>
          </w:p>
          <w:p w14:paraId="7AA731AD" w14:textId="77777777" w:rsidR="000A008D" w:rsidRPr="000A008D" w:rsidRDefault="000A008D" w:rsidP="00E06D28">
            <w:pPr>
              <w:pStyle w:val="ListParagraph"/>
              <w:numPr>
                <w:ilvl w:val="0"/>
                <w:numId w:val="6"/>
              </w:numPr>
              <w:ind w:left="323" w:hanging="323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DW </w:t>
            </w:r>
            <w:r w:rsidR="00A96BB3">
              <w:rPr>
                <w:rStyle w:val="Emphasis"/>
                <w:rFonts w:cs="Arial"/>
                <w:i w:val="0"/>
                <w:sz w:val="22"/>
                <w:szCs w:val="22"/>
              </w:rPr>
              <w:t>mentioned the risk facing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sixth form colleges who are not protected </w:t>
            </w:r>
            <w:r w:rsidR="001213FF">
              <w:rPr>
                <w:rStyle w:val="Emphasis"/>
                <w:rFonts w:cs="Arial"/>
                <w:i w:val="0"/>
                <w:sz w:val="22"/>
                <w:szCs w:val="22"/>
              </w:rPr>
              <w:t xml:space="preserve">by fair deal. CJ requested </w:t>
            </w:r>
            <w:r w:rsidR="00894225">
              <w:rPr>
                <w:rStyle w:val="Emphasis"/>
                <w:rFonts w:cs="Arial"/>
                <w:i w:val="0"/>
                <w:sz w:val="22"/>
                <w:szCs w:val="22"/>
              </w:rPr>
              <w:t xml:space="preserve">a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>focus</w:t>
            </w:r>
            <w:r w:rsidR="001213FF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on post 92’ universities and both private and public sector as a whole. </w:t>
            </w:r>
          </w:p>
          <w:p w14:paraId="74DB7028" w14:textId="77777777" w:rsidR="00A0787E" w:rsidRDefault="00A0787E" w:rsidP="000A008D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</w:p>
          <w:p w14:paraId="7B29AC2F" w14:textId="72A80509" w:rsidR="000A008D" w:rsidRDefault="005329CD" w:rsidP="000A008D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b/>
                <w:i w:val="0"/>
                <w:sz w:val="22"/>
                <w:szCs w:val="22"/>
              </w:rPr>
              <w:t>MCR</w:t>
            </w:r>
            <w:r w:rsidR="000A008D">
              <w:rPr>
                <w:rStyle w:val="Emphasis"/>
                <w:rFonts w:cs="Arial"/>
                <w:b/>
                <w:i w:val="0"/>
                <w:sz w:val="22"/>
                <w:szCs w:val="22"/>
              </w:rPr>
              <w:t xml:space="preserve"> </w:t>
            </w:r>
          </w:p>
          <w:p w14:paraId="08BF8E79" w14:textId="3B5550E4" w:rsidR="000A008D" w:rsidRPr="00054B81" w:rsidRDefault="005329CD" w:rsidP="00E06D28">
            <w:pPr>
              <w:pStyle w:val="ListParagraph"/>
              <w:numPr>
                <w:ilvl w:val="0"/>
                <w:numId w:val="6"/>
              </w:numPr>
              <w:ind w:left="323" w:hanging="323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MM </w:t>
            </w:r>
            <w:r w:rsidR="00054B81">
              <w:rPr>
                <w:rStyle w:val="Emphasis"/>
                <w:rFonts w:cs="Arial"/>
                <w:i w:val="0"/>
                <w:sz w:val="22"/>
                <w:szCs w:val="22"/>
              </w:rPr>
              <w:t xml:space="preserve">advised that </w:t>
            </w:r>
            <w:r w:rsidR="00BA283C">
              <w:rPr>
                <w:rStyle w:val="Emphasis"/>
                <w:rFonts w:cs="Arial"/>
                <w:i w:val="0"/>
                <w:sz w:val="22"/>
                <w:szCs w:val="22"/>
              </w:rPr>
              <w:t>employers will</w:t>
            </w:r>
            <w:r w:rsidR="00894225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  <w:r w:rsidR="00054B81">
              <w:rPr>
                <w:rStyle w:val="Emphasis"/>
                <w:rFonts w:cs="Arial"/>
                <w:i w:val="0"/>
                <w:sz w:val="22"/>
                <w:szCs w:val="22"/>
              </w:rPr>
              <w:t xml:space="preserve">go through a </w:t>
            </w:r>
            <w:r w:rsidR="00322192">
              <w:rPr>
                <w:rStyle w:val="Emphasis"/>
                <w:rFonts w:cs="Arial"/>
                <w:i w:val="0"/>
                <w:sz w:val="22"/>
                <w:szCs w:val="22"/>
              </w:rPr>
              <w:t>three-month</w:t>
            </w:r>
            <w:r w:rsidR="008A2B31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  <w:r w:rsidR="00BA283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on-boarding </w:t>
            </w:r>
            <w:r w:rsidR="008A2B31">
              <w:rPr>
                <w:rStyle w:val="Emphasis"/>
                <w:rFonts w:cs="Arial"/>
                <w:i w:val="0"/>
                <w:sz w:val="22"/>
                <w:szCs w:val="22"/>
              </w:rPr>
              <w:t>p</w:t>
            </w:r>
            <w:r w:rsidR="00BA283C">
              <w:rPr>
                <w:rStyle w:val="Emphasis"/>
                <w:rFonts w:cs="Arial"/>
                <w:i w:val="0"/>
                <w:sz w:val="22"/>
                <w:szCs w:val="22"/>
              </w:rPr>
              <w:t>rocess</w:t>
            </w:r>
            <w:r w:rsidR="008A2B31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  <w:r w:rsidR="00054B81">
              <w:rPr>
                <w:rStyle w:val="Emphasis"/>
                <w:rFonts w:cs="Arial"/>
                <w:i w:val="0"/>
                <w:sz w:val="22"/>
                <w:szCs w:val="22"/>
              </w:rPr>
              <w:t>to ensure</w:t>
            </w:r>
            <w:r w:rsidR="001213FF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data is correct and</w:t>
            </w:r>
            <w:r w:rsidR="00054B81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  <w:r w:rsidR="001213FF">
              <w:rPr>
                <w:rStyle w:val="Emphasis"/>
                <w:rFonts w:cs="Arial"/>
                <w:i w:val="0"/>
                <w:sz w:val="22"/>
                <w:szCs w:val="22"/>
              </w:rPr>
              <w:t xml:space="preserve">meets the criteria before being </w:t>
            </w:r>
            <w:r w:rsidR="00BA283C">
              <w:rPr>
                <w:rStyle w:val="Emphasis"/>
                <w:rFonts w:cs="Arial"/>
                <w:i w:val="0"/>
                <w:sz w:val="22"/>
                <w:szCs w:val="22"/>
              </w:rPr>
              <w:t>accepted</w:t>
            </w:r>
            <w:r w:rsidR="008A2B31">
              <w:rPr>
                <w:rStyle w:val="Emphasis"/>
                <w:rFonts w:cs="Arial"/>
                <w:i w:val="0"/>
                <w:sz w:val="22"/>
                <w:szCs w:val="22"/>
              </w:rPr>
              <w:t xml:space="preserve">. </w:t>
            </w:r>
          </w:p>
          <w:p w14:paraId="37C97420" w14:textId="77777777" w:rsidR="00054B81" w:rsidRPr="00805A02" w:rsidRDefault="00054B81" w:rsidP="00E06D28">
            <w:pPr>
              <w:pStyle w:val="ListParagraph"/>
              <w:numPr>
                <w:ilvl w:val="0"/>
                <w:numId w:val="6"/>
              </w:numPr>
              <w:ind w:left="323" w:hanging="323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>MM advi</w:t>
            </w:r>
            <w:r w:rsidR="00805A02">
              <w:rPr>
                <w:rStyle w:val="Emphasis"/>
                <w:rFonts w:cs="Arial"/>
                <w:i w:val="0"/>
                <w:sz w:val="22"/>
                <w:szCs w:val="22"/>
              </w:rPr>
              <w:t xml:space="preserve">sed that 1:1 workshops and training </w:t>
            </w:r>
            <w:r w:rsidR="00894225">
              <w:rPr>
                <w:rStyle w:val="Emphasis"/>
                <w:rFonts w:cs="Arial"/>
                <w:i w:val="0"/>
                <w:sz w:val="22"/>
                <w:szCs w:val="22"/>
              </w:rPr>
              <w:t>was being made</w:t>
            </w:r>
            <w:r w:rsidR="00805A02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available to providers to help them understand their roles and </w:t>
            </w:r>
            <w:r w:rsidR="00322192">
              <w:rPr>
                <w:rStyle w:val="Emphasis"/>
                <w:rFonts w:cs="Arial"/>
                <w:i w:val="0"/>
                <w:sz w:val="22"/>
                <w:szCs w:val="22"/>
              </w:rPr>
              <w:t>responsibilities</w:t>
            </w:r>
            <w:r w:rsidR="001213FF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and that these</w:t>
            </w:r>
            <w:r w:rsidR="00805A02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have been well received. </w:t>
            </w:r>
          </w:p>
          <w:p w14:paraId="4678C3FF" w14:textId="3DA96A1F" w:rsidR="00805A02" w:rsidRPr="00805A02" w:rsidRDefault="00805A02" w:rsidP="00805A02">
            <w:pPr>
              <w:pStyle w:val="ListParagraph"/>
              <w:numPr>
                <w:ilvl w:val="0"/>
                <w:numId w:val="6"/>
              </w:numPr>
              <w:ind w:left="323" w:hanging="323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MM advised that formal project plans are reviewed weekly and fed back at monthly MCR </w:t>
            </w:r>
            <w:r w:rsidR="00BA283C">
              <w:rPr>
                <w:rStyle w:val="Emphasis"/>
                <w:rFonts w:cs="Arial"/>
                <w:i w:val="0"/>
                <w:sz w:val="22"/>
                <w:szCs w:val="22"/>
              </w:rPr>
              <w:t>S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>te</w:t>
            </w:r>
            <w:r w:rsidR="001213FF">
              <w:rPr>
                <w:rStyle w:val="Emphasis"/>
                <w:rFonts w:cs="Arial"/>
                <w:i w:val="0"/>
                <w:sz w:val="22"/>
                <w:szCs w:val="22"/>
              </w:rPr>
              <w:t xml:space="preserve">ering </w:t>
            </w:r>
            <w:r w:rsidR="00BA283C">
              <w:rPr>
                <w:rStyle w:val="Emphasis"/>
                <w:rFonts w:cs="Arial"/>
                <w:i w:val="0"/>
                <w:sz w:val="22"/>
                <w:szCs w:val="22"/>
              </w:rPr>
              <w:t>G</w:t>
            </w:r>
            <w:r w:rsidR="001213FF">
              <w:rPr>
                <w:rStyle w:val="Emphasis"/>
                <w:rFonts w:cs="Arial"/>
                <w:i w:val="0"/>
                <w:sz w:val="22"/>
                <w:szCs w:val="22"/>
              </w:rPr>
              <w:t>roups</w:t>
            </w:r>
            <w:r w:rsidR="00BA283C">
              <w:rPr>
                <w:rStyle w:val="Emphasis"/>
                <w:rFonts w:cs="Arial"/>
                <w:i w:val="0"/>
                <w:sz w:val="22"/>
                <w:szCs w:val="22"/>
              </w:rPr>
              <w:t>. The Steering Groups also discuss the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employer landscape</w:t>
            </w:r>
            <w:r w:rsidR="0020522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and identif</w:t>
            </w:r>
            <w:r w:rsidR="00BA283C">
              <w:rPr>
                <w:rStyle w:val="Emphasis"/>
                <w:rFonts w:cs="Arial"/>
                <w:i w:val="0"/>
                <w:sz w:val="22"/>
                <w:szCs w:val="22"/>
              </w:rPr>
              <w:t>y</w:t>
            </w:r>
            <w:r w:rsidR="0020522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potential risks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. </w:t>
            </w:r>
          </w:p>
          <w:p w14:paraId="2203D558" w14:textId="6DA7C914" w:rsidR="008A2B31" w:rsidRPr="008A2B31" w:rsidRDefault="001213FF" w:rsidP="008A2B31">
            <w:pPr>
              <w:pStyle w:val="ListParagraph"/>
              <w:numPr>
                <w:ilvl w:val="0"/>
                <w:numId w:val="6"/>
              </w:numPr>
              <w:ind w:left="323" w:hanging="323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Assurances were given that valuation </w:t>
            </w:r>
            <w:r w:rsidR="00BA283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should </w:t>
            </w:r>
            <w:r w:rsidR="00805A02">
              <w:rPr>
                <w:rStyle w:val="Emphasis"/>
                <w:rFonts w:cs="Arial"/>
                <w:i w:val="0"/>
                <w:sz w:val="22"/>
                <w:szCs w:val="22"/>
              </w:rPr>
              <w:t xml:space="preserve">not </w:t>
            </w:r>
            <w:r w:rsidR="00894225">
              <w:rPr>
                <w:rStyle w:val="Emphasis"/>
                <w:rFonts w:cs="Arial"/>
                <w:i w:val="0"/>
                <w:sz w:val="22"/>
                <w:szCs w:val="22"/>
              </w:rPr>
              <w:t xml:space="preserve">negatively </w:t>
            </w:r>
            <w:r w:rsidR="00805A02">
              <w:rPr>
                <w:rStyle w:val="Emphasis"/>
                <w:rFonts w:cs="Arial"/>
                <w:i w:val="0"/>
                <w:sz w:val="22"/>
                <w:szCs w:val="22"/>
              </w:rPr>
              <w:t xml:space="preserve">impact MCR. </w:t>
            </w:r>
          </w:p>
          <w:p w14:paraId="081C644B" w14:textId="77777777" w:rsidR="008A2B31" w:rsidRPr="008A2B31" w:rsidRDefault="008A2B31" w:rsidP="008A2B31">
            <w:pPr>
              <w:pStyle w:val="ListParagraph"/>
              <w:numPr>
                <w:ilvl w:val="0"/>
                <w:numId w:val="6"/>
              </w:numPr>
              <w:ind w:left="323" w:hanging="323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MM highlighted that information about MCR is on TP’s website. </w:t>
            </w:r>
          </w:p>
          <w:p w14:paraId="4440441F" w14:textId="6C816DF5" w:rsidR="000A008D" w:rsidRPr="00356890" w:rsidRDefault="008A2B31">
            <w:pPr>
              <w:pStyle w:val="ListParagraph"/>
              <w:numPr>
                <w:ilvl w:val="0"/>
                <w:numId w:val="6"/>
              </w:numPr>
              <w:ind w:left="323" w:hanging="323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 w:rsidRPr="008A2B31">
              <w:rPr>
                <w:rStyle w:val="Emphasis"/>
                <w:rFonts w:cs="Arial"/>
                <w:i w:val="0"/>
                <w:sz w:val="22"/>
                <w:szCs w:val="22"/>
              </w:rPr>
              <w:t>DW suggested that the Academy Financial Handbook should hold information on providing the sch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>eme with</w:t>
            </w:r>
            <w:r w:rsidR="00356890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MCR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data.</w:t>
            </w:r>
            <w:r w:rsidR="0063657F" w:rsidRPr="00356890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</w:p>
          <w:p w14:paraId="70823FE9" w14:textId="77777777" w:rsidR="00F268C9" w:rsidRPr="00E80F2B" w:rsidRDefault="00F268C9" w:rsidP="00E80F2B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FDAC800" w14:textId="77777777" w:rsidR="00E25204" w:rsidRDefault="00E25204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73799AB" w14:textId="77777777" w:rsidR="00227136" w:rsidRDefault="00227136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B0EFDA7" w14:textId="77777777" w:rsidR="00227136" w:rsidRDefault="00227136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925C2EA" w14:textId="77777777" w:rsidR="00227136" w:rsidRDefault="00227136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8B35D47" w14:textId="77777777" w:rsidR="00227136" w:rsidRDefault="00227136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40E5790" w14:textId="77777777" w:rsidR="00227136" w:rsidRDefault="00227136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542294B" w14:textId="77777777" w:rsidR="00227136" w:rsidRDefault="00227136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637175C" w14:textId="77777777" w:rsidR="00227136" w:rsidRDefault="00227136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A87FA96" w14:textId="77777777" w:rsidR="00227136" w:rsidRDefault="00227136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DA54859" w14:textId="77777777" w:rsidR="00227136" w:rsidRDefault="00227136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8D561E9" w14:textId="77777777" w:rsidR="00227136" w:rsidRDefault="00227136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D1A10D9" w14:textId="77777777" w:rsidR="00E31339" w:rsidRDefault="00E3133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C050935" w14:textId="77777777" w:rsidR="00E31339" w:rsidRDefault="00E3133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83F0ED2" w14:textId="77777777" w:rsidR="00E31339" w:rsidRDefault="00E3133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6285C98" w14:textId="77777777" w:rsidR="00E31339" w:rsidRDefault="00E3133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574DF94" w14:textId="77777777" w:rsidR="00E31339" w:rsidRDefault="00E3133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FB1F8A0" w14:textId="77777777" w:rsidR="00E31339" w:rsidRDefault="00E3133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99BCD05" w14:textId="77777777" w:rsidR="00E31339" w:rsidRDefault="00E3133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91509D1" w14:textId="77777777" w:rsidR="00E31339" w:rsidRDefault="00E3133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72657F7" w14:textId="77777777" w:rsidR="00227136" w:rsidRDefault="00227136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5096BB0" w14:textId="77777777" w:rsidR="001213FF" w:rsidRDefault="001213FF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574E0F4" w14:textId="7E96DF23" w:rsidR="00227136" w:rsidRDefault="00227136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FE6DC4F" w14:textId="77777777" w:rsidR="00D42821" w:rsidRDefault="00D42821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69EC393" w14:textId="77777777" w:rsidR="00D42821" w:rsidRDefault="00D42821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3C1C86E" w14:textId="77777777" w:rsidR="0082200D" w:rsidRDefault="0082200D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C32D842" w14:textId="77777777" w:rsidR="00E31339" w:rsidRDefault="00E3133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59F53F0" w14:textId="77777777" w:rsidR="00E31339" w:rsidRDefault="00E3133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C63F09B" w14:textId="77777777" w:rsidR="00E31339" w:rsidRDefault="00E3133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1126304" w14:textId="77777777" w:rsidR="00E31339" w:rsidRDefault="00E3133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96D8245" w14:textId="77777777" w:rsidR="00E31339" w:rsidRDefault="00E3133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92B678A" w14:textId="77777777" w:rsidR="00E31339" w:rsidRDefault="00E3133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12FBDC5" w14:textId="77777777" w:rsidR="00E31339" w:rsidRDefault="00E3133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F9027F2" w14:textId="77777777" w:rsidR="00E31339" w:rsidRDefault="00E3133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8597901" w14:textId="77777777" w:rsidR="00E31339" w:rsidRDefault="00E3133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B841292" w14:textId="77777777" w:rsidR="00E31339" w:rsidRDefault="00E3133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4C96ADF" w14:textId="77777777" w:rsidR="00E31339" w:rsidRDefault="00E3133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E159BFF" w14:textId="77777777" w:rsidR="00E31339" w:rsidRDefault="00E3133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E0E34D7" w14:textId="77777777" w:rsidR="00E31339" w:rsidRDefault="00E3133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20E0694" w14:textId="77777777" w:rsidR="00E31339" w:rsidRDefault="00E3133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F1F39F3" w14:textId="77777777" w:rsidR="00E31339" w:rsidRDefault="00E3133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BFF057B" w14:textId="77777777" w:rsidR="001213FF" w:rsidRDefault="001213FF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F5598D9" w14:textId="77777777" w:rsidR="00394E61" w:rsidRDefault="00394E61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0F8EA7E" w14:textId="77777777" w:rsidR="00394E61" w:rsidRDefault="00394E61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F9625B9" w14:textId="77777777" w:rsidR="00394E61" w:rsidRDefault="00394E61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5B58B63" w14:textId="77777777" w:rsidR="000A008D" w:rsidRDefault="000A008D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0B13AA4" w14:textId="77777777" w:rsidR="00E31339" w:rsidRDefault="00E3133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A239214" w14:textId="77777777" w:rsidR="00E31339" w:rsidRDefault="00E3133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6CEACBF" w14:textId="77777777" w:rsidR="00EB4203" w:rsidRDefault="00EB4203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B1795A9" w14:textId="2254B5C9" w:rsidR="000A008D" w:rsidRDefault="000A008D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</w:t>
            </w:r>
            <w:r w:rsidR="00EB4203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/260918</w:t>
            </w:r>
          </w:p>
          <w:p w14:paraId="02D5532F" w14:textId="77777777" w:rsidR="000A008D" w:rsidRDefault="000A008D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CE4DD02" w14:textId="77777777" w:rsidR="000A008D" w:rsidRDefault="000A008D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2FF72A5" w14:textId="77777777" w:rsidR="000A008D" w:rsidRDefault="000A008D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CDDD10D" w14:textId="77777777" w:rsidR="000A008D" w:rsidRDefault="000A008D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4A9A08B" w14:textId="77777777" w:rsidR="000A008D" w:rsidRDefault="000A008D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A809D2E" w14:textId="77777777" w:rsidR="000A008D" w:rsidRDefault="000A008D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31ADFC1" w14:textId="77777777" w:rsidR="000A008D" w:rsidRDefault="000A008D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906B446" w14:textId="77777777" w:rsidR="000A008D" w:rsidRDefault="000A008D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2771F9A" w14:textId="77777777" w:rsidR="003C36D7" w:rsidRDefault="003C36D7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704B61D" w14:textId="77777777" w:rsidR="003C36D7" w:rsidRDefault="003C36D7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365D29B" w14:textId="77777777" w:rsidR="003C36D7" w:rsidRDefault="003C36D7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D637C16" w14:textId="77777777" w:rsidR="003C36D7" w:rsidRDefault="003C36D7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A2F7463" w14:textId="77777777" w:rsidR="003C36D7" w:rsidRDefault="003C36D7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C061B92" w14:textId="77777777" w:rsidR="003C36D7" w:rsidRDefault="003C36D7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6F07FC1" w14:textId="77777777" w:rsidR="003C36D7" w:rsidRDefault="003C36D7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09E7217" w14:textId="77777777" w:rsidR="003C36D7" w:rsidRDefault="003C36D7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B012BF0" w14:textId="77777777" w:rsidR="003C36D7" w:rsidRDefault="003C36D7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2F4B986" w14:textId="77777777" w:rsidR="003C36D7" w:rsidRDefault="003C36D7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B9DCA99" w14:textId="77777777" w:rsidR="003C36D7" w:rsidRDefault="003C36D7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30680E4" w14:textId="77777777" w:rsidR="003C36D7" w:rsidRDefault="003C36D7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56E6FFA" w14:textId="77777777" w:rsidR="003C36D7" w:rsidRDefault="003C36D7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986BBFA" w14:textId="77777777" w:rsidR="003C36D7" w:rsidRDefault="003C36D7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76F3921" w14:textId="77777777" w:rsidR="003C36D7" w:rsidRDefault="003C36D7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27AF1B8" w14:textId="77777777" w:rsidR="003C36D7" w:rsidRDefault="003C36D7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8F49B7B" w14:textId="77777777" w:rsidR="003C36D7" w:rsidRDefault="003C36D7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71BF072" w14:textId="77777777" w:rsidR="003C36D7" w:rsidRDefault="003C36D7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C678AD1" w14:textId="77777777" w:rsidR="003C36D7" w:rsidRDefault="003C36D7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EA9D409" w14:textId="77777777" w:rsidR="003C36D7" w:rsidRDefault="003C36D7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DF9221E" w14:textId="77777777" w:rsidR="003C36D7" w:rsidRDefault="003C36D7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13EAE03" w14:textId="36F50DAD" w:rsidR="003C36D7" w:rsidRPr="00943F9C" w:rsidRDefault="003C36D7" w:rsidP="00EB4203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  <w:tr w:rsidR="001579B1" w:rsidRPr="001D4252" w14:paraId="0CA2BBFA" w14:textId="77777777" w:rsidTr="004D30A1">
        <w:tc>
          <w:tcPr>
            <w:tcW w:w="1164" w:type="dxa"/>
          </w:tcPr>
          <w:p w14:paraId="73235067" w14:textId="77777777" w:rsidR="00DD43A1" w:rsidRDefault="001579B1" w:rsidP="00DD43A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1D4252">
              <w:rPr>
                <w:rFonts w:cs="Arial"/>
                <w:sz w:val="22"/>
                <w:szCs w:val="22"/>
              </w:rPr>
              <w:lastRenderedPageBreak/>
              <w:t>Agenda</w:t>
            </w:r>
            <w:r w:rsidR="0047069D" w:rsidRPr="001D4252">
              <w:rPr>
                <w:rFonts w:cs="Arial"/>
                <w:sz w:val="22"/>
                <w:szCs w:val="22"/>
              </w:rPr>
              <w:t xml:space="preserve"> Item</w:t>
            </w:r>
            <w:r w:rsidRPr="001D4252">
              <w:rPr>
                <w:rFonts w:cs="Arial"/>
                <w:sz w:val="22"/>
                <w:szCs w:val="22"/>
              </w:rPr>
              <w:t xml:space="preserve"> </w:t>
            </w:r>
            <w:r w:rsidR="00DD43A1">
              <w:rPr>
                <w:rFonts w:cs="Arial"/>
                <w:sz w:val="22"/>
                <w:szCs w:val="22"/>
              </w:rPr>
              <w:t>5</w:t>
            </w:r>
            <w:r w:rsidRPr="001D4252">
              <w:rPr>
                <w:rFonts w:cs="Arial"/>
                <w:sz w:val="22"/>
                <w:szCs w:val="22"/>
              </w:rPr>
              <w:t xml:space="preserve"> </w:t>
            </w:r>
          </w:p>
          <w:p w14:paraId="2CD06386" w14:textId="77777777" w:rsidR="00DD43A1" w:rsidRDefault="00DD43A1" w:rsidP="00DD43A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186D8EE" w14:textId="77777777" w:rsidR="00DD43A1" w:rsidRDefault="00DD43A1" w:rsidP="00DD43A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D3D06B7" w14:textId="77777777" w:rsidR="00DD43A1" w:rsidRDefault="00DD43A1" w:rsidP="00DD43A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93775AA" w14:textId="77777777" w:rsidR="001579B1" w:rsidRPr="001D4252" w:rsidRDefault="00DD43A1" w:rsidP="00DD43A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Agenda Item 5a</w:t>
            </w:r>
          </w:p>
        </w:tc>
        <w:tc>
          <w:tcPr>
            <w:tcW w:w="6379" w:type="dxa"/>
          </w:tcPr>
          <w:p w14:paraId="0FA9FD23" w14:textId="4D4EEB42" w:rsidR="00821E40" w:rsidRDefault="00E66E69" w:rsidP="002F1372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b/>
                <w:i w:val="0"/>
                <w:sz w:val="22"/>
                <w:szCs w:val="22"/>
              </w:rPr>
              <w:t>Review of Strategic Risk and Operational Registers</w:t>
            </w:r>
            <w:r w:rsidR="002F1138">
              <w:rPr>
                <w:rStyle w:val="Emphasis"/>
                <w:rFonts w:cs="Arial"/>
                <w:b/>
                <w:i w:val="0"/>
                <w:sz w:val="22"/>
                <w:szCs w:val="22"/>
              </w:rPr>
              <w:t>:</w:t>
            </w:r>
            <w:r>
              <w:rPr>
                <w:rStyle w:val="Emphasis"/>
                <w:rFonts w:cs="Arial"/>
                <w:b/>
                <w:i w:val="0"/>
                <w:sz w:val="22"/>
                <w:szCs w:val="22"/>
              </w:rPr>
              <w:t xml:space="preserve"> </w:t>
            </w:r>
          </w:p>
          <w:p w14:paraId="0760DD4B" w14:textId="77777777" w:rsidR="00AD4D8D" w:rsidRPr="00F65F52" w:rsidRDefault="00AD4D8D" w:rsidP="002F1372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</w:p>
          <w:p w14:paraId="2A1634DA" w14:textId="77777777" w:rsidR="00E66E69" w:rsidRPr="00795AF3" w:rsidRDefault="003A0F8D" w:rsidP="00E66E69">
            <w:pPr>
              <w:pStyle w:val="ListParagraph"/>
              <w:numPr>
                <w:ilvl w:val="0"/>
                <w:numId w:val="7"/>
              </w:numPr>
              <w:ind w:left="323"/>
              <w:rPr>
                <w:rStyle w:val="Emphasis"/>
                <w:rFonts w:cs="Arial"/>
                <w:b/>
                <w:i w:val="0"/>
                <w:sz w:val="22"/>
                <w:szCs w:val="22"/>
                <w:u w:val="single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>JG</w:t>
            </w:r>
            <w:r w:rsidR="00795AF3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opened this item to the sub-committee for discussion. </w:t>
            </w:r>
          </w:p>
          <w:p w14:paraId="30F66849" w14:textId="04AE4FAC" w:rsidR="00795AF3" w:rsidRPr="00795AF3" w:rsidRDefault="00795AF3" w:rsidP="00E66E69">
            <w:pPr>
              <w:pStyle w:val="ListParagraph"/>
              <w:numPr>
                <w:ilvl w:val="0"/>
                <w:numId w:val="7"/>
              </w:numPr>
              <w:ind w:left="323"/>
              <w:rPr>
                <w:rStyle w:val="Emphasis"/>
                <w:rFonts w:cs="Arial"/>
                <w:b/>
                <w:i w:val="0"/>
                <w:sz w:val="22"/>
                <w:szCs w:val="22"/>
                <w:u w:val="single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>NB advised that an appetite statement is currently being populated by the department and TP.</w:t>
            </w:r>
            <w:r w:rsidR="00B3144E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A draft will go to the Quarterly Strategy Board for review and a draft will be circulated to sub-committee members for further comments. </w:t>
            </w:r>
          </w:p>
          <w:p w14:paraId="780B913B" w14:textId="08B28AC4" w:rsidR="00795AF3" w:rsidRPr="00795AF3" w:rsidRDefault="00795AF3" w:rsidP="00E66E69">
            <w:pPr>
              <w:pStyle w:val="ListParagraph"/>
              <w:numPr>
                <w:ilvl w:val="0"/>
                <w:numId w:val="7"/>
              </w:numPr>
              <w:ind w:left="323"/>
              <w:rPr>
                <w:rStyle w:val="Emphasis"/>
                <w:rFonts w:cs="Arial"/>
                <w:b/>
                <w:i w:val="0"/>
                <w:sz w:val="22"/>
                <w:szCs w:val="22"/>
                <w:u w:val="single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>NC highlighted that</w:t>
            </w:r>
            <w:r w:rsidR="00356890">
              <w:rPr>
                <w:rStyle w:val="Emphasis"/>
                <w:rFonts w:cs="Arial"/>
                <w:i w:val="0"/>
                <w:sz w:val="22"/>
                <w:szCs w:val="22"/>
              </w:rPr>
              <w:t>, in his view,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the three main </w:t>
            </w:r>
            <w:r w:rsidR="00356890">
              <w:rPr>
                <w:rStyle w:val="Emphasis"/>
                <w:rFonts w:cs="Arial"/>
                <w:i w:val="0"/>
                <w:sz w:val="22"/>
                <w:szCs w:val="22"/>
              </w:rPr>
              <w:t xml:space="preserve">immediate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risks are valuation, GMP </w:t>
            </w:r>
            <w:r w:rsidR="00356890">
              <w:rPr>
                <w:rStyle w:val="Emphasis"/>
                <w:rFonts w:cs="Arial"/>
                <w:i w:val="0"/>
                <w:sz w:val="22"/>
                <w:szCs w:val="22"/>
              </w:rPr>
              <w:t xml:space="preserve">rectification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and </w:t>
            </w:r>
            <w:r w:rsidR="00356890">
              <w:rPr>
                <w:rStyle w:val="Emphasis"/>
                <w:rFonts w:cs="Arial"/>
                <w:i w:val="0"/>
                <w:sz w:val="22"/>
                <w:szCs w:val="22"/>
              </w:rPr>
              <w:t>increases in demand driven by membership changes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>. JR queried how risks are determined</w:t>
            </w:r>
            <w:r w:rsidR="001213FF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and scored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. </w:t>
            </w:r>
          </w:p>
          <w:p w14:paraId="6ECF8708" w14:textId="23CEE8DE" w:rsidR="00795AF3" w:rsidRPr="00B9077E" w:rsidRDefault="00D54B69" w:rsidP="00795AF3">
            <w:pPr>
              <w:pStyle w:val="ListParagraph"/>
              <w:numPr>
                <w:ilvl w:val="0"/>
                <w:numId w:val="7"/>
              </w:numPr>
              <w:ind w:left="323"/>
              <w:rPr>
                <w:rStyle w:val="Emphasis"/>
                <w:rFonts w:cs="Arial"/>
                <w:b/>
                <w:i w:val="0"/>
                <w:sz w:val="22"/>
                <w:szCs w:val="22"/>
                <w:u w:val="single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>T</w:t>
            </w:r>
            <w:r w:rsidR="00795AF3">
              <w:rPr>
                <w:rStyle w:val="Emphasis"/>
                <w:rFonts w:cs="Arial"/>
                <w:i w:val="0"/>
                <w:sz w:val="22"/>
                <w:szCs w:val="22"/>
              </w:rPr>
              <w:t xml:space="preserve">he department and TP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are </w:t>
            </w:r>
            <w:r w:rsidR="00795AF3">
              <w:rPr>
                <w:rStyle w:val="Emphasis"/>
                <w:rFonts w:cs="Arial"/>
                <w:i w:val="0"/>
                <w:sz w:val="22"/>
                <w:szCs w:val="22"/>
              </w:rPr>
              <w:t xml:space="preserve">to determine the top three priority risks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and describe how risks are identified, scored and assessed. </w:t>
            </w:r>
            <w:r w:rsidR="00795AF3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 </w:t>
            </w:r>
          </w:p>
          <w:p w14:paraId="2A7C2ED3" w14:textId="77777777" w:rsidR="00E66E69" w:rsidRDefault="00E66E69" w:rsidP="001213FF">
            <w:pPr>
              <w:rPr>
                <w:rStyle w:val="Emphasis"/>
                <w:rFonts w:cs="Arial"/>
                <w:b/>
                <w:i w:val="0"/>
                <w:sz w:val="22"/>
                <w:szCs w:val="22"/>
                <w:u w:val="single"/>
              </w:rPr>
            </w:pPr>
          </w:p>
          <w:p w14:paraId="791D244C" w14:textId="0CA0BF1E" w:rsidR="00E66E69" w:rsidRPr="00E66E69" w:rsidRDefault="00E66E69" w:rsidP="001213FF">
            <w:pPr>
              <w:ind w:left="-37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b/>
                <w:i w:val="0"/>
                <w:sz w:val="22"/>
                <w:szCs w:val="22"/>
              </w:rPr>
              <w:t>Emerging Risks and Issues Log</w:t>
            </w:r>
            <w:r w:rsidR="002F1138">
              <w:rPr>
                <w:rStyle w:val="Emphasis"/>
                <w:rFonts w:cs="Arial"/>
                <w:b/>
                <w:i w:val="0"/>
                <w:sz w:val="22"/>
                <w:szCs w:val="22"/>
              </w:rPr>
              <w:t>:</w:t>
            </w:r>
          </w:p>
          <w:p w14:paraId="6E067B08" w14:textId="6E5E7C4A" w:rsidR="005D0E54" w:rsidRPr="005D0E54" w:rsidRDefault="00795AF3" w:rsidP="005D0E54">
            <w:pPr>
              <w:pStyle w:val="ListParagraph"/>
              <w:numPr>
                <w:ilvl w:val="0"/>
                <w:numId w:val="7"/>
              </w:numPr>
              <w:ind w:left="323"/>
              <w:rPr>
                <w:rStyle w:val="Emphasis"/>
                <w:rFonts w:cs="Arial"/>
                <w:b/>
                <w:i w:val="0"/>
                <w:sz w:val="22"/>
                <w:szCs w:val="22"/>
                <w:u w:val="single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NC </w:t>
            </w:r>
            <w:r w:rsidR="00322192">
              <w:rPr>
                <w:rStyle w:val="Emphasis"/>
                <w:rFonts w:cs="Arial"/>
                <w:i w:val="0"/>
                <w:sz w:val="22"/>
                <w:szCs w:val="22"/>
              </w:rPr>
              <w:t xml:space="preserve">summarised the horizon scanning for emerging risks paper. </w:t>
            </w:r>
            <w:r w:rsidR="005B2490">
              <w:rPr>
                <w:rStyle w:val="Emphasis"/>
                <w:rFonts w:cs="Arial"/>
                <w:i w:val="0"/>
                <w:sz w:val="22"/>
                <w:szCs w:val="22"/>
              </w:rPr>
              <w:t xml:space="preserve">Through having a number of sources of information, sharing best practice and regular KiT meetings across each different business area, TP and the </w:t>
            </w:r>
            <w:r w:rsidR="002F1138">
              <w:rPr>
                <w:rStyle w:val="Emphasis"/>
                <w:rFonts w:cs="Arial"/>
                <w:i w:val="0"/>
                <w:sz w:val="22"/>
                <w:szCs w:val="22"/>
              </w:rPr>
              <w:t>DfE</w:t>
            </w:r>
            <w:r w:rsidR="005B2490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aim to identify any emerging risks.  D</w:t>
            </w:r>
            <w:r w:rsidR="00894225">
              <w:rPr>
                <w:rStyle w:val="Emphasis"/>
                <w:rFonts w:cs="Arial"/>
                <w:i w:val="0"/>
                <w:sz w:val="22"/>
                <w:szCs w:val="22"/>
              </w:rPr>
              <w:t>eep dives into future risks and trends</w:t>
            </w:r>
            <w:r w:rsidR="005D0E54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between the department and TP </w:t>
            </w:r>
            <w:r w:rsidR="005B2490">
              <w:rPr>
                <w:rStyle w:val="Emphasis"/>
                <w:rFonts w:cs="Arial"/>
                <w:i w:val="0"/>
                <w:sz w:val="22"/>
                <w:szCs w:val="22"/>
              </w:rPr>
              <w:t xml:space="preserve">also </w:t>
            </w:r>
            <w:r w:rsidR="005D0E54">
              <w:rPr>
                <w:rStyle w:val="Emphasis"/>
                <w:rFonts w:cs="Arial"/>
                <w:i w:val="0"/>
                <w:sz w:val="22"/>
                <w:szCs w:val="22"/>
              </w:rPr>
              <w:t xml:space="preserve">take place to </w:t>
            </w:r>
            <w:r w:rsidR="005B2490">
              <w:rPr>
                <w:rStyle w:val="Emphasis"/>
                <w:rFonts w:cs="Arial"/>
                <w:i w:val="0"/>
                <w:sz w:val="22"/>
                <w:szCs w:val="22"/>
              </w:rPr>
              <w:t xml:space="preserve">understand </w:t>
            </w:r>
            <w:r w:rsidR="00894225">
              <w:rPr>
                <w:rStyle w:val="Emphasis"/>
                <w:rFonts w:cs="Arial"/>
                <w:i w:val="0"/>
                <w:sz w:val="22"/>
                <w:szCs w:val="22"/>
              </w:rPr>
              <w:t xml:space="preserve">and plan for </w:t>
            </w:r>
            <w:r w:rsidR="005D0E54">
              <w:rPr>
                <w:rStyle w:val="Emphasis"/>
                <w:rFonts w:cs="Arial"/>
                <w:i w:val="0"/>
                <w:sz w:val="22"/>
                <w:szCs w:val="22"/>
              </w:rPr>
              <w:t>potential emerging risks.</w:t>
            </w:r>
          </w:p>
          <w:p w14:paraId="09AAD2D4" w14:textId="77777777" w:rsidR="005D0E54" w:rsidRPr="009B729B" w:rsidRDefault="005D0E54" w:rsidP="005D0E54">
            <w:pPr>
              <w:pStyle w:val="ListParagraph"/>
              <w:numPr>
                <w:ilvl w:val="0"/>
                <w:numId w:val="7"/>
              </w:numPr>
              <w:ind w:left="323"/>
              <w:rPr>
                <w:rStyle w:val="Emphasis"/>
                <w:rFonts w:cs="Arial"/>
                <w:b/>
                <w:i w:val="0"/>
                <w:sz w:val="22"/>
                <w:szCs w:val="22"/>
                <w:u w:val="single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>NC advised that regular meetings with other public pen</w:t>
            </w:r>
            <w:r w:rsidR="009B729B">
              <w:rPr>
                <w:rStyle w:val="Emphasis"/>
                <w:rFonts w:cs="Arial"/>
                <w:i w:val="0"/>
                <w:sz w:val="22"/>
                <w:szCs w:val="22"/>
              </w:rPr>
              <w:t>sion schemes take place to address issues and</w:t>
            </w:r>
            <w:r w:rsidR="001213FF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enable TP to adopt good</w:t>
            </w:r>
            <w:r w:rsidR="009B729B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working practice. </w:t>
            </w:r>
          </w:p>
          <w:p w14:paraId="7966B84C" w14:textId="053C6FCB" w:rsidR="009B729B" w:rsidRPr="009B729B" w:rsidRDefault="009B729B" w:rsidP="005D0E54">
            <w:pPr>
              <w:pStyle w:val="ListParagraph"/>
              <w:numPr>
                <w:ilvl w:val="0"/>
                <w:numId w:val="7"/>
              </w:numPr>
              <w:ind w:left="323"/>
              <w:rPr>
                <w:rStyle w:val="Emphasis"/>
                <w:rFonts w:cs="Arial"/>
                <w:b/>
                <w:i w:val="0"/>
                <w:sz w:val="22"/>
                <w:szCs w:val="22"/>
                <w:u w:val="single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JG requested that </w:t>
            </w:r>
            <w:r w:rsidR="00894225">
              <w:rPr>
                <w:rStyle w:val="Emphasis"/>
                <w:rFonts w:cs="Arial"/>
                <w:i w:val="0"/>
                <w:sz w:val="22"/>
                <w:szCs w:val="22"/>
              </w:rPr>
              <w:t>horizon scanning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  <w:r w:rsidR="00F44706">
              <w:rPr>
                <w:rStyle w:val="Emphasis"/>
                <w:rFonts w:cs="Arial"/>
                <w:i w:val="0"/>
                <w:sz w:val="22"/>
                <w:szCs w:val="22"/>
              </w:rPr>
              <w:t>remain</w:t>
            </w:r>
            <w:r w:rsidR="00894225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as part of forward look agenda items for this sub committee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.  </w:t>
            </w:r>
          </w:p>
          <w:p w14:paraId="74B93F08" w14:textId="77777777" w:rsidR="009B729B" w:rsidRPr="009B729B" w:rsidRDefault="009B729B" w:rsidP="005D0E54">
            <w:pPr>
              <w:pStyle w:val="ListParagraph"/>
              <w:numPr>
                <w:ilvl w:val="0"/>
                <w:numId w:val="7"/>
              </w:numPr>
              <w:ind w:left="323"/>
              <w:rPr>
                <w:rStyle w:val="Emphasis"/>
                <w:rFonts w:cs="Arial"/>
                <w:b/>
                <w:i w:val="0"/>
                <w:sz w:val="22"/>
                <w:szCs w:val="22"/>
                <w:u w:val="single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>NM stated that it is helpful to have oversight of forward looks</w:t>
            </w:r>
            <w:r w:rsidR="001213FF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from a departmental and TP point of view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>.</w:t>
            </w:r>
          </w:p>
          <w:p w14:paraId="4B571309" w14:textId="56C651E6" w:rsidR="00894225" w:rsidRPr="00894225" w:rsidRDefault="00894225" w:rsidP="00894225">
            <w:pPr>
              <w:pStyle w:val="ListParagraph"/>
              <w:numPr>
                <w:ilvl w:val="0"/>
                <w:numId w:val="7"/>
              </w:numPr>
              <w:ind w:left="323"/>
              <w:rPr>
                <w:rStyle w:val="Emphasis"/>
                <w:rFonts w:cs="Arial"/>
                <w:b/>
                <w:i w:val="0"/>
                <w:sz w:val="22"/>
                <w:szCs w:val="22"/>
                <w:u w:val="single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>NM requested that TP and DfE consider whether the risk matrix amber was achieving consistency in different types of risk e.g. operational and policy.</w:t>
            </w:r>
          </w:p>
          <w:p w14:paraId="668221C0" w14:textId="1E6CDF40" w:rsidR="00B72D3A" w:rsidRPr="007D440E" w:rsidRDefault="00B72D3A" w:rsidP="007D440E">
            <w:pPr>
              <w:pStyle w:val="ListParagraph"/>
              <w:numPr>
                <w:ilvl w:val="0"/>
                <w:numId w:val="7"/>
              </w:numPr>
              <w:ind w:left="323"/>
              <w:rPr>
                <w:rStyle w:val="Emphasis"/>
                <w:rFonts w:cs="Arial"/>
                <w:b/>
                <w:i w:val="0"/>
                <w:sz w:val="22"/>
                <w:szCs w:val="22"/>
                <w:u w:val="single"/>
              </w:rPr>
            </w:pPr>
            <w:r w:rsidRPr="00B72D3A">
              <w:rPr>
                <w:rStyle w:val="Emphasis"/>
                <w:rFonts w:cs="Arial"/>
                <w:i w:val="0"/>
                <w:sz w:val="22"/>
                <w:szCs w:val="22"/>
              </w:rPr>
              <w:t>JG highlighted that there is no lack of confidence with the current risk register</w:t>
            </w:r>
            <w:r w:rsidR="009D5498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  <w:r w:rsidR="007D440E">
              <w:rPr>
                <w:rStyle w:val="Emphasis"/>
                <w:rFonts w:cs="Arial"/>
                <w:i w:val="0"/>
                <w:sz w:val="22"/>
                <w:szCs w:val="22"/>
              </w:rPr>
              <w:t>but it</w:t>
            </w:r>
            <w:r w:rsidR="00E13EE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  <w:r w:rsidR="007D440E" w:rsidRPr="007D440E">
              <w:rPr>
                <w:rStyle w:val="Emphasis"/>
                <w:rFonts w:cs="Arial"/>
                <w:i w:val="0"/>
                <w:sz w:val="22"/>
                <w:szCs w:val="22"/>
              </w:rPr>
              <w:t xml:space="preserve">was agreed that the sub-committee </w:t>
            </w:r>
            <w:r w:rsidR="00434FF9">
              <w:rPr>
                <w:rStyle w:val="Emphasis"/>
                <w:rFonts w:cs="Arial"/>
                <w:i w:val="0"/>
                <w:sz w:val="22"/>
                <w:szCs w:val="22"/>
              </w:rPr>
              <w:t>might</w:t>
            </w:r>
            <w:r w:rsidR="007D440E" w:rsidRPr="007D440E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benefit </w:t>
            </w:r>
            <w:r w:rsidR="00473F48">
              <w:rPr>
                <w:rStyle w:val="Emphasis"/>
                <w:rFonts w:cs="Arial"/>
                <w:i w:val="0"/>
                <w:sz w:val="22"/>
                <w:szCs w:val="22"/>
              </w:rPr>
              <w:t xml:space="preserve">from </w:t>
            </w:r>
            <w:r w:rsidR="007D440E" w:rsidRPr="007D440E">
              <w:rPr>
                <w:rStyle w:val="Emphasis"/>
                <w:rFonts w:cs="Arial"/>
                <w:i w:val="0"/>
                <w:sz w:val="22"/>
                <w:szCs w:val="22"/>
              </w:rPr>
              <w:t xml:space="preserve">a deep dive session </w:t>
            </w:r>
            <w:r w:rsidR="007D440E" w:rsidRPr="00B43F23">
              <w:rPr>
                <w:rStyle w:val="Emphasis"/>
                <w:rFonts w:cs="Arial"/>
                <w:i w:val="0"/>
                <w:sz w:val="22"/>
                <w:szCs w:val="22"/>
              </w:rPr>
              <w:t xml:space="preserve">to help understand </w:t>
            </w:r>
            <w:r w:rsidR="00434FF9">
              <w:rPr>
                <w:rStyle w:val="Emphasis"/>
                <w:rFonts w:cs="Arial"/>
                <w:i w:val="0"/>
                <w:sz w:val="22"/>
                <w:szCs w:val="22"/>
              </w:rPr>
              <w:t xml:space="preserve">the </w:t>
            </w:r>
            <w:r w:rsidR="007D440E" w:rsidRPr="00B43F23">
              <w:rPr>
                <w:rStyle w:val="Emphasis"/>
                <w:rFonts w:cs="Arial"/>
                <w:i w:val="0"/>
                <w:sz w:val="22"/>
                <w:szCs w:val="22"/>
              </w:rPr>
              <w:t>process and scoring behind each risk.</w:t>
            </w:r>
            <w:r w:rsidR="007D440E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NB</w:t>
            </w:r>
            <w:r w:rsidR="00434FF9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highlighted that she</w:t>
            </w:r>
            <w:r w:rsidR="007D440E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  <w:r w:rsidR="00434FF9">
              <w:rPr>
                <w:rStyle w:val="Emphasis"/>
                <w:rFonts w:cs="Arial"/>
                <w:i w:val="0"/>
                <w:sz w:val="22"/>
                <w:szCs w:val="22"/>
              </w:rPr>
              <w:t>had provided</w:t>
            </w:r>
            <w:r w:rsidR="007D440E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a paper at the last sub-committee meeting which explained how risks are addressed.</w:t>
            </w:r>
            <w:r w:rsidR="00910B5D" w:rsidRPr="007D440E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</w:p>
          <w:p w14:paraId="2955A8A7" w14:textId="5EC5BF87" w:rsidR="00CC4572" w:rsidRPr="00910B5D" w:rsidRDefault="00910B5D" w:rsidP="00D326AE">
            <w:pPr>
              <w:pStyle w:val="ListParagraph"/>
              <w:numPr>
                <w:ilvl w:val="0"/>
                <w:numId w:val="7"/>
              </w:numPr>
              <w:ind w:left="323"/>
              <w:rPr>
                <w:rStyle w:val="Emphasis"/>
                <w:rFonts w:cs="Arial"/>
                <w:b/>
                <w:i w:val="0"/>
                <w:sz w:val="22"/>
                <w:szCs w:val="22"/>
                <w:u w:val="single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>NC advised that it</w:t>
            </w:r>
            <w:r w:rsidR="00E13EE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in future meetings, it may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be helpful to give a brief </w:t>
            </w:r>
            <w:r w:rsidR="00E13EE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summary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of each </w:t>
            </w:r>
            <w:r w:rsidR="00E13EE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key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risk and </w:t>
            </w:r>
            <w:r w:rsidR="00E13EEA">
              <w:rPr>
                <w:rStyle w:val="Emphasis"/>
                <w:rFonts w:cs="Arial"/>
                <w:i w:val="0"/>
                <w:sz w:val="22"/>
                <w:szCs w:val="22"/>
              </w:rPr>
              <w:t>explain the controls and any actions to mitigate the risk.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</w:p>
          <w:p w14:paraId="3328066E" w14:textId="477960BA" w:rsidR="00CD5FC9" w:rsidRPr="00CD5FC9" w:rsidRDefault="00910B5D" w:rsidP="00A546C9">
            <w:pPr>
              <w:pStyle w:val="ListParagraph"/>
              <w:numPr>
                <w:ilvl w:val="0"/>
                <w:numId w:val="7"/>
              </w:numPr>
              <w:ind w:left="323"/>
              <w:rPr>
                <w:rStyle w:val="Emphasis"/>
                <w:rFonts w:cs="Arial"/>
                <w:b/>
                <w:i w:val="0"/>
                <w:sz w:val="22"/>
                <w:szCs w:val="22"/>
                <w:u w:val="single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>JG agree</w:t>
            </w:r>
            <w:r w:rsidR="007D440E">
              <w:rPr>
                <w:rStyle w:val="Emphasis"/>
                <w:rFonts w:cs="Arial"/>
                <w:i w:val="0"/>
                <w:sz w:val="22"/>
                <w:szCs w:val="22"/>
              </w:rPr>
              <w:t>d</w:t>
            </w:r>
            <w:r w:rsidR="00473F48">
              <w:rPr>
                <w:rStyle w:val="Emphasis"/>
                <w:rFonts w:cs="Arial"/>
                <w:i w:val="0"/>
                <w:sz w:val="22"/>
                <w:szCs w:val="22"/>
              </w:rPr>
              <w:t>, noting that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projects are proce</w:t>
            </w:r>
            <w:r w:rsidR="007D440E">
              <w:rPr>
                <w:rStyle w:val="Emphasis"/>
                <w:rFonts w:cs="Arial"/>
                <w:i w:val="0"/>
                <w:sz w:val="22"/>
                <w:szCs w:val="22"/>
              </w:rPr>
              <w:t>ss</w:t>
            </w:r>
            <w:r w:rsidR="00B9077E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>driven and querie</w:t>
            </w:r>
            <w:r w:rsidR="00473F48">
              <w:rPr>
                <w:rStyle w:val="Emphasis"/>
                <w:rFonts w:cs="Arial"/>
                <w:i w:val="0"/>
                <w:sz w:val="22"/>
                <w:szCs w:val="22"/>
              </w:rPr>
              <w:t>d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whether there is a way to understand </w:t>
            </w:r>
            <w:r w:rsidR="00434FF9">
              <w:rPr>
                <w:rStyle w:val="Emphasis"/>
                <w:rFonts w:cs="Arial"/>
                <w:i w:val="0"/>
                <w:sz w:val="22"/>
                <w:szCs w:val="22"/>
              </w:rPr>
              <w:t>the programme arrangments</w:t>
            </w:r>
            <w:r w:rsidR="00B47385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in  place</w:t>
            </w:r>
            <w:r w:rsidR="00434FF9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to ensure projects are co-ordinated</w:t>
            </w:r>
            <w:r w:rsidR="0057637E">
              <w:rPr>
                <w:rStyle w:val="Emphasis"/>
                <w:rFonts w:cs="Arial"/>
                <w:i w:val="0"/>
                <w:sz w:val="22"/>
                <w:szCs w:val="22"/>
              </w:rPr>
              <w:t>; t</w:t>
            </w:r>
            <w:r w:rsidR="007D440E">
              <w:rPr>
                <w:rStyle w:val="Emphasis"/>
                <w:rFonts w:cs="Arial"/>
                <w:i w:val="0"/>
                <w:sz w:val="22"/>
                <w:szCs w:val="22"/>
              </w:rPr>
              <w:t>his could be a potential future topic.</w:t>
            </w:r>
          </w:p>
          <w:p w14:paraId="5633E9B4" w14:textId="14D17792" w:rsidR="00910B5D" w:rsidRPr="00A546C9" w:rsidRDefault="00B9077E" w:rsidP="00A546C9">
            <w:pPr>
              <w:pStyle w:val="ListParagraph"/>
              <w:numPr>
                <w:ilvl w:val="0"/>
                <w:numId w:val="7"/>
              </w:numPr>
              <w:ind w:left="323"/>
              <w:rPr>
                <w:rStyle w:val="Emphasis"/>
                <w:rFonts w:cs="Arial"/>
                <w:b/>
                <w:i w:val="0"/>
                <w:sz w:val="22"/>
                <w:szCs w:val="22"/>
                <w:u w:val="single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JG to consider </w:t>
            </w:r>
            <w:r w:rsidR="00434FF9">
              <w:rPr>
                <w:rStyle w:val="Emphasis"/>
                <w:rFonts w:cs="Arial"/>
                <w:i w:val="0"/>
                <w:sz w:val="22"/>
                <w:szCs w:val="22"/>
              </w:rPr>
              <w:t xml:space="preserve">the list of deep dive topics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outside of this forum. </w:t>
            </w:r>
          </w:p>
          <w:p w14:paraId="209992D5" w14:textId="77777777" w:rsidR="007B2438" w:rsidRPr="00F65F52" w:rsidRDefault="003924F8" w:rsidP="003924F8">
            <w:pPr>
              <w:pStyle w:val="ListParagraph"/>
              <w:ind w:left="323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 w:rsidRPr="00F65F52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3EA2B332" w14:textId="77777777" w:rsidR="001579B1" w:rsidRPr="00795AF3" w:rsidRDefault="001579B1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2C15963" w14:textId="77777777" w:rsidR="00D850AF" w:rsidRPr="00795AF3" w:rsidRDefault="00D850AF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E8EE4BC" w14:textId="77777777" w:rsidR="00795AF3" w:rsidRPr="00795AF3" w:rsidRDefault="00795AF3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AE9DBDC" w14:textId="77777777" w:rsidR="00795AF3" w:rsidRDefault="00795AF3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8A4766A" w14:textId="77777777" w:rsidR="00795AF3" w:rsidRPr="00795AF3" w:rsidRDefault="00795AF3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85FA523" w14:textId="77777777" w:rsidR="00795AF3" w:rsidRPr="00795AF3" w:rsidRDefault="00795AF3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F9F8731" w14:textId="77777777" w:rsidR="00B3144E" w:rsidRDefault="00B3144E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84F0761" w14:textId="74F07436" w:rsidR="00795AF3" w:rsidRDefault="00795AF3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 w:rsidRPr="00795AF3">
              <w:rPr>
                <w:rFonts w:cs="Arial"/>
                <w:sz w:val="20"/>
              </w:rPr>
              <w:t>MR</w:t>
            </w:r>
            <w:r w:rsidR="00D54B69">
              <w:rPr>
                <w:rFonts w:cs="Arial"/>
                <w:sz w:val="20"/>
              </w:rPr>
              <w:t>2</w:t>
            </w:r>
            <w:r w:rsidRPr="00795AF3">
              <w:rPr>
                <w:rFonts w:cs="Arial"/>
                <w:sz w:val="20"/>
              </w:rPr>
              <w:t>/260918</w:t>
            </w:r>
          </w:p>
          <w:p w14:paraId="1ADB0203" w14:textId="77777777" w:rsidR="00795AF3" w:rsidRDefault="00795AF3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EE8E489" w14:textId="77777777" w:rsidR="00795AF3" w:rsidRDefault="00795AF3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794457F" w14:textId="77777777" w:rsidR="00795AF3" w:rsidRDefault="00795AF3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E3AD7EC" w14:textId="77777777" w:rsidR="00795AF3" w:rsidRDefault="00795AF3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27A812E" w14:textId="77777777" w:rsidR="00795AF3" w:rsidRDefault="00795AF3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0BA92B6" w14:textId="36297F02" w:rsidR="00795AF3" w:rsidRDefault="00D54B6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MR3</w:t>
            </w:r>
            <w:r w:rsidR="00795AF3">
              <w:rPr>
                <w:rFonts w:cs="Arial"/>
                <w:sz w:val="20"/>
              </w:rPr>
              <w:t>/260918</w:t>
            </w:r>
          </w:p>
          <w:p w14:paraId="309B1128" w14:textId="77777777" w:rsidR="009B729B" w:rsidRDefault="009B729B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7EDF87C" w14:textId="77777777" w:rsidR="009B729B" w:rsidRDefault="009B729B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F62756E" w14:textId="77777777" w:rsidR="009B729B" w:rsidRDefault="009B729B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F3FC245" w14:textId="77777777" w:rsidR="009B729B" w:rsidRDefault="009B729B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C0CAB94" w14:textId="77777777" w:rsidR="009B729B" w:rsidRDefault="009B729B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D1F36C9" w14:textId="77777777" w:rsidR="009B729B" w:rsidRDefault="009B729B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185BE0B" w14:textId="77777777" w:rsidR="009B729B" w:rsidRDefault="009B729B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2D8A41B" w14:textId="77777777" w:rsidR="009B729B" w:rsidRDefault="009B729B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C1C802B" w14:textId="77777777" w:rsidR="009B729B" w:rsidRDefault="009B729B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C6DBBB9" w14:textId="77777777" w:rsidR="009B729B" w:rsidRDefault="009B729B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8C79AB2" w14:textId="77777777" w:rsidR="009B729B" w:rsidRDefault="009B729B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C868D7C" w14:textId="77777777" w:rsidR="009B729B" w:rsidRDefault="009B729B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0EE9A65" w14:textId="77777777" w:rsidR="009B729B" w:rsidRDefault="009B729B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2962810" w14:textId="77777777" w:rsidR="002F1138" w:rsidRDefault="002F1138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1757675" w14:textId="77777777" w:rsidR="002F1138" w:rsidRDefault="002F1138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9AE9D3E" w14:textId="77777777" w:rsidR="002F1138" w:rsidRDefault="002F1138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B0380EF" w14:textId="77777777" w:rsidR="00910B5D" w:rsidRDefault="00910B5D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0763647" w14:textId="77777777" w:rsidR="00910B5D" w:rsidRDefault="00910B5D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20D1962" w14:textId="77777777" w:rsidR="00910B5D" w:rsidRDefault="00910B5D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B93AB68" w14:textId="77777777" w:rsidR="00910B5D" w:rsidRDefault="00910B5D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A6CCFCB" w14:textId="3B3F8F12" w:rsidR="00910B5D" w:rsidRDefault="00910B5D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</w:t>
            </w:r>
            <w:r w:rsidR="00CE6BE0"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</w:rPr>
              <w:t>/260918</w:t>
            </w:r>
          </w:p>
          <w:p w14:paraId="6B6C9940" w14:textId="77777777" w:rsidR="00B9077E" w:rsidRDefault="00B9077E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0402BC7" w14:textId="77777777" w:rsidR="00B9077E" w:rsidRDefault="00B9077E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8DC5120" w14:textId="77777777" w:rsidR="00B9077E" w:rsidRDefault="00B9077E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8C95896" w14:textId="77777777" w:rsidR="002F1138" w:rsidRDefault="002F1138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9BAA085" w14:textId="77777777" w:rsidR="002F1138" w:rsidRDefault="002F1138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8613B7D" w14:textId="77777777" w:rsidR="00473F48" w:rsidRDefault="00473F48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79DDB9D" w14:textId="77777777" w:rsidR="00473F48" w:rsidRDefault="00473F48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40B2AAB" w14:textId="77777777" w:rsidR="00473F48" w:rsidRDefault="00473F48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8E19976" w14:textId="77777777" w:rsidR="00CD5FC9" w:rsidRDefault="00CD5FC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A9A7080" w14:textId="77777777" w:rsidR="00473F48" w:rsidRDefault="00473F48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4752759" w14:textId="77777777" w:rsidR="00473F48" w:rsidRDefault="00473F48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3BFC9C6" w14:textId="77777777" w:rsidR="00473F48" w:rsidRDefault="00473F48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C6FE8F6" w14:textId="77777777" w:rsidR="00473F48" w:rsidRDefault="00473F48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FFF910A" w14:textId="53D211A1" w:rsidR="00CD5FC9" w:rsidRDefault="00CD5FC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CFB3DF5" w14:textId="77777777" w:rsidR="00CD5FC9" w:rsidRDefault="00CD5FC9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3AEE4F6" w14:textId="77777777" w:rsidR="00434FF9" w:rsidRDefault="00434FF9" w:rsidP="00434FF9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B9A7DF8" w14:textId="77777777" w:rsidR="00434FF9" w:rsidRDefault="00434FF9" w:rsidP="00434FF9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A14CE64" w14:textId="77777777" w:rsidR="00434FF9" w:rsidRDefault="00434FF9" w:rsidP="00434FF9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7211EAE" w14:textId="49FFEC30" w:rsidR="00473F48" w:rsidRPr="00795AF3" w:rsidRDefault="00473F48" w:rsidP="00434FF9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</w:t>
            </w:r>
            <w:r w:rsidR="00434FF9">
              <w:rPr>
                <w:rFonts w:cs="Arial"/>
                <w:sz w:val="20"/>
              </w:rPr>
              <w:t>5</w:t>
            </w:r>
            <w:r>
              <w:rPr>
                <w:rFonts w:cs="Arial"/>
                <w:sz w:val="20"/>
              </w:rPr>
              <w:t>/260918</w:t>
            </w:r>
          </w:p>
        </w:tc>
      </w:tr>
      <w:tr w:rsidR="001579B1" w:rsidRPr="001D4252" w14:paraId="5543DE1B" w14:textId="77777777" w:rsidTr="004D30A1">
        <w:tc>
          <w:tcPr>
            <w:tcW w:w="1164" w:type="dxa"/>
          </w:tcPr>
          <w:p w14:paraId="5A12133A" w14:textId="77777777" w:rsidR="001579B1" w:rsidRPr="001D4252" w:rsidRDefault="00C3441F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1D4252">
              <w:rPr>
                <w:rFonts w:cs="Arial"/>
                <w:sz w:val="22"/>
                <w:szCs w:val="22"/>
              </w:rPr>
              <w:t xml:space="preserve">Agenda </w:t>
            </w:r>
            <w:r w:rsidR="00BC16DB" w:rsidRPr="001D4252">
              <w:rPr>
                <w:rFonts w:cs="Arial"/>
                <w:sz w:val="22"/>
                <w:szCs w:val="22"/>
              </w:rPr>
              <w:t xml:space="preserve">Item </w:t>
            </w:r>
            <w:r w:rsidR="00DD43A1">
              <w:rPr>
                <w:rFonts w:cs="Arial"/>
                <w:sz w:val="22"/>
                <w:szCs w:val="22"/>
              </w:rPr>
              <w:t>6</w:t>
            </w:r>
            <w:r w:rsidRPr="001D4252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</w:tcPr>
          <w:p w14:paraId="027874C3" w14:textId="77777777" w:rsidR="00C3441F" w:rsidRDefault="009550FA" w:rsidP="00D6385F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b/>
                <w:i w:val="0"/>
                <w:sz w:val="22"/>
                <w:szCs w:val="22"/>
              </w:rPr>
              <w:t>Update on OBR financial forecast and NAO response</w:t>
            </w:r>
          </w:p>
          <w:p w14:paraId="62240466" w14:textId="77777777" w:rsidR="00AD4D8D" w:rsidRPr="00F65F52" w:rsidRDefault="00AD4D8D" w:rsidP="00D6385F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</w:p>
          <w:p w14:paraId="47E47BDC" w14:textId="440A9233" w:rsidR="00CD4FCD" w:rsidRPr="00CD5FC9" w:rsidRDefault="00910B5D" w:rsidP="008C3A80">
            <w:pPr>
              <w:pStyle w:val="ListParagraph"/>
              <w:numPr>
                <w:ilvl w:val="0"/>
                <w:numId w:val="8"/>
              </w:numPr>
              <w:ind w:left="323" w:hanging="323"/>
              <w:rPr>
                <w:rStyle w:val="Emphasis"/>
                <w:rFonts w:cs="Arial"/>
                <w:i w:val="0"/>
                <w:sz w:val="22"/>
                <w:szCs w:val="22"/>
              </w:rPr>
            </w:pPr>
            <w:r w:rsidRPr="00CD5FC9">
              <w:rPr>
                <w:rStyle w:val="Emphasis"/>
                <w:rFonts w:cs="Arial"/>
                <w:i w:val="0"/>
                <w:sz w:val="22"/>
                <w:szCs w:val="22"/>
              </w:rPr>
              <w:t xml:space="preserve">NB confirmed that the autumn OBR </w:t>
            </w:r>
            <w:r w:rsidR="007D440E" w:rsidRPr="00CD5FC9">
              <w:rPr>
                <w:rStyle w:val="Emphasis"/>
                <w:rFonts w:cs="Arial"/>
                <w:i w:val="0"/>
                <w:sz w:val="22"/>
                <w:szCs w:val="22"/>
              </w:rPr>
              <w:t>excercise was completed a</w:t>
            </w:r>
            <w:r w:rsidRPr="00CD5FC9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week </w:t>
            </w:r>
            <w:r w:rsidR="00CD5FC9" w:rsidRPr="00CD5FC9">
              <w:rPr>
                <w:rStyle w:val="Emphasis"/>
                <w:rFonts w:cs="Arial"/>
                <w:i w:val="0"/>
                <w:sz w:val="22"/>
                <w:szCs w:val="22"/>
              </w:rPr>
              <w:t xml:space="preserve">ahead of deadline and advised </w:t>
            </w:r>
            <w:r w:rsidR="00CD5FC9">
              <w:rPr>
                <w:rStyle w:val="Emphasis"/>
                <w:rFonts w:cs="Arial"/>
                <w:i w:val="0"/>
                <w:sz w:val="22"/>
                <w:szCs w:val="22"/>
              </w:rPr>
              <w:t>t</w:t>
            </w:r>
            <w:r w:rsidR="00CD4FCD" w:rsidRPr="00CD5FC9">
              <w:rPr>
                <w:rStyle w:val="Emphasis"/>
                <w:rFonts w:cs="Arial"/>
                <w:i w:val="0"/>
                <w:sz w:val="22"/>
                <w:szCs w:val="22"/>
              </w:rPr>
              <w:t>hat</w:t>
            </w:r>
            <w:r w:rsidR="00CD5FC9">
              <w:rPr>
                <w:rStyle w:val="Emphasis"/>
                <w:rFonts w:cs="Arial"/>
                <w:i w:val="0"/>
                <w:sz w:val="22"/>
                <w:szCs w:val="22"/>
              </w:rPr>
              <w:t>,</w:t>
            </w:r>
            <w:r w:rsidR="00CD4FCD" w:rsidRPr="00CD5FC9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for </w:t>
            </w:r>
            <w:r w:rsidR="004D30A1" w:rsidRPr="00CD5FC9">
              <w:rPr>
                <w:rStyle w:val="Emphasis"/>
                <w:rFonts w:cs="Arial"/>
                <w:i w:val="0"/>
                <w:sz w:val="22"/>
                <w:szCs w:val="22"/>
              </w:rPr>
              <w:t>continuous</w:t>
            </w:r>
            <w:r w:rsidR="00CD4FCD" w:rsidRPr="00CD5FC9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improvement</w:t>
            </w:r>
            <w:r w:rsidR="00CD5FC9">
              <w:rPr>
                <w:rStyle w:val="Emphasis"/>
                <w:rFonts w:cs="Arial"/>
                <w:i w:val="0"/>
                <w:sz w:val="22"/>
                <w:szCs w:val="22"/>
              </w:rPr>
              <w:t>,</w:t>
            </w:r>
            <w:r w:rsidR="00CD4FCD" w:rsidRPr="00CD5FC9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the current </w:t>
            </w:r>
            <w:r w:rsidR="007D440E" w:rsidRPr="00CD5FC9">
              <w:rPr>
                <w:rStyle w:val="Emphasis"/>
                <w:rFonts w:cs="Arial"/>
                <w:i w:val="0"/>
                <w:sz w:val="22"/>
                <w:szCs w:val="22"/>
              </w:rPr>
              <w:t>forecasting model</w:t>
            </w:r>
            <w:r w:rsidR="00CD4FCD" w:rsidRPr="00CD5FC9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will be </w:t>
            </w:r>
            <w:r w:rsidR="00E13EEA" w:rsidRPr="00CD5FC9">
              <w:rPr>
                <w:rStyle w:val="Emphasis"/>
                <w:rFonts w:cs="Arial"/>
                <w:i w:val="0"/>
                <w:sz w:val="22"/>
                <w:szCs w:val="22"/>
              </w:rPr>
              <w:t xml:space="preserve">reviewed and updated, where appropriate, </w:t>
            </w:r>
            <w:r w:rsidR="00CD4FCD" w:rsidRPr="00CD5FC9">
              <w:rPr>
                <w:rStyle w:val="Emphasis"/>
                <w:rFonts w:cs="Arial"/>
                <w:i w:val="0"/>
                <w:sz w:val="22"/>
                <w:szCs w:val="22"/>
              </w:rPr>
              <w:t xml:space="preserve">to meet </w:t>
            </w:r>
            <w:r w:rsidR="007D440E" w:rsidRPr="00CD5FC9">
              <w:rPr>
                <w:rStyle w:val="Emphasis"/>
                <w:rFonts w:cs="Arial"/>
                <w:i w:val="0"/>
                <w:sz w:val="22"/>
                <w:szCs w:val="22"/>
              </w:rPr>
              <w:t>new developments such as the use of MDC data.</w:t>
            </w:r>
            <w:r w:rsidR="00CD4FCD" w:rsidRPr="00CD5FC9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</w:p>
          <w:p w14:paraId="23707D3E" w14:textId="77777777" w:rsidR="00441E56" w:rsidRDefault="00441E56" w:rsidP="00CD4FCD">
            <w:pPr>
              <w:pStyle w:val="ListParagraph"/>
              <w:numPr>
                <w:ilvl w:val="0"/>
                <w:numId w:val="8"/>
              </w:numPr>
              <w:ind w:left="323" w:hanging="323"/>
              <w:rPr>
                <w:rStyle w:val="Emphasis"/>
                <w:rFonts w:cs="Arial"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CJ queried </w:t>
            </w:r>
            <w:r w:rsidR="009D5498">
              <w:rPr>
                <w:rStyle w:val="Emphasis"/>
                <w:rFonts w:cs="Arial"/>
                <w:i w:val="0"/>
                <w:sz w:val="22"/>
                <w:szCs w:val="22"/>
              </w:rPr>
              <w:t xml:space="preserve">current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>retirement trends</w:t>
            </w:r>
            <w:r w:rsidR="009D5498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and whether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>flexibilities</w:t>
            </w:r>
            <w:r w:rsidR="009D5498">
              <w:rPr>
                <w:rStyle w:val="Emphasis"/>
                <w:rFonts w:cs="Arial"/>
                <w:i w:val="0"/>
                <w:sz w:val="22"/>
                <w:szCs w:val="22"/>
              </w:rPr>
              <w:t>,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such as phased retirement</w:t>
            </w:r>
            <w:r w:rsidR="009D5498">
              <w:rPr>
                <w:rStyle w:val="Emphasis"/>
                <w:rFonts w:cs="Arial"/>
                <w:i w:val="0"/>
                <w:sz w:val="22"/>
                <w:szCs w:val="22"/>
              </w:rPr>
              <w:t>, are becoming more popular.</w:t>
            </w:r>
          </w:p>
          <w:p w14:paraId="2D817097" w14:textId="571D0A6F" w:rsidR="00441E56" w:rsidRDefault="00441E56" w:rsidP="00CD4FCD">
            <w:pPr>
              <w:pStyle w:val="ListParagraph"/>
              <w:numPr>
                <w:ilvl w:val="0"/>
                <w:numId w:val="8"/>
              </w:numPr>
              <w:ind w:left="323" w:hanging="323"/>
              <w:rPr>
                <w:rStyle w:val="Emphasis"/>
                <w:rFonts w:cs="Arial"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>NC advised that</w:t>
            </w:r>
            <w:r w:rsidR="009D5498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  <w:r w:rsidR="00E13EE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the average age at retirement </w:t>
            </w:r>
            <w:r w:rsidR="009D5498">
              <w:rPr>
                <w:rStyle w:val="Emphasis"/>
                <w:rFonts w:cs="Arial"/>
                <w:i w:val="0"/>
                <w:sz w:val="22"/>
                <w:szCs w:val="22"/>
              </w:rPr>
              <w:t>ha</w:t>
            </w:r>
            <w:r w:rsidR="00E13EEA">
              <w:rPr>
                <w:rStyle w:val="Emphasis"/>
                <w:rFonts w:cs="Arial"/>
                <w:i w:val="0"/>
                <w:sz w:val="22"/>
                <w:szCs w:val="22"/>
              </w:rPr>
              <w:t>s</w:t>
            </w:r>
            <w:r w:rsidR="009D5498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  <w:r w:rsidR="00E13EEA">
              <w:rPr>
                <w:rStyle w:val="Emphasis"/>
                <w:rFonts w:cs="Arial"/>
                <w:i w:val="0"/>
                <w:sz w:val="22"/>
                <w:szCs w:val="22"/>
              </w:rPr>
              <w:t>increased by around half a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year over the past five years and that this </w:t>
            </w:r>
            <w:r w:rsidR="00E13EE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trend is consistent between </w:t>
            </w:r>
            <w:r w:rsidR="007D440E">
              <w:rPr>
                <w:rStyle w:val="Emphasis"/>
                <w:rFonts w:cs="Arial"/>
                <w:i w:val="0"/>
                <w:sz w:val="22"/>
                <w:szCs w:val="22"/>
              </w:rPr>
              <w:t>male and female populations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. </w:t>
            </w:r>
          </w:p>
          <w:p w14:paraId="59C92C1E" w14:textId="27B3EB8A" w:rsidR="00441E56" w:rsidRDefault="00441E56" w:rsidP="00441E56">
            <w:pPr>
              <w:pStyle w:val="ListParagraph"/>
              <w:numPr>
                <w:ilvl w:val="0"/>
                <w:numId w:val="8"/>
              </w:numPr>
              <w:ind w:left="323" w:hanging="323"/>
              <w:rPr>
                <w:rStyle w:val="Emphasis"/>
                <w:rFonts w:cs="Arial"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CJ stated that he has noticed more members asking about phased retirement. </w:t>
            </w:r>
            <w:r w:rsidR="00E13EEA">
              <w:rPr>
                <w:rStyle w:val="Emphasis"/>
                <w:rFonts w:cs="Arial"/>
                <w:i w:val="0"/>
                <w:sz w:val="22"/>
                <w:szCs w:val="22"/>
              </w:rPr>
              <w:t>NC confirmed the number of phased retirements has remained broadly consistent over recent years.</w:t>
            </w:r>
          </w:p>
          <w:p w14:paraId="15AE5DE2" w14:textId="2D5EF1EE" w:rsidR="00441E56" w:rsidRDefault="00441E56" w:rsidP="00441E56">
            <w:pPr>
              <w:pStyle w:val="ListParagraph"/>
              <w:numPr>
                <w:ilvl w:val="0"/>
                <w:numId w:val="8"/>
              </w:numPr>
              <w:ind w:left="323" w:hanging="323"/>
              <w:rPr>
                <w:rStyle w:val="Emphasis"/>
                <w:rFonts w:cs="Arial"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NC advised that trends </w:t>
            </w:r>
            <w:r w:rsidR="00E13EEA">
              <w:rPr>
                <w:rStyle w:val="Emphasis"/>
                <w:rFonts w:cs="Arial"/>
                <w:i w:val="0"/>
                <w:sz w:val="22"/>
                <w:szCs w:val="22"/>
              </w:rPr>
              <w:t>continue to be monitored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. </w:t>
            </w:r>
          </w:p>
          <w:p w14:paraId="2E73F6A0" w14:textId="77777777" w:rsidR="00E331FF" w:rsidRDefault="00E331FF" w:rsidP="00E331FF">
            <w:pPr>
              <w:pStyle w:val="ListParagraph"/>
              <w:ind w:left="323"/>
              <w:rPr>
                <w:rStyle w:val="Emphasis"/>
                <w:rFonts w:cs="Arial"/>
                <w:i w:val="0"/>
                <w:sz w:val="22"/>
                <w:szCs w:val="22"/>
              </w:rPr>
            </w:pPr>
          </w:p>
          <w:p w14:paraId="5D54588E" w14:textId="77777777" w:rsidR="00441E56" w:rsidRDefault="00441E56" w:rsidP="00441E56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 w:rsidRPr="00441E56">
              <w:rPr>
                <w:rStyle w:val="Emphasis"/>
                <w:rFonts w:cs="Arial"/>
                <w:b/>
                <w:i w:val="0"/>
                <w:sz w:val="22"/>
                <w:szCs w:val="22"/>
              </w:rPr>
              <w:t xml:space="preserve">Management Letter </w:t>
            </w:r>
          </w:p>
          <w:p w14:paraId="07D614EF" w14:textId="5D27CBD3" w:rsidR="00441E56" w:rsidRDefault="00441E56" w:rsidP="007D440E">
            <w:pPr>
              <w:pStyle w:val="ListParagraph"/>
              <w:numPr>
                <w:ilvl w:val="0"/>
                <w:numId w:val="8"/>
              </w:numPr>
              <w:ind w:left="323" w:hanging="323"/>
              <w:rPr>
                <w:rStyle w:val="Emphasis"/>
                <w:rFonts w:cs="Arial"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>NB gave a sum</w:t>
            </w:r>
            <w:r w:rsidR="009D5498">
              <w:rPr>
                <w:rStyle w:val="Emphasis"/>
                <w:rFonts w:cs="Arial"/>
                <w:i w:val="0"/>
                <w:sz w:val="22"/>
                <w:szCs w:val="22"/>
              </w:rPr>
              <w:t>mary of</w:t>
            </w:r>
            <w:r w:rsidR="004C1F4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the management letter, advising that </w:t>
            </w:r>
            <w:r w:rsidR="00E13EE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it was a positive reflection on the TPS.  In particular, </w:t>
            </w:r>
            <w:r w:rsidR="004C1F4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Deliotte on behalf of NAO </w:t>
            </w:r>
            <w:r w:rsidR="007D440E">
              <w:rPr>
                <w:rStyle w:val="Emphasis"/>
                <w:rFonts w:cs="Arial"/>
                <w:i w:val="0"/>
                <w:sz w:val="22"/>
                <w:szCs w:val="22"/>
              </w:rPr>
              <w:t xml:space="preserve">found all losses </w:t>
            </w:r>
            <w:r w:rsidR="004C1F4C">
              <w:rPr>
                <w:rStyle w:val="Emphasis"/>
                <w:rFonts w:cs="Arial"/>
                <w:i w:val="0"/>
                <w:sz w:val="22"/>
                <w:szCs w:val="22"/>
              </w:rPr>
              <w:t>adequately disclosed</w:t>
            </w:r>
            <w:r w:rsidR="00E13EE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and </w:t>
            </w:r>
            <w:r w:rsidR="007D440E">
              <w:rPr>
                <w:rStyle w:val="Emphasis"/>
                <w:rFonts w:cs="Arial"/>
                <w:i w:val="0"/>
                <w:sz w:val="22"/>
                <w:szCs w:val="22"/>
              </w:rPr>
              <w:t>all payments of benefits proceedures were accurately reported, resulting in a clean audit.</w:t>
            </w:r>
            <w:r w:rsidR="004C1F4C" w:rsidRPr="007D440E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</w:p>
          <w:p w14:paraId="3AEDC408" w14:textId="7C6DA047" w:rsidR="007D440E" w:rsidRPr="007D440E" w:rsidRDefault="007D440E" w:rsidP="007D440E">
            <w:pPr>
              <w:pStyle w:val="ListParagraph"/>
              <w:numPr>
                <w:ilvl w:val="0"/>
                <w:numId w:val="8"/>
              </w:numPr>
              <w:ind w:left="323" w:hanging="323"/>
              <w:rPr>
                <w:rStyle w:val="Emphasis"/>
                <w:rFonts w:cs="Arial"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>N</w:t>
            </w:r>
            <w:r w:rsidR="00E13EEA">
              <w:rPr>
                <w:rStyle w:val="Emphasis"/>
                <w:rFonts w:cs="Arial"/>
                <w:i w:val="0"/>
                <w:sz w:val="22"/>
                <w:szCs w:val="22"/>
              </w:rPr>
              <w:t>B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  <w:r w:rsidR="00CD5FC9">
              <w:rPr>
                <w:rStyle w:val="Emphasis"/>
                <w:rFonts w:cs="Arial"/>
                <w:i w:val="0"/>
                <w:sz w:val="22"/>
                <w:szCs w:val="22"/>
              </w:rPr>
              <w:t xml:space="preserve">confirmed that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Data Analytics went well and </w:t>
            </w:r>
            <w:r w:rsidR="00CD5FC9">
              <w:rPr>
                <w:rStyle w:val="Emphasis"/>
                <w:rFonts w:cs="Arial"/>
                <w:i w:val="0"/>
                <w:sz w:val="22"/>
                <w:szCs w:val="22"/>
              </w:rPr>
              <w:t xml:space="preserve">had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>enabled the audit to complete a week ahead of schedule.</w:t>
            </w:r>
          </w:p>
          <w:p w14:paraId="4E862B04" w14:textId="32F1B653" w:rsidR="004C1F4C" w:rsidRDefault="00CD5FC9" w:rsidP="00441E56">
            <w:pPr>
              <w:pStyle w:val="ListParagraph"/>
              <w:numPr>
                <w:ilvl w:val="0"/>
                <w:numId w:val="8"/>
              </w:numPr>
              <w:ind w:left="323" w:hanging="323"/>
              <w:rPr>
                <w:rStyle w:val="Emphasis"/>
                <w:rFonts w:cs="Arial"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>NB advised</w:t>
            </w:r>
            <w:r w:rsidR="009D5498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that </w:t>
            </w:r>
            <w:r w:rsidR="007D440E">
              <w:rPr>
                <w:rStyle w:val="Emphasis"/>
                <w:rFonts w:cs="Arial"/>
                <w:i w:val="0"/>
                <w:sz w:val="22"/>
                <w:szCs w:val="22"/>
              </w:rPr>
              <w:t xml:space="preserve">Deloitte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>had provided</w:t>
            </w:r>
            <w:r w:rsidR="007D440E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feedback on the draft accounts</w:t>
            </w:r>
            <w:r w:rsidR="004C1F4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seeking </w:t>
            </w:r>
            <w:r w:rsidR="004C1F4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to </w:t>
            </w:r>
            <w:r w:rsidR="009D5498">
              <w:rPr>
                <w:rStyle w:val="Emphasis"/>
                <w:rFonts w:cs="Arial"/>
                <w:i w:val="0"/>
                <w:sz w:val="22"/>
                <w:szCs w:val="22"/>
              </w:rPr>
              <w:t>simplify</w:t>
            </w:r>
            <w:r w:rsidR="007D440E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explanations</w:t>
            </w:r>
            <w:r w:rsidR="009D5498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and </w:t>
            </w:r>
            <w:r w:rsidR="004C1F4C">
              <w:rPr>
                <w:rStyle w:val="Emphasis"/>
                <w:rFonts w:cs="Arial"/>
                <w:i w:val="0"/>
                <w:sz w:val="22"/>
                <w:szCs w:val="22"/>
              </w:rPr>
              <w:t>ensure the reader could understand</w:t>
            </w:r>
            <w:r w:rsidR="007D440E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the document</w:t>
            </w:r>
            <w:r w:rsidR="004C1F4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clearly. </w:t>
            </w:r>
          </w:p>
          <w:p w14:paraId="0C2D1691" w14:textId="3C8166E1" w:rsidR="004C1F4C" w:rsidRDefault="00CD5FC9" w:rsidP="00441E56">
            <w:pPr>
              <w:pStyle w:val="ListParagraph"/>
              <w:numPr>
                <w:ilvl w:val="0"/>
                <w:numId w:val="8"/>
              </w:numPr>
              <w:ind w:left="323" w:hanging="323"/>
              <w:rPr>
                <w:rStyle w:val="Emphasis"/>
                <w:rFonts w:cs="Arial"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>It was</w:t>
            </w:r>
            <w:r w:rsidR="004C1F4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assured that TP has action plans </w:t>
            </w:r>
            <w:r w:rsidR="004D30A1">
              <w:rPr>
                <w:rStyle w:val="Emphasis"/>
                <w:rFonts w:cs="Arial"/>
                <w:i w:val="0"/>
                <w:sz w:val="22"/>
                <w:szCs w:val="22"/>
              </w:rPr>
              <w:t xml:space="preserve">in place </w:t>
            </w:r>
            <w:r w:rsidR="007D440E">
              <w:rPr>
                <w:rStyle w:val="Emphasis"/>
                <w:rFonts w:cs="Arial"/>
                <w:i w:val="0"/>
                <w:sz w:val="22"/>
                <w:szCs w:val="22"/>
              </w:rPr>
              <w:t xml:space="preserve">for IT controls </w:t>
            </w:r>
            <w:r w:rsidR="004C1F4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which will be formally closed once </w:t>
            </w:r>
            <w:r w:rsidR="00E13EE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the IT environment has moved from </w:t>
            </w:r>
            <w:r w:rsidR="004C1F4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RMH to </w:t>
            </w:r>
            <w:r w:rsidR="004D30A1">
              <w:rPr>
                <w:rStyle w:val="Emphasis"/>
                <w:rFonts w:cs="Arial"/>
                <w:i w:val="0"/>
                <w:sz w:val="22"/>
                <w:szCs w:val="22"/>
              </w:rPr>
              <w:t>Microsoft</w:t>
            </w:r>
            <w:r w:rsidR="007D440E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Azure</w:t>
            </w:r>
            <w:r w:rsidR="004C1F4C">
              <w:rPr>
                <w:rStyle w:val="Emphasis"/>
                <w:rFonts w:cs="Arial"/>
                <w:i w:val="0"/>
                <w:sz w:val="22"/>
                <w:szCs w:val="22"/>
              </w:rPr>
              <w:t xml:space="preserve">. </w:t>
            </w:r>
          </w:p>
          <w:p w14:paraId="4338CD39" w14:textId="7B7BD696" w:rsidR="00A0787E" w:rsidRPr="00CD5FC9" w:rsidRDefault="004C1F4C" w:rsidP="00467E11">
            <w:pPr>
              <w:pStyle w:val="ListParagraph"/>
              <w:numPr>
                <w:ilvl w:val="0"/>
                <w:numId w:val="8"/>
              </w:numPr>
              <w:ind w:left="323" w:hanging="323"/>
              <w:rPr>
                <w:rStyle w:val="Emphasis"/>
                <w:rFonts w:cs="Arial"/>
                <w:i w:val="0"/>
                <w:sz w:val="22"/>
                <w:szCs w:val="22"/>
              </w:rPr>
            </w:pPr>
            <w:r w:rsidRPr="00CD5FC9">
              <w:rPr>
                <w:rStyle w:val="Emphasis"/>
                <w:rFonts w:cs="Arial"/>
                <w:i w:val="0"/>
                <w:sz w:val="22"/>
                <w:szCs w:val="22"/>
              </w:rPr>
              <w:t xml:space="preserve">JG advised that it </w:t>
            </w:r>
            <w:r w:rsidR="004D30A1" w:rsidRPr="00CD5FC9">
              <w:rPr>
                <w:rStyle w:val="Emphasis"/>
                <w:rFonts w:cs="Arial"/>
                <w:i w:val="0"/>
                <w:sz w:val="22"/>
                <w:szCs w:val="22"/>
              </w:rPr>
              <w:t>would</w:t>
            </w:r>
            <w:r w:rsidRPr="00CD5FC9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be helpful to compare this letter </w:t>
            </w:r>
            <w:r w:rsidR="00647735">
              <w:rPr>
                <w:rStyle w:val="Emphasis"/>
                <w:rFonts w:cs="Arial"/>
                <w:i w:val="0"/>
                <w:sz w:val="22"/>
                <w:szCs w:val="22"/>
              </w:rPr>
              <w:t>in</w:t>
            </w:r>
            <w:r w:rsidRPr="00CD5FC9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2019 and view historical issues. </w:t>
            </w:r>
          </w:p>
          <w:p w14:paraId="565BDC87" w14:textId="682DE1B5" w:rsidR="00A0787E" w:rsidRPr="00094088" w:rsidRDefault="00A0787E" w:rsidP="00441E56">
            <w:pPr>
              <w:pStyle w:val="ListParagraph"/>
              <w:ind w:left="323"/>
              <w:rPr>
                <w:rStyle w:val="Emphasis"/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D280AA0" w14:textId="77777777" w:rsidR="001579B1" w:rsidRPr="00795AF3" w:rsidRDefault="001579B1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36B2533" w14:textId="77777777" w:rsidR="007916DD" w:rsidRDefault="007916DD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8F1C621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04FE70D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7228331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A9E364B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323477E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FAFA02B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69A70F6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76038E2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87D9580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87B3E2A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EA702E8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56FC76A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E2C92F5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6D0441B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10E52D4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748E7BF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CE02DFE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07AEA7C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E24C00A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F8EC666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6C8202B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FB459A8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CB72F57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0ECEA93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E528974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BA8C081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E8E4BFB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B322629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211AFF5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0FFE51E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F819144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2B6206D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354F28C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C9F6C64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A3A555E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6F574D8" w14:textId="77777777" w:rsidR="00647735" w:rsidRDefault="00647735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42C5EF7" w14:textId="78C557D4" w:rsidR="00647735" w:rsidRPr="00795AF3" w:rsidRDefault="00647735" w:rsidP="0057637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</w:t>
            </w:r>
            <w:r w:rsidR="0057637E">
              <w:rPr>
                <w:rFonts w:cs="Arial"/>
                <w:sz w:val="20"/>
              </w:rPr>
              <w:t>6</w:t>
            </w:r>
            <w:r>
              <w:rPr>
                <w:rFonts w:cs="Arial"/>
                <w:sz w:val="20"/>
              </w:rPr>
              <w:t>/260918</w:t>
            </w:r>
          </w:p>
        </w:tc>
      </w:tr>
      <w:tr w:rsidR="00AD4D8D" w:rsidRPr="001D4252" w14:paraId="1C5D28CF" w14:textId="77777777" w:rsidTr="004D30A1">
        <w:tc>
          <w:tcPr>
            <w:tcW w:w="1164" w:type="dxa"/>
          </w:tcPr>
          <w:p w14:paraId="27AC8A60" w14:textId="77777777" w:rsidR="00AD4D8D" w:rsidRDefault="00DD43A1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Agenda item 7</w:t>
            </w:r>
          </w:p>
        </w:tc>
        <w:tc>
          <w:tcPr>
            <w:tcW w:w="6379" w:type="dxa"/>
          </w:tcPr>
          <w:p w14:paraId="2145532D" w14:textId="77777777" w:rsidR="00AD4D8D" w:rsidRDefault="009550FA" w:rsidP="00AD4D8D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b/>
                <w:i w:val="0"/>
                <w:sz w:val="22"/>
                <w:szCs w:val="22"/>
              </w:rPr>
              <w:t xml:space="preserve">Annual </w:t>
            </w:r>
            <w:r w:rsidR="00322192">
              <w:rPr>
                <w:rStyle w:val="Emphasis"/>
                <w:rFonts w:cs="Arial"/>
                <w:b/>
                <w:i w:val="0"/>
                <w:sz w:val="22"/>
                <w:szCs w:val="22"/>
              </w:rPr>
              <w:t>Resource</w:t>
            </w:r>
            <w:r>
              <w:rPr>
                <w:rStyle w:val="Emphasis"/>
                <w:rFonts w:cs="Arial"/>
                <w:b/>
                <w:i w:val="0"/>
                <w:sz w:val="22"/>
                <w:szCs w:val="22"/>
              </w:rPr>
              <w:t xml:space="preserve"> Accounts 2019 </w:t>
            </w:r>
          </w:p>
          <w:p w14:paraId="7B94B811" w14:textId="77777777" w:rsidR="009550FA" w:rsidRDefault="009550FA" w:rsidP="00AD4D8D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</w:p>
          <w:p w14:paraId="13665266" w14:textId="7C18A92B" w:rsidR="00DD6E61" w:rsidRPr="0059052B" w:rsidRDefault="00DA316A">
            <w:pPr>
              <w:pStyle w:val="ListParagraph"/>
              <w:numPr>
                <w:ilvl w:val="0"/>
                <w:numId w:val="8"/>
              </w:numPr>
              <w:ind w:left="317" w:hanging="317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 w:rsidRPr="0059052B">
              <w:rPr>
                <w:rStyle w:val="Emphasis"/>
                <w:rFonts w:cs="Arial"/>
                <w:i w:val="0"/>
                <w:sz w:val="22"/>
                <w:szCs w:val="22"/>
              </w:rPr>
              <w:t>NC highlighted that</w:t>
            </w:r>
            <w:r w:rsidR="0059052B" w:rsidRPr="0059052B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one of the aims of</w:t>
            </w:r>
            <w:r w:rsidRPr="0059052B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Deloitte’s </w:t>
            </w:r>
            <w:r w:rsidR="0059052B" w:rsidRPr="0059052B">
              <w:rPr>
                <w:rStyle w:val="Emphasis"/>
                <w:rFonts w:cs="Arial"/>
                <w:i w:val="0"/>
                <w:sz w:val="22"/>
                <w:szCs w:val="22"/>
              </w:rPr>
              <w:t xml:space="preserve">analytics </w:t>
            </w:r>
            <w:r w:rsidRPr="0059052B">
              <w:rPr>
                <w:rStyle w:val="Emphasis"/>
                <w:rFonts w:cs="Arial"/>
                <w:i w:val="0"/>
                <w:sz w:val="22"/>
                <w:szCs w:val="22"/>
              </w:rPr>
              <w:t>approach is</w:t>
            </w:r>
            <w:r w:rsidR="004D30A1" w:rsidRPr="0059052B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to </w:t>
            </w:r>
            <w:r w:rsidR="0059052B" w:rsidRPr="0059052B">
              <w:rPr>
                <w:rStyle w:val="Emphasis"/>
                <w:rFonts w:cs="Arial"/>
                <w:i w:val="0"/>
                <w:sz w:val="22"/>
                <w:szCs w:val="22"/>
              </w:rPr>
              <w:t xml:space="preserve">review </w:t>
            </w:r>
            <w:r w:rsidR="004D30A1" w:rsidRPr="0059052B">
              <w:rPr>
                <w:rStyle w:val="Emphasis"/>
                <w:rFonts w:cs="Arial"/>
                <w:i w:val="0"/>
                <w:sz w:val="22"/>
                <w:szCs w:val="22"/>
              </w:rPr>
              <w:t xml:space="preserve">as many </w:t>
            </w:r>
            <w:r w:rsidR="0059052B" w:rsidRPr="0059052B">
              <w:rPr>
                <w:rStyle w:val="Emphasis"/>
                <w:rFonts w:cs="Arial"/>
                <w:i w:val="0"/>
                <w:sz w:val="22"/>
                <w:szCs w:val="22"/>
              </w:rPr>
              <w:t xml:space="preserve">retirments </w:t>
            </w:r>
            <w:r w:rsidRPr="0059052B">
              <w:rPr>
                <w:rStyle w:val="Emphasis"/>
                <w:rFonts w:cs="Arial"/>
                <w:i w:val="0"/>
                <w:sz w:val="22"/>
                <w:szCs w:val="22"/>
              </w:rPr>
              <w:t>as possible</w:t>
            </w:r>
            <w:r w:rsidR="0059052B" w:rsidRPr="0059052B">
              <w:rPr>
                <w:rStyle w:val="Emphasis"/>
                <w:rFonts w:cs="Arial"/>
                <w:i w:val="0"/>
                <w:sz w:val="22"/>
                <w:szCs w:val="22"/>
              </w:rPr>
              <w:t>.  T</w:t>
            </w:r>
            <w:r w:rsidRPr="0059052B">
              <w:rPr>
                <w:rStyle w:val="Emphasis"/>
                <w:rFonts w:cs="Arial"/>
                <w:i w:val="0"/>
                <w:sz w:val="22"/>
                <w:szCs w:val="22"/>
              </w:rPr>
              <w:t xml:space="preserve">he level </w:t>
            </w:r>
            <w:r w:rsidR="004D30A1" w:rsidRPr="0059052B">
              <w:rPr>
                <w:rStyle w:val="Emphasis"/>
                <w:rFonts w:cs="Arial"/>
                <w:i w:val="0"/>
                <w:sz w:val="22"/>
                <w:szCs w:val="22"/>
              </w:rPr>
              <w:t>of queries</w:t>
            </w:r>
            <w:r w:rsidRPr="0059052B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  <w:r w:rsidR="0059052B" w:rsidRPr="0059052B">
              <w:rPr>
                <w:rStyle w:val="Emphasis"/>
                <w:rFonts w:cs="Arial"/>
                <w:i w:val="0"/>
                <w:sz w:val="22"/>
                <w:szCs w:val="22"/>
              </w:rPr>
              <w:t xml:space="preserve">received from Deloitte on the cases investigated </w:t>
            </w:r>
            <w:r w:rsidRPr="0059052B">
              <w:rPr>
                <w:rStyle w:val="Emphasis"/>
                <w:rFonts w:cs="Arial"/>
                <w:i w:val="0"/>
                <w:sz w:val="22"/>
                <w:szCs w:val="22"/>
              </w:rPr>
              <w:t>was lo</w:t>
            </w:r>
            <w:r w:rsidR="0059052B" w:rsidRPr="0059052B">
              <w:rPr>
                <w:rStyle w:val="Emphasis"/>
                <w:rFonts w:cs="Arial"/>
                <w:i w:val="0"/>
                <w:sz w:val="22"/>
                <w:szCs w:val="22"/>
              </w:rPr>
              <w:t>w</w:t>
            </w:r>
            <w:r w:rsidR="000A3473" w:rsidRPr="0059052B">
              <w:rPr>
                <w:rStyle w:val="Emphasis"/>
                <w:rFonts w:cs="Arial"/>
                <w:i w:val="0"/>
                <w:sz w:val="22"/>
                <w:szCs w:val="22"/>
              </w:rPr>
              <w:t xml:space="preserve">. </w:t>
            </w:r>
          </w:p>
          <w:p w14:paraId="5773CE06" w14:textId="77777777" w:rsidR="000A3473" w:rsidRPr="000A3473" w:rsidRDefault="000A3473" w:rsidP="00AD4D8D">
            <w:pPr>
              <w:pStyle w:val="ListParagraph"/>
              <w:numPr>
                <w:ilvl w:val="0"/>
                <w:numId w:val="8"/>
              </w:numPr>
              <w:ind w:left="317" w:hanging="317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NC advised that TP and the department are happy that this went well. </w:t>
            </w:r>
          </w:p>
          <w:p w14:paraId="10B39426" w14:textId="1BFD8EEB" w:rsidR="000A3473" w:rsidRPr="000A3473" w:rsidRDefault="000A3473" w:rsidP="00AD4D8D">
            <w:pPr>
              <w:pStyle w:val="ListParagraph"/>
              <w:numPr>
                <w:ilvl w:val="0"/>
                <w:numId w:val="8"/>
              </w:numPr>
              <w:ind w:left="317" w:hanging="317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NC confirmed that </w:t>
            </w:r>
            <w:r w:rsidR="0059052B">
              <w:rPr>
                <w:rStyle w:val="Emphasis"/>
                <w:rFonts w:cs="Arial"/>
                <w:i w:val="0"/>
                <w:sz w:val="22"/>
                <w:szCs w:val="22"/>
              </w:rPr>
              <w:t xml:space="preserve">improvements to phase 1 of the analytics approach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was </w:t>
            </w:r>
            <w:r w:rsidR="0059052B">
              <w:rPr>
                <w:rStyle w:val="Emphasis"/>
                <w:rFonts w:cs="Arial"/>
                <w:i w:val="0"/>
                <w:sz w:val="22"/>
                <w:szCs w:val="22"/>
              </w:rPr>
              <w:t xml:space="preserve">looking possible and that this might significantly increase the number of cases that could be sent to Deloitte for analysis. However,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>phase 2</w:t>
            </w:r>
            <w:r w:rsidR="0059052B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to include the more complex casework would require significant time and resource to develop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. </w:t>
            </w:r>
          </w:p>
          <w:p w14:paraId="544732B8" w14:textId="77777777" w:rsidR="00AD4D8D" w:rsidRDefault="000A3473" w:rsidP="000A3473">
            <w:pPr>
              <w:pStyle w:val="ListParagraph"/>
              <w:numPr>
                <w:ilvl w:val="0"/>
                <w:numId w:val="8"/>
              </w:numPr>
              <w:ind w:left="317" w:hanging="317"/>
              <w:rPr>
                <w:rStyle w:val="Emphasis"/>
                <w:rFonts w:cs="Arial"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>DB queried why Deloitte tests large amounts of data</w:t>
            </w:r>
            <w:r w:rsidR="007D440E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and NB highlighted that this approach will become more common as auditing practice.</w:t>
            </w:r>
          </w:p>
          <w:p w14:paraId="068E3CA2" w14:textId="77777777" w:rsidR="000A3473" w:rsidRPr="00F65F52" w:rsidRDefault="000A3473" w:rsidP="000A3473">
            <w:pPr>
              <w:pStyle w:val="ListParagraph"/>
              <w:ind w:left="317"/>
              <w:rPr>
                <w:rStyle w:val="Emphasis"/>
                <w:rFonts w:cs="Arial"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19B8C38F" w14:textId="77777777" w:rsidR="00AD4D8D" w:rsidRDefault="00AD4D8D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032FAF9" w14:textId="77777777" w:rsidR="000A3473" w:rsidRDefault="000A3473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ED2FAE0" w14:textId="77777777" w:rsidR="000A3473" w:rsidRDefault="000A3473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EEF23BE" w14:textId="77777777" w:rsidR="000A3473" w:rsidRDefault="000A3473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73AE49F" w14:textId="77777777" w:rsidR="000A3473" w:rsidRDefault="000A3473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961953C" w14:textId="77777777" w:rsidR="000A3473" w:rsidRDefault="000A3473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FA6E0BB" w14:textId="77777777" w:rsidR="000A3473" w:rsidRDefault="000A3473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0086024" w14:textId="77777777" w:rsidR="000A3473" w:rsidRPr="00795AF3" w:rsidRDefault="000A3473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  <w:tr w:rsidR="00AD4D8D" w:rsidRPr="001D4252" w14:paraId="3CFACBE3" w14:textId="77777777" w:rsidTr="004D30A1">
        <w:tc>
          <w:tcPr>
            <w:tcW w:w="1164" w:type="dxa"/>
          </w:tcPr>
          <w:p w14:paraId="3CF35DF9" w14:textId="77777777" w:rsidR="00AD4D8D" w:rsidRPr="001D4252" w:rsidRDefault="00DD43A1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Agenda Item 8</w:t>
            </w:r>
            <w:r w:rsidR="00AD4D8D" w:rsidRPr="001D4252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</w:tcPr>
          <w:p w14:paraId="5F68EBF4" w14:textId="77777777" w:rsidR="00AD4D8D" w:rsidRDefault="009550FA" w:rsidP="00AD4D8D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b/>
                <w:i w:val="0"/>
                <w:sz w:val="22"/>
                <w:szCs w:val="22"/>
              </w:rPr>
              <w:t xml:space="preserve">Internal Audit Plan </w:t>
            </w:r>
            <w:r w:rsidR="00AD4D8D" w:rsidRPr="00F65F52">
              <w:rPr>
                <w:rStyle w:val="Emphasis"/>
                <w:rFonts w:cs="Arial"/>
                <w:b/>
                <w:i w:val="0"/>
                <w:sz w:val="22"/>
                <w:szCs w:val="22"/>
              </w:rPr>
              <w:t xml:space="preserve">  </w:t>
            </w:r>
          </w:p>
          <w:p w14:paraId="5730C8F4" w14:textId="77777777" w:rsidR="00AD4D8D" w:rsidRPr="00F65F52" w:rsidRDefault="00AD4D8D" w:rsidP="00AD4D8D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</w:p>
          <w:p w14:paraId="059A2644" w14:textId="0F2C3469" w:rsidR="004D30A1" w:rsidRDefault="000A3473" w:rsidP="009550FA">
            <w:pPr>
              <w:pStyle w:val="ListParagraph"/>
              <w:numPr>
                <w:ilvl w:val="0"/>
                <w:numId w:val="8"/>
              </w:numPr>
              <w:ind w:left="317" w:hanging="317"/>
              <w:rPr>
                <w:rStyle w:val="Emphasis"/>
                <w:rFonts w:cs="Arial"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>NB advised that she will b</w:t>
            </w:r>
            <w:r w:rsidR="004D30A1">
              <w:rPr>
                <w:rStyle w:val="Emphasis"/>
                <w:rFonts w:cs="Arial"/>
                <w:i w:val="0"/>
                <w:sz w:val="22"/>
                <w:szCs w:val="22"/>
              </w:rPr>
              <w:t xml:space="preserve">e working </w:t>
            </w:r>
            <w:r w:rsidR="006D0E99">
              <w:rPr>
                <w:rStyle w:val="Emphasis"/>
                <w:rFonts w:cs="Arial"/>
                <w:i w:val="0"/>
                <w:sz w:val="22"/>
                <w:szCs w:val="22"/>
              </w:rPr>
              <w:t xml:space="preserve">with </w:t>
            </w:r>
            <w:r w:rsidR="004D30A1">
              <w:rPr>
                <w:rStyle w:val="Emphasis"/>
                <w:rFonts w:cs="Arial"/>
                <w:i w:val="0"/>
                <w:sz w:val="22"/>
                <w:szCs w:val="22"/>
              </w:rPr>
              <w:t xml:space="preserve">TP to map out a plan </w:t>
            </w:r>
            <w:r w:rsidR="0057637E">
              <w:rPr>
                <w:rStyle w:val="Emphasis"/>
                <w:rFonts w:cs="Arial"/>
                <w:i w:val="0"/>
                <w:sz w:val="22"/>
                <w:szCs w:val="22"/>
              </w:rPr>
              <w:t>of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the internal </w:t>
            </w:r>
            <w:r w:rsidR="004D30A1">
              <w:rPr>
                <w:rStyle w:val="Emphasis"/>
                <w:rFonts w:cs="Arial"/>
                <w:i w:val="0"/>
                <w:sz w:val="22"/>
                <w:szCs w:val="22"/>
              </w:rPr>
              <w:t>a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>udit plan and that this will be shared with the sub</w:t>
            </w:r>
            <w:r w:rsidR="004D30A1">
              <w:rPr>
                <w:rStyle w:val="Emphasis"/>
                <w:rFonts w:cs="Arial"/>
                <w:i w:val="0"/>
                <w:sz w:val="22"/>
                <w:szCs w:val="22"/>
              </w:rPr>
              <w:t>-committee</w:t>
            </w:r>
            <w:r w:rsidR="006D0E99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for comments, before finalised</w:t>
            </w:r>
            <w:r w:rsidR="004D30A1">
              <w:rPr>
                <w:rStyle w:val="Emphasis"/>
                <w:rFonts w:cs="Arial"/>
                <w:i w:val="0"/>
                <w:sz w:val="22"/>
                <w:szCs w:val="22"/>
              </w:rPr>
              <w:t xml:space="preserve">. </w:t>
            </w:r>
          </w:p>
          <w:p w14:paraId="7696D505" w14:textId="77777777" w:rsidR="00E331FF" w:rsidRDefault="004D30A1" w:rsidP="00647735">
            <w:pPr>
              <w:pStyle w:val="ListParagraph"/>
              <w:numPr>
                <w:ilvl w:val="0"/>
                <w:numId w:val="8"/>
              </w:numPr>
              <w:ind w:left="317" w:hanging="317"/>
              <w:rPr>
                <w:rStyle w:val="Emphasis"/>
                <w:rFonts w:cs="Arial"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It was advised that the final draft will be submitted in December and that sub-committee members will </w:t>
            </w:r>
            <w:r w:rsidR="00A546C9">
              <w:rPr>
                <w:rStyle w:val="Emphasis"/>
                <w:rFonts w:cs="Arial"/>
                <w:i w:val="0"/>
                <w:sz w:val="22"/>
                <w:szCs w:val="22"/>
              </w:rPr>
              <w:t xml:space="preserve">therefore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>need to review this outside of meetings</w:t>
            </w:r>
            <w:r w:rsidR="00A546C9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during the Autumn period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. </w:t>
            </w:r>
            <w:r w:rsidR="000A3473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</w:t>
            </w:r>
          </w:p>
          <w:p w14:paraId="64D41195" w14:textId="5C1A435B" w:rsidR="00647735" w:rsidRPr="00F65F52" w:rsidRDefault="00647735" w:rsidP="00647735">
            <w:pPr>
              <w:pStyle w:val="ListParagraph"/>
              <w:ind w:left="317"/>
              <w:rPr>
                <w:rStyle w:val="Emphasis"/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6B36589" w14:textId="77777777" w:rsidR="00AD4D8D" w:rsidRDefault="00AD4D8D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B4AFB89" w14:textId="77777777" w:rsidR="000A3473" w:rsidRDefault="000A3473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6A0642E" w14:textId="77777777" w:rsidR="000A3473" w:rsidRDefault="000A3473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22FEF08" w14:textId="77777777" w:rsidR="00E31339" w:rsidRDefault="00E31339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3F1FA32" w14:textId="77777777" w:rsidR="00E31339" w:rsidRDefault="00E31339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5182668" w14:textId="77777777" w:rsidR="00E31339" w:rsidRDefault="00E31339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A86403E" w14:textId="77777777" w:rsidR="00E31339" w:rsidRDefault="00E31339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B5B69E8" w14:textId="44C4279F" w:rsidR="000A3473" w:rsidRPr="00795AF3" w:rsidRDefault="000A3473" w:rsidP="0057637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</w:t>
            </w:r>
            <w:r w:rsidR="0057637E">
              <w:rPr>
                <w:rFonts w:cs="Arial"/>
                <w:sz w:val="20"/>
              </w:rPr>
              <w:t>7</w:t>
            </w:r>
            <w:r>
              <w:rPr>
                <w:rFonts w:cs="Arial"/>
                <w:sz w:val="20"/>
              </w:rPr>
              <w:t>/260918</w:t>
            </w:r>
          </w:p>
        </w:tc>
      </w:tr>
      <w:tr w:rsidR="00AD4D8D" w:rsidRPr="001D4252" w14:paraId="27D037AF" w14:textId="77777777" w:rsidTr="004D30A1">
        <w:tc>
          <w:tcPr>
            <w:tcW w:w="1164" w:type="dxa"/>
          </w:tcPr>
          <w:p w14:paraId="7C6C9ECD" w14:textId="77777777" w:rsidR="00AD4D8D" w:rsidRDefault="00DD43A1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Agenda Item 9</w:t>
            </w:r>
          </w:p>
        </w:tc>
        <w:tc>
          <w:tcPr>
            <w:tcW w:w="6379" w:type="dxa"/>
          </w:tcPr>
          <w:p w14:paraId="6E15086B" w14:textId="77777777" w:rsidR="00AD4D8D" w:rsidRDefault="009550FA" w:rsidP="00AD4D8D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b/>
                <w:i w:val="0"/>
                <w:sz w:val="22"/>
                <w:szCs w:val="22"/>
              </w:rPr>
              <w:t xml:space="preserve">Agree Key Issues from the Meeting / Report to highlight at the next TPSPB meeting </w:t>
            </w:r>
            <w:r w:rsidR="00AD4D8D">
              <w:rPr>
                <w:rStyle w:val="Emphasis"/>
                <w:rFonts w:cs="Arial"/>
                <w:b/>
                <w:i w:val="0"/>
                <w:sz w:val="22"/>
                <w:szCs w:val="22"/>
              </w:rPr>
              <w:t xml:space="preserve"> </w:t>
            </w:r>
          </w:p>
          <w:p w14:paraId="37F0EB14" w14:textId="77777777" w:rsidR="00AD4D8D" w:rsidRDefault="00AD4D8D" w:rsidP="00AD4D8D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</w:p>
          <w:p w14:paraId="307741FF" w14:textId="77777777" w:rsidR="006B4224" w:rsidRPr="004D30A1" w:rsidRDefault="00C64455">
            <w:pPr>
              <w:pStyle w:val="ListParagraph"/>
              <w:numPr>
                <w:ilvl w:val="0"/>
                <w:numId w:val="8"/>
              </w:numPr>
              <w:ind w:left="317"/>
              <w:rPr>
                <w:rStyle w:val="Emphasis"/>
                <w:rFonts w:cs="Arial"/>
                <w:i w:val="0"/>
                <w:sz w:val="22"/>
                <w:szCs w:val="22"/>
              </w:rPr>
            </w:pPr>
            <w:r w:rsidRPr="00AD4D8D">
              <w:rPr>
                <w:rStyle w:val="Emphasis"/>
                <w:rFonts w:cs="Arial"/>
                <w:b/>
                <w:i w:val="0"/>
                <w:sz w:val="22"/>
                <w:szCs w:val="22"/>
              </w:rPr>
              <w:t xml:space="preserve"> </w:t>
            </w:r>
            <w:r w:rsidR="004D30A1">
              <w:rPr>
                <w:rStyle w:val="Emphasis"/>
                <w:rFonts w:cs="Arial"/>
                <w:i w:val="0"/>
                <w:sz w:val="22"/>
                <w:szCs w:val="22"/>
              </w:rPr>
              <w:t xml:space="preserve">It was agreed </w:t>
            </w:r>
            <w:r w:rsidR="004D30A1" w:rsidRPr="004D30A1">
              <w:rPr>
                <w:rStyle w:val="Emphasis"/>
                <w:rFonts w:cs="Arial"/>
                <w:i w:val="0"/>
                <w:sz w:val="22"/>
                <w:szCs w:val="22"/>
              </w:rPr>
              <w:t xml:space="preserve">that key issues to raise to the TPSPB are: </w:t>
            </w:r>
          </w:p>
          <w:p w14:paraId="6A2BA468" w14:textId="3157EE99" w:rsidR="004D30A1" w:rsidRPr="004D30A1" w:rsidRDefault="004D30A1" w:rsidP="004D30A1">
            <w:pPr>
              <w:pStyle w:val="ListParagraph"/>
              <w:numPr>
                <w:ilvl w:val="0"/>
                <w:numId w:val="17"/>
              </w:numPr>
              <w:tabs>
                <w:tab w:val="left" w:pos="1289"/>
              </w:tabs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 w:rsidRPr="004D30A1">
              <w:rPr>
                <w:rStyle w:val="Emphasis"/>
                <w:rFonts w:cs="Arial"/>
                <w:i w:val="0"/>
                <w:sz w:val="22"/>
                <w:szCs w:val="22"/>
              </w:rPr>
              <w:t>Deep Div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e </w:t>
            </w:r>
          </w:p>
          <w:p w14:paraId="274F22A4" w14:textId="4885616A" w:rsidR="004D30A1" w:rsidRPr="004D30A1" w:rsidRDefault="004D30A1" w:rsidP="004D30A1">
            <w:pPr>
              <w:pStyle w:val="ListParagraph"/>
              <w:numPr>
                <w:ilvl w:val="0"/>
                <w:numId w:val="17"/>
              </w:numPr>
              <w:tabs>
                <w:tab w:val="left" w:pos="1289"/>
              </w:tabs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Valuation </w:t>
            </w:r>
            <w:r w:rsidR="00DC02A2">
              <w:rPr>
                <w:rStyle w:val="Emphasis"/>
                <w:rFonts w:cs="Arial"/>
                <w:i w:val="0"/>
                <w:sz w:val="22"/>
                <w:szCs w:val="22"/>
              </w:rPr>
              <w:t>(risks and resources)</w:t>
            </w:r>
          </w:p>
          <w:p w14:paraId="21F0C6E5" w14:textId="77777777" w:rsidR="004D30A1" w:rsidRPr="004D30A1" w:rsidRDefault="004D30A1" w:rsidP="004D30A1">
            <w:pPr>
              <w:pStyle w:val="ListParagraph"/>
              <w:numPr>
                <w:ilvl w:val="0"/>
                <w:numId w:val="17"/>
              </w:numPr>
              <w:tabs>
                <w:tab w:val="left" w:pos="1289"/>
              </w:tabs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MCR </w:t>
            </w:r>
          </w:p>
          <w:p w14:paraId="2D0B0673" w14:textId="77777777" w:rsidR="004D30A1" w:rsidRPr="004D30A1" w:rsidRDefault="004D30A1" w:rsidP="004D30A1">
            <w:pPr>
              <w:pStyle w:val="ListParagraph"/>
              <w:tabs>
                <w:tab w:val="left" w:pos="1289"/>
              </w:tabs>
              <w:ind w:left="1650"/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B0339A7" w14:textId="77777777" w:rsidR="00AD4D8D" w:rsidRPr="00795AF3" w:rsidRDefault="00AD4D8D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5C78745" w14:textId="77777777" w:rsidR="004A5A2B" w:rsidRPr="004D30A1" w:rsidRDefault="004A5A2B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29D4679" w14:textId="77777777" w:rsidR="004A5A2B" w:rsidRPr="004D30A1" w:rsidRDefault="004A5A2B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6A552B8" w14:textId="2A995276" w:rsidR="004A5A2B" w:rsidRPr="004D30A1" w:rsidRDefault="004D30A1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 w:rsidRPr="004D30A1">
              <w:rPr>
                <w:rFonts w:cs="Arial"/>
                <w:sz w:val="20"/>
              </w:rPr>
              <w:t>MR</w:t>
            </w:r>
            <w:r w:rsidR="00DC02A2">
              <w:rPr>
                <w:rFonts w:cs="Arial"/>
                <w:sz w:val="20"/>
              </w:rPr>
              <w:t>8</w:t>
            </w:r>
            <w:r w:rsidRPr="004D30A1">
              <w:rPr>
                <w:rFonts w:cs="Arial"/>
                <w:sz w:val="20"/>
              </w:rPr>
              <w:t>/260918</w:t>
            </w:r>
          </w:p>
          <w:p w14:paraId="1F63309E" w14:textId="77777777" w:rsidR="00A12CFF" w:rsidRPr="004D30A1" w:rsidRDefault="00A12CFF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B4CD3B9" w14:textId="77777777" w:rsidR="004A5A2B" w:rsidRPr="00795AF3" w:rsidRDefault="004A5A2B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D632E23" w14:textId="77777777" w:rsidR="004A5A2B" w:rsidRPr="00795AF3" w:rsidRDefault="004A5A2B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0EDA498" w14:textId="77777777" w:rsidR="004A5A2B" w:rsidRPr="00795AF3" w:rsidRDefault="004A5A2B" w:rsidP="00A12CF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  <w:tr w:rsidR="00AD4D8D" w:rsidRPr="001D4252" w14:paraId="3CAB35C8" w14:textId="77777777" w:rsidTr="004D30A1">
        <w:tc>
          <w:tcPr>
            <w:tcW w:w="1164" w:type="dxa"/>
          </w:tcPr>
          <w:p w14:paraId="79F4ED97" w14:textId="77777777" w:rsidR="00AD4D8D" w:rsidRPr="001D4252" w:rsidRDefault="00DD43A1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Agenda Item 10</w:t>
            </w:r>
          </w:p>
          <w:p w14:paraId="444BC2D3" w14:textId="77777777" w:rsidR="00AD4D8D" w:rsidRPr="001D4252" w:rsidRDefault="00AD4D8D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297DF3FE" w14:textId="77777777" w:rsidR="004268A5" w:rsidRDefault="009550FA" w:rsidP="009550FA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 w:rsidRPr="009550FA">
              <w:rPr>
                <w:rStyle w:val="Emphasis"/>
                <w:rFonts w:cs="Arial"/>
                <w:b/>
                <w:i w:val="0"/>
                <w:sz w:val="22"/>
                <w:szCs w:val="22"/>
              </w:rPr>
              <w:t xml:space="preserve">AOB </w:t>
            </w:r>
          </w:p>
          <w:p w14:paraId="60061ADB" w14:textId="77777777" w:rsidR="009550FA" w:rsidRDefault="009550FA" w:rsidP="009550FA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</w:p>
          <w:p w14:paraId="65413D9D" w14:textId="77777777" w:rsidR="009550FA" w:rsidRDefault="009550FA" w:rsidP="009550FA">
            <w:pPr>
              <w:pStyle w:val="ListParagraph"/>
              <w:numPr>
                <w:ilvl w:val="0"/>
                <w:numId w:val="15"/>
              </w:numPr>
              <w:ind w:left="317" w:hanging="317"/>
              <w:rPr>
                <w:rStyle w:val="Emphasis"/>
                <w:rFonts w:cs="Arial"/>
                <w:i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No further comments </w:t>
            </w:r>
          </w:p>
          <w:p w14:paraId="12E5AC1F" w14:textId="77777777" w:rsidR="009550FA" w:rsidRPr="009550FA" w:rsidRDefault="009550FA" w:rsidP="009550FA">
            <w:pPr>
              <w:pStyle w:val="ListParagraph"/>
              <w:ind w:left="317"/>
              <w:rPr>
                <w:rStyle w:val="Emphasis"/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008CCF3" w14:textId="77777777" w:rsidR="004268A5" w:rsidRPr="00FD012E" w:rsidRDefault="004268A5" w:rsidP="00BB7AB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  <w:tr w:rsidR="00AD4D8D" w:rsidRPr="001D4252" w14:paraId="0B4C4EA5" w14:textId="77777777" w:rsidTr="004D30A1">
        <w:tc>
          <w:tcPr>
            <w:tcW w:w="1164" w:type="dxa"/>
          </w:tcPr>
          <w:p w14:paraId="0F3B19A5" w14:textId="77777777" w:rsidR="00AD4D8D" w:rsidRPr="001D4252" w:rsidRDefault="00AD4D8D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1D4252">
              <w:rPr>
                <w:rFonts w:cs="Arial"/>
                <w:sz w:val="22"/>
                <w:szCs w:val="22"/>
              </w:rPr>
              <w:t>Next meeting</w:t>
            </w:r>
          </w:p>
        </w:tc>
        <w:tc>
          <w:tcPr>
            <w:tcW w:w="6379" w:type="dxa"/>
          </w:tcPr>
          <w:p w14:paraId="69537634" w14:textId="77777777" w:rsidR="00AD4D8D" w:rsidRPr="00F65F52" w:rsidRDefault="00DD43A1" w:rsidP="00DD43A1">
            <w:pPr>
              <w:pStyle w:val="DeptBullets"/>
              <w:numPr>
                <w:ilvl w:val="0"/>
                <w:numId w:val="0"/>
              </w:numPr>
              <w:spacing w:after="0"/>
              <w:ind w:left="323" w:hanging="28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 December</w:t>
            </w:r>
            <w:r w:rsidR="00AD4D8D" w:rsidRPr="00F65F52">
              <w:rPr>
                <w:rFonts w:cs="Arial"/>
                <w:sz w:val="22"/>
                <w:szCs w:val="22"/>
              </w:rPr>
              <w:t xml:space="preserve"> 2018, TP, Lingfield Point, Darlington </w:t>
            </w:r>
          </w:p>
        </w:tc>
        <w:tc>
          <w:tcPr>
            <w:tcW w:w="1530" w:type="dxa"/>
          </w:tcPr>
          <w:p w14:paraId="41EA89A0" w14:textId="77777777" w:rsidR="00AD4D8D" w:rsidRPr="001D4252" w:rsidRDefault="00AD4D8D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5DAE85B5" w14:textId="77777777" w:rsidR="00AD4D8D" w:rsidRPr="001D4252" w:rsidRDefault="00AD4D8D" w:rsidP="00AD4D8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</w:tbl>
    <w:p w14:paraId="0971B3E9" w14:textId="77777777" w:rsidR="00DD43A1" w:rsidRDefault="00DD43A1" w:rsidP="00403998">
      <w:pPr>
        <w:pStyle w:val="DeptBullets"/>
        <w:numPr>
          <w:ilvl w:val="0"/>
          <w:numId w:val="0"/>
        </w:numPr>
        <w:rPr>
          <w:rFonts w:cs="Arial"/>
          <w:sz w:val="22"/>
          <w:szCs w:val="22"/>
        </w:rPr>
      </w:pPr>
    </w:p>
    <w:p w14:paraId="6A0FAC50" w14:textId="7B2A7F5F" w:rsidR="00380648" w:rsidRDefault="00403998" w:rsidP="00403998">
      <w:pPr>
        <w:pStyle w:val="DeptBullets"/>
        <w:numPr>
          <w:ilvl w:val="0"/>
          <w:numId w:val="0"/>
        </w:numPr>
        <w:rPr>
          <w:rFonts w:cs="Arial"/>
          <w:sz w:val="22"/>
          <w:szCs w:val="22"/>
        </w:rPr>
      </w:pPr>
      <w:r w:rsidRPr="001D4252">
        <w:rPr>
          <w:rFonts w:cs="Arial"/>
          <w:sz w:val="22"/>
          <w:szCs w:val="22"/>
        </w:rPr>
        <w:t>Minutes agreed</w:t>
      </w:r>
      <w:r w:rsidR="00380648" w:rsidRPr="001D4252">
        <w:rPr>
          <w:rFonts w:cs="Arial"/>
          <w:sz w:val="22"/>
          <w:szCs w:val="22"/>
        </w:rPr>
        <w:t xml:space="preserve"> (Chair)</w:t>
      </w:r>
      <w:r w:rsidRPr="001D4252">
        <w:rPr>
          <w:rFonts w:cs="Arial"/>
          <w:sz w:val="22"/>
          <w:szCs w:val="22"/>
        </w:rPr>
        <w:t>:</w:t>
      </w:r>
      <w:r w:rsidR="0059677C" w:rsidRPr="001D4252">
        <w:rPr>
          <w:rFonts w:cs="Arial"/>
          <w:sz w:val="22"/>
          <w:szCs w:val="22"/>
        </w:rPr>
        <w:t xml:space="preserve">    </w:t>
      </w:r>
      <w:r w:rsidR="00A0787E">
        <w:rPr>
          <w:rFonts w:cs="Arial"/>
          <w:sz w:val="22"/>
          <w:szCs w:val="22"/>
        </w:rPr>
        <w:t xml:space="preserve"> </w:t>
      </w:r>
      <w:r w:rsidR="00793291">
        <w:rPr>
          <w:rFonts w:cs="Arial"/>
          <w:noProof/>
          <w:sz w:val="22"/>
          <w:szCs w:val="22"/>
          <w:lang w:eastAsia="en-GB"/>
        </w:rPr>
        <w:drawing>
          <wp:inline distT="0" distB="0" distL="0" distR="0" wp14:anchorId="73B566F9" wp14:editId="113C5B24">
            <wp:extent cx="1452477" cy="41107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477" cy="41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787E">
        <w:rPr>
          <w:rFonts w:cs="Arial"/>
          <w:sz w:val="22"/>
          <w:szCs w:val="22"/>
        </w:rPr>
        <w:t xml:space="preserve">      </w:t>
      </w:r>
      <w:r w:rsidR="00BB7ABE">
        <w:rPr>
          <w:rFonts w:cs="Arial"/>
          <w:sz w:val="22"/>
          <w:szCs w:val="22"/>
        </w:rPr>
        <w:t xml:space="preserve">          </w:t>
      </w:r>
      <w:r w:rsidR="005B76B0" w:rsidRPr="001D4252">
        <w:rPr>
          <w:rFonts w:cs="Arial"/>
          <w:sz w:val="22"/>
          <w:szCs w:val="22"/>
        </w:rPr>
        <w:t>D</w:t>
      </w:r>
      <w:r w:rsidR="00006C8A" w:rsidRPr="001D4252">
        <w:rPr>
          <w:rFonts w:cs="Arial"/>
          <w:sz w:val="22"/>
          <w:szCs w:val="22"/>
        </w:rPr>
        <w:t>ate</w:t>
      </w:r>
      <w:r w:rsidR="006700D5" w:rsidRPr="001D4252">
        <w:rPr>
          <w:rFonts w:cs="Arial"/>
          <w:sz w:val="22"/>
          <w:szCs w:val="22"/>
        </w:rPr>
        <w:t xml:space="preserve">: </w:t>
      </w:r>
      <w:r w:rsidR="00A0787E">
        <w:rPr>
          <w:rFonts w:cs="Arial"/>
          <w:sz w:val="22"/>
          <w:szCs w:val="22"/>
        </w:rPr>
        <w:t>03</w:t>
      </w:r>
      <w:r w:rsidR="00DD43A1">
        <w:rPr>
          <w:rFonts w:cs="Arial"/>
          <w:sz w:val="22"/>
          <w:szCs w:val="22"/>
        </w:rPr>
        <w:t>/10</w:t>
      </w:r>
      <w:r w:rsidR="008C3467">
        <w:rPr>
          <w:rFonts w:cs="Arial"/>
          <w:sz w:val="22"/>
          <w:szCs w:val="22"/>
        </w:rPr>
        <w:t>/2018</w:t>
      </w:r>
    </w:p>
    <w:p w14:paraId="76525B84" w14:textId="411F489A" w:rsidR="009550DF" w:rsidRDefault="009550DF" w:rsidP="00864D85">
      <w:pPr>
        <w:pStyle w:val="DeptBullets"/>
        <w:numPr>
          <w:ilvl w:val="0"/>
          <w:numId w:val="0"/>
        </w:num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Confirmed by circulation to sub-committee members on: </w:t>
      </w:r>
      <w:r w:rsidR="00784E8E">
        <w:rPr>
          <w:rFonts w:cs="Arial"/>
          <w:sz w:val="22"/>
          <w:szCs w:val="22"/>
        </w:rPr>
        <w:t>08</w:t>
      </w:r>
      <w:r w:rsidR="00DD43A1">
        <w:rPr>
          <w:rFonts w:cs="Arial"/>
          <w:sz w:val="22"/>
          <w:szCs w:val="22"/>
        </w:rPr>
        <w:t>/10</w:t>
      </w:r>
      <w:r w:rsidR="00BB7ABE">
        <w:rPr>
          <w:rFonts w:cs="Arial"/>
          <w:sz w:val="22"/>
          <w:szCs w:val="22"/>
        </w:rPr>
        <w:t>/2018</w:t>
      </w:r>
    </w:p>
    <w:p w14:paraId="6197AFD7" w14:textId="77777777" w:rsidR="00A0787E" w:rsidRDefault="00A0787E" w:rsidP="00403998">
      <w:pPr>
        <w:pStyle w:val="DeptBullets"/>
        <w:numPr>
          <w:ilvl w:val="0"/>
          <w:numId w:val="0"/>
        </w:numPr>
        <w:rPr>
          <w:rFonts w:cs="Arial"/>
          <w:sz w:val="22"/>
          <w:szCs w:val="22"/>
        </w:rPr>
      </w:pPr>
    </w:p>
    <w:p w14:paraId="508DCAB7" w14:textId="01598032" w:rsidR="00864D85" w:rsidRPr="001D4252" w:rsidRDefault="00322192" w:rsidP="00403998">
      <w:pPr>
        <w:pStyle w:val="DeptBullets"/>
        <w:numPr>
          <w:ilvl w:val="0"/>
          <w:numId w:val="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Ratified</w:t>
      </w:r>
      <w:r w:rsidR="00864D85">
        <w:rPr>
          <w:rFonts w:cs="Arial"/>
          <w:sz w:val="22"/>
          <w:szCs w:val="22"/>
        </w:rPr>
        <w:t xml:space="preserve"> at sub-committee meeting </w:t>
      </w:r>
      <w:r w:rsidR="00DD43A1">
        <w:rPr>
          <w:rFonts w:cs="Arial"/>
          <w:sz w:val="22"/>
          <w:szCs w:val="22"/>
        </w:rPr>
        <w:t>12 December</w:t>
      </w:r>
      <w:r w:rsidR="00864D85">
        <w:rPr>
          <w:rFonts w:cs="Arial"/>
          <w:sz w:val="22"/>
          <w:szCs w:val="22"/>
        </w:rPr>
        <w:t xml:space="preserve"> 2018.</w:t>
      </w:r>
    </w:p>
    <w:sectPr w:rsidR="00864D85" w:rsidRPr="001D4252" w:rsidSect="00864D85">
      <w:footerReference w:type="default" r:id="rId13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DB0046" w16cid:durableId="1F5F49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016A3" w14:textId="77777777" w:rsidR="00660897" w:rsidRDefault="00660897">
      <w:r>
        <w:separator/>
      </w:r>
    </w:p>
  </w:endnote>
  <w:endnote w:type="continuationSeparator" w:id="0">
    <w:p w14:paraId="1D58603B" w14:textId="77777777" w:rsidR="00660897" w:rsidRDefault="0066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92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87B0F" w14:textId="1EA9AB8F" w:rsidR="005270F0" w:rsidRDefault="005270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0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D5AD51" w14:textId="77777777" w:rsidR="005270F0" w:rsidRDefault="00527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29265" w14:textId="77777777" w:rsidR="00660897" w:rsidRDefault="00660897">
      <w:r>
        <w:separator/>
      </w:r>
    </w:p>
  </w:footnote>
  <w:footnote w:type="continuationSeparator" w:id="0">
    <w:p w14:paraId="4BAB260C" w14:textId="77777777" w:rsidR="00660897" w:rsidRDefault="00660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4C3"/>
    <w:multiLevelType w:val="hybridMultilevel"/>
    <w:tmpl w:val="5A60B068"/>
    <w:lvl w:ilvl="0" w:tplc="E40A161A">
      <w:numFmt w:val="bullet"/>
      <w:lvlText w:val="-"/>
      <w:lvlJc w:val="left"/>
      <w:pPr>
        <w:ind w:left="377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" w15:restartNumberingAfterBreak="0">
    <w:nsid w:val="08CC3DAA"/>
    <w:multiLevelType w:val="hybridMultilevel"/>
    <w:tmpl w:val="FD4E4F32"/>
    <w:lvl w:ilvl="0" w:tplc="A0B84E16">
      <w:numFmt w:val="bullet"/>
      <w:lvlText w:val="-"/>
      <w:lvlJc w:val="left"/>
      <w:pPr>
        <w:ind w:left="165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09EC4623"/>
    <w:multiLevelType w:val="hybridMultilevel"/>
    <w:tmpl w:val="57ACC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310D"/>
    <w:multiLevelType w:val="hybridMultilevel"/>
    <w:tmpl w:val="13564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72A50"/>
    <w:multiLevelType w:val="hybridMultilevel"/>
    <w:tmpl w:val="D51073C2"/>
    <w:lvl w:ilvl="0" w:tplc="0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2E426263"/>
    <w:multiLevelType w:val="hybridMultilevel"/>
    <w:tmpl w:val="5D16A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135BA"/>
    <w:multiLevelType w:val="hybridMultilevel"/>
    <w:tmpl w:val="21B09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A735E"/>
    <w:multiLevelType w:val="hybridMultilevel"/>
    <w:tmpl w:val="F9DAB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3281F"/>
    <w:multiLevelType w:val="hybridMultilevel"/>
    <w:tmpl w:val="CCF2F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DA32E5"/>
    <w:multiLevelType w:val="hybridMultilevel"/>
    <w:tmpl w:val="847E5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A4097"/>
    <w:multiLevelType w:val="hybridMultilevel"/>
    <w:tmpl w:val="90DAA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51027"/>
    <w:multiLevelType w:val="hybridMultilevel"/>
    <w:tmpl w:val="93A84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460B8"/>
    <w:multiLevelType w:val="hybridMultilevel"/>
    <w:tmpl w:val="88128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3"/>
  </w:num>
  <w:num w:numId="7">
    <w:abstractNumId w:val="10"/>
  </w:num>
  <w:num w:numId="8">
    <w:abstractNumId w:val="9"/>
  </w:num>
  <w:num w:numId="9">
    <w:abstractNumId w:val="2"/>
  </w:num>
  <w:num w:numId="10">
    <w:abstractNumId w:val="16"/>
  </w:num>
  <w:num w:numId="11">
    <w:abstractNumId w:val="14"/>
  </w:num>
  <w:num w:numId="12">
    <w:abstractNumId w:val="15"/>
  </w:num>
  <w:num w:numId="13">
    <w:abstractNumId w:val="7"/>
  </w:num>
  <w:num w:numId="14">
    <w:abstractNumId w:val="4"/>
  </w:num>
  <w:num w:numId="15">
    <w:abstractNumId w:val="3"/>
  </w:num>
  <w:num w:numId="16">
    <w:abstractNumId w:val="0"/>
  </w:num>
  <w:num w:numId="1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37"/>
    <w:rsid w:val="00006C8A"/>
    <w:rsid w:val="000119E4"/>
    <w:rsid w:val="00011F78"/>
    <w:rsid w:val="00014AA4"/>
    <w:rsid w:val="000227DD"/>
    <w:rsid w:val="00022DB6"/>
    <w:rsid w:val="00024680"/>
    <w:rsid w:val="00024BA3"/>
    <w:rsid w:val="00025860"/>
    <w:rsid w:val="0003196F"/>
    <w:rsid w:val="00031AC0"/>
    <w:rsid w:val="00031C7E"/>
    <w:rsid w:val="000354B1"/>
    <w:rsid w:val="00037061"/>
    <w:rsid w:val="000375DE"/>
    <w:rsid w:val="00041864"/>
    <w:rsid w:val="00044E87"/>
    <w:rsid w:val="00046343"/>
    <w:rsid w:val="00046DDA"/>
    <w:rsid w:val="0004776A"/>
    <w:rsid w:val="000477CB"/>
    <w:rsid w:val="00051288"/>
    <w:rsid w:val="00053C02"/>
    <w:rsid w:val="00054B81"/>
    <w:rsid w:val="0005599D"/>
    <w:rsid w:val="00060A29"/>
    <w:rsid w:val="000668CD"/>
    <w:rsid w:val="00066D0C"/>
    <w:rsid w:val="000671B3"/>
    <w:rsid w:val="0007067C"/>
    <w:rsid w:val="00070936"/>
    <w:rsid w:val="00072527"/>
    <w:rsid w:val="000730D9"/>
    <w:rsid w:val="000746E2"/>
    <w:rsid w:val="00075FE4"/>
    <w:rsid w:val="00076B5D"/>
    <w:rsid w:val="000833EF"/>
    <w:rsid w:val="00083AE5"/>
    <w:rsid w:val="00086598"/>
    <w:rsid w:val="0008662F"/>
    <w:rsid w:val="00090B4A"/>
    <w:rsid w:val="00091D5C"/>
    <w:rsid w:val="00091E21"/>
    <w:rsid w:val="00094088"/>
    <w:rsid w:val="0009571A"/>
    <w:rsid w:val="000958B1"/>
    <w:rsid w:val="00095B85"/>
    <w:rsid w:val="000A008D"/>
    <w:rsid w:val="000A0565"/>
    <w:rsid w:val="000A0C1B"/>
    <w:rsid w:val="000A1620"/>
    <w:rsid w:val="000A3473"/>
    <w:rsid w:val="000A7BB0"/>
    <w:rsid w:val="000B1468"/>
    <w:rsid w:val="000B3157"/>
    <w:rsid w:val="000B5CC2"/>
    <w:rsid w:val="000C04D7"/>
    <w:rsid w:val="000C2766"/>
    <w:rsid w:val="000C56B9"/>
    <w:rsid w:val="000C57ED"/>
    <w:rsid w:val="000D1213"/>
    <w:rsid w:val="000D2FEB"/>
    <w:rsid w:val="000D3900"/>
    <w:rsid w:val="000D42E7"/>
    <w:rsid w:val="000D730F"/>
    <w:rsid w:val="000D78B1"/>
    <w:rsid w:val="000E1F47"/>
    <w:rsid w:val="000E3A88"/>
    <w:rsid w:val="000E4B38"/>
    <w:rsid w:val="000E4C12"/>
    <w:rsid w:val="000E537D"/>
    <w:rsid w:val="000E6988"/>
    <w:rsid w:val="000F0C06"/>
    <w:rsid w:val="000F1601"/>
    <w:rsid w:val="000F4E59"/>
    <w:rsid w:val="000F789E"/>
    <w:rsid w:val="001007EE"/>
    <w:rsid w:val="001063B0"/>
    <w:rsid w:val="001072FF"/>
    <w:rsid w:val="001103DF"/>
    <w:rsid w:val="001105D2"/>
    <w:rsid w:val="0011191E"/>
    <w:rsid w:val="00111963"/>
    <w:rsid w:val="00116F59"/>
    <w:rsid w:val="001213FF"/>
    <w:rsid w:val="00122F8B"/>
    <w:rsid w:val="0012441D"/>
    <w:rsid w:val="001249C9"/>
    <w:rsid w:val="001252E7"/>
    <w:rsid w:val="00130248"/>
    <w:rsid w:val="00130317"/>
    <w:rsid w:val="001321E6"/>
    <w:rsid w:val="00133D55"/>
    <w:rsid w:val="001344B2"/>
    <w:rsid w:val="001362FD"/>
    <w:rsid w:val="001366BB"/>
    <w:rsid w:val="001369FB"/>
    <w:rsid w:val="001372F2"/>
    <w:rsid w:val="00146440"/>
    <w:rsid w:val="00152AC4"/>
    <w:rsid w:val="00153C8F"/>
    <w:rsid w:val="00153F85"/>
    <w:rsid w:val="001579B1"/>
    <w:rsid w:val="00157EC3"/>
    <w:rsid w:val="00163F03"/>
    <w:rsid w:val="00164AAA"/>
    <w:rsid w:val="0016723E"/>
    <w:rsid w:val="00172115"/>
    <w:rsid w:val="0017385F"/>
    <w:rsid w:val="00176C0B"/>
    <w:rsid w:val="001804E8"/>
    <w:rsid w:val="00180A06"/>
    <w:rsid w:val="00182783"/>
    <w:rsid w:val="0018341D"/>
    <w:rsid w:val="00184123"/>
    <w:rsid w:val="001844F1"/>
    <w:rsid w:val="001859E5"/>
    <w:rsid w:val="00186E20"/>
    <w:rsid w:val="001901D1"/>
    <w:rsid w:val="00195F8E"/>
    <w:rsid w:val="001961C0"/>
    <w:rsid w:val="00196CBE"/>
    <w:rsid w:val="00197932"/>
    <w:rsid w:val="001A0AF6"/>
    <w:rsid w:val="001A1AD1"/>
    <w:rsid w:val="001A1F93"/>
    <w:rsid w:val="001A327F"/>
    <w:rsid w:val="001A54FA"/>
    <w:rsid w:val="001A74D3"/>
    <w:rsid w:val="001B05C8"/>
    <w:rsid w:val="001B3269"/>
    <w:rsid w:val="001B403D"/>
    <w:rsid w:val="001B62F7"/>
    <w:rsid w:val="001B6DF9"/>
    <w:rsid w:val="001C1B39"/>
    <w:rsid w:val="001C395F"/>
    <w:rsid w:val="001C4C1B"/>
    <w:rsid w:val="001D4252"/>
    <w:rsid w:val="001D55BC"/>
    <w:rsid w:val="001D7FB3"/>
    <w:rsid w:val="001E3657"/>
    <w:rsid w:val="001E4334"/>
    <w:rsid w:val="001F45F1"/>
    <w:rsid w:val="001F5A3F"/>
    <w:rsid w:val="001F5D34"/>
    <w:rsid w:val="001F5ED7"/>
    <w:rsid w:val="002009C2"/>
    <w:rsid w:val="0020522C"/>
    <w:rsid w:val="00205E7B"/>
    <w:rsid w:val="00206761"/>
    <w:rsid w:val="00211C37"/>
    <w:rsid w:val="00212D24"/>
    <w:rsid w:val="00217581"/>
    <w:rsid w:val="0022057C"/>
    <w:rsid w:val="00227136"/>
    <w:rsid w:val="002335B0"/>
    <w:rsid w:val="002338A1"/>
    <w:rsid w:val="002358FB"/>
    <w:rsid w:val="00235D7E"/>
    <w:rsid w:val="002362CA"/>
    <w:rsid w:val="0023664E"/>
    <w:rsid w:val="00237A5E"/>
    <w:rsid w:val="00240983"/>
    <w:rsid w:val="00243D51"/>
    <w:rsid w:val="00245C6D"/>
    <w:rsid w:val="00246B96"/>
    <w:rsid w:val="00246D1C"/>
    <w:rsid w:val="00250559"/>
    <w:rsid w:val="002506C1"/>
    <w:rsid w:val="00257CEE"/>
    <w:rsid w:val="00261C5E"/>
    <w:rsid w:val="00261F69"/>
    <w:rsid w:val="00266064"/>
    <w:rsid w:val="0027611C"/>
    <w:rsid w:val="00280B4A"/>
    <w:rsid w:val="00283613"/>
    <w:rsid w:val="002840D0"/>
    <w:rsid w:val="002857F4"/>
    <w:rsid w:val="00285A57"/>
    <w:rsid w:val="00286CD0"/>
    <w:rsid w:val="0029038F"/>
    <w:rsid w:val="00295EFC"/>
    <w:rsid w:val="00297991"/>
    <w:rsid w:val="002A18B1"/>
    <w:rsid w:val="002A21DE"/>
    <w:rsid w:val="002A3D81"/>
    <w:rsid w:val="002B0AC9"/>
    <w:rsid w:val="002B1479"/>
    <w:rsid w:val="002B4958"/>
    <w:rsid w:val="002B651E"/>
    <w:rsid w:val="002B6B93"/>
    <w:rsid w:val="002B7397"/>
    <w:rsid w:val="002C122B"/>
    <w:rsid w:val="002C1FBA"/>
    <w:rsid w:val="002C34AA"/>
    <w:rsid w:val="002D14E8"/>
    <w:rsid w:val="002D1929"/>
    <w:rsid w:val="002D2A7A"/>
    <w:rsid w:val="002D397F"/>
    <w:rsid w:val="002D685D"/>
    <w:rsid w:val="002E28FA"/>
    <w:rsid w:val="002E3870"/>
    <w:rsid w:val="002E3C2C"/>
    <w:rsid w:val="002F1138"/>
    <w:rsid w:val="002F1372"/>
    <w:rsid w:val="002F23FA"/>
    <w:rsid w:val="002F4D52"/>
    <w:rsid w:val="002F4ECF"/>
    <w:rsid w:val="002F6F44"/>
    <w:rsid w:val="00301D6D"/>
    <w:rsid w:val="003022AA"/>
    <w:rsid w:val="00305937"/>
    <w:rsid w:val="003064F1"/>
    <w:rsid w:val="00306864"/>
    <w:rsid w:val="00310708"/>
    <w:rsid w:val="003111F4"/>
    <w:rsid w:val="00312BD3"/>
    <w:rsid w:val="00314240"/>
    <w:rsid w:val="0031494C"/>
    <w:rsid w:val="0032017B"/>
    <w:rsid w:val="00321418"/>
    <w:rsid w:val="00322192"/>
    <w:rsid w:val="0032284D"/>
    <w:rsid w:val="003245D7"/>
    <w:rsid w:val="00331103"/>
    <w:rsid w:val="00337324"/>
    <w:rsid w:val="00346A90"/>
    <w:rsid w:val="00347A3B"/>
    <w:rsid w:val="00351B06"/>
    <w:rsid w:val="00352EF0"/>
    <w:rsid w:val="00353F76"/>
    <w:rsid w:val="003551B6"/>
    <w:rsid w:val="003554DA"/>
    <w:rsid w:val="0035644E"/>
    <w:rsid w:val="00356890"/>
    <w:rsid w:val="003577B5"/>
    <w:rsid w:val="00360051"/>
    <w:rsid w:val="003610DD"/>
    <w:rsid w:val="00361384"/>
    <w:rsid w:val="00365B1E"/>
    <w:rsid w:val="00367C49"/>
    <w:rsid w:val="00367E5F"/>
    <w:rsid w:val="00367EEB"/>
    <w:rsid w:val="00370895"/>
    <w:rsid w:val="0037361F"/>
    <w:rsid w:val="00376746"/>
    <w:rsid w:val="00376795"/>
    <w:rsid w:val="00377634"/>
    <w:rsid w:val="003804A8"/>
    <w:rsid w:val="00380648"/>
    <w:rsid w:val="003811D7"/>
    <w:rsid w:val="00382967"/>
    <w:rsid w:val="003842A0"/>
    <w:rsid w:val="003903F3"/>
    <w:rsid w:val="003924F8"/>
    <w:rsid w:val="00392AE9"/>
    <w:rsid w:val="00394086"/>
    <w:rsid w:val="00394E61"/>
    <w:rsid w:val="00395C56"/>
    <w:rsid w:val="00396F46"/>
    <w:rsid w:val="003A0F8D"/>
    <w:rsid w:val="003A28E9"/>
    <w:rsid w:val="003A2A74"/>
    <w:rsid w:val="003A4B93"/>
    <w:rsid w:val="003A642B"/>
    <w:rsid w:val="003B0B14"/>
    <w:rsid w:val="003B47A0"/>
    <w:rsid w:val="003B4AA3"/>
    <w:rsid w:val="003B4DAA"/>
    <w:rsid w:val="003B78F9"/>
    <w:rsid w:val="003C36D7"/>
    <w:rsid w:val="003C4615"/>
    <w:rsid w:val="003D017B"/>
    <w:rsid w:val="003D10D3"/>
    <w:rsid w:val="003D308A"/>
    <w:rsid w:val="003D326E"/>
    <w:rsid w:val="003D38C7"/>
    <w:rsid w:val="003D4966"/>
    <w:rsid w:val="003D4E9E"/>
    <w:rsid w:val="003D74A2"/>
    <w:rsid w:val="003D7A13"/>
    <w:rsid w:val="003E1B86"/>
    <w:rsid w:val="003E362F"/>
    <w:rsid w:val="003E5D88"/>
    <w:rsid w:val="003E64C0"/>
    <w:rsid w:val="003E6E48"/>
    <w:rsid w:val="003E6F61"/>
    <w:rsid w:val="003F074C"/>
    <w:rsid w:val="003F0FE9"/>
    <w:rsid w:val="003F10CB"/>
    <w:rsid w:val="003F1C3A"/>
    <w:rsid w:val="003F3701"/>
    <w:rsid w:val="004025C7"/>
    <w:rsid w:val="00402829"/>
    <w:rsid w:val="00403998"/>
    <w:rsid w:val="00407B5A"/>
    <w:rsid w:val="00410839"/>
    <w:rsid w:val="00413061"/>
    <w:rsid w:val="004261B7"/>
    <w:rsid w:val="004268A5"/>
    <w:rsid w:val="00430DC5"/>
    <w:rsid w:val="0043289C"/>
    <w:rsid w:val="00433C4B"/>
    <w:rsid w:val="0043469F"/>
    <w:rsid w:val="00434FF9"/>
    <w:rsid w:val="004363FA"/>
    <w:rsid w:val="00437710"/>
    <w:rsid w:val="004403A8"/>
    <w:rsid w:val="00440448"/>
    <w:rsid w:val="00441C0D"/>
    <w:rsid w:val="00441E25"/>
    <w:rsid w:val="00441E56"/>
    <w:rsid w:val="00450D89"/>
    <w:rsid w:val="00452590"/>
    <w:rsid w:val="004533A7"/>
    <w:rsid w:val="0045658F"/>
    <w:rsid w:val="0045787F"/>
    <w:rsid w:val="00457A33"/>
    <w:rsid w:val="00460505"/>
    <w:rsid w:val="00460A9E"/>
    <w:rsid w:val="00461B1E"/>
    <w:rsid w:val="00461B66"/>
    <w:rsid w:val="00463122"/>
    <w:rsid w:val="004676A7"/>
    <w:rsid w:val="0047069D"/>
    <w:rsid w:val="00470A24"/>
    <w:rsid w:val="00471278"/>
    <w:rsid w:val="004718D8"/>
    <w:rsid w:val="0047206C"/>
    <w:rsid w:val="00473F48"/>
    <w:rsid w:val="004751A4"/>
    <w:rsid w:val="004803E0"/>
    <w:rsid w:val="00480DDC"/>
    <w:rsid w:val="00480E77"/>
    <w:rsid w:val="00480EC6"/>
    <w:rsid w:val="00484C39"/>
    <w:rsid w:val="00484FB7"/>
    <w:rsid w:val="00487198"/>
    <w:rsid w:val="004955D9"/>
    <w:rsid w:val="004A5A2B"/>
    <w:rsid w:val="004A62C7"/>
    <w:rsid w:val="004A6981"/>
    <w:rsid w:val="004A7361"/>
    <w:rsid w:val="004A7D81"/>
    <w:rsid w:val="004B0435"/>
    <w:rsid w:val="004B1E30"/>
    <w:rsid w:val="004B341D"/>
    <w:rsid w:val="004B66CA"/>
    <w:rsid w:val="004B6F34"/>
    <w:rsid w:val="004C1F4C"/>
    <w:rsid w:val="004C5904"/>
    <w:rsid w:val="004D0214"/>
    <w:rsid w:val="004D30A1"/>
    <w:rsid w:val="004D3DA1"/>
    <w:rsid w:val="004D56AA"/>
    <w:rsid w:val="004D66F2"/>
    <w:rsid w:val="004E03D9"/>
    <w:rsid w:val="004E06DD"/>
    <w:rsid w:val="004E261F"/>
    <w:rsid w:val="004E4512"/>
    <w:rsid w:val="004E633C"/>
    <w:rsid w:val="004E6FCE"/>
    <w:rsid w:val="004E717A"/>
    <w:rsid w:val="004E7B30"/>
    <w:rsid w:val="004F07DA"/>
    <w:rsid w:val="004F252A"/>
    <w:rsid w:val="004F4231"/>
    <w:rsid w:val="004F4A96"/>
    <w:rsid w:val="004F715F"/>
    <w:rsid w:val="005028EE"/>
    <w:rsid w:val="005038EA"/>
    <w:rsid w:val="00511CA5"/>
    <w:rsid w:val="00512543"/>
    <w:rsid w:val="00512A18"/>
    <w:rsid w:val="00513D70"/>
    <w:rsid w:val="00514CA3"/>
    <w:rsid w:val="005150CE"/>
    <w:rsid w:val="00516950"/>
    <w:rsid w:val="00517652"/>
    <w:rsid w:val="00526EDD"/>
    <w:rsid w:val="005270F0"/>
    <w:rsid w:val="00530814"/>
    <w:rsid w:val="00530A66"/>
    <w:rsid w:val="005329CD"/>
    <w:rsid w:val="005343FF"/>
    <w:rsid w:val="005354B4"/>
    <w:rsid w:val="005370A1"/>
    <w:rsid w:val="005439B0"/>
    <w:rsid w:val="00543AA5"/>
    <w:rsid w:val="00543F90"/>
    <w:rsid w:val="00545301"/>
    <w:rsid w:val="00556FB9"/>
    <w:rsid w:val="005575C3"/>
    <w:rsid w:val="005605BE"/>
    <w:rsid w:val="005636A3"/>
    <w:rsid w:val="00565333"/>
    <w:rsid w:val="00567597"/>
    <w:rsid w:val="00567BE5"/>
    <w:rsid w:val="00571FE8"/>
    <w:rsid w:val="00574124"/>
    <w:rsid w:val="0057637E"/>
    <w:rsid w:val="005768C7"/>
    <w:rsid w:val="00577E76"/>
    <w:rsid w:val="005854D0"/>
    <w:rsid w:val="0059052B"/>
    <w:rsid w:val="0059092B"/>
    <w:rsid w:val="0059113C"/>
    <w:rsid w:val="00591342"/>
    <w:rsid w:val="00591B39"/>
    <w:rsid w:val="00592B2A"/>
    <w:rsid w:val="005957C5"/>
    <w:rsid w:val="0059677C"/>
    <w:rsid w:val="00596B9C"/>
    <w:rsid w:val="005A0B3F"/>
    <w:rsid w:val="005A339B"/>
    <w:rsid w:val="005B1674"/>
    <w:rsid w:val="005B1CC3"/>
    <w:rsid w:val="005B2490"/>
    <w:rsid w:val="005B5A07"/>
    <w:rsid w:val="005B634E"/>
    <w:rsid w:val="005B76B0"/>
    <w:rsid w:val="005B79D9"/>
    <w:rsid w:val="005C1372"/>
    <w:rsid w:val="005C1E48"/>
    <w:rsid w:val="005C3A34"/>
    <w:rsid w:val="005C6B28"/>
    <w:rsid w:val="005D0E54"/>
    <w:rsid w:val="005D26C2"/>
    <w:rsid w:val="005D499F"/>
    <w:rsid w:val="005D5D00"/>
    <w:rsid w:val="005E0677"/>
    <w:rsid w:val="005E0B73"/>
    <w:rsid w:val="005E1E66"/>
    <w:rsid w:val="005E1FF4"/>
    <w:rsid w:val="005E5EF7"/>
    <w:rsid w:val="005F3F6D"/>
    <w:rsid w:val="00600569"/>
    <w:rsid w:val="00602135"/>
    <w:rsid w:val="00607A4B"/>
    <w:rsid w:val="00611186"/>
    <w:rsid w:val="006111F3"/>
    <w:rsid w:val="0061767F"/>
    <w:rsid w:val="00626734"/>
    <w:rsid w:val="0062704E"/>
    <w:rsid w:val="00627F5C"/>
    <w:rsid w:val="00634682"/>
    <w:rsid w:val="0063507E"/>
    <w:rsid w:val="00635930"/>
    <w:rsid w:val="006363E9"/>
    <w:rsid w:val="0063657F"/>
    <w:rsid w:val="006426FF"/>
    <w:rsid w:val="00644411"/>
    <w:rsid w:val="00644886"/>
    <w:rsid w:val="00644CE4"/>
    <w:rsid w:val="00647661"/>
    <w:rsid w:val="00647735"/>
    <w:rsid w:val="006506D7"/>
    <w:rsid w:val="00653A4E"/>
    <w:rsid w:val="0065523F"/>
    <w:rsid w:val="006556B6"/>
    <w:rsid w:val="00657476"/>
    <w:rsid w:val="006602CE"/>
    <w:rsid w:val="00660897"/>
    <w:rsid w:val="00663758"/>
    <w:rsid w:val="006700D5"/>
    <w:rsid w:val="00670C1E"/>
    <w:rsid w:val="006713E1"/>
    <w:rsid w:val="006730BE"/>
    <w:rsid w:val="006738A2"/>
    <w:rsid w:val="006742AA"/>
    <w:rsid w:val="00682430"/>
    <w:rsid w:val="006858D6"/>
    <w:rsid w:val="00687908"/>
    <w:rsid w:val="0069271B"/>
    <w:rsid w:val="0069359F"/>
    <w:rsid w:val="00694ADF"/>
    <w:rsid w:val="006962AD"/>
    <w:rsid w:val="006A0189"/>
    <w:rsid w:val="006A0604"/>
    <w:rsid w:val="006A1127"/>
    <w:rsid w:val="006A2F72"/>
    <w:rsid w:val="006A3278"/>
    <w:rsid w:val="006A55E1"/>
    <w:rsid w:val="006A6740"/>
    <w:rsid w:val="006A7503"/>
    <w:rsid w:val="006B2464"/>
    <w:rsid w:val="006B4224"/>
    <w:rsid w:val="006B6583"/>
    <w:rsid w:val="006B6EF0"/>
    <w:rsid w:val="006B7D6B"/>
    <w:rsid w:val="006C129A"/>
    <w:rsid w:val="006C3FD7"/>
    <w:rsid w:val="006C4AC1"/>
    <w:rsid w:val="006C5604"/>
    <w:rsid w:val="006C60A2"/>
    <w:rsid w:val="006C79F6"/>
    <w:rsid w:val="006D0E99"/>
    <w:rsid w:val="006D3EBD"/>
    <w:rsid w:val="006D531E"/>
    <w:rsid w:val="006D5625"/>
    <w:rsid w:val="006D74EA"/>
    <w:rsid w:val="006E274C"/>
    <w:rsid w:val="006E3A58"/>
    <w:rsid w:val="006E6F0B"/>
    <w:rsid w:val="006E7766"/>
    <w:rsid w:val="006F1B3A"/>
    <w:rsid w:val="006F2CC2"/>
    <w:rsid w:val="007104E4"/>
    <w:rsid w:val="007145CD"/>
    <w:rsid w:val="007153C1"/>
    <w:rsid w:val="0072160F"/>
    <w:rsid w:val="00725098"/>
    <w:rsid w:val="00726704"/>
    <w:rsid w:val="00726752"/>
    <w:rsid w:val="007314CE"/>
    <w:rsid w:val="00734E55"/>
    <w:rsid w:val="00737FA3"/>
    <w:rsid w:val="0074127E"/>
    <w:rsid w:val="00741DCE"/>
    <w:rsid w:val="007442BB"/>
    <w:rsid w:val="007457D4"/>
    <w:rsid w:val="007463C5"/>
    <w:rsid w:val="00746846"/>
    <w:rsid w:val="00746A3B"/>
    <w:rsid w:val="007510C3"/>
    <w:rsid w:val="00752445"/>
    <w:rsid w:val="00756245"/>
    <w:rsid w:val="007563E8"/>
    <w:rsid w:val="007573FE"/>
    <w:rsid w:val="00757964"/>
    <w:rsid w:val="00761907"/>
    <w:rsid w:val="00762431"/>
    <w:rsid w:val="00763B3A"/>
    <w:rsid w:val="0076458E"/>
    <w:rsid w:val="00764680"/>
    <w:rsid w:val="00767063"/>
    <w:rsid w:val="00767806"/>
    <w:rsid w:val="007711AC"/>
    <w:rsid w:val="0077240B"/>
    <w:rsid w:val="00774AD1"/>
    <w:rsid w:val="0077566B"/>
    <w:rsid w:val="00775AFE"/>
    <w:rsid w:val="00782FE4"/>
    <w:rsid w:val="00783BA8"/>
    <w:rsid w:val="00784E8E"/>
    <w:rsid w:val="0078546A"/>
    <w:rsid w:val="00785823"/>
    <w:rsid w:val="00790C52"/>
    <w:rsid w:val="00790DA0"/>
    <w:rsid w:val="007916DD"/>
    <w:rsid w:val="00793291"/>
    <w:rsid w:val="007940AE"/>
    <w:rsid w:val="00794BF4"/>
    <w:rsid w:val="00795AF3"/>
    <w:rsid w:val="007A10F9"/>
    <w:rsid w:val="007A3A66"/>
    <w:rsid w:val="007A4C02"/>
    <w:rsid w:val="007A7216"/>
    <w:rsid w:val="007B0474"/>
    <w:rsid w:val="007B057A"/>
    <w:rsid w:val="007B2438"/>
    <w:rsid w:val="007B2582"/>
    <w:rsid w:val="007B27E6"/>
    <w:rsid w:val="007B49CD"/>
    <w:rsid w:val="007B593B"/>
    <w:rsid w:val="007B5A46"/>
    <w:rsid w:val="007C1BC2"/>
    <w:rsid w:val="007C1FEB"/>
    <w:rsid w:val="007C42DB"/>
    <w:rsid w:val="007C55C0"/>
    <w:rsid w:val="007D0DBA"/>
    <w:rsid w:val="007D35D5"/>
    <w:rsid w:val="007D3A0F"/>
    <w:rsid w:val="007D440E"/>
    <w:rsid w:val="007D4700"/>
    <w:rsid w:val="007D4DB0"/>
    <w:rsid w:val="007D529B"/>
    <w:rsid w:val="007D5D93"/>
    <w:rsid w:val="007E49C9"/>
    <w:rsid w:val="007E4B42"/>
    <w:rsid w:val="007F073B"/>
    <w:rsid w:val="007F1846"/>
    <w:rsid w:val="00805A02"/>
    <w:rsid w:val="00805C72"/>
    <w:rsid w:val="008103E2"/>
    <w:rsid w:val="008110CD"/>
    <w:rsid w:val="008114B3"/>
    <w:rsid w:val="008115F1"/>
    <w:rsid w:val="00813AE9"/>
    <w:rsid w:val="00815589"/>
    <w:rsid w:val="00815BD3"/>
    <w:rsid w:val="008162DB"/>
    <w:rsid w:val="00820BD0"/>
    <w:rsid w:val="00821E40"/>
    <w:rsid w:val="0082200D"/>
    <w:rsid w:val="00825BA0"/>
    <w:rsid w:val="008261BE"/>
    <w:rsid w:val="00827F0E"/>
    <w:rsid w:val="00831225"/>
    <w:rsid w:val="00832F57"/>
    <w:rsid w:val="00833141"/>
    <w:rsid w:val="00837C44"/>
    <w:rsid w:val="008428AB"/>
    <w:rsid w:val="00842A5D"/>
    <w:rsid w:val="00847289"/>
    <w:rsid w:val="00851495"/>
    <w:rsid w:val="00851FF0"/>
    <w:rsid w:val="0085351C"/>
    <w:rsid w:val="00855B6F"/>
    <w:rsid w:val="0086216B"/>
    <w:rsid w:val="00862E30"/>
    <w:rsid w:val="00863664"/>
    <w:rsid w:val="00864D85"/>
    <w:rsid w:val="00864F2E"/>
    <w:rsid w:val="00867E7A"/>
    <w:rsid w:val="00870030"/>
    <w:rsid w:val="008751FA"/>
    <w:rsid w:val="0088151C"/>
    <w:rsid w:val="008817AB"/>
    <w:rsid w:val="00881D95"/>
    <w:rsid w:val="008831FB"/>
    <w:rsid w:val="008843A4"/>
    <w:rsid w:val="00890EBE"/>
    <w:rsid w:val="0089193B"/>
    <w:rsid w:val="00894225"/>
    <w:rsid w:val="0089521F"/>
    <w:rsid w:val="008A15C1"/>
    <w:rsid w:val="008A2B31"/>
    <w:rsid w:val="008A2DDD"/>
    <w:rsid w:val="008A3D27"/>
    <w:rsid w:val="008A5C70"/>
    <w:rsid w:val="008A6F0F"/>
    <w:rsid w:val="008A76D5"/>
    <w:rsid w:val="008A796A"/>
    <w:rsid w:val="008B1C49"/>
    <w:rsid w:val="008B5497"/>
    <w:rsid w:val="008B55C9"/>
    <w:rsid w:val="008B67CC"/>
    <w:rsid w:val="008C0AA7"/>
    <w:rsid w:val="008C3467"/>
    <w:rsid w:val="008C5B1F"/>
    <w:rsid w:val="008C5C95"/>
    <w:rsid w:val="008D1228"/>
    <w:rsid w:val="008D6F4E"/>
    <w:rsid w:val="008E1744"/>
    <w:rsid w:val="008E3BDA"/>
    <w:rsid w:val="008E46CB"/>
    <w:rsid w:val="008E7553"/>
    <w:rsid w:val="008F0BC5"/>
    <w:rsid w:val="008F228C"/>
    <w:rsid w:val="008F2B58"/>
    <w:rsid w:val="008F452F"/>
    <w:rsid w:val="009008AC"/>
    <w:rsid w:val="0090521C"/>
    <w:rsid w:val="00905ADC"/>
    <w:rsid w:val="0090602A"/>
    <w:rsid w:val="00906C33"/>
    <w:rsid w:val="00910B5D"/>
    <w:rsid w:val="009150A5"/>
    <w:rsid w:val="00916B7C"/>
    <w:rsid w:val="00916D53"/>
    <w:rsid w:val="009173AF"/>
    <w:rsid w:val="009203C4"/>
    <w:rsid w:val="00921323"/>
    <w:rsid w:val="0092141D"/>
    <w:rsid w:val="00922ED4"/>
    <w:rsid w:val="00926742"/>
    <w:rsid w:val="00926F25"/>
    <w:rsid w:val="00932946"/>
    <w:rsid w:val="00936DBB"/>
    <w:rsid w:val="009378CE"/>
    <w:rsid w:val="00940CD9"/>
    <w:rsid w:val="009424FA"/>
    <w:rsid w:val="009426CB"/>
    <w:rsid w:val="00942B1C"/>
    <w:rsid w:val="00943101"/>
    <w:rsid w:val="00943F9C"/>
    <w:rsid w:val="009455D8"/>
    <w:rsid w:val="00947032"/>
    <w:rsid w:val="0094753C"/>
    <w:rsid w:val="00947D18"/>
    <w:rsid w:val="00951580"/>
    <w:rsid w:val="009550DF"/>
    <w:rsid w:val="009550FA"/>
    <w:rsid w:val="00957541"/>
    <w:rsid w:val="00960897"/>
    <w:rsid w:val="00963073"/>
    <w:rsid w:val="00964DAD"/>
    <w:rsid w:val="00967A14"/>
    <w:rsid w:val="0097315A"/>
    <w:rsid w:val="009732FD"/>
    <w:rsid w:val="00974875"/>
    <w:rsid w:val="00974D10"/>
    <w:rsid w:val="00975B3A"/>
    <w:rsid w:val="009762E1"/>
    <w:rsid w:val="00976C11"/>
    <w:rsid w:val="00981240"/>
    <w:rsid w:val="00981534"/>
    <w:rsid w:val="009827E0"/>
    <w:rsid w:val="009835B1"/>
    <w:rsid w:val="00994497"/>
    <w:rsid w:val="00995926"/>
    <w:rsid w:val="009A0F19"/>
    <w:rsid w:val="009A263D"/>
    <w:rsid w:val="009A35CE"/>
    <w:rsid w:val="009A3D22"/>
    <w:rsid w:val="009A3F0A"/>
    <w:rsid w:val="009A44EF"/>
    <w:rsid w:val="009A54ED"/>
    <w:rsid w:val="009B305A"/>
    <w:rsid w:val="009B3EFE"/>
    <w:rsid w:val="009B493A"/>
    <w:rsid w:val="009B64DA"/>
    <w:rsid w:val="009B729B"/>
    <w:rsid w:val="009C4888"/>
    <w:rsid w:val="009C5B6A"/>
    <w:rsid w:val="009D3D73"/>
    <w:rsid w:val="009D5498"/>
    <w:rsid w:val="009E73AD"/>
    <w:rsid w:val="009F267A"/>
    <w:rsid w:val="009F5357"/>
    <w:rsid w:val="009F5D06"/>
    <w:rsid w:val="009F7653"/>
    <w:rsid w:val="00A00569"/>
    <w:rsid w:val="00A00FC9"/>
    <w:rsid w:val="00A03422"/>
    <w:rsid w:val="00A07091"/>
    <w:rsid w:val="00A0787E"/>
    <w:rsid w:val="00A07E53"/>
    <w:rsid w:val="00A12CFF"/>
    <w:rsid w:val="00A151C8"/>
    <w:rsid w:val="00A15691"/>
    <w:rsid w:val="00A1656C"/>
    <w:rsid w:val="00A21E85"/>
    <w:rsid w:val="00A2712A"/>
    <w:rsid w:val="00A27264"/>
    <w:rsid w:val="00A27504"/>
    <w:rsid w:val="00A27B35"/>
    <w:rsid w:val="00A32831"/>
    <w:rsid w:val="00A3306B"/>
    <w:rsid w:val="00A36044"/>
    <w:rsid w:val="00A36300"/>
    <w:rsid w:val="00A366A9"/>
    <w:rsid w:val="00A40261"/>
    <w:rsid w:val="00A40D85"/>
    <w:rsid w:val="00A42C35"/>
    <w:rsid w:val="00A43DEA"/>
    <w:rsid w:val="00A443FC"/>
    <w:rsid w:val="00A46912"/>
    <w:rsid w:val="00A52ADD"/>
    <w:rsid w:val="00A5300C"/>
    <w:rsid w:val="00A537EA"/>
    <w:rsid w:val="00A546C9"/>
    <w:rsid w:val="00A63C5B"/>
    <w:rsid w:val="00A64099"/>
    <w:rsid w:val="00A65F2C"/>
    <w:rsid w:val="00A7775C"/>
    <w:rsid w:val="00A82596"/>
    <w:rsid w:val="00A85A17"/>
    <w:rsid w:val="00A87BE1"/>
    <w:rsid w:val="00A87D74"/>
    <w:rsid w:val="00A90713"/>
    <w:rsid w:val="00A91808"/>
    <w:rsid w:val="00A96425"/>
    <w:rsid w:val="00A96BB3"/>
    <w:rsid w:val="00A97B54"/>
    <w:rsid w:val="00AA019D"/>
    <w:rsid w:val="00AA1F91"/>
    <w:rsid w:val="00AA596D"/>
    <w:rsid w:val="00AB2F37"/>
    <w:rsid w:val="00AB50CB"/>
    <w:rsid w:val="00AB6016"/>
    <w:rsid w:val="00AB7D61"/>
    <w:rsid w:val="00AC2A37"/>
    <w:rsid w:val="00AC5424"/>
    <w:rsid w:val="00AD01CB"/>
    <w:rsid w:val="00AD0A47"/>
    <w:rsid w:val="00AD0E50"/>
    <w:rsid w:val="00AD0F9D"/>
    <w:rsid w:val="00AD11B6"/>
    <w:rsid w:val="00AD1665"/>
    <w:rsid w:val="00AD2876"/>
    <w:rsid w:val="00AD309C"/>
    <w:rsid w:val="00AD4D8D"/>
    <w:rsid w:val="00AD632D"/>
    <w:rsid w:val="00AE7E6E"/>
    <w:rsid w:val="00AF0554"/>
    <w:rsid w:val="00AF1C07"/>
    <w:rsid w:val="00AF22E1"/>
    <w:rsid w:val="00AF2CB6"/>
    <w:rsid w:val="00AF2FD5"/>
    <w:rsid w:val="00AF5B69"/>
    <w:rsid w:val="00AF737F"/>
    <w:rsid w:val="00B006DF"/>
    <w:rsid w:val="00B007D0"/>
    <w:rsid w:val="00B01E7B"/>
    <w:rsid w:val="00B04CE2"/>
    <w:rsid w:val="00B05ECD"/>
    <w:rsid w:val="00B06172"/>
    <w:rsid w:val="00B06456"/>
    <w:rsid w:val="00B06796"/>
    <w:rsid w:val="00B06B3C"/>
    <w:rsid w:val="00B07B14"/>
    <w:rsid w:val="00B154AB"/>
    <w:rsid w:val="00B15F92"/>
    <w:rsid w:val="00B1619E"/>
    <w:rsid w:val="00B16A24"/>
    <w:rsid w:val="00B16A8C"/>
    <w:rsid w:val="00B17A97"/>
    <w:rsid w:val="00B2039A"/>
    <w:rsid w:val="00B20BD0"/>
    <w:rsid w:val="00B21C6E"/>
    <w:rsid w:val="00B275C1"/>
    <w:rsid w:val="00B27CDF"/>
    <w:rsid w:val="00B30E17"/>
    <w:rsid w:val="00B3144E"/>
    <w:rsid w:val="00B325C4"/>
    <w:rsid w:val="00B343B8"/>
    <w:rsid w:val="00B35E3C"/>
    <w:rsid w:val="00B37C4E"/>
    <w:rsid w:val="00B417FE"/>
    <w:rsid w:val="00B419D7"/>
    <w:rsid w:val="00B42F22"/>
    <w:rsid w:val="00B432ED"/>
    <w:rsid w:val="00B46661"/>
    <w:rsid w:val="00B47211"/>
    <w:rsid w:val="00B47385"/>
    <w:rsid w:val="00B474D6"/>
    <w:rsid w:val="00B52F03"/>
    <w:rsid w:val="00B55DE9"/>
    <w:rsid w:val="00B57319"/>
    <w:rsid w:val="00B57356"/>
    <w:rsid w:val="00B615A8"/>
    <w:rsid w:val="00B624F2"/>
    <w:rsid w:val="00B6522B"/>
    <w:rsid w:val="00B65709"/>
    <w:rsid w:val="00B67DF2"/>
    <w:rsid w:val="00B70824"/>
    <w:rsid w:val="00B71FD7"/>
    <w:rsid w:val="00B72D3A"/>
    <w:rsid w:val="00B7662F"/>
    <w:rsid w:val="00B768F3"/>
    <w:rsid w:val="00B77A55"/>
    <w:rsid w:val="00B77D01"/>
    <w:rsid w:val="00B80FE8"/>
    <w:rsid w:val="00B85BF7"/>
    <w:rsid w:val="00B879C2"/>
    <w:rsid w:val="00B9077E"/>
    <w:rsid w:val="00B9381C"/>
    <w:rsid w:val="00B939CC"/>
    <w:rsid w:val="00BA1E75"/>
    <w:rsid w:val="00BA283C"/>
    <w:rsid w:val="00BA2BE5"/>
    <w:rsid w:val="00BA2E8D"/>
    <w:rsid w:val="00BA50CA"/>
    <w:rsid w:val="00BA7653"/>
    <w:rsid w:val="00BA7F11"/>
    <w:rsid w:val="00BB0A9F"/>
    <w:rsid w:val="00BB694D"/>
    <w:rsid w:val="00BB787B"/>
    <w:rsid w:val="00BB7ABE"/>
    <w:rsid w:val="00BC16DB"/>
    <w:rsid w:val="00BC2909"/>
    <w:rsid w:val="00BC51EA"/>
    <w:rsid w:val="00BC547B"/>
    <w:rsid w:val="00BC636F"/>
    <w:rsid w:val="00BD11C0"/>
    <w:rsid w:val="00BD22A4"/>
    <w:rsid w:val="00BD465B"/>
    <w:rsid w:val="00BD4B6C"/>
    <w:rsid w:val="00BD4BCE"/>
    <w:rsid w:val="00BE0DFC"/>
    <w:rsid w:val="00BE2447"/>
    <w:rsid w:val="00BE6043"/>
    <w:rsid w:val="00BE6441"/>
    <w:rsid w:val="00BF594C"/>
    <w:rsid w:val="00BF6F96"/>
    <w:rsid w:val="00C1030D"/>
    <w:rsid w:val="00C11CD3"/>
    <w:rsid w:val="00C16416"/>
    <w:rsid w:val="00C2147A"/>
    <w:rsid w:val="00C247B2"/>
    <w:rsid w:val="00C2621E"/>
    <w:rsid w:val="00C26FE3"/>
    <w:rsid w:val="00C27B70"/>
    <w:rsid w:val="00C302BE"/>
    <w:rsid w:val="00C3271F"/>
    <w:rsid w:val="00C3300C"/>
    <w:rsid w:val="00C3441F"/>
    <w:rsid w:val="00C34D6F"/>
    <w:rsid w:val="00C36C75"/>
    <w:rsid w:val="00C3704A"/>
    <w:rsid w:val="00C37933"/>
    <w:rsid w:val="00C4075F"/>
    <w:rsid w:val="00C408C7"/>
    <w:rsid w:val="00C40E74"/>
    <w:rsid w:val="00C45D2A"/>
    <w:rsid w:val="00C45FCC"/>
    <w:rsid w:val="00C47EEA"/>
    <w:rsid w:val="00C50FC3"/>
    <w:rsid w:val="00C519D0"/>
    <w:rsid w:val="00C535C5"/>
    <w:rsid w:val="00C57717"/>
    <w:rsid w:val="00C57782"/>
    <w:rsid w:val="00C640C5"/>
    <w:rsid w:val="00C64455"/>
    <w:rsid w:val="00C650B9"/>
    <w:rsid w:val="00C70ACB"/>
    <w:rsid w:val="00C733C7"/>
    <w:rsid w:val="00C744F6"/>
    <w:rsid w:val="00C77C41"/>
    <w:rsid w:val="00C80ADA"/>
    <w:rsid w:val="00C818F9"/>
    <w:rsid w:val="00C87CB1"/>
    <w:rsid w:val="00C92939"/>
    <w:rsid w:val="00C92F0B"/>
    <w:rsid w:val="00C94FD9"/>
    <w:rsid w:val="00C97165"/>
    <w:rsid w:val="00CA473C"/>
    <w:rsid w:val="00CA4B42"/>
    <w:rsid w:val="00CA4FEC"/>
    <w:rsid w:val="00CA5A10"/>
    <w:rsid w:val="00CA6BFB"/>
    <w:rsid w:val="00CB055A"/>
    <w:rsid w:val="00CB4083"/>
    <w:rsid w:val="00CB6779"/>
    <w:rsid w:val="00CB696D"/>
    <w:rsid w:val="00CC20DA"/>
    <w:rsid w:val="00CC34E2"/>
    <w:rsid w:val="00CC40A9"/>
    <w:rsid w:val="00CC4572"/>
    <w:rsid w:val="00CD0AB5"/>
    <w:rsid w:val="00CD147F"/>
    <w:rsid w:val="00CD4FCD"/>
    <w:rsid w:val="00CD56EF"/>
    <w:rsid w:val="00CD5FC9"/>
    <w:rsid w:val="00CD7921"/>
    <w:rsid w:val="00CE036D"/>
    <w:rsid w:val="00CE084B"/>
    <w:rsid w:val="00CE0D00"/>
    <w:rsid w:val="00CE12E4"/>
    <w:rsid w:val="00CE38DE"/>
    <w:rsid w:val="00CE6B03"/>
    <w:rsid w:val="00CE6BE0"/>
    <w:rsid w:val="00CF1628"/>
    <w:rsid w:val="00CF4495"/>
    <w:rsid w:val="00CF7401"/>
    <w:rsid w:val="00CF7D45"/>
    <w:rsid w:val="00D005CD"/>
    <w:rsid w:val="00D019B5"/>
    <w:rsid w:val="00D02D57"/>
    <w:rsid w:val="00D0721A"/>
    <w:rsid w:val="00D07BED"/>
    <w:rsid w:val="00D118D6"/>
    <w:rsid w:val="00D11E13"/>
    <w:rsid w:val="00D129C7"/>
    <w:rsid w:val="00D165B8"/>
    <w:rsid w:val="00D20266"/>
    <w:rsid w:val="00D20C29"/>
    <w:rsid w:val="00D21C08"/>
    <w:rsid w:val="00D22000"/>
    <w:rsid w:val="00D22877"/>
    <w:rsid w:val="00D2371A"/>
    <w:rsid w:val="00D300EE"/>
    <w:rsid w:val="00D30296"/>
    <w:rsid w:val="00D30AE9"/>
    <w:rsid w:val="00D313CB"/>
    <w:rsid w:val="00D3314B"/>
    <w:rsid w:val="00D33842"/>
    <w:rsid w:val="00D36164"/>
    <w:rsid w:val="00D42821"/>
    <w:rsid w:val="00D43C60"/>
    <w:rsid w:val="00D47915"/>
    <w:rsid w:val="00D50930"/>
    <w:rsid w:val="00D54B69"/>
    <w:rsid w:val="00D57D6E"/>
    <w:rsid w:val="00D61F5A"/>
    <w:rsid w:val="00D61F66"/>
    <w:rsid w:val="00D6385F"/>
    <w:rsid w:val="00D647BF"/>
    <w:rsid w:val="00D65030"/>
    <w:rsid w:val="00D656C2"/>
    <w:rsid w:val="00D660C2"/>
    <w:rsid w:val="00D702FA"/>
    <w:rsid w:val="00D74774"/>
    <w:rsid w:val="00D749C8"/>
    <w:rsid w:val="00D75774"/>
    <w:rsid w:val="00D76EBC"/>
    <w:rsid w:val="00D77D4E"/>
    <w:rsid w:val="00D80BC8"/>
    <w:rsid w:val="00D850AF"/>
    <w:rsid w:val="00D85937"/>
    <w:rsid w:val="00D931F3"/>
    <w:rsid w:val="00D93AF1"/>
    <w:rsid w:val="00D94A72"/>
    <w:rsid w:val="00DA20A2"/>
    <w:rsid w:val="00DA316A"/>
    <w:rsid w:val="00DB10B3"/>
    <w:rsid w:val="00DB16E1"/>
    <w:rsid w:val="00DB4C12"/>
    <w:rsid w:val="00DB66D1"/>
    <w:rsid w:val="00DB7C6C"/>
    <w:rsid w:val="00DC02A2"/>
    <w:rsid w:val="00DC228F"/>
    <w:rsid w:val="00DC2D7C"/>
    <w:rsid w:val="00DC4FD4"/>
    <w:rsid w:val="00DC6095"/>
    <w:rsid w:val="00DD0DB2"/>
    <w:rsid w:val="00DD0E0D"/>
    <w:rsid w:val="00DD22FA"/>
    <w:rsid w:val="00DD43A1"/>
    <w:rsid w:val="00DD6D8E"/>
    <w:rsid w:val="00DD6E61"/>
    <w:rsid w:val="00DD7424"/>
    <w:rsid w:val="00DE062C"/>
    <w:rsid w:val="00DE7764"/>
    <w:rsid w:val="00DE77D8"/>
    <w:rsid w:val="00DE7B01"/>
    <w:rsid w:val="00DF14DC"/>
    <w:rsid w:val="00DF488C"/>
    <w:rsid w:val="00DF4CAB"/>
    <w:rsid w:val="00DF7042"/>
    <w:rsid w:val="00E0081E"/>
    <w:rsid w:val="00E02094"/>
    <w:rsid w:val="00E02AA0"/>
    <w:rsid w:val="00E050E3"/>
    <w:rsid w:val="00E06AA6"/>
    <w:rsid w:val="00E06D28"/>
    <w:rsid w:val="00E079C4"/>
    <w:rsid w:val="00E07DBB"/>
    <w:rsid w:val="00E101C2"/>
    <w:rsid w:val="00E10F4C"/>
    <w:rsid w:val="00E13EEA"/>
    <w:rsid w:val="00E16662"/>
    <w:rsid w:val="00E20C44"/>
    <w:rsid w:val="00E21325"/>
    <w:rsid w:val="00E2419F"/>
    <w:rsid w:val="00E24221"/>
    <w:rsid w:val="00E25204"/>
    <w:rsid w:val="00E265F7"/>
    <w:rsid w:val="00E302F3"/>
    <w:rsid w:val="00E30CCF"/>
    <w:rsid w:val="00E31339"/>
    <w:rsid w:val="00E31D08"/>
    <w:rsid w:val="00E331FF"/>
    <w:rsid w:val="00E33FED"/>
    <w:rsid w:val="00E342C4"/>
    <w:rsid w:val="00E35A7A"/>
    <w:rsid w:val="00E366D6"/>
    <w:rsid w:val="00E42F49"/>
    <w:rsid w:val="00E4370E"/>
    <w:rsid w:val="00E45034"/>
    <w:rsid w:val="00E450B1"/>
    <w:rsid w:val="00E51F25"/>
    <w:rsid w:val="00E533C5"/>
    <w:rsid w:val="00E53B12"/>
    <w:rsid w:val="00E5516D"/>
    <w:rsid w:val="00E61270"/>
    <w:rsid w:val="00E63D8B"/>
    <w:rsid w:val="00E66113"/>
    <w:rsid w:val="00E66E69"/>
    <w:rsid w:val="00E764FF"/>
    <w:rsid w:val="00E80F2B"/>
    <w:rsid w:val="00E81BB4"/>
    <w:rsid w:val="00E81CFB"/>
    <w:rsid w:val="00E81F4B"/>
    <w:rsid w:val="00E85016"/>
    <w:rsid w:val="00E85F5C"/>
    <w:rsid w:val="00E8659F"/>
    <w:rsid w:val="00E86DC4"/>
    <w:rsid w:val="00E87A96"/>
    <w:rsid w:val="00E933EF"/>
    <w:rsid w:val="00E9624A"/>
    <w:rsid w:val="00E96DDF"/>
    <w:rsid w:val="00E96F51"/>
    <w:rsid w:val="00E96F90"/>
    <w:rsid w:val="00EA0386"/>
    <w:rsid w:val="00EA11BE"/>
    <w:rsid w:val="00EA15BB"/>
    <w:rsid w:val="00EA5470"/>
    <w:rsid w:val="00EA5B42"/>
    <w:rsid w:val="00EB101F"/>
    <w:rsid w:val="00EB1624"/>
    <w:rsid w:val="00EB1880"/>
    <w:rsid w:val="00EB2092"/>
    <w:rsid w:val="00EB265F"/>
    <w:rsid w:val="00EB3316"/>
    <w:rsid w:val="00EB4203"/>
    <w:rsid w:val="00EB4C97"/>
    <w:rsid w:val="00EB5A2D"/>
    <w:rsid w:val="00EB6655"/>
    <w:rsid w:val="00EB73EF"/>
    <w:rsid w:val="00EC231A"/>
    <w:rsid w:val="00EC300D"/>
    <w:rsid w:val="00EC644A"/>
    <w:rsid w:val="00EC6A3F"/>
    <w:rsid w:val="00EC778D"/>
    <w:rsid w:val="00EC7911"/>
    <w:rsid w:val="00ED11BC"/>
    <w:rsid w:val="00ED3E27"/>
    <w:rsid w:val="00ED7A5E"/>
    <w:rsid w:val="00EE0FB9"/>
    <w:rsid w:val="00EE5BE7"/>
    <w:rsid w:val="00EE6B7D"/>
    <w:rsid w:val="00EF1EF9"/>
    <w:rsid w:val="00EF3C20"/>
    <w:rsid w:val="00EF4B44"/>
    <w:rsid w:val="00F06EF9"/>
    <w:rsid w:val="00F0748B"/>
    <w:rsid w:val="00F10D37"/>
    <w:rsid w:val="00F13508"/>
    <w:rsid w:val="00F174F9"/>
    <w:rsid w:val="00F177A1"/>
    <w:rsid w:val="00F20E45"/>
    <w:rsid w:val="00F2412C"/>
    <w:rsid w:val="00F25F01"/>
    <w:rsid w:val="00F268C9"/>
    <w:rsid w:val="00F27015"/>
    <w:rsid w:val="00F2755E"/>
    <w:rsid w:val="00F30554"/>
    <w:rsid w:val="00F31240"/>
    <w:rsid w:val="00F313F9"/>
    <w:rsid w:val="00F322DE"/>
    <w:rsid w:val="00F33EC2"/>
    <w:rsid w:val="00F348D2"/>
    <w:rsid w:val="00F34ADB"/>
    <w:rsid w:val="00F41AC5"/>
    <w:rsid w:val="00F4421F"/>
    <w:rsid w:val="00F44706"/>
    <w:rsid w:val="00F4485F"/>
    <w:rsid w:val="00F44B6A"/>
    <w:rsid w:val="00F44B7D"/>
    <w:rsid w:val="00F44C99"/>
    <w:rsid w:val="00F44EA4"/>
    <w:rsid w:val="00F46D92"/>
    <w:rsid w:val="00F47F69"/>
    <w:rsid w:val="00F510BF"/>
    <w:rsid w:val="00F521C7"/>
    <w:rsid w:val="00F53920"/>
    <w:rsid w:val="00F53D27"/>
    <w:rsid w:val="00F60BF8"/>
    <w:rsid w:val="00F6434C"/>
    <w:rsid w:val="00F64863"/>
    <w:rsid w:val="00F6514A"/>
    <w:rsid w:val="00F65F52"/>
    <w:rsid w:val="00F73233"/>
    <w:rsid w:val="00F75F46"/>
    <w:rsid w:val="00F76E85"/>
    <w:rsid w:val="00F82860"/>
    <w:rsid w:val="00F86059"/>
    <w:rsid w:val="00F86658"/>
    <w:rsid w:val="00F93A25"/>
    <w:rsid w:val="00F960C1"/>
    <w:rsid w:val="00F97C94"/>
    <w:rsid w:val="00FA0331"/>
    <w:rsid w:val="00FA7224"/>
    <w:rsid w:val="00FB015C"/>
    <w:rsid w:val="00FB1A2B"/>
    <w:rsid w:val="00FB2299"/>
    <w:rsid w:val="00FB51C5"/>
    <w:rsid w:val="00FC049C"/>
    <w:rsid w:val="00FC1C0E"/>
    <w:rsid w:val="00FC5ED8"/>
    <w:rsid w:val="00FD012E"/>
    <w:rsid w:val="00FD3339"/>
    <w:rsid w:val="00FD4063"/>
    <w:rsid w:val="00FD431E"/>
    <w:rsid w:val="00FD5CD5"/>
    <w:rsid w:val="00FE1874"/>
    <w:rsid w:val="00FE5393"/>
    <w:rsid w:val="00FE5A8A"/>
    <w:rsid w:val="00FE7BAC"/>
    <w:rsid w:val="00FF0A7E"/>
    <w:rsid w:val="00FF137E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FB3B8"/>
  <w15:docId w15:val="{E86A5861-E33F-470B-AB57-F431DE9A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3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30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2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596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05BE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rsid w:val="00EE0F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FB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0FB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E0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FB9"/>
    <w:rPr>
      <w:rFonts w:ascii="Arial" w:hAnsi="Arial"/>
      <w:b/>
      <w:bCs/>
      <w:lang w:eastAsia="en-US"/>
    </w:rPr>
  </w:style>
  <w:style w:type="character" w:styleId="Emphasis">
    <w:name w:val="Emphasis"/>
    <w:basedOn w:val="DefaultParagraphFont"/>
    <w:qFormat/>
    <w:rsid w:val="00D6385F"/>
    <w:rPr>
      <w:i/>
      <w:iCs/>
    </w:rPr>
  </w:style>
  <w:style w:type="paragraph" w:styleId="Revision">
    <w:name w:val="Revision"/>
    <w:hidden/>
    <w:uiPriority w:val="99"/>
    <w:semiHidden/>
    <w:rsid w:val="00E050E3"/>
    <w:rPr>
      <w:rFonts w:ascii="Arial" w:hAnsi="Arial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4D85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ther briefing" ma:contentTypeID="0x0101003D8DE97B5F6A5E4385284C1FFBEDADD60900885B21747AAC4445B8D0C35AA84078F6" ma:contentTypeVersion="33" ma:contentTypeDescription="For any briefing which is not in relation to a department policy. Records retained for 10 years." ma:contentTypeScope="" ma:versionID="10b59e9181a7619e0747ac07c999ac02">
  <xsd:schema xmlns:xsd="http://www.w3.org/2001/XMLSchema" xmlns:xs="http://www.w3.org/2001/XMLSchema" xmlns:p="http://schemas.microsoft.com/office/2006/metadata/properties" xmlns:ns1="http://schemas.microsoft.com/sharepoint/v3" xmlns:ns2="4259d123-e6a2-4a39-9cc4-e247171b8278" xmlns:ns3="8c566321-f672-4e06-a901-b5e72b4c4357" xmlns:ns4="01d2705b-266c-471f-bbad-ca9cc3733704" xmlns:ns5="9f3f92a8-473c-4608-bac3-6eb86d935198" targetNamespace="http://schemas.microsoft.com/office/2006/metadata/properties" ma:root="true" ma:fieldsID="c8e3babc807120f7d3d7e721a41ed48b" ns1:_="" ns2:_="" ns3:_="" ns4:_="" ns5:_="">
    <xsd:import namespace="http://schemas.microsoft.com/sharepoint/v3"/>
    <xsd:import namespace="4259d123-e6a2-4a39-9cc4-e247171b8278"/>
    <xsd:import namespace="8c566321-f672-4e06-a901-b5e72b4c4357"/>
    <xsd:import namespace="01d2705b-266c-471f-bbad-ca9cc3733704"/>
    <xsd:import namespace="9f3f92a8-473c-4608-bac3-6eb86d9351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TaxCatchAll" minOccurs="0"/>
                <xsd:element ref="ns3:TaxCatchAllLabel" minOccurs="0"/>
                <xsd:element ref="ns1:_vti_ItemDeclaredRecord" minOccurs="0"/>
                <xsd:element ref="ns2:b11dec6ce0c448c0844aaa6ccb665a34" minOccurs="0"/>
                <xsd:element ref="ns2:ce5af11cf85042fda4c4f1f7f633f15b" minOccurs="0"/>
                <xsd:element ref="ns2:fcfa2e3a102f492eb9989c5396408ed9" minOccurs="0"/>
                <xsd:element ref="ns2:ba8d4f2c4b764194bae6c355bbdcc1eb" minOccurs="0"/>
                <xsd:element ref="ns4:IWPContributor" minOccurs="0"/>
                <xsd:element ref="ns5:h5181134883947a99a38d116ffff0102" minOccurs="0"/>
                <xsd:element ref="ns5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8" nillable="true" ma:displayName="Declared Record" ma:description="" ma:hidden="true" ma:internalName="_vti_ItemDeclaredRecor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9d123-e6a2-4a39-9cc4-e247171b82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11dec6ce0c448c0844aaa6ccb665a34" ma:index="22" nillable="true" ma:taxonomy="true" ma:internalName="b11dec6ce0c448c0844aaa6ccb665a34" ma:taxonomyFieldName="IWPFunction" ma:displayName="Function" ma:readOnly="false" ma:fieldId="{b11dec6c-e0c4-48c0-844a-aa6ccb665a34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5af11cf85042fda4c4f1f7f633f15b" ma:index="23" ma:taxonomy="true" ma:internalName="ce5af11cf85042fda4c4f1f7f633f15b" ma:taxonomyFieldName="IWPRightsProtectiveMarking" ma:displayName="Rights: Protective Marking" ma:readOnly="false" ma:default="1;#Official|0884c477-2e62-47ea-b19c-5af6e91124c5" ma:fieldId="{ce5af11c-f850-42fd-a4c4-f1f7f633f15b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fa2e3a102f492eb9989c5396408ed9" ma:index="24" nillable="true" ma:taxonomy="true" ma:internalName="fcfa2e3a102f492eb9989c5396408ed9" ma:taxonomyFieldName="IWPSiteType" ma:displayName="Site Type" ma:readOnly="false" ma:fieldId="{fcfa2e3a-102f-492e-b998-9c5396408ed9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8d4f2c4b764194bae6c355bbdcc1eb" ma:index="25" ma:taxonomy="true" ma:internalName="ba8d4f2c4b764194bae6c355bbdcc1eb" ma:taxonomyFieldName="IWPOrganisationalUnit" ma:displayName="Organisational Unit" ma:readOnly="false" ma:default="2;#DfE|cc08a6d4-dfde-4d0f-bd85-069ebcef80d5" ma:fieldId="{ba8d4f2c-4b76-4194-bae6-c355bbdcc1eb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a1b62f6-7c55-4857-80e2-86b00f747f63}" ma:internalName="TaxCatchAll" ma:readOnly="false" ma:showField="CatchAllData" ma:web="4259d123-e6a2-4a39-9cc4-e247171b8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da1b62f6-7c55-4857-80e2-86b00f747f63}" ma:internalName="TaxCatchAllLabel" ma:readOnly="false" ma:showField="CatchAllDataLabel" ma:web="4259d123-e6a2-4a39-9cc4-e247171b8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2705b-266c-471f-bbad-ca9cc3733704" elementFormDefault="qualified">
    <xsd:import namespace="http://schemas.microsoft.com/office/2006/documentManagement/types"/>
    <xsd:import namespace="http://schemas.microsoft.com/office/infopath/2007/PartnerControls"/>
    <xsd:element name="IWPContributor" ma:index="26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92a8-473c-4608-bac3-6eb86d935198" elementFormDefault="qualified">
    <xsd:import namespace="http://schemas.microsoft.com/office/2006/documentManagement/types"/>
    <xsd:import namespace="http://schemas.microsoft.com/office/infopath/2007/PartnerControls"/>
    <xsd:element name="h5181134883947a99a38d116ffff0102" ma:index="27" ma:taxonomy="true" ma:internalName="h5181134883947a99a38d116ffff0102" ma:taxonomyFieldName="IWPOwner" ma:displayName="Owner" ma:readOnly="false" ma:default="3;#DfE|a484111e-5b24-4ad9-9778-c536c8c88985" ma:fieldId="{15181134-8839-47a9-9a38-d116ffff0102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Contributor xmlns="01d2705b-266c-471f-bbad-ca9cc3733704">
      <UserInfo>
        <DisplayName/>
        <AccountId xsi:nil="true"/>
        <AccountType/>
      </UserInfo>
    </IWPContributor>
    <Comments xmlns="http://schemas.microsoft.com/sharepoint/v3" xsi:nil="true"/>
    <_dlc_DocId xmlns="4259d123-e6a2-4a39-9cc4-e247171b8278">HKPH4XM4QHZ4-1883831546-51803</_dlc_DocId>
    <_dlc_DocIdUrl xmlns="4259d123-e6a2-4a39-9cc4-e247171b8278">
      <Url>https://educationgovuk.sharepoint.com/sites/ttg/d/_layouts/15/DocIdRedir.aspx?ID=HKPH4XM4QHZ4-1883831546-51803</Url>
      <Description>HKPH4XM4QHZ4-1883831546-51803</Description>
    </_dlc_DocIdUrl>
    <fcfa2e3a102f492eb9989c5396408ed9 xmlns="4259d123-e6a2-4a39-9cc4-e247171b8278">
      <Terms xmlns="http://schemas.microsoft.com/office/infopath/2007/PartnerControls"/>
    </fcfa2e3a102f492eb9989c5396408ed9>
    <ce5af11cf85042fda4c4f1f7f633f15b xmlns="4259d123-e6a2-4a39-9cc4-e247171b82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e5af11cf85042fda4c4f1f7f633f15b>
    <ba8d4f2c4b764194bae6c355bbdcc1eb xmlns="4259d123-e6a2-4a39-9cc4-e247171b82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ba8d4f2c4b764194bae6c355bbdcc1eb>
    <_vti_ItemDeclaredRecord xmlns="http://schemas.microsoft.com/sharepoint/v3" xsi:nil="true"/>
    <b11dec6ce0c448c0844aaa6ccb665a34 xmlns="4259d123-e6a2-4a39-9cc4-e247171b8278">
      <Terms xmlns="http://schemas.microsoft.com/office/infopath/2007/PartnerControls"/>
    </b11dec6ce0c448c0844aaa6ccb665a34>
    <h5181134883947a99a38d116ffff0102 xmlns="9f3f92a8-473c-4608-bac3-6eb86d9351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h5181134883947a99a38d116ffff0102>
    <h5181134883947a99a38d116ffff0006 xmlns="9f3f92a8-473c-4608-bac3-6eb86d935198">
      <Terms xmlns="http://schemas.microsoft.com/office/infopath/2007/PartnerControls"/>
    </h5181134883947a99a38d116ffff0006>
    <TaxCatchAll xmlns="8c566321-f672-4e06-a901-b5e72b4c4357">
      <Value>3</Value>
      <Value>2</Value>
      <Value>1</Value>
    </TaxCatchAll>
    <TaxCatchAllLabel xmlns="8c566321-f672-4e06-a901-b5e72b4c4357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0C653-46DF-4C56-BF5F-3BB0A8399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59d123-e6a2-4a39-9cc4-e247171b8278"/>
    <ds:schemaRef ds:uri="8c566321-f672-4e06-a901-b5e72b4c4357"/>
    <ds:schemaRef ds:uri="01d2705b-266c-471f-bbad-ca9cc3733704"/>
    <ds:schemaRef ds:uri="9f3f92a8-473c-4608-bac3-6eb86d935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63523-D2FC-4011-82D0-C844F3C4CEA9}">
  <ds:schemaRefs>
    <ds:schemaRef ds:uri="4259d123-e6a2-4a39-9cc4-e247171b8278"/>
    <ds:schemaRef ds:uri="http://schemas.microsoft.com/sharepoint/v3"/>
    <ds:schemaRef ds:uri="http://purl.org/dc/terms/"/>
    <ds:schemaRef ds:uri="http://schemas.openxmlformats.org/package/2006/metadata/core-properties"/>
    <ds:schemaRef ds:uri="9f3f92a8-473c-4608-bac3-6eb86d935198"/>
    <ds:schemaRef ds:uri="http://schemas.microsoft.com/office/2006/documentManagement/types"/>
    <ds:schemaRef ds:uri="http://schemas.microsoft.com/office/infopath/2007/PartnerControls"/>
    <ds:schemaRef ds:uri="01d2705b-266c-471f-bbad-ca9cc3733704"/>
    <ds:schemaRef ds:uri="http://purl.org/dc/elements/1.1/"/>
    <ds:schemaRef ds:uri="http://schemas.microsoft.com/office/2006/metadata/properties"/>
    <ds:schemaRef ds:uri="8c566321-f672-4e06-a901-b5e72b4c435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E47836-104C-47AF-B0F9-43CE9A2909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B19215-123C-459C-942B-404E2DF04B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0FE498-59E6-40F5-8A24-892411CF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MRandIC minutes signed by Chair</vt:lpstr>
    </vt:vector>
  </TitlesOfParts>
  <Company>Capita Employee Benefits</Company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MRandIC minutes signed by Chair</dc:title>
  <dc:creator>CAMMACK, Karen</dc:creator>
  <cp:lastModifiedBy>CAMMACK, Karen</cp:lastModifiedBy>
  <cp:revision>2</cp:revision>
  <cp:lastPrinted>2017-03-31T10:49:00Z</cp:lastPrinted>
  <dcterms:created xsi:type="dcterms:W3CDTF">2019-04-23T09:48:00Z</dcterms:created>
  <dcterms:modified xsi:type="dcterms:W3CDTF">2019-04-23T09:48:00Z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0x0101003D8DE97B5F6A5E4385284C1FFBEDADD60900885B21747AAC4445B8D0C35AA84078F6</vt:lpwstr>
  </property>
  <property fmtid="{D5CDD505-2E9C-101B-9397-08002B2CF9AE}" pid="3" name="_dlc_DocIdItemGuid">
    <vt:lpwstr>6e9e1696-eef7-4937-9284-eadb8d2de318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</Properties>
</file>